
<file path=[Content_Types].xml><?xml version="1.0" encoding="utf-8"?>
<Types xmlns="http://schemas.openxmlformats.org/package/2006/content-types">
  <Default Extension="vsd" ContentType="application/vnd.visio"/>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E7BF" w14:textId="354E6231" w:rsidR="006016B9" w:rsidRPr="0048622B" w:rsidRDefault="006016B9" w:rsidP="00887031">
      <w:pPr>
        <w:pStyle w:val="Heading1"/>
      </w:pPr>
      <w:bookmarkStart w:id="0" w:name="_Toc458069584"/>
      <w:bookmarkStart w:id="1" w:name="_Toc458072363"/>
      <w:bookmarkStart w:id="2" w:name="_Toc458088545"/>
      <w:bookmarkStart w:id="3" w:name="_Toc461025817"/>
      <w:bookmarkStart w:id="4" w:name="_Toc462405110"/>
      <w:bookmarkStart w:id="5" w:name="_Toc400358559"/>
      <w:bookmarkStart w:id="6" w:name="_Toc434833174"/>
      <w:bookmarkStart w:id="7" w:name="_Ref400467530"/>
      <w:bookmarkStart w:id="8" w:name="_Ref399422590"/>
      <w:bookmarkStart w:id="9" w:name="_Toc399491058"/>
      <w:bookmarkStart w:id="10" w:name="_GoBack"/>
      <w:bookmarkEnd w:id="10"/>
      <w:r w:rsidRPr="0048622B">
        <w:t>Secretary’s Report</w:t>
      </w:r>
      <w:bookmarkEnd w:id="0"/>
      <w:bookmarkEnd w:id="1"/>
      <w:bookmarkEnd w:id="2"/>
      <w:bookmarkEnd w:id="3"/>
      <w:bookmarkEnd w:id="4"/>
    </w:p>
    <w:p w14:paraId="2924F54E" w14:textId="77777777" w:rsidR="00E03DC3" w:rsidRPr="00E03DC3" w:rsidRDefault="00E03DC3" w:rsidP="00586491">
      <w:pPr>
        <w:spacing w:after="200"/>
      </w:pPr>
      <w:r w:rsidRPr="00E03DC3">
        <w:t xml:space="preserve">There is arguably no greater value produced in Victoria than that created through our education system. From early childhood learning and development, through our school system and into post-secondary education, Victorians have long valued education. As it has been said – at its best, education is about how to make a life, not just how to make a living. As such, it provides the foundation for both the social and economic fabric of our State. </w:t>
      </w:r>
    </w:p>
    <w:p w14:paraId="09E37B72" w14:textId="77777777" w:rsidR="00E03DC3" w:rsidRPr="00E03DC3" w:rsidRDefault="00E03DC3" w:rsidP="00586491">
      <w:pPr>
        <w:spacing w:after="200"/>
      </w:pPr>
      <w:r w:rsidRPr="00E03DC3">
        <w:t>As we strive in the Department of Education and Training to make good on the Government’s commitment to make Victoria the Education State, we are harnessing and building on that existing value with an ambitious reform program – a program focused on both excellence and equity.</w:t>
      </w:r>
    </w:p>
    <w:p w14:paraId="77036A2D" w14:textId="77777777" w:rsidR="00E03DC3" w:rsidRPr="00E03DC3" w:rsidRDefault="00E03DC3" w:rsidP="00586491">
      <w:pPr>
        <w:spacing w:after="200"/>
      </w:pPr>
      <w:r w:rsidRPr="00E03DC3">
        <w:t>In September 2015, following an extensive public consultation, a major school reform program was launched setting ten new targets designed to meet four goals: learning for life; happy, healthy and resilient kids; breaking the link between education and disadvantage; and raising pride and confidence in government schools. We will publicly report on progress towards the targets each year.</w:t>
      </w:r>
    </w:p>
    <w:p w14:paraId="590D2F2A" w14:textId="77777777" w:rsidR="00E03DC3" w:rsidRPr="00E03DC3" w:rsidRDefault="00E03DC3" w:rsidP="00586491">
      <w:pPr>
        <w:spacing w:after="200"/>
      </w:pPr>
      <w:r w:rsidRPr="00E03DC3">
        <w:t>A record level of equity funding was provided to schools to improve outcomes for students who need extra assistance. The new Framework for Improving Student Outcomes (FISO) gives schools a common language for improvement. Using the best available research on student learning and global best-practice, FISO is helping schools to focus their efforts on key areas that are known to have the greatest impact on school improvement. With this we put 150 additional staff into the regions, as part of the new Learning Places regional operating model, to better support services and better enable principals to lead improvement in their schools and across networks of schools. Additional support has also been provided to government school teachers to teach the new Victorian Curriculum – including new subjects such as digital coding and respectful relationships.</w:t>
      </w:r>
    </w:p>
    <w:p w14:paraId="69D750F9" w14:textId="77777777" w:rsidR="00E03DC3" w:rsidRPr="00E03DC3" w:rsidRDefault="00E03DC3" w:rsidP="00586491">
      <w:pPr>
        <w:spacing w:after="200"/>
      </w:pPr>
      <w:r w:rsidRPr="00E03DC3">
        <w:t>In June 2016, we launched the first LOOKOUT Education Support Centres for school-aged children and young people in out of home care, and the Navigator service pilots to help re-engage Victorian students who drop out of school and training each year. This is a critical element of our plan to reduce disengagement and the effects of disadvantage.</w:t>
      </w:r>
    </w:p>
    <w:p w14:paraId="044A3DD2" w14:textId="77777777" w:rsidR="00E03DC3" w:rsidRPr="00E03DC3" w:rsidRDefault="00E03DC3" w:rsidP="00586491">
      <w:pPr>
        <w:spacing w:after="200"/>
      </w:pPr>
      <w:r w:rsidRPr="00E03DC3">
        <w:t>The 2016-17 State Budget committed $1.1 billion for school infrastructure and towards the establishment of the Victorian School Building Authority. The Authority is now up and running and will ensure that schools are well-planned, tailored to local needs and that communities are engaged throughout the process.</w:t>
      </w:r>
    </w:p>
    <w:p w14:paraId="2F326134" w14:textId="77777777" w:rsidR="00E03DC3" w:rsidRPr="00E03DC3" w:rsidRDefault="00E03DC3" w:rsidP="00586491">
      <w:pPr>
        <w:spacing w:after="200"/>
      </w:pPr>
      <w:r w:rsidRPr="00E03DC3">
        <w:t>All this work has laid the foundations for our school system to go from ‘good’ to ‘excellent’. Our next phase of reform in schools will be guided by the Government’s response to the Government Schools Funding Review conducted by former Victorian Premier, Steve Bracks, in 2015.</w:t>
      </w:r>
    </w:p>
    <w:p w14:paraId="3AC7DF68" w14:textId="77777777" w:rsidR="00E03DC3" w:rsidRPr="00E03DC3" w:rsidRDefault="00E03DC3" w:rsidP="00586491">
      <w:pPr>
        <w:spacing w:after="200"/>
      </w:pPr>
      <w:r w:rsidRPr="00E03DC3">
        <w:lastRenderedPageBreak/>
        <w:t>Beyond the school years, the Mackenzie VET Funding Review and the Government’s response, Skills and Jobs in the Education State, were released in December 2015. The response sets out a commitment to re-establish a high quality, stable, sustainable VET system that positions TAFEs and Learn Local community providers as public providers of choice, gives Victorians the chance to learn and develop skills and seeks to meet the State’s skills needs now and well into the future. Significant work throughout the first half of 2016 led to the launch of Skills First in August 2016. Focus has now shifted to implementation, with the new system to go live from 1 January 2017. In addition, the major program of work undertaken to ensure high quality training is provided in our VET system has been a huge undertaking this year.</w:t>
      </w:r>
    </w:p>
    <w:p w14:paraId="3F3452BD" w14:textId="77777777" w:rsidR="00586491" w:rsidRDefault="00586491" w:rsidP="00586491">
      <w:pPr>
        <w:spacing w:after="200"/>
      </w:pPr>
    </w:p>
    <w:p w14:paraId="35C5F980" w14:textId="77777777" w:rsidR="00586491" w:rsidRDefault="00586491" w:rsidP="00586491">
      <w:pPr>
        <w:spacing w:after="200"/>
      </w:pPr>
    </w:p>
    <w:p w14:paraId="070175B3" w14:textId="77777777" w:rsidR="00586491" w:rsidRDefault="00586491" w:rsidP="00586491">
      <w:pPr>
        <w:spacing w:after="200"/>
      </w:pPr>
    </w:p>
    <w:p w14:paraId="23476CBE" w14:textId="2892FC58" w:rsidR="007425A9" w:rsidRDefault="00E03DC3" w:rsidP="00586491">
      <w:pPr>
        <w:spacing w:after="200"/>
      </w:pPr>
      <w:r w:rsidRPr="00E03DC3">
        <w:t>Substantial work is underway in early childhood, and services for children and parents are being strengthened and changed to meet family needs. Evidence shows that investing in the early years repre</w:t>
      </w:r>
      <w:r w:rsidR="002D13A5">
        <w:t>sents a social and economic boon</w:t>
      </w:r>
      <w:r w:rsidR="00994032">
        <w:t xml:space="preserve"> and i</w:t>
      </w:r>
      <w:r w:rsidRPr="00E03DC3">
        <w:t>s foundational to good lives. We know that learning commences well before school and neuroscience tells us that brain development in the early years is strongly influenced by the quality of environment and settings where children spend time. Consultation has occurred on the Education State Early Childhood Development Reform Plan and steps to finalise this are underway.</w:t>
      </w:r>
    </w:p>
    <w:p w14:paraId="456A0516" w14:textId="77777777" w:rsidR="00E03DC3" w:rsidRPr="00E03DC3" w:rsidRDefault="00E03DC3" w:rsidP="00586491">
      <w:pPr>
        <w:spacing w:after="200"/>
      </w:pPr>
      <w:r w:rsidRPr="00E03DC3">
        <w:t>We are also making a strong contribution to the Government’s broader economic and social policy reforms. This includes work to drive productivity and job creation through initiatives such as the Back to Work Plan and the Victorian Industry Participation Policy. We are contributing to whole of government efforts to provide enhanced support to vulnerable and at-risk children and families, through our work in responding to the Royal Commission into Institutional Responses to Child Sexual Abuse and the Royal Commission into Family Violence.</w:t>
      </w:r>
    </w:p>
    <w:p w14:paraId="0F5205F8" w14:textId="77777777" w:rsidR="00E03DC3" w:rsidRPr="00E03DC3" w:rsidRDefault="00E03DC3" w:rsidP="00586491">
      <w:pPr>
        <w:spacing w:after="200"/>
      </w:pPr>
      <w:r w:rsidRPr="00E03DC3">
        <w:t>I wish to acknowledge the hard work and commitment of the Department’s senior leadership team and from all staff, including principals, teachers, TAFE and VET providers and early childhood educators across the state. Their commitment and energy is essential to delivering on the vision of the Education State.</w:t>
      </w:r>
    </w:p>
    <w:p w14:paraId="58BBC0ED" w14:textId="37F8AF4C" w:rsidR="00E03DC3" w:rsidRDefault="00E03DC3" w:rsidP="00586491">
      <w:pPr>
        <w:spacing w:after="200"/>
      </w:pPr>
      <w:r w:rsidRPr="00E03DC3">
        <w:t>I look forward to continuing our important reform work into the coming year.</w:t>
      </w:r>
    </w:p>
    <w:p w14:paraId="19E9FA12" w14:textId="77777777" w:rsidR="00E03DC3" w:rsidRPr="00E03DC3" w:rsidRDefault="00E03DC3" w:rsidP="00E03DC3"/>
    <w:p w14:paraId="3F501DE1" w14:textId="17EE218D" w:rsidR="00FD563E" w:rsidRDefault="00CA51BA" w:rsidP="00FD563E">
      <w:pPr>
        <w:rPr>
          <w:lang w:val="en-US"/>
        </w:rPr>
      </w:pPr>
      <w:r>
        <w:rPr>
          <w:noProof/>
          <w:lang w:eastAsia="en-AU"/>
        </w:rPr>
        <w:drawing>
          <wp:inline distT="0" distB="0" distL="0" distR="0" wp14:anchorId="5E2FCAB2" wp14:editId="714A4621">
            <wp:extent cx="1490598" cy="324669"/>
            <wp:effectExtent l="0" t="0" r="0" b="0"/>
            <wp:docPr id="13" name="Picture 13" descr="C:\Users\01885479\AppData\Local\Microsoft\Windows\Temporary Internet Files\Content.Outlook\HOUPA1CM\Electronic Signature for Gill Call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885479\AppData\Local\Microsoft\Windows\Temporary Internet Files\Content.Outlook\HOUPA1CM\Electronic Signature for Gill Callist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6144" cy="336768"/>
                    </a:xfrm>
                    <a:prstGeom prst="rect">
                      <a:avLst/>
                    </a:prstGeom>
                    <a:noFill/>
                    <a:ln>
                      <a:noFill/>
                    </a:ln>
                  </pic:spPr>
                </pic:pic>
              </a:graphicData>
            </a:graphic>
          </wp:inline>
        </w:drawing>
      </w:r>
    </w:p>
    <w:p w14:paraId="76D3B84E" w14:textId="77777777" w:rsidR="00FD563E" w:rsidRPr="00FD563E" w:rsidRDefault="00FD563E" w:rsidP="00FD563E">
      <w:pPr>
        <w:rPr>
          <w:lang w:val="en-US"/>
        </w:rPr>
      </w:pPr>
    </w:p>
    <w:p w14:paraId="2EB873F4" w14:textId="77777777" w:rsidR="00FD563E" w:rsidRPr="00E03DC3" w:rsidRDefault="00FD563E" w:rsidP="007425A9">
      <w:pPr>
        <w:pStyle w:val="DETNormalafterlist"/>
        <w:spacing w:after="0"/>
      </w:pPr>
      <w:r w:rsidRPr="00E03DC3">
        <w:t>Gill Callister</w:t>
      </w:r>
    </w:p>
    <w:p w14:paraId="754526C3" w14:textId="77777777" w:rsidR="00FD563E" w:rsidRPr="00E03DC3" w:rsidRDefault="00FD563E" w:rsidP="007425A9">
      <w:pPr>
        <w:pStyle w:val="DETNormalafterlist"/>
        <w:spacing w:before="0"/>
      </w:pPr>
      <w:r w:rsidRPr="00E03DC3">
        <w:t>Secretary</w:t>
      </w:r>
    </w:p>
    <w:p w14:paraId="205A4862" w14:textId="77777777" w:rsidR="006016B9" w:rsidRPr="0087752B" w:rsidRDefault="006016B9" w:rsidP="00FD563E">
      <w:pPr>
        <w:pStyle w:val="DETNormalafterlist"/>
      </w:pPr>
    </w:p>
    <w:p w14:paraId="42979E7C" w14:textId="77777777" w:rsidR="006016B9" w:rsidRPr="0087752B" w:rsidRDefault="006016B9" w:rsidP="006016B9"/>
    <w:p w14:paraId="4DA7CE71" w14:textId="77777777" w:rsidR="006016B9" w:rsidRPr="0087752B" w:rsidRDefault="006016B9" w:rsidP="006016B9"/>
    <w:p w14:paraId="39A7A542" w14:textId="77777777" w:rsidR="006016B9" w:rsidRPr="0087752B" w:rsidRDefault="006016B9" w:rsidP="006016B9"/>
    <w:p w14:paraId="6F7BB781" w14:textId="77777777" w:rsidR="006016B9" w:rsidRPr="0087752B" w:rsidRDefault="006016B9" w:rsidP="006016B9"/>
    <w:p w14:paraId="783BCA98" w14:textId="77777777" w:rsidR="006016B9" w:rsidRPr="0087752B" w:rsidRDefault="006016B9" w:rsidP="006016B9"/>
    <w:p w14:paraId="28D81771" w14:textId="77777777" w:rsidR="006016B9" w:rsidRPr="0087752B" w:rsidRDefault="006016B9" w:rsidP="006016B9"/>
    <w:p w14:paraId="05080506" w14:textId="77777777" w:rsidR="006016B9" w:rsidRPr="0087752B" w:rsidRDefault="006016B9" w:rsidP="006016B9"/>
    <w:p w14:paraId="1FB568C9" w14:textId="77777777" w:rsidR="006016B9" w:rsidRPr="0087752B" w:rsidRDefault="006016B9" w:rsidP="006016B9"/>
    <w:p w14:paraId="0D81A3F1" w14:textId="77777777" w:rsidR="006016B9" w:rsidRPr="0087752B" w:rsidRDefault="006016B9" w:rsidP="006016B9"/>
    <w:p w14:paraId="417AFB84" w14:textId="77777777" w:rsidR="006016B9" w:rsidRPr="0087752B" w:rsidRDefault="006016B9" w:rsidP="006016B9"/>
    <w:p w14:paraId="260FBBD0" w14:textId="77777777" w:rsidR="006016B9" w:rsidRPr="0087752B" w:rsidRDefault="006016B9" w:rsidP="006016B9"/>
    <w:p w14:paraId="44A4F1A1" w14:textId="77777777" w:rsidR="006016B9" w:rsidRPr="0087752B" w:rsidRDefault="006016B9" w:rsidP="006016B9"/>
    <w:p w14:paraId="06D689E1" w14:textId="77777777" w:rsidR="006016B9" w:rsidRPr="0087752B" w:rsidRDefault="006016B9" w:rsidP="006016B9"/>
    <w:p w14:paraId="6F742ECA" w14:textId="77777777" w:rsidR="006016B9" w:rsidRPr="0087752B" w:rsidRDefault="006016B9" w:rsidP="006016B9"/>
    <w:p w14:paraId="783723D5" w14:textId="6723E42B" w:rsidR="006016B9" w:rsidRPr="0087752B" w:rsidRDefault="00837349" w:rsidP="00CF1A2F">
      <w:pPr>
        <w:pStyle w:val="Heading1"/>
      </w:pPr>
      <w:bookmarkStart w:id="11" w:name="_Toc458069581"/>
      <w:bookmarkStart w:id="12" w:name="_Toc458072360"/>
      <w:bookmarkStart w:id="13" w:name="_Toc458088543"/>
      <w:bookmarkStart w:id="14" w:name="_Toc461025818"/>
      <w:bookmarkStart w:id="15" w:name="_Toc462405111"/>
      <w:r w:rsidRPr="0087752B">
        <w:lastRenderedPageBreak/>
        <w:t>Report of Operations</w:t>
      </w:r>
      <w:r w:rsidR="00B257A6" w:rsidRPr="0087752B">
        <w:t>—</w:t>
      </w:r>
      <w:r w:rsidR="001F07C0">
        <w:t>y</w:t>
      </w:r>
      <w:r w:rsidR="001F07C0" w:rsidRPr="0087752B">
        <w:t xml:space="preserve">ear </w:t>
      </w:r>
      <w:r w:rsidRPr="0087752B">
        <w:t xml:space="preserve">in </w:t>
      </w:r>
      <w:bookmarkEnd w:id="11"/>
      <w:bookmarkEnd w:id="12"/>
      <w:bookmarkEnd w:id="13"/>
      <w:bookmarkEnd w:id="14"/>
      <w:r w:rsidR="001F07C0">
        <w:t>r</w:t>
      </w:r>
      <w:r w:rsidR="001F07C0" w:rsidRPr="0087752B">
        <w:t>eview</w:t>
      </w:r>
      <w:bookmarkEnd w:id="15"/>
    </w:p>
    <w:p w14:paraId="76668F06" w14:textId="77777777" w:rsidR="006016B9" w:rsidRPr="0087752B" w:rsidRDefault="006016B9" w:rsidP="00837349">
      <w:r w:rsidRPr="0087752B">
        <w:t>The Victorian Government has committed to building an education system that produces excellence and reduces the impact of disadvantage. Education is more important than ever: skills, knowledge, creativity and adaptability will be central in our future economy and community. The Education State will be founded on excellence in learning and development from the crucial first years of life, through school education to training and higher education, and the promotion of lifelong learning for adults.</w:t>
      </w:r>
    </w:p>
    <w:p w14:paraId="5789C1B4" w14:textId="77777777" w:rsidR="006016B9" w:rsidRPr="0087752B" w:rsidRDefault="006016B9" w:rsidP="00472EA7">
      <w:pPr>
        <w:pStyle w:val="DETHeading2"/>
      </w:pPr>
      <w:bookmarkStart w:id="16" w:name="_Toc461013242"/>
      <w:bookmarkStart w:id="17" w:name="_Toc461025819"/>
      <w:bookmarkStart w:id="18" w:name="_Toc462405112"/>
      <w:r w:rsidRPr="0087752B">
        <w:t>Statement of Strategic Intent</w:t>
      </w:r>
      <w:bookmarkEnd w:id="16"/>
      <w:bookmarkEnd w:id="17"/>
      <w:bookmarkEnd w:id="18"/>
    </w:p>
    <w:p w14:paraId="5AD8FF37" w14:textId="77777777" w:rsidR="006016B9" w:rsidRPr="0087752B" w:rsidRDefault="006016B9" w:rsidP="00837349">
      <w:r w:rsidRPr="0087752B">
        <w:t xml:space="preserve">In October 2015, the Department launched the Statement of Strategic Intent to support delivery of the ambitious Education State agenda and to help focus our efforts (see Figure 1). </w:t>
      </w:r>
    </w:p>
    <w:p w14:paraId="51C3BF3D" w14:textId="77777777" w:rsidR="006016B9" w:rsidRPr="0087752B" w:rsidRDefault="006016B9" w:rsidP="00837349">
      <w:r w:rsidRPr="0087752B">
        <w:t>The Strategic Intent sets out the Department’s vision for Victorians:</w:t>
      </w:r>
    </w:p>
    <w:p w14:paraId="5D8C7454" w14:textId="77777777" w:rsidR="006016B9" w:rsidRPr="0087752B" w:rsidRDefault="006016B9" w:rsidP="006016B9">
      <w:pPr>
        <w:rPr>
          <w:rStyle w:val="SubtleEmphasis"/>
        </w:rPr>
      </w:pPr>
      <w:r w:rsidRPr="0087752B">
        <w:rPr>
          <w:rStyle w:val="SubtleEmphasis"/>
        </w:rPr>
        <w:t>Together we give every Victorian the best learning and development experience, making our state a smarter, fairer and more prosperous place.</w:t>
      </w:r>
    </w:p>
    <w:p w14:paraId="7057AD4E" w14:textId="77777777" w:rsidR="006016B9" w:rsidRPr="0087752B" w:rsidRDefault="006016B9" w:rsidP="006016B9">
      <w:r w:rsidRPr="0087752B">
        <w:t>As part of this vision:</w:t>
      </w:r>
    </w:p>
    <w:p w14:paraId="6EA06DAA" w14:textId="77777777" w:rsidR="006016B9" w:rsidRPr="0087752B" w:rsidRDefault="006016B9" w:rsidP="00837349">
      <w:pPr>
        <w:pStyle w:val="DETNormallistbullet"/>
      </w:pPr>
      <w:r w:rsidRPr="0087752B">
        <w:t>children and young people are confident, optimistic, healthy and resilient</w:t>
      </w:r>
    </w:p>
    <w:p w14:paraId="1B9BF4FE" w14:textId="77777777" w:rsidR="006016B9" w:rsidRPr="0087752B" w:rsidRDefault="006016B9" w:rsidP="00837349">
      <w:pPr>
        <w:pStyle w:val="DETNormallistbullet"/>
      </w:pPr>
      <w:r w:rsidRPr="0087752B">
        <w:t>students reach their potential, regardless of background, place, circumstance or abilities</w:t>
      </w:r>
    </w:p>
    <w:p w14:paraId="49126CD8" w14:textId="77777777" w:rsidR="006016B9" w:rsidRPr="0087752B" w:rsidRDefault="006016B9" w:rsidP="00837349">
      <w:pPr>
        <w:pStyle w:val="DETNormallistbullet"/>
      </w:pPr>
      <w:r w:rsidRPr="0087752B">
        <w:t>Victorians develop knowledge, skills and attributes needed now and for the jobs of the future</w:t>
      </w:r>
    </w:p>
    <w:p w14:paraId="62E679A0" w14:textId="77777777" w:rsidR="006016B9" w:rsidRPr="0087752B" w:rsidRDefault="006016B9" w:rsidP="00837349">
      <w:pPr>
        <w:pStyle w:val="DETNormallistbullet"/>
      </w:pPr>
      <w:r w:rsidRPr="0087752B">
        <w:t>the Department’s workforce is high-performing, empowered, valued and supported.</w:t>
      </w:r>
    </w:p>
    <w:p w14:paraId="3ED4E330" w14:textId="77777777" w:rsidR="006016B9" w:rsidRPr="0087752B" w:rsidRDefault="006016B9" w:rsidP="006016B9">
      <w:r w:rsidRPr="0087752B">
        <w:t>Our objectives in achieving this vision are to:</w:t>
      </w:r>
    </w:p>
    <w:p w14:paraId="081C9024" w14:textId="77777777" w:rsidR="006016B9" w:rsidRPr="0087752B" w:rsidRDefault="006016B9" w:rsidP="00837349">
      <w:pPr>
        <w:pStyle w:val="DETNormallistbullet"/>
      </w:pPr>
      <w:r w:rsidRPr="0087752B">
        <w:t>ensure Victorians have equitable access to quality education and training</w:t>
      </w:r>
    </w:p>
    <w:p w14:paraId="4AD2778A" w14:textId="77777777" w:rsidR="006016B9" w:rsidRPr="0087752B" w:rsidRDefault="006016B9" w:rsidP="00837349">
      <w:pPr>
        <w:pStyle w:val="DETNormallistbullet"/>
      </w:pPr>
      <w:r w:rsidRPr="0087752B">
        <w:t>work with providers and partners to build an integrated birth-to-adulthood education and development system</w:t>
      </w:r>
    </w:p>
    <w:p w14:paraId="0740C765" w14:textId="77777777" w:rsidR="006016B9" w:rsidRPr="0087752B" w:rsidRDefault="006016B9" w:rsidP="00837349">
      <w:pPr>
        <w:pStyle w:val="DETNormallistbullet"/>
      </w:pPr>
      <w:r w:rsidRPr="0087752B">
        <w:t>support children, young people and adults with well-coordinated universal and targeted services close to where they live</w:t>
      </w:r>
    </w:p>
    <w:p w14:paraId="5B2E347F" w14:textId="77777777" w:rsidR="006016B9" w:rsidRPr="0087752B" w:rsidRDefault="006016B9" w:rsidP="00837349">
      <w:pPr>
        <w:pStyle w:val="DETNormallistbullet"/>
      </w:pPr>
      <w:r w:rsidRPr="0087752B">
        <w:t>activate excellence, innovation and economic growth.</w:t>
      </w:r>
    </w:p>
    <w:p w14:paraId="16A0DEEE" w14:textId="30E1EBBF" w:rsidR="006016B9" w:rsidRPr="0087752B" w:rsidRDefault="006016B9" w:rsidP="00CD091A">
      <w:pPr>
        <w:pStyle w:val="DETNormalafterlist"/>
      </w:pPr>
      <w:r w:rsidRPr="0087752B">
        <w:t xml:space="preserve">In pursuing these objectives, the Department is committed to the Victorian </w:t>
      </w:r>
      <w:r w:rsidR="00472EA7" w:rsidRPr="005C767D">
        <w:t xml:space="preserve">public </w:t>
      </w:r>
      <w:r w:rsidR="00472EA7" w:rsidRPr="0087752B">
        <w:t xml:space="preserve">sector </w:t>
      </w:r>
      <w:r w:rsidRPr="0087752B">
        <w:t>values of:</w:t>
      </w:r>
    </w:p>
    <w:p w14:paraId="6299B393" w14:textId="77777777" w:rsidR="00837349" w:rsidRPr="0087752B" w:rsidRDefault="00837349" w:rsidP="00837349">
      <w:pPr>
        <w:sectPr w:rsidR="00837349" w:rsidRPr="0087752B" w:rsidSect="00472EA7">
          <w:footerReference w:type="even" r:id="rId13"/>
          <w:footerReference w:type="default" r:id="rId14"/>
          <w:footnotePr>
            <w:numRestart w:val="eachSect"/>
          </w:footnotePr>
          <w:pgSz w:w="11906" w:h="16838" w:code="9"/>
          <w:pgMar w:top="1440" w:right="1701" w:bottom="1440" w:left="2835" w:header="851" w:footer="567" w:gutter="0"/>
          <w:pgNumType w:start="1"/>
          <w:cols w:space="567"/>
          <w:docGrid w:linePitch="360"/>
        </w:sectPr>
      </w:pPr>
    </w:p>
    <w:p w14:paraId="134303BA" w14:textId="098230E0" w:rsidR="00837349" w:rsidRPr="0087752B" w:rsidRDefault="00837349" w:rsidP="00E73803">
      <w:pPr>
        <w:pStyle w:val="DETNormallistbullet"/>
      </w:pPr>
      <w:r w:rsidRPr="0087752B">
        <w:t xml:space="preserve">responsiveness </w:t>
      </w:r>
    </w:p>
    <w:p w14:paraId="0CF2A973" w14:textId="77777777" w:rsidR="00837349" w:rsidRPr="0087752B" w:rsidRDefault="00837349" w:rsidP="00E73803">
      <w:pPr>
        <w:pStyle w:val="DETNormallistbullet"/>
      </w:pPr>
      <w:r w:rsidRPr="0087752B">
        <w:t>integrity</w:t>
      </w:r>
    </w:p>
    <w:p w14:paraId="545B6111" w14:textId="77777777" w:rsidR="00837349" w:rsidRPr="0087752B" w:rsidRDefault="00837349" w:rsidP="00E73803">
      <w:pPr>
        <w:pStyle w:val="DETNormallistbullet"/>
      </w:pPr>
      <w:r w:rsidRPr="0087752B">
        <w:t>impartiality</w:t>
      </w:r>
    </w:p>
    <w:p w14:paraId="2545C30F" w14:textId="77777777" w:rsidR="00837349" w:rsidRPr="0087752B" w:rsidRDefault="00837349" w:rsidP="00E73803">
      <w:pPr>
        <w:pStyle w:val="DETNormallistbullet"/>
      </w:pPr>
      <w:r w:rsidRPr="0087752B">
        <w:t xml:space="preserve">accountability </w:t>
      </w:r>
    </w:p>
    <w:p w14:paraId="53F5773F" w14:textId="0AD84117" w:rsidR="00837349" w:rsidRPr="0087752B" w:rsidRDefault="00837349" w:rsidP="00E73803">
      <w:pPr>
        <w:pStyle w:val="DETNormallistbullet"/>
      </w:pPr>
      <w:r w:rsidRPr="0087752B">
        <w:lastRenderedPageBreak/>
        <w:t>respect</w:t>
      </w:r>
    </w:p>
    <w:p w14:paraId="0AEC892D" w14:textId="77777777" w:rsidR="00837349" w:rsidRPr="0087752B" w:rsidRDefault="00837349" w:rsidP="00E73803">
      <w:pPr>
        <w:pStyle w:val="DETNormallistbullet"/>
      </w:pPr>
      <w:r w:rsidRPr="0087752B">
        <w:t>leadership</w:t>
      </w:r>
    </w:p>
    <w:p w14:paraId="50646813" w14:textId="2F573C4B" w:rsidR="00837349" w:rsidRPr="0087752B" w:rsidRDefault="00837349" w:rsidP="00E73803">
      <w:pPr>
        <w:pStyle w:val="DETNormallistbullet"/>
      </w:pPr>
      <w:r w:rsidRPr="0087752B">
        <w:t>human rights.</w:t>
      </w:r>
    </w:p>
    <w:p w14:paraId="190175E6" w14:textId="77777777" w:rsidR="00837349" w:rsidRPr="0087752B" w:rsidRDefault="00837349" w:rsidP="006016B9">
      <w:pPr>
        <w:sectPr w:rsidR="00837349" w:rsidRPr="0087752B" w:rsidSect="00837349">
          <w:footnotePr>
            <w:numRestart w:val="eachSect"/>
          </w:footnotePr>
          <w:type w:val="continuous"/>
          <w:pgSz w:w="11906" w:h="16838" w:code="9"/>
          <w:pgMar w:top="1440" w:right="1701" w:bottom="1440" w:left="2835" w:header="851" w:footer="567" w:gutter="0"/>
          <w:cols w:num="2" w:space="567"/>
          <w:docGrid w:linePitch="360"/>
        </w:sectPr>
      </w:pPr>
    </w:p>
    <w:p w14:paraId="00BB936D" w14:textId="77777777" w:rsidR="006016B9" w:rsidRPr="0087752B" w:rsidRDefault="006016B9" w:rsidP="00837349">
      <w:pPr>
        <w:sectPr w:rsidR="006016B9" w:rsidRPr="0087752B" w:rsidSect="00837349">
          <w:footnotePr>
            <w:numRestart w:val="eachSect"/>
          </w:footnotePr>
          <w:type w:val="continuous"/>
          <w:pgSz w:w="11906" w:h="16838" w:code="9"/>
          <w:pgMar w:top="1440" w:right="1701" w:bottom="1440" w:left="2835" w:header="851" w:footer="567" w:gutter="0"/>
          <w:cols w:space="567"/>
          <w:docGrid w:linePitch="360"/>
        </w:sectPr>
      </w:pPr>
      <w:r w:rsidRPr="0087752B">
        <w:t>The public sector values underpin the behaviours that the government and community rightly expect of all public sector employees. Acting consistently with the public sector values also strengthens the capacity of our organisation to operate effectively and achieve its objectives.</w:t>
      </w:r>
    </w:p>
    <w:p w14:paraId="37136549" w14:textId="277D61A9" w:rsidR="006016B9" w:rsidRPr="0087752B" w:rsidRDefault="006016B9" w:rsidP="006016B9"/>
    <w:p w14:paraId="7E216D32" w14:textId="5C341600" w:rsidR="006016B9" w:rsidRPr="0087752B" w:rsidRDefault="006016B9" w:rsidP="006016B9"/>
    <w:p w14:paraId="63670E00" w14:textId="1018491E" w:rsidR="006016B9" w:rsidRPr="005C767D" w:rsidRDefault="00C04E23" w:rsidP="006016B9">
      <w:r w:rsidRPr="005C767D">
        <w:rPr>
          <w:noProof/>
          <w:lang w:eastAsia="en-AU"/>
        </w:rPr>
        <w:drawing>
          <wp:anchor distT="0" distB="0" distL="114300" distR="114300" simplePos="0" relativeHeight="251656704" behindDoc="0" locked="0" layoutInCell="1" allowOverlap="1" wp14:anchorId="2F1D61F1" wp14:editId="5A95C846">
            <wp:simplePos x="0" y="0"/>
            <wp:positionH relativeFrom="margin">
              <wp:posOffset>0</wp:posOffset>
            </wp:positionH>
            <wp:positionV relativeFrom="margin">
              <wp:posOffset>402351</wp:posOffset>
            </wp:positionV>
            <wp:extent cx="8324438" cy="5831174"/>
            <wp:effectExtent l="0" t="0" r="635" b="0"/>
            <wp:wrapNone/>
            <wp:docPr id="15" name="Picture 15" descr="The Strategic Intent has five main sections: &#10;1. The Strategic Intent&#10;2. Vision&#10;3: Objectives - including Outcomes&#10;4: Approaches&#10;5: Principles.&#10;&#10;STRATEGIC INTENT&#10;Together we give every Victorian the best learning and development experience, making our state a smarter, fairer and more prosperous place.&#10;&#10;VISION &#10;Our future.&#10;• Children and young people are confident, optimistic, healthy and resilient&#10;• Students reach their potential regardless of background, place, circumstance or abilities&#10;• All Victorians develop knowledge, skills and attributes needed now and for the jobs of the future&#10;• Our workforce is high performing, empowered, valued and supported&#10;&#10;OBJECTIVES – OUR AIMS&#10;Our aims.&#10;• To ensure Victorians have equitable access to quality education and training&#10;• To work with providers and partners to build an integrated birth to adulthood education and development system&#10;• To support children, young people and adults with well-coordinated universal and targeted services close to where they live&#10;• To activate excellence, innovation and economic growth&#10;&#10;OUTCOMES&#10;We aspire to excellence in:&#10;• Achievement&#10;• Engagement&#10;• Wellbeing&#10;• Productivity &#10;&#10;APPROACHES&#10;How we will achieve this&#10;SERVICE AND FUNDING REFORM&#10;• Give additional, targeted support to Victorians who need it &#10;• Connect settings and sectors to improve transitions and ensure continuity of learning&#10;• Focus on mental and physical health and wellbeing as an integral part of learning and development&#10;• Monitor and improve systems, including by setting standards&#10;• Map demand for services and effectively target resources to community needs&#10;• Use evidence to design and implement policy &#10;WORKFORCE STRATEGIES AND PRACTICES&#10;• Develop excellence in educational practice, targeted to individual learning and development needs&#10;• Support children and students to learn independently and contribute to each other’s learning &#10;• Build creative and critical thinking through a world-class curriculum &#10;• Build performance, develop capabilities and share expertise across all workforces&#10;• Unify the education system through new pathways between schools and central and regional offices&#10;• Build workforce capacity to support all children, young people and families, regardless of circumstances&#10;PARTNERSHIP AND INNOVATION&#10;• Work with providers, employers, not for profits, families, children and young people to develop new approaches and share best practice&#10;• Strengthen learning, health and wellbeing through stronger place-based partnerships&#10;• Strengthen career pathways for learners while meeting the needs of business and industry&#10;• Prepare learners to be global citizens and provide them with the skills to succeed in a fast-changing world&#10;• Partner with other agencies, Departments and levels of government to deliver outcomes&#10;ORGANISATIONAL REFORM&#10;• Promote strong public sector leadership and the highest standards of governance, integrity and conduct&#10;• Build inclusive workplaces based on public sector values (integrity, accountability, impartiality, respect, responsiveness, leadership and human rights) &#10;• Ensure use of resources provides value for money and meets community expectations&#10;• Establish shared responsibility and clear accountability for decisions&#10;• Provide stronger, more direct and place-based support to schools, services and providers&#10;&#10;PRINCIPLES&#10;How we work&#10;• We are accountable &#10;• We work with integrity, transparency and impartiality&#10;• We use evidence to make decisions&#10;• We are responsive to the needs of Victorians&#10;• We deliver high quality advice and services&#10;• We have the capabilities and skills to achieve our priorities&#10;" title="Department of Education and Training - Strategic I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ic intent.JPG"/>
                    <pic:cNvPicPr/>
                  </pic:nvPicPr>
                  <pic:blipFill>
                    <a:blip r:embed="rId15">
                      <a:extLst>
                        <a:ext uri="{28A0092B-C50C-407E-A947-70E740481C1C}">
                          <a14:useLocalDpi xmlns:a14="http://schemas.microsoft.com/office/drawing/2010/main" val="0"/>
                        </a:ext>
                      </a:extLst>
                    </a:blip>
                    <a:stretch>
                      <a:fillRect/>
                    </a:stretch>
                  </pic:blipFill>
                  <pic:spPr>
                    <a:xfrm>
                      <a:off x="0" y="0"/>
                      <a:ext cx="8324438" cy="58311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0F324" w14:textId="77777777" w:rsidR="006016B9" w:rsidRPr="0087752B" w:rsidRDefault="006016B9" w:rsidP="006016B9"/>
    <w:p w14:paraId="6ACC5716" w14:textId="4C97DBD9" w:rsidR="006016B9" w:rsidRPr="0087752B" w:rsidRDefault="006016B9" w:rsidP="006016B9"/>
    <w:p w14:paraId="3C35CADF" w14:textId="77777777" w:rsidR="006016B9" w:rsidRPr="0087752B" w:rsidRDefault="006016B9" w:rsidP="006016B9"/>
    <w:p w14:paraId="76B4ABCB" w14:textId="77777777" w:rsidR="006016B9" w:rsidRPr="0087752B" w:rsidRDefault="006016B9" w:rsidP="006016B9"/>
    <w:p w14:paraId="0C2F8256" w14:textId="77777777" w:rsidR="006016B9" w:rsidRPr="0087752B" w:rsidRDefault="006016B9" w:rsidP="006016B9"/>
    <w:p w14:paraId="15A7CCD3" w14:textId="77777777" w:rsidR="006016B9" w:rsidRPr="0087752B" w:rsidRDefault="006016B9" w:rsidP="006016B9"/>
    <w:p w14:paraId="61697B3D" w14:textId="77777777" w:rsidR="006016B9" w:rsidRPr="0087752B" w:rsidRDefault="006016B9" w:rsidP="006016B9"/>
    <w:p w14:paraId="26A9C308" w14:textId="77777777" w:rsidR="006016B9" w:rsidRPr="0087752B" w:rsidRDefault="006016B9" w:rsidP="006016B9"/>
    <w:p w14:paraId="59ABC4A6" w14:textId="77777777" w:rsidR="006016B9" w:rsidRPr="0087752B" w:rsidRDefault="006016B9" w:rsidP="006016B9"/>
    <w:p w14:paraId="2DA3FDBB" w14:textId="77777777" w:rsidR="006016B9" w:rsidRPr="0087752B" w:rsidRDefault="006016B9" w:rsidP="006016B9"/>
    <w:p w14:paraId="0749B838" w14:textId="77777777" w:rsidR="006016B9" w:rsidRPr="0087752B" w:rsidRDefault="006016B9" w:rsidP="006016B9"/>
    <w:p w14:paraId="322CE22F" w14:textId="77777777" w:rsidR="006016B9" w:rsidRPr="0087752B" w:rsidRDefault="006016B9" w:rsidP="006016B9"/>
    <w:p w14:paraId="7EEDF47F" w14:textId="77777777" w:rsidR="006016B9" w:rsidRPr="0087752B" w:rsidRDefault="006016B9" w:rsidP="006016B9"/>
    <w:p w14:paraId="09C99AA9" w14:textId="77777777" w:rsidR="006016B9" w:rsidRPr="0087752B" w:rsidRDefault="006016B9" w:rsidP="006016B9"/>
    <w:p w14:paraId="163EF5E0" w14:textId="77777777" w:rsidR="006016B9" w:rsidRPr="0087752B" w:rsidRDefault="006016B9" w:rsidP="006016B9"/>
    <w:p w14:paraId="086B59DC" w14:textId="77777777" w:rsidR="006016B9" w:rsidRPr="0087752B" w:rsidRDefault="006016B9" w:rsidP="006016B9"/>
    <w:p w14:paraId="19630B57" w14:textId="77777777" w:rsidR="006016B9" w:rsidRPr="0087752B" w:rsidRDefault="006016B9" w:rsidP="006016B9"/>
    <w:p w14:paraId="07B6C7D9" w14:textId="77777777" w:rsidR="006016B9" w:rsidRPr="0087752B" w:rsidRDefault="006016B9" w:rsidP="006016B9"/>
    <w:p w14:paraId="0A1D8F00" w14:textId="77777777" w:rsidR="006016B9" w:rsidRPr="0087752B" w:rsidRDefault="006016B9" w:rsidP="006016B9"/>
    <w:p w14:paraId="2B03AB33" w14:textId="77777777" w:rsidR="006016B9" w:rsidRPr="0087752B" w:rsidRDefault="006016B9" w:rsidP="006016B9"/>
    <w:p w14:paraId="46CB7FD8" w14:textId="77777777" w:rsidR="006016B9" w:rsidRPr="0087752B" w:rsidRDefault="006016B9" w:rsidP="006016B9">
      <w:pPr>
        <w:sectPr w:rsidR="006016B9" w:rsidRPr="0087752B" w:rsidSect="006016B9">
          <w:footnotePr>
            <w:numRestart w:val="eachSect"/>
          </w:footnotePr>
          <w:pgSz w:w="16838" w:h="11906" w:orient="landscape" w:code="9"/>
          <w:pgMar w:top="993" w:right="1440" w:bottom="1701" w:left="1440" w:header="851" w:footer="567" w:gutter="0"/>
          <w:cols w:space="567"/>
          <w:docGrid w:linePitch="360"/>
        </w:sectPr>
      </w:pPr>
    </w:p>
    <w:p w14:paraId="07F463C7" w14:textId="77777777" w:rsidR="006016B9" w:rsidRPr="0087752B" w:rsidRDefault="006016B9" w:rsidP="00CD091A">
      <w:pPr>
        <w:pStyle w:val="DETHeading2"/>
      </w:pPr>
      <w:bookmarkStart w:id="19" w:name="_Toc458069585"/>
      <w:bookmarkStart w:id="20" w:name="_Toc458072364"/>
      <w:bookmarkStart w:id="21" w:name="_Toc458088546"/>
      <w:bookmarkStart w:id="22" w:name="_Toc461013243"/>
      <w:bookmarkStart w:id="23" w:name="_Toc461025820"/>
      <w:bookmarkStart w:id="24" w:name="_Toc462405113"/>
      <w:r w:rsidRPr="0087752B">
        <w:lastRenderedPageBreak/>
        <w:t>Purpose and functions</w:t>
      </w:r>
      <w:bookmarkEnd w:id="19"/>
      <w:bookmarkEnd w:id="20"/>
      <w:bookmarkEnd w:id="21"/>
      <w:bookmarkEnd w:id="22"/>
      <w:bookmarkEnd w:id="23"/>
      <w:bookmarkEnd w:id="24"/>
    </w:p>
    <w:p w14:paraId="45A488C2" w14:textId="2947A5F4" w:rsidR="006016B9" w:rsidRPr="0087752B" w:rsidRDefault="006016B9" w:rsidP="006016B9">
      <w:r w:rsidRPr="0087752B">
        <w:t xml:space="preserve">The Department is responsible for delivering and regulating </w:t>
      </w:r>
      <w:r w:rsidR="0073354A">
        <w:t>state</w:t>
      </w:r>
      <w:r w:rsidR="009917D1" w:rsidRPr="0087752B">
        <w:t>wide</w:t>
      </w:r>
      <w:r w:rsidRPr="0087752B">
        <w:t xml:space="preserve"> learning and development services to at least one third of all Victorians every year across the early childhood, school education and training and skills sectors.  </w:t>
      </w:r>
    </w:p>
    <w:p w14:paraId="541F4E8C" w14:textId="77777777" w:rsidR="006016B9" w:rsidRPr="0087752B" w:rsidRDefault="006016B9" w:rsidP="006016B9">
      <w:r w:rsidRPr="0087752B">
        <w:t xml:space="preserve">The Department’s services and their reach, as at June 2016, are outlined in the table below: </w:t>
      </w:r>
    </w:p>
    <w:tbl>
      <w:tblPr>
        <w:tblW w:w="0" w:type="auto"/>
        <w:tblLook w:val="04A0" w:firstRow="1" w:lastRow="0" w:firstColumn="1" w:lastColumn="0" w:noHBand="0" w:noVBand="1"/>
        <w:tblCaption w:val="Table: stastics"/>
        <w:tblDescription w:val="A stastical snapshot of some functions of the Department"/>
      </w:tblPr>
      <w:tblGrid>
        <w:gridCol w:w="2515"/>
        <w:gridCol w:w="2479"/>
        <w:gridCol w:w="2485"/>
      </w:tblGrid>
      <w:tr w:rsidR="006016B9" w:rsidRPr="0087752B" w14:paraId="59946032" w14:textId="77777777" w:rsidTr="00CD091A">
        <w:trPr>
          <w:tblHeader/>
        </w:trPr>
        <w:tc>
          <w:tcPr>
            <w:tcW w:w="2515" w:type="dxa"/>
            <w:tcBorders>
              <w:top w:val="nil"/>
              <w:left w:val="nil"/>
              <w:bottom w:val="nil"/>
              <w:right w:val="nil"/>
            </w:tcBorders>
            <w:shd w:val="clear" w:color="auto" w:fill="7F7F7F" w:themeFill="text1" w:themeFillTint="80"/>
          </w:tcPr>
          <w:p w14:paraId="55EEB3E4" w14:textId="77777777" w:rsidR="006016B9" w:rsidRPr="00E73803" w:rsidRDefault="006016B9" w:rsidP="00CD091A">
            <w:pPr>
              <w:pStyle w:val="Tablecolumnheadingobjectivestables"/>
              <w:rPr>
                <w:lang w:val="en-AU"/>
              </w:rPr>
            </w:pPr>
            <w:r w:rsidRPr="00E73803">
              <w:rPr>
                <w:lang w:val="en-AU"/>
              </w:rPr>
              <w:t>Early childhood</w:t>
            </w:r>
          </w:p>
        </w:tc>
        <w:tc>
          <w:tcPr>
            <w:tcW w:w="2479" w:type="dxa"/>
            <w:tcBorders>
              <w:top w:val="nil"/>
              <w:left w:val="nil"/>
              <w:bottom w:val="nil"/>
              <w:right w:val="nil"/>
            </w:tcBorders>
            <w:shd w:val="clear" w:color="auto" w:fill="7F7F7F" w:themeFill="text1" w:themeFillTint="80"/>
          </w:tcPr>
          <w:p w14:paraId="41780992" w14:textId="77777777" w:rsidR="006016B9" w:rsidRPr="00E73803" w:rsidRDefault="006016B9" w:rsidP="00CD091A">
            <w:pPr>
              <w:pStyle w:val="Tablecolumnheadingobjectivestables"/>
              <w:rPr>
                <w:lang w:val="en-AU"/>
              </w:rPr>
            </w:pPr>
            <w:r w:rsidRPr="00E73803">
              <w:rPr>
                <w:lang w:val="en-AU"/>
              </w:rPr>
              <w:t>School education</w:t>
            </w:r>
          </w:p>
        </w:tc>
        <w:tc>
          <w:tcPr>
            <w:tcW w:w="2485" w:type="dxa"/>
            <w:tcBorders>
              <w:top w:val="nil"/>
              <w:left w:val="nil"/>
              <w:bottom w:val="nil"/>
              <w:right w:val="nil"/>
            </w:tcBorders>
            <w:shd w:val="clear" w:color="auto" w:fill="7F7F7F" w:themeFill="text1" w:themeFillTint="80"/>
          </w:tcPr>
          <w:p w14:paraId="3513F46A" w14:textId="77777777" w:rsidR="006016B9" w:rsidRPr="00E73803" w:rsidRDefault="006016B9" w:rsidP="00CD091A">
            <w:pPr>
              <w:pStyle w:val="Tablecolumnheadingobjectivestables"/>
              <w:rPr>
                <w:lang w:val="en-AU"/>
              </w:rPr>
            </w:pPr>
            <w:r w:rsidRPr="00E73803">
              <w:rPr>
                <w:lang w:val="en-AU"/>
              </w:rPr>
              <w:t>Training and skills</w:t>
            </w:r>
          </w:p>
        </w:tc>
      </w:tr>
      <w:tr w:rsidR="006016B9" w:rsidRPr="0087752B" w14:paraId="5AD69202" w14:textId="77777777" w:rsidTr="008C557D">
        <w:tc>
          <w:tcPr>
            <w:tcW w:w="2515" w:type="dxa"/>
            <w:tcBorders>
              <w:top w:val="nil"/>
              <w:left w:val="nil"/>
              <w:bottom w:val="single" w:sz="4" w:space="0" w:color="auto"/>
              <w:right w:val="nil"/>
            </w:tcBorders>
            <w:shd w:val="clear" w:color="auto" w:fill="auto"/>
            <w:tcMar>
              <w:top w:w="57" w:type="dxa"/>
            </w:tcMar>
          </w:tcPr>
          <w:p w14:paraId="2C3B4844" w14:textId="77777777" w:rsidR="006016B9" w:rsidRPr="0087752B" w:rsidRDefault="006016B9" w:rsidP="00CD091A">
            <w:pPr>
              <w:pStyle w:val="TableText0"/>
              <w:rPr>
                <w:b/>
              </w:rPr>
            </w:pPr>
            <w:r w:rsidRPr="0087752B">
              <w:rPr>
                <w:b/>
              </w:rPr>
              <w:t>Birth to 8</w:t>
            </w:r>
          </w:p>
          <w:p w14:paraId="795013F8" w14:textId="77777777" w:rsidR="006016B9" w:rsidRPr="008C557D" w:rsidRDefault="006016B9" w:rsidP="008C557D">
            <w:pPr>
              <w:rPr>
                <w:i/>
              </w:rPr>
            </w:pPr>
            <w:r w:rsidRPr="008C557D">
              <w:rPr>
                <w:i/>
              </w:rPr>
              <w:t>more than 400,000 children and families</w:t>
            </w:r>
          </w:p>
        </w:tc>
        <w:tc>
          <w:tcPr>
            <w:tcW w:w="2479" w:type="dxa"/>
            <w:tcBorders>
              <w:top w:val="nil"/>
              <w:left w:val="nil"/>
              <w:bottom w:val="single" w:sz="4" w:space="0" w:color="auto"/>
              <w:right w:val="nil"/>
            </w:tcBorders>
            <w:shd w:val="clear" w:color="auto" w:fill="auto"/>
            <w:tcMar>
              <w:top w:w="57" w:type="dxa"/>
            </w:tcMar>
          </w:tcPr>
          <w:p w14:paraId="101B04F0" w14:textId="77777777" w:rsidR="006016B9" w:rsidRPr="005C767D" w:rsidRDefault="006016B9" w:rsidP="00CD091A">
            <w:pPr>
              <w:pStyle w:val="TableText0"/>
              <w:rPr>
                <w:b/>
              </w:rPr>
            </w:pPr>
            <w:r w:rsidRPr="005C767D">
              <w:rPr>
                <w:b/>
              </w:rPr>
              <w:t>5 to 18</w:t>
            </w:r>
          </w:p>
          <w:p w14:paraId="779917C4" w14:textId="77777777" w:rsidR="006016B9" w:rsidRPr="008C557D" w:rsidRDefault="006016B9" w:rsidP="008C557D">
            <w:pPr>
              <w:rPr>
                <w:i/>
              </w:rPr>
            </w:pPr>
            <w:r w:rsidRPr="008C557D">
              <w:rPr>
                <w:i/>
              </w:rPr>
              <w:t>more than 932,000 students</w:t>
            </w:r>
          </w:p>
        </w:tc>
        <w:tc>
          <w:tcPr>
            <w:tcW w:w="2485" w:type="dxa"/>
            <w:tcBorders>
              <w:top w:val="nil"/>
              <w:left w:val="nil"/>
              <w:bottom w:val="single" w:sz="4" w:space="0" w:color="auto"/>
              <w:right w:val="nil"/>
            </w:tcBorders>
            <w:shd w:val="clear" w:color="auto" w:fill="auto"/>
            <w:tcMar>
              <w:top w:w="57" w:type="dxa"/>
            </w:tcMar>
          </w:tcPr>
          <w:p w14:paraId="4731BD54" w14:textId="77777777" w:rsidR="006016B9" w:rsidRPr="005C767D" w:rsidRDefault="006016B9" w:rsidP="00CD091A">
            <w:pPr>
              <w:pStyle w:val="TableText0"/>
              <w:rPr>
                <w:b/>
              </w:rPr>
            </w:pPr>
            <w:r w:rsidRPr="005C767D">
              <w:rPr>
                <w:b/>
              </w:rPr>
              <w:t>15 to 65+</w:t>
            </w:r>
          </w:p>
          <w:p w14:paraId="5A39148F" w14:textId="255378AE" w:rsidR="006016B9" w:rsidRPr="008C557D" w:rsidRDefault="006016B9" w:rsidP="008C557D">
            <w:pPr>
              <w:rPr>
                <w:i/>
              </w:rPr>
            </w:pPr>
            <w:r w:rsidRPr="008C557D">
              <w:rPr>
                <w:i/>
              </w:rPr>
              <w:t>more than 377,000</w:t>
            </w:r>
            <w:r w:rsidR="00E73803" w:rsidRPr="008C557D">
              <w:rPr>
                <w:i/>
              </w:rPr>
              <w:t xml:space="preserve"> participants</w:t>
            </w:r>
            <w:r w:rsidRPr="008C557D">
              <w:rPr>
                <w:i/>
              </w:rPr>
              <w:t xml:space="preserve"> in government subsidised vocational education and training</w:t>
            </w:r>
          </w:p>
        </w:tc>
      </w:tr>
      <w:tr w:rsidR="006016B9" w:rsidRPr="0087752B" w14:paraId="43FE579B" w14:textId="77777777" w:rsidTr="008C557D">
        <w:tc>
          <w:tcPr>
            <w:tcW w:w="2515" w:type="dxa"/>
            <w:tcBorders>
              <w:top w:val="single" w:sz="4" w:space="0" w:color="auto"/>
              <w:left w:val="nil"/>
              <w:right w:val="nil"/>
            </w:tcBorders>
          </w:tcPr>
          <w:p w14:paraId="74AC2B51" w14:textId="77777777" w:rsidR="006016B9" w:rsidRPr="00E73803" w:rsidRDefault="006016B9" w:rsidP="009A0AA6">
            <w:pPr>
              <w:pStyle w:val="DETTablebulletlist"/>
              <w:rPr>
                <w:lang w:val="en-AU"/>
              </w:rPr>
            </w:pPr>
            <w:r w:rsidRPr="00E73803">
              <w:rPr>
                <w:lang w:val="en-AU"/>
              </w:rPr>
              <w:t>Maternal and child health services</w:t>
            </w:r>
          </w:p>
          <w:p w14:paraId="0C06C567" w14:textId="77777777" w:rsidR="006016B9" w:rsidRPr="00E73803" w:rsidRDefault="006016B9" w:rsidP="009A0AA6">
            <w:pPr>
              <w:pStyle w:val="DETTablebulletlist"/>
              <w:rPr>
                <w:lang w:val="en-AU"/>
              </w:rPr>
            </w:pPr>
            <w:r w:rsidRPr="00E73803">
              <w:rPr>
                <w:lang w:val="en-AU"/>
              </w:rPr>
              <w:t>Early years learning and development including early childhood education and care services</w:t>
            </w:r>
          </w:p>
          <w:p w14:paraId="7ACFC75F" w14:textId="77777777" w:rsidR="006016B9" w:rsidRPr="00E73803" w:rsidRDefault="006016B9" w:rsidP="009A0AA6">
            <w:pPr>
              <w:pStyle w:val="DETTablebulletlist"/>
              <w:rPr>
                <w:lang w:val="en-AU"/>
              </w:rPr>
            </w:pPr>
            <w:r w:rsidRPr="00E73803">
              <w:rPr>
                <w:lang w:val="en-AU"/>
              </w:rPr>
              <w:t>Early childhood intervention services</w:t>
            </w:r>
          </w:p>
          <w:p w14:paraId="1020883E" w14:textId="77777777" w:rsidR="006016B9" w:rsidRPr="00E73803" w:rsidRDefault="006016B9" w:rsidP="009A0AA6">
            <w:pPr>
              <w:pStyle w:val="DETTablebulletlist"/>
              <w:rPr>
                <w:lang w:val="en-AU"/>
              </w:rPr>
            </w:pPr>
            <w:r w:rsidRPr="00E73803">
              <w:rPr>
                <w:lang w:val="en-AU"/>
              </w:rPr>
              <w:t>Supported playgroups and parenting supports</w:t>
            </w:r>
          </w:p>
        </w:tc>
        <w:tc>
          <w:tcPr>
            <w:tcW w:w="2479" w:type="dxa"/>
            <w:tcBorders>
              <w:top w:val="single" w:sz="4" w:space="0" w:color="auto"/>
              <w:left w:val="nil"/>
              <w:right w:val="nil"/>
            </w:tcBorders>
          </w:tcPr>
          <w:p w14:paraId="4B176866" w14:textId="77777777" w:rsidR="006016B9" w:rsidRPr="00E73803" w:rsidRDefault="006016B9" w:rsidP="009A0AA6">
            <w:pPr>
              <w:pStyle w:val="DETTablebulletlist"/>
              <w:rPr>
                <w:lang w:val="en-AU"/>
              </w:rPr>
            </w:pPr>
            <w:r w:rsidRPr="00E73803">
              <w:rPr>
                <w:lang w:val="en-AU"/>
              </w:rPr>
              <w:t>Primary education</w:t>
            </w:r>
          </w:p>
          <w:p w14:paraId="5C0CDB88" w14:textId="77777777" w:rsidR="006016B9" w:rsidRPr="00E73803" w:rsidRDefault="006016B9" w:rsidP="009A0AA6">
            <w:pPr>
              <w:pStyle w:val="DETTablebulletlist"/>
              <w:rPr>
                <w:lang w:val="en-AU"/>
              </w:rPr>
            </w:pPr>
            <w:r w:rsidRPr="00E73803">
              <w:rPr>
                <w:lang w:val="en-AU"/>
              </w:rPr>
              <w:t>Secondary education</w:t>
            </w:r>
          </w:p>
          <w:p w14:paraId="744EDF5F" w14:textId="77777777" w:rsidR="006016B9" w:rsidRPr="00E73803" w:rsidRDefault="006016B9" w:rsidP="009A0AA6">
            <w:pPr>
              <w:pStyle w:val="DETTablebulletlist"/>
              <w:rPr>
                <w:lang w:val="en-AU"/>
              </w:rPr>
            </w:pPr>
            <w:r w:rsidRPr="00E73803">
              <w:rPr>
                <w:lang w:val="en-AU"/>
              </w:rPr>
              <w:t>Special education</w:t>
            </w:r>
          </w:p>
          <w:p w14:paraId="10DC4018" w14:textId="77777777" w:rsidR="006016B9" w:rsidRPr="00E73803" w:rsidRDefault="006016B9" w:rsidP="009A0AA6">
            <w:pPr>
              <w:pStyle w:val="DETTablebulletlist"/>
              <w:rPr>
                <w:lang w:val="en-AU"/>
              </w:rPr>
            </w:pPr>
            <w:r w:rsidRPr="00E73803">
              <w:rPr>
                <w:lang w:val="en-AU"/>
              </w:rPr>
              <w:t>Health and wellbeing</w:t>
            </w:r>
          </w:p>
        </w:tc>
        <w:tc>
          <w:tcPr>
            <w:tcW w:w="2485" w:type="dxa"/>
            <w:tcBorders>
              <w:top w:val="single" w:sz="4" w:space="0" w:color="auto"/>
              <w:left w:val="nil"/>
              <w:right w:val="nil"/>
            </w:tcBorders>
          </w:tcPr>
          <w:p w14:paraId="6C938081" w14:textId="77777777" w:rsidR="006016B9" w:rsidRPr="00E73803" w:rsidRDefault="006016B9" w:rsidP="009A0AA6">
            <w:pPr>
              <w:pStyle w:val="DETTablebulletlist"/>
              <w:rPr>
                <w:lang w:val="en-AU"/>
              </w:rPr>
            </w:pPr>
            <w:r w:rsidRPr="00E73803">
              <w:rPr>
                <w:lang w:val="en-AU"/>
              </w:rPr>
              <w:t>Technical and Further Education (TAFEs)</w:t>
            </w:r>
          </w:p>
          <w:p w14:paraId="71B5C002" w14:textId="77777777" w:rsidR="006016B9" w:rsidRPr="00E73803" w:rsidRDefault="006016B9" w:rsidP="009A0AA6">
            <w:pPr>
              <w:pStyle w:val="DETTablebulletlist"/>
              <w:rPr>
                <w:lang w:val="en-AU"/>
              </w:rPr>
            </w:pPr>
            <w:r w:rsidRPr="00E73803">
              <w:rPr>
                <w:lang w:val="en-AU"/>
              </w:rPr>
              <w:t>Universities</w:t>
            </w:r>
          </w:p>
          <w:p w14:paraId="64940356" w14:textId="77777777" w:rsidR="006016B9" w:rsidRPr="00E73803" w:rsidRDefault="006016B9" w:rsidP="009A0AA6">
            <w:pPr>
              <w:pStyle w:val="DETTablebulletlist"/>
              <w:rPr>
                <w:lang w:val="en-AU"/>
              </w:rPr>
            </w:pPr>
            <w:r w:rsidRPr="00E73803">
              <w:rPr>
                <w:lang w:val="en-AU"/>
              </w:rPr>
              <w:t>Private registered training providers</w:t>
            </w:r>
          </w:p>
          <w:p w14:paraId="1D50E8C4" w14:textId="77777777" w:rsidR="006016B9" w:rsidRPr="00E73803" w:rsidRDefault="006016B9" w:rsidP="009A0AA6">
            <w:pPr>
              <w:pStyle w:val="DETTablebulletlist"/>
              <w:rPr>
                <w:lang w:val="en-AU"/>
              </w:rPr>
            </w:pPr>
            <w:r w:rsidRPr="00E73803">
              <w:rPr>
                <w:lang w:val="en-AU"/>
              </w:rPr>
              <w:t>Learn Locals</w:t>
            </w:r>
          </w:p>
        </w:tc>
      </w:tr>
      <w:tr w:rsidR="006016B9" w:rsidRPr="0087752B" w14:paraId="66073FF9" w14:textId="77777777" w:rsidTr="008C557D">
        <w:tc>
          <w:tcPr>
            <w:tcW w:w="7479" w:type="dxa"/>
            <w:gridSpan w:val="3"/>
            <w:tcBorders>
              <w:left w:val="nil"/>
              <w:right w:val="nil"/>
            </w:tcBorders>
            <w:tcMar>
              <w:top w:w="57" w:type="dxa"/>
            </w:tcMar>
            <w:vAlign w:val="center"/>
          </w:tcPr>
          <w:p w14:paraId="0F73BC30" w14:textId="373D0532" w:rsidR="006016B9" w:rsidRPr="0087752B" w:rsidRDefault="0056397F" w:rsidP="006016B9">
            <w:pPr>
              <w:rPr>
                <w:rStyle w:val="SubtleEmphasis"/>
              </w:rPr>
            </w:pPr>
            <w:r w:rsidRPr="0087752B">
              <w:rPr>
                <w:rStyle w:val="SubtleEmphasis"/>
              </w:rPr>
              <w:t>We have a diverse range of public, private and not-for-profit providers serving Victorians of all ages:</w:t>
            </w:r>
          </w:p>
        </w:tc>
      </w:tr>
      <w:tr w:rsidR="006016B9" w:rsidRPr="0087752B" w14:paraId="0F8BC4F1" w14:textId="77777777" w:rsidTr="008C557D">
        <w:tc>
          <w:tcPr>
            <w:tcW w:w="2515" w:type="dxa"/>
            <w:tcBorders>
              <w:left w:val="nil"/>
              <w:bottom w:val="single" w:sz="4" w:space="0" w:color="auto"/>
              <w:right w:val="nil"/>
            </w:tcBorders>
          </w:tcPr>
          <w:p w14:paraId="3F2E18AF" w14:textId="03932C40" w:rsidR="006016B9" w:rsidRPr="00E73803" w:rsidRDefault="006016B9" w:rsidP="009A0AA6">
            <w:pPr>
              <w:pStyle w:val="DETTablebulletlist"/>
              <w:rPr>
                <w:lang w:val="en-AU"/>
              </w:rPr>
            </w:pPr>
            <w:r w:rsidRPr="00E73803">
              <w:rPr>
                <w:lang w:val="en-AU"/>
              </w:rPr>
              <w:t>More than 4</w:t>
            </w:r>
            <w:r w:rsidR="009917D1" w:rsidRPr="00E73803">
              <w:rPr>
                <w:lang w:val="en-AU"/>
              </w:rPr>
              <w:t>,</w:t>
            </w:r>
            <w:r w:rsidRPr="00E73803">
              <w:rPr>
                <w:lang w:val="en-AU"/>
              </w:rPr>
              <w:t>000 approved education and care services providing long day care, kindergarten, outside-school-hours care, and family day care</w:t>
            </w:r>
          </w:p>
          <w:p w14:paraId="6675DA9F" w14:textId="401545E7" w:rsidR="006016B9" w:rsidRPr="00E73803" w:rsidRDefault="006016B9" w:rsidP="009A0AA6">
            <w:pPr>
              <w:pStyle w:val="DETTablebulletlist"/>
              <w:rPr>
                <w:lang w:val="en-AU"/>
              </w:rPr>
            </w:pPr>
            <w:r w:rsidRPr="00E73803">
              <w:rPr>
                <w:lang w:val="en-AU"/>
              </w:rPr>
              <w:t xml:space="preserve">Approximately 420 </w:t>
            </w:r>
            <w:r w:rsidR="00E73803">
              <w:rPr>
                <w:lang w:val="en-AU"/>
              </w:rPr>
              <w:t>licens</w:t>
            </w:r>
            <w:r w:rsidR="009917D1" w:rsidRPr="00E73803">
              <w:rPr>
                <w:lang w:val="en-AU"/>
              </w:rPr>
              <w:t xml:space="preserve">ed </w:t>
            </w:r>
            <w:r w:rsidRPr="00E73803">
              <w:rPr>
                <w:lang w:val="en-AU"/>
              </w:rPr>
              <w:t>children’s services providing limited-hour services such as occasional care</w:t>
            </w:r>
          </w:p>
          <w:p w14:paraId="5250F8ED" w14:textId="77777777" w:rsidR="006016B9" w:rsidRPr="00E73803" w:rsidRDefault="006016B9" w:rsidP="009A0AA6">
            <w:pPr>
              <w:pStyle w:val="DETTablebulletlist"/>
              <w:rPr>
                <w:lang w:val="en-AU"/>
              </w:rPr>
            </w:pPr>
            <w:r w:rsidRPr="00E73803">
              <w:rPr>
                <w:lang w:val="en-AU"/>
              </w:rPr>
              <w:t>652 maternal and child health service locations</w:t>
            </w:r>
          </w:p>
        </w:tc>
        <w:tc>
          <w:tcPr>
            <w:tcW w:w="2479" w:type="dxa"/>
            <w:tcBorders>
              <w:left w:val="nil"/>
              <w:bottom w:val="single" w:sz="4" w:space="0" w:color="auto"/>
              <w:right w:val="nil"/>
            </w:tcBorders>
          </w:tcPr>
          <w:p w14:paraId="076A7CE9" w14:textId="4AABB17F" w:rsidR="006016B9" w:rsidRPr="00E73803" w:rsidRDefault="006016B9" w:rsidP="009A0AA6">
            <w:pPr>
              <w:pStyle w:val="DETTablebulletlist"/>
              <w:rPr>
                <w:lang w:val="en-AU"/>
              </w:rPr>
            </w:pPr>
            <w:r w:rsidRPr="00E73803">
              <w:rPr>
                <w:lang w:val="en-AU"/>
              </w:rPr>
              <w:t>1</w:t>
            </w:r>
            <w:r w:rsidR="009917D1" w:rsidRPr="00E73803">
              <w:rPr>
                <w:lang w:val="en-AU"/>
              </w:rPr>
              <w:t>,</w:t>
            </w:r>
            <w:r w:rsidRPr="00E73803">
              <w:rPr>
                <w:lang w:val="en-AU"/>
              </w:rPr>
              <w:t>524 government schools</w:t>
            </w:r>
          </w:p>
          <w:p w14:paraId="1B469DD6" w14:textId="77777777" w:rsidR="006016B9" w:rsidRPr="00E73803" w:rsidRDefault="006016B9" w:rsidP="009A0AA6">
            <w:pPr>
              <w:pStyle w:val="DETTablebulletlist"/>
              <w:rPr>
                <w:lang w:val="en-AU"/>
              </w:rPr>
            </w:pPr>
            <w:r w:rsidRPr="00E73803">
              <w:rPr>
                <w:lang w:val="en-AU"/>
              </w:rPr>
              <w:t>703 non-government schools</w:t>
            </w:r>
          </w:p>
        </w:tc>
        <w:tc>
          <w:tcPr>
            <w:tcW w:w="2485" w:type="dxa"/>
            <w:tcBorders>
              <w:left w:val="nil"/>
              <w:bottom w:val="single" w:sz="4" w:space="0" w:color="auto"/>
              <w:right w:val="nil"/>
            </w:tcBorders>
          </w:tcPr>
          <w:p w14:paraId="7F21CE24" w14:textId="77777777" w:rsidR="006016B9" w:rsidRPr="00E73803" w:rsidRDefault="006016B9" w:rsidP="009A0AA6">
            <w:pPr>
              <w:pStyle w:val="DETTablebulletlist"/>
              <w:rPr>
                <w:lang w:val="en-AU"/>
              </w:rPr>
            </w:pPr>
            <w:r w:rsidRPr="00E73803">
              <w:rPr>
                <w:lang w:val="en-AU"/>
              </w:rPr>
              <w:t>12 TAFE institutes</w:t>
            </w:r>
          </w:p>
          <w:p w14:paraId="4EEE2C25" w14:textId="77777777" w:rsidR="006016B9" w:rsidRPr="00E73803" w:rsidRDefault="006016B9" w:rsidP="009A0AA6">
            <w:pPr>
              <w:pStyle w:val="DETTablebulletlist"/>
              <w:rPr>
                <w:lang w:val="en-AU"/>
              </w:rPr>
            </w:pPr>
            <w:r w:rsidRPr="00E73803">
              <w:rPr>
                <w:lang w:val="en-AU"/>
              </w:rPr>
              <w:t>8 public universities (four of which also provide vocational training), one specialised university, and campuses of the multi-state Australian Catholic University</w:t>
            </w:r>
          </w:p>
          <w:p w14:paraId="22206507" w14:textId="77777777" w:rsidR="006016B9" w:rsidRPr="00E73803" w:rsidRDefault="006016B9" w:rsidP="009A0AA6">
            <w:pPr>
              <w:pStyle w:val="DETTablebulletlist"/>
              <w:rPr>
                <w:lang w:val="en-AU"/>
              </w:rPr>
            </w:pPr>
            <w:r w:rsidRPr="00E73803">
              <w:rPr>
                <w:lang w:val="en-AU"/>
              </w:rPr>
              <w:t>318 community-owned and managed not-for- profit organisations registered with the Adult Community and Further Education Board as Learn Local organisations eligible to deliver pre-accredited training</w:t>
            </w:r>
            <w:r w:rsidRPr="00E73803" w:rsidDel="0000315A">
              <w:rPr>
                <w:lang w:val="en-AU"/>
              </w:rPr>
              <w:t xml:space="preserve"> </w:t>
            </w:r>
          </w:p>
          <w:p w14:paraId="4FD0925C" w14:textId="0B2780AB" w:rsidR="006016B9" w:rsidRPr="00E73803" w:rsidRDefault="006016B9" w:rsidP="009A0AA6">
            <w:pPr>
              <w:pStyle w:val="DETTablebulletlist"/>
              <w:rPr>
                <w:lang w:val="en-AU"/>
              </w:rPr>
            </w:pPr>
            <w:r w:rsidRPr="00E73803">
              <w:rPr>
                <w:lang w:val="en-AU"/>
              </w:rPr>
              <w:t>436 government-contracted private registered training organisations</w:t>
            </w:r>
          </w:p>
        </w:tc>
      </w:tr>
    </w:tbl>
    <w:p w14:paraId="000F0C26" w14:textId="77777777" w:rsidR="006016B9" w:rsidRPr="0087752B" w:rsidRDefault="006016B9" w:rsidP="006016B9"/>
    <w:p w14:paraId="5C51C2ED" w14:textId="77777777" w:rsidR="006016B9" w:rsidRPr="0087752B" w:rsidRDefault="006016B9" w:rsidP="006016B9">
      <w:pPr>
        <w:rPr>
          <w:rFonts w:eastAsiaTheme="majorEastAsia"/>
        </w:rPr>
      </w:pPr>
      <w:r w:rsidRPr="0087752B">
        <w:br w:type="page"/>
      </w:r>
    </w:p>
    <w:p w14:paraId="47AFF5FC" w14:textId="77777777" w:rsidR="006016B9" w:rsidRPr="0087752B" w:rsidRDefault="006016B9" w:rsidP="0056397F">
      <w:pPr>
        <w:pStyle w:val="DETHeading2"/>
      </w:pPr>
      <w:bookmarkStart w:id="25" w:name="_Toc458069586"/>
      <w:bookmarkStart w:id="26" w:name="_Toc458072365"/>
      <w:bookmarkStart w:id="27" w:name="_Toc458088547"/>
      <w:bookmarkStart w:id="28" w:name="_Toc461013244"/>
      <w:bookmarkStart w:id="29" w:name="_Toc461025821"/>
      <w:bookmarkStart w:id="30" w:name="_Toc462405114"/>
      <w:r w:rsidRPr="0087752B">
        <w:lastRenderedPageBreak/>
        <w:t>Achievements</w:t>
      </w:r>
      <w:bookmarkEnd w:id="25"/>
      <w:bookmarkEnd w:id="26"/>
      <w:bookmarkEnd w:id="27"/>
      <w:bookmarkEnd w:id="28"/>
      <w:bookmarkEnd w:id="29"/>
      <w:bookmarkEnd w:id="30"/>
    </w:p>
    <w:p w14:paraId="447C9DA3" w14:textId="77777777" w:rsidR="006016B9" w:rsidRPr="0087752B" w:rsidRDefault="006016B9" w:rsidP="0056397F">
      <w:pPr>
        <w:pStyle w:val="Heading3"/>
      </w:pPr>
      <w:r w:rsidRPr="0087752B">
        <w:t>Early childhood development</w:t>
      </w:r>
    </w:p>
    <w:p w14:paraId="7BB84EED" w14:textId="77777777" w:rsidR="006016B9" w:rsidRPr="0087752B" w:rsidRDefault="006016B9" w:rsidP="006016B9">
      <w:r w:rsidRPr="0087752B">
        <w:t>Early childhood development is at the heart of the Victorian Government’s vision for the Education State as the first years of life are crucial to lifelong learning, wellbeing and success. During 2015–16, the Department continued to increase quality and participation in early childhood services.</w:t>
      </w:r>
    </w:p>
    <w:p w14:paraId="68B8DCB2" w14:textId="77777777" w:rsidR="006016B9" w:rsidRPr="0087752B" w:rsidRDefault="006016B9" w:rsidP="0056397F">
      <w:pPr>
        <w:pStyle w:val="DETNormallistbullet"/>
      </w:pPr>
      <w:r w:rsidRPr="0087752B">
        <w:t xml:space="preserve">Strong progress was made in implementation of the National Quality Framework (NQF). As at 30 June 2016, 89 per cent of services published ratings results against the seven quality areas of the National Quality Standard (against a national average of 80 per cent). </w:t>
      </w:r>
    </w:p>
    <w:p w14:paraId="16F78995" w14:textId="30F49027" w:rsidR="006016B9" w:rsidRPr="0087752B" w:rsidRDefault="006016B9" w:rsidP="0056397F">
      <w:pPr>
        <w:pStyle w:val="DETNormallistbullet"/>
      </w:pPr>
      <w:r w:rsidRPr="0087752B">
        <w:t>In Victoria, 33 per cent of assessed services are 'exceeding' the National Quality Standards (NQS), 47 per cent are 'meeting' the NQS and 20 per cent are 'working towards' the NQS. At a national level, 29 per cent of services were assessed at 'exceeding', 41 per cent at 'meeting' and 30 per</w:t>
      </w:r>
      <w:r w:rsidR="00147B73">
        <w:t xml:space="preserve"> </w:t>
      </w:r>
      <w:r w:rsidRPr="0087752B">
        <w:t>cent as 'working towards' the NQS.</w:t>
      </w:r>
    </w:p>
    <w:p w14:paraId="3165E8B4" w14:textId="77777777" w:rsidR="006016B9" w:rsidRDefault="006016B9" w:rsidP="0056397F">
      <w:pPr>
        <w:pStyle w:val="DETNormallistbullet"/>
      </w:pPr>
      <w:r w:rsidRPr="0087752B">
        <w:t xml:space="preserve">Victoria’s kindergarten participation rate has increased to 98.1 per cent in 2015, up from 96.4 per cent in 2014. </w:t>
      </w:r>
    </w:p>
    <w:p w14:paraId="1C5BE9EE" w14:textId="14AA39E3" w:rsidR="003932C4" w:rsidRPr="001920DB" w:rsidRDefault="003932C4" w:rsidP="003932C4">
      <w:pPr>
        <w:pStyle w:val="DETNormallistbullet"/>
      </w:pPr>
      <w:r w:rsidRPr="0087752B">
        <w:t xml:space="preserve">From the beginning of 2016, 100 per cent of Victorian kindergarten services </w:t>
      </w:r>
      <w:r w:rsidRPr="001920DB">
        <w:t xml:space="preserve">offer a 15-hour kindergarten program. </w:t>
      </w:r>
    </w:p>
    <w:p w14:paraId="7E9ABE91" w14:textId="77777777" w:rsidR="006016B9" w:rsidRPr="0087752B" w:rsidRDefault="006016B9" w:rsidP="0056397F">
      <w:pPr>
        <w:pStyle w:val="DETNormallistbullet"/>
      </w:pPr>
      <w:r w:rsidRPr="0087752B">
        <w:t xml:space="preserve">Kindergarten participation for Aboriginal children increased to 82.2 per cent in 2015, up from 79.6 per cent in 2014. </w:t>
      </w:r>
    </w:p>
    <w:p w14:paraId="118DCEAB" w14:textId="1144507C" w:rsidR="006016B9" w:rsidRPr="0087752B" w:rsidRDefault="006016B9" w:rsidP="0056397F">
      <w:pPr>
        <w:pStyle w:val="DETNormallistbullet"/>
      </w:pPr>
      <w:r w:rsidRPr="0087752B">
        <w:t xml:space="preserve">The Koorie Kids Shine strategy has successfully supported Aboriginal parent and community engagement and contributed to closing the gap in Aboriginal children’s participation in early childhood education programs. </w:t>
      </w:r>
    </w:p>
    <w:p w14:paraId="083E31B1" w14:textId="77777777" w:rsidR="006016B9" w:rsidRPr="0087752B" w:rsidRDefault="006016B9" w:rsidP="0056397F">
      <w:pPr>
        <w:pStyle w:val="DETNormallistbullet"/>
      </w:pPr>
      <w:r w:rsidRPr="0087752B">
        <w:t xml:space="preserve">From the start of 2016, the vast majority of Victorian kindergarten services successfully moved from an educator-to-child ratio of 1:15 to 1:11 or better. The Victorian Government provided $83.7 million over four years to support this transition as required under the National Quality Framework. </w:t>
      </w:r>
    </w:p>
    <w:p w14:paraId="006C9B0C" w14:textId="138C3BB6" w:rsidR="00541FA6" w:rsidRDefault="006016B9" w:rsidP="00541FA6">
      <w:pPr>
        <w:pStyle w:val="DETNormallistbullet"/>
      </w:pPr>
      <w:r w:rsidRPr="0087752B">
        <w:t>The revised Victorian Early Years Learning and Development Framework (VEYLDF) was launched in May 2016 following in-depth stakeholder consultation. The VEYLDF lays the foundation for the Education State early childhood development reform and provides valuable guidance for supporting children and families in their transitions through the first</w:t>
      </w:r>
      <w:r w:rsidR="00541FA6">
        <w:t xml:space="preserve"> eight years of a child’s life.</w:t>
      </w:r>
    </w:p>
    <w:p w14:paraId="3F34D732" w14:textId="77777777" w:rsidR="006016B9" w:rsidRPr="0087752B" w:rsidRDefault="006016B9" w:rsidP="0056397F">
      <w:pPr>
        <w:pStyle w:val="Heading3"/>
      </w:pPr>
      <w:r w:rsidRPr="0087752B">
        <w:t xml:space="preserve">School education </w:t>
      </w:r>
    </w:p>
    <w:p w14:paraId="6930697C" w14:textId="4979BAAC" w:rsidR="006016B9" w:rsidRPr="0087752B" w:rsidRDefault="006016B9" w:rsidP="006016B9">
      <w:r w:rsidRPr="0087752B">
        <w:t xml:space="preserve">In September 2015, the Government announced the statewide </w:t>
      </w:r>
      <w:r w:rsidRPr="0087752B">
        <w:rPr>
          <w:i/>
        </w:rPr>
        <w:t>Education State: Schools</w:t>
      </w:r>
      <w:r w:rsidRPr="0087752B">
        <w:t xml:space="preserve"> reform agenda. The Education State is about improving outcomes for every student, in every classroom, and for every community. The Education State agenda is backed by a new model of funding to better target need and a </w:t>
      </w:r>
      <w:r w:rsidRPr="0087752B">
        <w:lastRenderedPageBreak/>
        <w:t>set of ambitious but achievable system-wide targets. The targets focus on: learning for life; happy, healthy and resilient kids; breaking the link between disadvantage and outcomes; and building pride and confidence in our schools.</w:t>
      </w:r>
    </w:p>
    <w:p w14:paraId="014BAF77" w14:textId="77777777" w:rsidR="006016B9" w:rsidRPr="0087752B" w:rsidRDefault="006016B9" w:rsidP="006016B9">
      <w:r w:rsidRPr="0087752B">
        <w:t>During 2015–16, the Department continued to focus on improving outcomes for students.</w:t>
      </w:r>
    </w:p>
    <w:p w14:paraId="4F970D8B" w14:textId="1D83541C" w:rsidR="006016B9" w:rsidRPr="0087752B" w:rsidRDefault="006016B9" w:rsidP="0056397F">
      <w:pPr>
        <w:pStyle w:val="DETNormallistbullet"/>
      </w:pPr>
      <w:r w:rsidRPr="0087752B">
        <w:t>School Breakfast Clubs were established in 500 of the state’s most disadvantaged government primary schools through the Department’s partnership with Foodbank. They serve an average of 10,000 breakfasts every day</w:t>
      </w:r>
      <w:r w:rsidR="00175C40" w:rsidRPr="0087752B">
        <w:t>,</w:t>
      </w:r>
      <w:r w:rsidRPr="0087752B">
        <w:t xml:space="preserve"> enabling up to 25,000 students across the state to make the most of their school day.</w:t>
      </w:r>
    </w:p>
    <w:p w14:paraId="70EF78DE" w14:textId="77777777" w:rsidR="006016B9" w:rsidRPr="0087752B" w:rsidRDefault="006016B9" w:rsidP="0056397F">
      <w:pPr>
        <w:pStyle w:val="DETNormallistbullet"/>
      </w:pPr>
      <w:r w:rsidRPr="0087752B">
        <w:t xml:space="preserve">The LOOKOUT Centre in South Western Victoria Region has been launched to support children in out-of-home care. Within the centre, education and allied health professionals work collaboratively with schools, carers, child protection and community service organisations to identify the best ways to support students to achieve the best from their education. </w:t>
      </w:r>
    </w:p>
    <w:p w14:paraId="2DFCCD1E" w14:textId="1E096703" w:rsidR="006016B9" w:rsidRPr="0087752B" w:rsidRDefault="006016B9" w:rsidP="0056397F">
      <w:pPr>
        <w:pStyle w:val="DETNormallistbullet"/>
      </w:pPr>
      <w:r w:rsidRPr="0087752B">
        <w:t>The $8.6 million Navigator pilot program commenced in eight areas across the state to support disengaged teenagers to return to school. The LOOKOUT and Navigator programs are critical to meeting Education State targets for overcoming the impact of disadvantage on educational outcomes and reducing the rates of students leaving education early.</w:t>
      </w:r>
    </w:p>
    <w:p w14:paraId="5655C419" w14:textId="77777777" w:rsidR="006016B9" w:rsidRPr="0087752B" w:rsidRDefault="006016B9" w:rsidP="0056397F">
      <w:pPr>
        <w:pStyle w:val="DETNormallistbullet"/>
      </w:pPr>
      <w:r w:rsidRPr="0087752B">
        <w:t xml:space="preserve">The Premier launched Inclusive Education for all Students with Disabilities and Additional Needs that sets out a comprehensive reform agenda to ensure every student with disabilities and additional needs can enjoy inclusive schooling. This follows the Review of the Program for Students with Disabilities (PSD) that examined how to transition the current PSD to a family-friendly, strength-based approach.  </w:t>
      </w:r>
    </w:p>
    <w:p w14:paraId="3350E8DF" w14:textId="40BCE94F" w:rsidR="006016B9" w:rsidRPr="0087752B" w:rsidRDefault="006016B9" w:rsidP="0056397F">
      <w:pPr>
        <w:pStyle w:val="DETNormallistbullet"/>
      </w:pPr>
      <w:r w:rsidRPr="0087752B">
        <w:t xml:space="preserve">Substantial progress has been made implementing the Government’s Tech Schools initiative. Ten new high-tech learning centres are being established to equip students with the skills they need to compete in the global economy. </w:t>
      </w:r>
      <w:r w:rsidRPr="0087752B">
        <w:rPr>
          <w:rFonts w:eastAsia="Arial"/>
        </w:rPr>
        <w:t xml:space="preserve">Following intensive planning by local partnerships in each area between schools, tertiary institutions, industry and local governments, the location of the 10 sites and provision of the remaining $128 million investment was announced on 26 April 2016. </w:t>
      </w:r>
      <w:r w:rsidRPr="0087752B">
        <w:t>All 10 Tech Schools will open during 2017 and 2018.</w:t>
      </w:r>
    </w:p>
    <w:p w14:paraId="42027B2B" w14:textId="4F29ECFE" w:rsidR="006016B9" w:rsidRPr="0087752B" w:rsidRDefault="006016B9" w:rsidP="0056397F">
      <w:pPr>
        <w:pStyle w:val="DETNormallistbullet"/>
      </w:pPr>
      <w:r w:rsidRPr="0087752B">
        <w:t>The Department commenced planning to implement the Government’s investment of $21.8 million over two years to strengthen the delivery of respectful relationships education in schools and early years services. This is in response to the recommendation made by the Royal Commission into Family Violence and announced in the Family Violence Budget Package.</w:t>
      </w:r>
    </w:p>
    <w:p w14:paraId="743BF763" w14:textId="77777777" w:rsidR="006016B9" w:rsidRPr="0087752B" w:rsidRDefault="006016B9" w:rsidP="0056397F">
      <w:pPr>
        <w:pStyle w:val="DETNormallistbullet"/>
      </w:pPr>
      <w:r w:rsidRPr="0087752B">
        <w:t>The Victorian Government committed $1.04 million over four years to expand the Safe Schools Coalition Victoria (SSCV) program into every Victorian Government secondary school by the end of 2018. As of 30 June 2016, 271 Victorian government, Catholic and independent schools were SSCV members.</w:t>
      </w:r>
    </w:p>
    <w:p w14:paraId="3B8E77D8" w14:textId="77777777" w:rsidR="006016B9" w:rsidRPr="0087752B" w:rsidRDefault="006016B9" w:rsidP="0056397F">
      <w:pPr>
        <w:pStyle w:val="DETNormallistbullet"/>
      </w:pPr>
      <w:r w:rsidRPr="0087752B">
        <w:lastRenderedPageBreak/>
        <w:t xml:space="preserve">A reformed Structured Workplace Learning (SWL) service was established to help drive improved transition, attainment and employment outcomes for Victoria’s school students. The SWL service provides targeted grants to the 31 Local Learning and Employment Networks (LLENs) to work with employers and increase access to SWL placements. </w:t>
      </w:r>
    </w:p>
    <w:p w14:paraId="63985C14" w14:textId="77777777" w:rsidR="006016B9" w:rsidRPr="0087752B" w:rsidRDefault="006016B9" w:rsidP="0056397F">
      <w:pPr>
        <w:pStyle w:val="DETNormallistbullet"/>
      </w:pPr>
      <w:r w:rsidRPr="0087752B">
        <w:t>The Victorian Government, through the Department, worked with the Victorian Koorie community to develop the Marrung: Aboriginal Education Plan 2016–2026.</w:t>
      </w:r>
    </w:p>
    <w:p w14:paraId="67115776" w14:textId="4AD713FF" w:rsidR="006016B9" w:rsidRPr="0087752B" w:rsidRDefault="006016B9" w:rsidP="0056397F">
      <w:pPr>
        <w:pStyle w:val="DETNormallistbullet"/>
      </w:pPr>
      <w:r w:rsidRPr="0087752B">
        <w:t>The Department provided significant input into the Victorian International Sector Strategy, the Government’s plan to continue building Victoria as the premier international education destination in Australia. The Victorian school sector experienced record highs in the growth and total number of international students with student numbers reaching 6</w:t>
      </w:r>
      <w:r w:rsidR="00FB5CF8" w:rsidRPr="0087752B">
        <w:t>,</w:t>
      </w:r>
      <w:r w:rsidRPr="0087752B">
        <w:t>000 for the first time.</w:t>
      </w:r>
    </w:p>
    <w:p w14:paraId="1F552ECC" w14:textId="77777777" w:rsidR="006016B9" w:rsidRPr="0087752B" w:rsidRDefault="006016B9" w:rsidP="0056397F">
      <w:pPr>
        <w:pStyle w:val="Heading3"/>
      </w:pPr>
      <w:r w:rsidRPr="0087752B">
        <w:t>Training and skills</w:t>
      </w:r>
    </w:p>
    <w:p w14:paraId="21F1154A" w14:textId="77777777" w:rsidR="006016B9" w:rsidRPr="0087752B" w:rsidRDefault="006016B9" w:rsidP="006016B9">
      <w:r w:rsidRPr="0087752B">
        <w:t>The training and skills portfolio supported the delivery of tertiary education and training outcomes during 2015–16.</w:t>
      </w:r>
    </w:p>
    <w:p w14:paraId="38CA6ECE" w14:textId="77777777" w:rsidR="006016B9" w:rsidRPr="0087752B" w:rsidRDefault="006016B9" w:rsidP="0056397F">
      <w:pPr>
        <w:pStyle w:val="DETNormallistbullet"/>
      </w:pPr>
      <w:r w:rsidRPr="0087752B">
        <w:t xml:space="preserve">The report Skills and Jobs in the Education State was released in December 2015, the Government’s response to the independent VET Funding Review (the Mackenzie Review). The report outlined a comprehensive VET improvement and reform agenda including an improved funding system to be progressively implemented from 2017. </w:t>
      </w:r>
    </w:p>
    <w:p w14:paraId="4909B425" w14:textId="0F786CE7" w:rsidR="006016B9" w:rsidRPr="005C767D" w:rsidRDefault="006016B9" w:rsidP="0056397F">
      <w:pPr>
        <w:pStyle w:val="DETNormallistbullet"/>
      </w:pPr>
      <w:r w:rsidRPr="0087752B">
        <w:t>Victoria's first Skills Commissioner</w:t>
      </w:r>
      <w:r w:rsidR="00FB5CF8" w:rsidRPr="0087752B">
        <w:t>,</w:t>
      </w:r>
      <w:r w:rsidRPr="0087752B">
        <w:t xml:space="preserve"> Mr Neil Coulson</w:t>
      </w:r>
      <w:r w:rsidR="00FB5CF8" w:rsidRPr="0087752B">
        <w:t>,</w:t>
      </w:r>
      <w:r w:rsidRPr="0087752B">
        <w:t xml:space="preserve"> was appointed in December 2015. With the support of the Department and his secretariat, Mr Coulson has conducted more than 90 consultations on the VET reform agenda with industry, employers and other stakeholders. The consultations have helped shape the reforms outlined in the </w:t>
      </w:r>
      <w:r w:rsidRPr="00147B73">
        <w:t>Skills and Jobs in the Education State</w:t>
      </w:r>
      <w:r w:rsidRPr="005C767D">
        <w:t xml:space="preserve"> report as well as the Department’s programs.</w:t>
      </w:r>
    </w:p>
    <w:p w14:paraId="1450CB15" w14:textId="50418EA3" w:rsidR="006016B9" w:rsidRPr="0087752B" w:rsidRDefault="006016B9" w:rsidP="0056397F">
      <w:pPr>
        <w:pStyle w:val="DETNormallistbullet"/>
      </w:pPr>
      <w:r w:rsidRPr="005C767D">
        <w:t xml:space="preserve">The Department </w:t>
      </w:r>
      <w:r w:rsidR="00B70D35">
        <w:t xml:space="preserve">has </w:t>
      </w:r>
      <w:r w:rsidRPr="005C767D">
        <w:t xml:space="preserve">commenced a $30.8 million program of quality assurance and audit </w:t>
      </w:r>
      <w:r w:rsidR="00B70D35">
        <w:t>in light of recommendations of</w:t>
      </w:r>
      <w:r w:rsidRPr="0087752B">
        <w:t xml:space="preserve"> the 2015 Review of Quality Assurance in Victoria’s VET System. </w:t>
      </w:r>
      <w:r w:rsidR="00B70D35">
        <w:t>In addition,</w:t>
      </w:r>
      <w:r w:rsidRPr="0087752B">
        <w:t xml:space="preserve"> $9 million</w:t>
      </w:r>
      <w:r w:rsidR="00B70D35">
        <w:t xml:space="preserve"> was provided as Appropriation funding in 2015–16 for the</w:t>
      </w:r>
      <w:r w:rsidRPr="0087752B">
        <w:t xml:space="preserve"> quality blitz</w:t>
      </w:r>
      <w:r w:rsidR="00B70D35">
        <w:t>. The blitz has</w:t>
      </w:r>
      <w:r w:rsidRPr="0087752B">
        <w:t xml:space="preserve"> identified 62 Registered Training Organisations (RTOs) for investigation, terminated 16 RTO VET Funding Contracts, and identified approximately $40 million in training funds for recovery.</w:t>
      </w:r>
    </w:p>
    <w:p w14:paraId="7A8B9DB9" w14:textId="77777777" w:rsidR="006016B9" w:rsidRPr="0087752B" w:rsidRDefault="006016B9" w:rsidP="0056397F">
      <w:pPr>
        <w:pStyle w:val="DETNormallistbullet"/>
      </w:pPr>
      <w:r w:rsidRPr="0087752B">
        <w:t>The Department has improved access to training and other important support services with the following measures:</w:t>
      </w:r>
    </w:p>
    <w:p w14:paraId="592EABC8" w14:textId="63AED3E2" w:rsidR="006016B9" w:rsidRPr="0087752B" w:rsidRDefault="006016B9" w:rsidP="00AD641C">
      <w:pPr>
        <w:pStyle w:val="DETNormallistbullet"/>
        <w:numPr>
          <w:ilvl w:val="1"/>
          <w:numId w:val="33"/>
        </w:numPr>
      </w:pPr>
      <w:r w:rsidRPr="0087752B">
        <w:t>Eligible employees have been provided access to Victorian Training Guarantee eligibility exemptions and fee-waivers as part of the Back to Work program</w:t>
      </w:r>
      <w:r w:rsidR="00FB5CF8" w:rsidRPr="0087752B">
        <w:t>.</w:t>
      </w:r>
    </w:p>
    <w:p w14:paraId="6E80EEF2" w14:textId="45037412" w:rsidR="006016B9" w:rsidRPr="0087752B" w:rsidRDefault="006016B9" w:rsidP="00AD641C">
      <w:pPr>
        <w:pStyle w:val="DETNormallistbullet"/>
        <w:numPr>
          <w:ilvl w:val="1"/>
          <w:numId w:val="33"/>
        </w:numPr>
      </w:pPr>
      <w:r w:rsidRPr="0087752B">
        <w:lastRenderedPageBreak/>
        <w:t>Retrenched workers have received additional support, through programs such as the $8.4 million South East Automotive Industry Transition Package</w:t>
      </w:r>
      <w:r w:rsidR="00FB5CF8" w:rsidRPr="0087752B">
        <w:t>.</w:t>
      </w:r>
    </w:p>
    <w:p w14:paraId="635BAB34" w14:textId="58771487" w:rsidR="006016B9" w:rsidRPr="0087752B" w:rsidRDefault="006016B9" w:rsidP="00AD641C">
      <w:pPr>
        <w:pStyle w:val="DETNormallistbullet"/>
        <w:numPr>
          <w:ilvl w:val="1"/>
          <w:numId w:val="33"/>
        </w:numPr>
      </w:pPr>
      <w:r w:rsidRPr="0087752B">
        <w:t>A further $16 million was invested to open Skills and Jobs Centres at every TAFE and dual-sector university in Victoria</w:t>
      </w:r>
      <w:r w:rsidR="00FB5CF8" w:rsidRPr="0087752B">
        <w:t>,</w:t>
      </w:r>
      <w:r w:rsidRPr="0087752B">
        <w:t xml:space="preserve"> offering a range of training and career support services for individuals and businesses</w:t>
      </w:r>
      <w:r w:rsidR="00FB5CF8" w:rsidRPr="0087752B">
        <w:t>.</w:t>
      </w:r>
    </w:p>
    <w:p w14:paraId="4EC3DC4E" w14:textId="25AB46E4" w:rsidR="006016B9" w:rsidRPr="0087752B" w:rsidRDefault="006016B9" w:rsidP="00AD641C">
      <w:pPr>
        <w:pStyle w:val="DETNormallistbullet"/>
        <w:numPr>
          <w:ilvl w:val="1"/>
          <w:numId w:val="33"/>
        </w:numPr>
      </w:pPr>
      <w:r w:rsidRPr="0087752B">
        <w:t xml:space="preserve">From 1 January 2016, TAFE institutes have been able to offer eligibility exemptions to allow </w:t>
      </w:r>
      <w:r w:rsidR="00585D2D">
        <w:t>new student</w:t>
      </w:r>
      <w:r w:rsidRPr="0087752B">
        <w:t xml:space="preserve"> </w:t>
      </w:r>
      <w:r w:rsidR="00585D2D">
        <w:t>commencements to</w:t>
      </w:r>
      <w:r w:rsidRPr="0087752B">
        <w:t xml:space="preserve"> take up government-subsided training, regardless of their previous qualification</w:t>
      </w:r>
      <w:r w:rsidR="00585D2D">
        <w:t>s</w:t>
      </w:r>
      <w:r w:rsidRPr="0087752B">
        <w:t>.</w:t>
      </w:r>
      <w:r w:rsidR="00585D2D">
        <w:t xml:space="preserve"> On 9 June 2016, these exemptions were extended to Learn Local providers, as well as AMES and the Centre for Adult Education.</w:t>
      </w:r>
    </w:p>
    <w:p w14:paraId="4AE78430" w14:textId="77777777" w:rsidR="006016B9" w:rsidRPr="0087752B" w:rsidRDefault="006016B9" w:rsidP="0056397F">
      <w:pPr>
        <w:pStyle w:val="DETNormallistbullet"/>
      </w:pPr>
      <w:r w:rsidRPr="0087752B">
        <w:t>Initiatives to ensure training is available across Victoria have also been undertaken:</w:t>
      </w:r>
    </w:p>
    <w:p w14:paraId="36CB68A1" w14:textId="1EB3A643" w:rsidR="00585D2D" w:rsidRDefault="00585D2D" w:rsidP="00AD641C">
      <w:pPr>
        <w:pStyle w:val="DETNormallistbullet"/>
        <w:numPr>
          <w:ilvl w:val="1"/>
          <w:numId w:val="34"/>
        </w:numPr>
      </w:pPr>
      <w:r>
        <w:t>Federation Training partnered with the Gunaikurnai Land and Waters Aboriginal Corporation, to reopen the Forestech campus and deliver conservation and land management training opportunities for Koorie and mainstream students</w:t>
      </w:r>
      <w:r w:rsidR="00680ED4">
        <w:t>.</w:t>
      </w:r>
    </w:p>
    <w:p w14:paraId="2EC6F5D6" w14:textId="3088B0C1" w:rsidR="006016B9" w:rsidRPr="0087752B" w:rsidRDefault="006016B9" w:rsidP="00AD641C">
      <w:pPr>
        <w:pStyle w:val="DETNormallistbullet"/>
        <w:numPr>
          <w:ilvl w:val="1"/>
          <w:numId w:val="34"/>
        </w:numPr>
      </w:pPr>
      <w:r w:rsidRPr="0087752B">
        <w:t>Box Hill Lilydale Campus reopened at the start of 2016 and more than 810 students have since accessed the campus</w:t>
      </w:r>
      <w:r w:rsidR="00FB5CF8" w:rsidRPr="0087752B">
        <w:t>.</w:t>
      </w:r>
    </w:p>
    <w:p w14:paraId="21D1E8C3" w14:textId="77777777" w:rsidR="006016B9" w:rsidRPr="0087752B" w:rsidRDefault="006016B9" w:rsidP="00AD641C">
      <w:pPr>
        <w:pStyle w:val="DETNormallistbullet"/>
        <w:numPr>
          <w:ilvl w:val="1"/>
          <w:numId w:val="34"/>
        </w:numPr>
      </w:pPr>
      <w:r w:rsidRPr="0087752B">
        <w:t xml:space="preserve">The Department contributed funding and training advice towards the $34 million Regional Skills Fund administered by Regional Development Victoria. </w:t>
      </w:r>
    </w:p>
    <w:p w14:paraId="0CDB4866" w14:textId="2048964A" w:rsidR="006016B9" w:rsidRPr="0087752B" w:rsidRDefault="006016B9" w:rsidP="0056397F">
      <w:pPr>
        <w:pStyle w:val="DETNormallistbullet"/>
      </w:pPr>
      <w:r w:rsidRPr="0087752B">
        <w:t>Funding was awarded to 26 organisations under the Government’s $20 million Reconnect Program to prepare for training and employment more than 2</w:t>
      </w:r>
      <w:r w:rsidR="00FB5CF8" w:rsidRPr="0087752B">
        <w:t>,</w:t>
      </w:r>
      <w:r w:rsidRPr="0087752B">
        <w:t xml:space="preserve">300 disengaged young people who have left school early or are long-term unemployed. </w:t>
      </w:r>
    </w:p>
    <w:p w14:paraId="53753670" w14:textId="77777777" w:rsidR="006016B9" w:rsidRPr="0087752B" w:rsidRDefault="006016B9" w:rsidP="0056397F">
      <w:pPr>
        <w:pStyle w:val="DETNormallistbullet"/>
      </w:pPr>
      <w:r w:rsidRPr="0087752B">
        <w:t>Significant investments have been made in the TAFE sector to improve capability to provide training and support services. These include:</w:t>
      </w:r>
    </w:p>
    <w:p w14:paraId="52B6482B" w14:textId="4DA17D7B" w:rsidR="006016B9" w:rsidRPr="0087752B" w:rsidRDefault="006016B9" w:rsidP="00AD641C">
      <w:pPr>
        <w:pStyle w:val="DETNormallistbullet"/>
        <w:numPr>
          <w:ilvl w:val="1"/>
          <w:numId w:val="35"/>
        </w:numPr>
      </w:pPr>
      <w:r w:rsidRPr="0087752B">
        <w:t>$50 million from the TAFE Rescue Fund was allocated to a range of projects to drive important skills delivery and give disadvantaged Victorians access to training</w:t>
      </w:r>
      <w:r w:rsidR="00FB5CF8" w:rsidRPr="0087752B">
        <w:t>.</w:t>
      </w:r>
    </w:p>
    <w:p w14:paraId="35FB7F86" w14:textId="0A986F7A" w:rsidR="006016B9" w:rsidRPr="005C767D" w:rsidRDefault="00FB5CF8" w:rsidP="00AD641C">
      <w:pPr>
        <w:pStyle w:val="DETNormallistbullet"/>
        <w:numPr>
          <w:ilvl w:val="1"/>
          <w:numId w:val="35"/>
        </w:numPr>
      </w:pPr>
      <w:r w:rsidRPr="0087752B">
        <w:t xml:space="preserve">Significant </w:t>
      </w:r>
      <w:r w:rsidR="006016B9" w:rsidRPr="0087752B">
        <w:t xml:space="preserve">support </w:t>
      </w:r>
      <w:r w:rsidRPr="0087752B">
        <w:t xml:space="preserve">was provided to </w:t>
      </w:r>
      <w:r w:rsidR="006016B9" w:rsidRPr="0087752B">
        <w:t xml:space="preserve">TAFE infrastructure projects, including the Chisholm Frankston campus redevelopment. </w:t>
      </w:r>
    </w:p>
    <w:p w14:paraId="0C5812B9" w14:textId="14F945CF" w:rsidR="006016B9" w:rsidRPr="0087752B" w:rsidRDefault="006016B9" w:rsidP="0056397F">
      <w:pPr>
        <w:pStyle w:val="DETNormallistbullet"/>
      </w:pPr>
      <w:r w:rsidRPr="0087752B">
        <w:t>In 2015, the TAFE network reported an operating surplus of $25 million, compared to a deficit of $52.5 million in 2014 (a $77.5 million turnaround).</w:t>
      </w:r>
    </w:p>
    <w:p w14:paraId="290DB973" w14:textId="6C4F8C12" w:rsidR="00707C15" w:rsidRPr="00707C15" w:rsidRDefault="00707C15" w:rsidP="00707C15">
      <w:pPr>
        <w:pStyle w:val="DETNormallistbullet"/>
      </w:pPr>
      <w:bookmarkStart w:id="31" w:name="_Toc458088548"/>
      <w:bookmarkStart w:id="32" w:name="_Toc461013245"/>
      <w:bookmarkStart w:id="33" w:name="_Toc461025822"/>
      <w:bookmarkStart w:id="34" w:name="_Toc462405115"/>
      <w:r w:rsidRPr="00707C15">
        <w:t xml:space="preserve">In 2015, the Department’s Vice-Chancellors’ forum identified the need to better articulate the benefits </w:t>
      </w:r>
      <w:r>
        <w:t>the S</w:t>
      </w:r>
      <w:r w:rsidRPr="00707C15">
        <w:t>tate’s strong higher education sector, including its globally recognised research capabilities, ability to attract international students and research fellows, and capacity to support industry through focused research, bring  to the domestic economy. The Vice-</w:t>
      </w:r>
      <w:r w:rsidRPr="00707C15">
        <w:lastRenderedPageBreak/>
        <w:t>Chancellors agreed to work with the Department around these issues to further the Education State Agenda.</w:t>
      </w:r>
    </w:p>
    <w:p w14:paraId="42F97E71" w14:textId="64084C44" w:rsidR="006016B9" w:rsidRPr="0087752B" w:rsidRDefault="006016B9" w:rsidP="00541FA6">
      <w:pPr>
        <w:pStyle w:val="DETHeading2"/>
      </w:pPr>
      <w:r w:rsidRPr="0087752B">
        <w:t>Transforming our organis</w:t>
      </w:r>
      <w:r w:rsidR="00E747C6">
        <w:t>ation: changes</w:t>
      </w:r>
      <w:r w:rsidRPr="0087752B">
        <w:t xml:space="preserve"> during 2015–16</w:t>
      </w:r>
      <w:bookmarkEnd w:id="31"/>
      <w:bookmarkEnd w:id="32"/>
      <w:bookmarkEnd w:id="33"/>
      <w:bookmarkEnd w:id="34"/>
    </w:p>
    <w:p w14:paraId="0B6489E7" w14:textId="77777777" w:rsidR="000B4DEF" w:rsidRDefault="006016B9" w:rsidP="000B4DEF">
      <w:r w:rsidRPr="0087752B">
        <w:t xml:space="preserve">During 2015–16, the Department introduced a new way of working, both centrally and in the regions. </w:t>
      </w:r>
    </w:p>
    <w:p w14:paraId="7874952E" w14:textId="2B0B145F" w:rsidR="006016B9" w:rsidRDefault="006016B9" w:rsidP="000B4DEF">
      <w:r w:rsidRPr="0087752B">
        <w:t>The Department’s Operating Model offers a high-level description of the Department’s shift in the way it works to support the vision of the Education State. To align our ways of working with the Operating Model, a comprehensive work program commenced, focusing on improving governance, key business processes, information management, use of technology and most importantly supporting and developing our staff.</w:t>
      </w:r>
    </w:p>
    <w:p w14:paraId="360DD0DB" w14:textId="77777777" w:rsidR="006016B9" w:rsidRPr="0087752B" w:rsidRDefault="006016B9" w:rsidP="005572D8">
      <w:pPr>
        <w:pStyle w:val="Heading3"/>
      </w:pPr>
      <w:bookmarkStart w:id="35" w:name="_Toc453857326"/>
      <w:bookmarkStart w:id="36" w:name="_Toc453849649"/>
      <w:bookmarkStart w:id="37" w:name="_Toc453855595"/>
      <w:bookmarkStart w:id="38" w:name="_Toc453856729"/>
      <w:r w:rsidRPr="0087752B">
        <w:t>Central reorganisation</w:t>
      </w:r>
    </w:p>
    <w:p w14:paraId="4B1236D4" w14:textId="77777777" w:rsidR="006016B9" w:rsidRDefault="006016B9" w:rsidP="006016B9">
      <w:r w:rsidRPr="0087752B">
        <w:t xml:space="preserve">To provide clearer accountabilities and improved support for the most critical policy and implementation priorities, a new central structure came into effect on 4 April 2016. Seven groups have been established including a dedicated Policy Reform Group to bring together the Department’s strategic policy functions, and a dedicated Strategy and Performance Group focusing on strategy planning, data, evidence and enterprise program management. </w:t>
      </w:r>
    </w:p>
    <w:p w14:paraId="738C18DC" w14:textId="16AD8143" w:rsidR="003B5E11" w:rsidRPr="0087752B" w:rsidRDefault="003B5E11" w:rsidP="006016B9">
      <w:r w:rsidRPr="001920DB">
        <w:t xml:space="preserve">In bringing together the implementation functions of the department, the new central structure will ensure that the </w:t>
      </w:r>
      <w:r w:rsidR="005A667B">
        <w:t xml:space="preserve">support provided to schools, </w:t>
      </w:r>
      <w:r w:rsidRPr="001920DB">
        <w:t>early childhood services</w:t>
      </w:r>
      <w:r w:rsidR="005A667B">
        <w:t xml:space="preserve"> and the train</w:t>
      </w:r>
      <w:r w:rsidR="00E937E4">
        <w:t>in</w:t>
      </w:r>
      <w:r w:rsidR="005A667B">
        <w:t>g sector</w:t>
      </w:r>
      <w:r w:rsidRPr="001920DB">
        <w:t xml:space="preserve"> is coordinated and strengthened.</w:t>
      </w:r>
    </w:p>
    <w:p w14:paraId="14CE319E" w14:textId="7AF98D40" w:rsidR="006016B9" w:rsidRPr="0087752B" w:rsidRDefault="006016B9" w:rsidP="0056397F">
      <w:pPr>
        <w:pStyle w:val="Heading3"/>
      </w:pPr>
      <w:r w:rsidRPr="0087752B">
        <w:t>Regional services delivery model</w:t>
      </w:r>
      <w:r w:rsidR="00F80E0B" w:rsidRPr="0087752B">
        <w:t>—</w:t>
      </w:r>
      <w:r w:rsidRPr="0087752B">
        <w:t>Learning Places</w:t>
      </w:r>
    </w:p>
    <w:p w14:paraId="455242A1" w14:textId="77777777" w:rsidR="006016B9" w:rsidRPr="0087752B" w:rsidRDefault="006016B9" w:rsidP="006016B9">
      <w:r w:rsidRPr="0087752B">
        <w:t>The role of the Regional Services Group has been strengthened to reflect its pivotal role in translating policy and program development into improved service delivery and, ultimately, improved educational outcomes.</w:t>
      </w:r>
    </w:p>
    <w:p w14:paraId="7FD2F838" w14:textId="77777777" w:rsidR="006016B9" w:rsidRPr="0087752B" w:rsidRDefault="006016B9" w:rsidP="006016B9">
      <w:r w:rsidRPr="0087752B">
        <w:t>The Department has also created 17 areas within the four existing regions and by the end of 2016 will have appointed an additional 150 staff to support this major investment in supporting schools at a local level. The new regional structure went ‘live’ on 1 March 2016.</w:t>
      </w:r>
    </w:p>
    <w:p w14:paraId="5B898576" w14:textId="75A7907A" w:rsidR="006016B9" w:rsidRPr="0087752B" w:rsidRDefault="006016B9" w:rsidP="006016B9">
      <w:r w:rsidRPr="0087752B">
        <w:t xml:space="preserve">The model was designed to create a system where learners and families have the best possible support, and make it easier for learners and their families to access support and services where they live. The model is focused on place-based service delivery to allow localised, tailored and integrated decision-making, service and support. This supports the Government’s reinvestment in regions to achieve better outcomes for learners and families.  </w:t>
      </w:r>
    </w:p>
    <w:p w14:paraId="45D1E94B" w14:textId="77777777" w:rsidR="006016B9" w:rsidRPr="0087752B" w:rsidRDefault="006016B9" w:rsidP="0056397F">
      <w:pPr>
        <w:pStyle w:val="Heading3"/>
      </w:pPr>
      <w:r w:rsidRPr="0087752B">
        <w:lastRenderedPageBreak/>
        <w:t>Organisational reform program</w:t>
      </w:r>
    </w:p>
    <w:p w14:paraId="20EFAB87" w14:textId="77777777" w:rsidR="006016B9" w:rsidRPr="0087752B" w:rsidRDefault="006016B9" w:rsidP="006016B9">
      <w:r w:rsidRPr="0087752B">
        <w:t>The operating models described above form part of a broader Department organisational reform program that commenced in 2015–16 to support the Department’s Statement of Strategic Intent. Other elements of the organisational reform program are:</w:t>
      </w:r>
    </w:p>
    <w:p w14:paraId="2594263F" w14:textId="77777777" w:rsidR="006016B9" w:rsidRPr="0087752B" w:rsidRDefault="006016B9" w:rsidP="005572D8">
      <w:pPr>
        <w:pStyle w:val="DETNormallistbullet"/>
        <w:rPr>
          <w:i/>
          <w:color w:val="7F7F7F" w:themeColor="text1" w:themeTint="80"/>
        </w:rPr>
      </w:pPr>
      <w:r w:rsidRPr="0087752B">
        <w:rPr>
          <w:i/>
          <w:color w:val="7F7F7F" w:themeColor="text1" w:themeTint="80"/>
        </w:rPr>
        <w:t>Integrity reform program</w:t>
      </w:r>
    </w:p>
    <w:p w14:paraId="3F8C0E50" w14:textId="29FE0B30" w:rsidR="006016B9" w:rsidRPr="0087752B" w:rsidRDefault="006016B9" w:rsidP="00CB7713">
      <w:pPr>
        <w:ind w:left="357"/>
      </w:pPr>
      <w:r w:rsidRPr="0087752B">
        <w:t>This program addresses systemic issues raised during Operations Ord and Dunham. It does this through a coordinated and dedicated focus on good governance, ethical leadership, effective systems and controls</w:t>
      </w:r>
      <w:r w:rsidR="00F80E0B" w:rsidRPr="0087752B">
        <w:t>,</w:t>
      </w:r>
      <w:r w:rsidRPr="0087752B">
        <w:t xml:space="preserve"> and staff development and support. The program uses a range of projects to strengthen our oversight and accountability for public spending, and improve our adherence to the public sector values</w:t>
      </w:r>
      <w:r w:rsidR="00F80E0B" w:rsidRPr="0087752B">
        <w:t>—</w:t>
      </w:r>
      <w:r w:rsidRPr="0087752B">
        <w:t xml:space="preserve">both essential for upholding public trust. </w:t>
      </w:r>
    </w:p>
    <w:p w14:paraId="7B0DDB37" w14:textId="77777777" w:rsidR="006016B9" w:rsidRPr="0087752B" w:rsidRDefault="006016B9" w:rsidP="005572D8">
      <w:pPr>
        <w:pStyle w:val="DETNormallistbullet"/>
        <w:rPr>
          <w:i/>
          <w:color w:val="7F7F7F" w:themeColor="text1" w:themeTint="80"/>
        </w:rPr>
      </w:pPr>
      <w:r w:rsidRPr="0087752B">
        <w:rPr>
          <w:i/>
          <w:color w:val="7F7F7F" w:themeColor="text1" w:themeTint="80"/>
        </w:rPr>
        <w:t>Investing in our people</w:t>
      </w:r>
    </w:p>
    <w:p w14:paraId="5D9FCA1C" w14:textId="578C11C2" w:rsidR="00770123" w:rsidRDefault="006016B9" w:rsidP="00CB7713">
      <w:pPr>
        <w:ind w:left="357"/>
      </w:pPr>
      <w:r w:rsidRPr="0087752B">
        <w:t xml:space="preserve">The Department supports a capable and high-performing workforce with strong leadership and a culture of integrity, accountability and respect. The ‘Investing in our People’ strategy contains five key areas that represent a clear focus for action: </w:t>
      </w:r>
      <w:r w:rsidRPr="00CB7713">
        <w:t>leadership capability</w:t>
      </w:r>
      <w:r w:rsidRPr="005C767D">
        <w:t xml:space="preserve">, </w:t>
      </w:r>
      <w:r w:rsidRPr="00CB7713">
        <w:t>workforce capability</w:t>
      </w:r>
      <w:r w:rsidRPr="005C767D">
        <w:t xml:space="preserve">, </w:t>
      </w:r>
      <w:r w:rsidRPr="00CB7713">
        <w:t>culture of integrity and respect</w:t>
      </w:r>
      <w:r w:rsidRPr="005C767D">
        <w:t xml:space="preserve">, </w:t>
      </w:r>
      <w:r w:rsidRPr="00CB7713">
        <w:t>safe and inclusive workplaces</w:t>
      </w:r>
      <w:r w:rsidRPr="005C767D">
        <w:t xml:space="preserve">, and </w:t>
      </w:r>
      <w:r w:rsidRPr="00CB7713">
        <w:t>accountability for outcomes</w:t>
      </w:r>
      <w:r w:rsidRPr="005C767D">
        <w:t>. These elements work together to provide a holistic and balanced approach to ensuring our people are capable</w:t>
      </w:r>
      <w:r w:rsidR="00F80E0B" w:rsidRPr="0087752B">
        <w:t>;</w:t>
      </w:r>
      <w:r w:rsidRPr="0087752B">
        <w:t xml:space="preserve"> able to perform at their best</w:t>
      </w:r>
      <w:r w:rsidR="00F80E0B" w:rsidRPr="0087752B">
        <w:t>;</w:t>
      </w:r>
      <w:r w:rsidRPr="0087752B">
        <w:t xml:space="preserve"> and feel empowered, valued and supported.</w:t>
      </w:r>
    </w:p>
    <w:p w14:paraId="0C8B7F6B" w14:textId="77777777" w:rsidR="0048622B" w:rsidRDefault="0048622B" w:rsidP="00CB7713">
      <w:pPr>
        <w:ind w:left="357"/>
      </w:pPr>
    </w:p>
    <w:p w14:paraId="56197B32" w14:textId="05EA327A" w:rsidR="006016B9" w:rsidRPr="0087752B" w:rsidRDefault="006016B9" w:rsidP="0048622B">
      <w:pPr>
        <w:pStyle w:val="DETNormallistbullet"/>
        <w:rPr>
          <w:i/>
          <w:color w:val="7F7F7F" w:themeColor="text1" w:themeTint="80"/>
        </w:rPr>
      </w:pPr>
      <w:r w:rsidRPr="0087752B">
        <w:rPr>
          <w:i/>
          <w:color w:val="7F7F7F" w:themeColor="text1" w:themeTint="80"/>
        </w:rPr>
        <w:t>Procurement and financial management</w:t>
      </w:r>
    </w:p>
    <w:p w14:paraId="2A982401" w14:textId="77777777" w:rsidR="006016B9" w:rsidRPr="0087752B" w:rsidRDefault="006016B9" w:rsidP="00CB7713">
      <w:pPr>
        <w:ind w:left="357"/>
      </w:pPr>
      <w:r w:rsidRPr="0087752B">
        <w:t>The Department is implementing procurement, funding and financial management reforms. The reforms will deliver a strengthened finance function and Financial Services Division structure. Included are enhanced analytics, strategy and capability; a school-targeted funding framework and risk-based assessment of all Department funding channels; a new school procurement framework that supports training, support programs and data analytics; a new Department procurement operating model; and a new Department travel policy and guidelines.</w:t>
      </w:r>
      <w:bookmarkEnd w:id="35"/>
      <w:bookmarkEnd w:id="36"/>
      <w:bookmarkEnd w:id="37"/>
      <w:bookmarkEnd w:id="38"/>
    </w:p>
    <w:p w14:paraId="29A9F0FD" w14:textId="77777777" w:rsidR="006016B9" w:rsidRPr="0087752B" w:rsidRDefault="006016B9" w:rsidP="009834E4">
      <w:pPr>
        <w:pStyle w:val="DETHeading2"/>
      </w:pPr>
      <w:bookmarkStart w:id="39" w:name="_Toc458069587"/>
      <w:bookmarkStart w:id="40" w:name="_Toc458072366"/>
      <w:bookmarkStart w:id="41" w:name="_Toc458088549"/>
      <w:bookmarkStart w:id="42" w:name="_Toc461013246"/>
      <w:bookmarkStart w:id="43" w:name="_Toc461025823"/>
      <w:bookmarkStart w:id="44" w:name="_Toc462405116"/>
      <w:r w:rsidRPr="0087752B">
        <w:t>Objectives, indicators and outcomes</w:t>
      </w:r>
      <w:bookmarkEnd w:id="39"/>
      <w:bookmarkEnd w:id="40"/>
      <w:bookmarkEnd w:id="41"/>
      <w:bookmarkEnd w:id="42"/>
      <w:bookmarkEnd w:id="43"/>
      <w:bookmarkEnd w:id="44"/>
    </w:p>
    <w:p w14:paraId="778EDD58" w14:textId="77777777" w:rsidR="006016B9" w:rsidRPr="0087752B" w:rsidRDefault="006016B9" w:rsidP="006016B9">
      <w:r w:rsidRPr="0087752B">
        <w:t xml:space="preserve">The Department’s progress is reported under the objectives, outputs and indicators set out in the 2015–16 State Budget Paper No. 3 Service Delivery (BP3). These are set out in the table below. </w:t>
      </w:r>
    </w:p>
    <w:p w14:paraId="3ECE6517" w14:textId="77777777" w:rsidR="006016B9" w:rsidRPr="0087752B" w:rsidRDefault="006016B9" w:rsidP="0056397F">
      <w:pPr>
        <w:pStyle w:val="Heading3"/>
      </w:pPr>
      <w:bookmarkStart w:id="45" w:name="_Ref461715439"/>
      <w:r w:rsidRPr="0087752B">
        <w:t>Progress and performance reporting</w:t>
      </w:r>
      <w:bookmarkEnd w:id="45"/>
      <w:r w:rsidRPr="0087752B">
        <w:t xml:space="preserve"> </w:t>
      </w:r>
    </w:p>
    <w:p w14:paraId="0F090165" w14:textId="225C36DB" w:rsidR="006016B9" w:rsidRPr="005C767D" w:rsidRDefault="006016B9" w:rsidP="006016B9">
      <w:r w:rsidRPr="0087752B">
        <w:t>The Department’s progress towards the objectives and indicators in BP3 is reported under Progress towards Objectives and Indicators on page</w:t>
      </w:r>
      <w:r w:rsidR="0073354A">
        <w:t xml:space="preserve"> </w:t>
      </w:r>
      <w:r w:rsidR="00E747C6" w:rsidRPr="00300489">
        <w:t>12</w:t>
      </w:r>
      <w:r w:rsidR="00E747C6" w:rsidRPr="0087752B">
        <w:t>.</w:t>
      </w:r>
    </w:p>
    <w:p w14:paraId="67873197" w14:textId="2703EEDB" w:rsidR="006016B9" w:rsidRPr="005C767D" w:rsidRDefault="006016B9" w:rsidP="006016B9">
      <w:r w:rsidRPr="0087752B">
        <w:lastRenderedPageBreak/>
        <w:t xml:space="preserve">There is a range of performance measures for each output. The Department’s performance against the output performance measures is reported under Performance against Output Performance Measures on page </w:t>
      </w:r>
      <w:r w:rsidR="009F6106" w:rsidRPr="00300489">
        <w:t>21</w:t>
      </w:r>
      <w:r w:rsidRPr="005C767D">
        <w:t>.</w:t>
      </w:r>
    </w:p>
    <w:p w14:paraId="6810C8EE" w14:textId="77777777" w:rsidR="006016B9" w:rsidRPr="0087752B" w:rsidRDefault="006016B9" w:rsidP="007540CD">
      <w:pPr>
        <w:pStyle w:val="DETTableheading"/>
      </w:pPr>
      <w:r w:rsidRPr="0087752B">
        <w:t>Departmental objectives, indicators and linked outputs (BP3)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484"/>
        <w:gridCol w:w="2486"/>
        <w:gridCol w:w="2486"/>
      </w:tblGrid>
      <w:tr w:rsidR="006016B9" w:rsidRPr="0087752B" w14:paraId="623D3434" w14:textId="77777777" w:rsidTr="008B7D2C">
        <w:trPr>
          <w:cantSplit/>
          <w:trHeight w:val="454"/>
          <w:tblHeader/>
        </w:trPr>
        <w:tc>
          <w:tcPr>
            <w:tcW w:w="1666" w:type="pct"/>
            <w:tcBorders>
              <w:top w:val="nil"/>
              <w:left w:val="nil"/>
              <w:bottom w:val="nil"/>
              <w:right w:val="nil"/>
            </w:tcBorders>
            <w:shd w:val="clear" w:color="auto" w:fill="7F7F7F" w:themeFill="text1" w:themeFillTint="80"/>
            <w:vAlign w:val="center"/>
          </w:tcPr>
          <w:p w14:paraId="66F93F2E" w14:textId="77777777" w:rsidR="006016B9" w:rsidRPr="0087752B" w:rsidRDefault="006016B9" w:rsidP="0056397F">
            <w:pPr>
              <w:pStyle w:val="DETTablecolumnheading"/>
            </w:pPr>
            <w:r w:rsidRPr="0087752B">
              <w:t>Objectives</w:t>
            </w:r>
          </w:p>
        </w:tc>
        <w:tc>
          <w:tcPr>
            <w:tcW w:w="1667" w:type="pct"/>
            <w:tcBorders>
              <w:top w:val="nil"/>
              <w:left w:val="nil"/>
              <w:bottom w:val="nil"/>
              <w:right w:val="nil"/>
            </w:tcBorders>
            <w:shd w:val="clear" w:color="auto" w:fill="7F7F7F" w:themeFill="text1" w:themeFillTint="80"/>
            <w:vAlign w:val="center"/>
          </w:tcPr>
          <w:p w14:paraId="02F9B70F" w14:textId="77777777" w:rsidR="006016B9" w:rsidRPr="0087752B" w:rsidRDefault="006016B9" w:rsidP="0056397F">
            <w:pPr>
              <w:pStyle w:val="DETTablecolumnheading"/>
            </w:pPr>
            <w:r w:rsidRPr="0087752B">
              <w:t>Indicators</w:t>
            </w:r>
          </w:p>
        </w:tc>
        <w:tc>
          <w:tcPr>
            <w:tcW w:w="1667" w:type="pct"/>
            <w:tcBorders>
              <w:top w:val="nil"/>
              <w:left w:val="nil"/>
              <w:bottom w:val="nil"/>
              <w:right w:val="nil"/>
            </w:tcBorders>
            <w:shd w:val="clear" w:color="auto" w:fill="7F7F7F" w:themeFill="text1" w:themeFillTint="80"/>
            <w:vAlign w:val="center"/>
          </w:tcPr>
          <w:p w14:paraId="40F06AC7" w14:textId="77777777" w:rsidR="006016B9" w:rsidRPr="0087752B" w:rsidRDefault="006016B9" w:rsidP="0056397F">
            <w:pPr>
              <w:pStyle w:val="DETTablecolumnheading"/>
            </w:pPr>
            <w:r w:rsidRPr="0087752B">
              <w:t>Outputs</w:t>
            </w:r>
          </w:p>
        </w:tc>
      </w:tr>
      <w:tr w:rsidR="006016B9" w:rsidRPr="0087752B" w14:paraId="6E10FAF1" w14:textId="77777777" w:rsidTr="008B7D2C">
        <w:trPr>
          <w:cantSplit/>
          <w:trHeight w:val="454"/>
        </w:trPr>
        <w:tc>
          <w:tcPr>
            <w:tcW w:w="1666" w:type="pct"/>
            <w:tcBorders>
              <w:top w:val="nil"/>
              <w:left w:val="nil"/>
              <w:bottom w:val="single" w:sz="4" w:space="0" w:color="auto"/>
              <w:right w:val="nil"/>
            </w:tcBorders>
          </w:tcPr>
          <w:p w14:paraId="61088C8D" w14:textId="77777777" w:rsidR="006016B9" w:rsidRPr="0087752B" w:rsidRDefault="006016B9" w:rsidP="00532EEF">
            <w:pPr>
              <w:pStyle w:val="DETTableTextFinancial"/>
              <w:rPr>
                <w:b/>
              </w:rPr>
            </w:pPr>
            <w:r w:rsidRPr="0087752B">
              <w:rPr>
                <w:b/>
              </w:rPr>
              <w:t xml:space="preserve">Achievement   </w:t>
            </w:r>
          </w:p>
          <w:p w14:paraId="2004D903" w14:textId="4983DEC0" w:rsidR="006016B9" w:rsidRPr="0087752B" w:rsidRDefault="006016B9" w:rsidP="005572D8">
            <w:pPr>
              <w:pStyle w:val="DETTableTextFinancial"/>
            </w:pPr>
            <w:r w:rsidRPr="0087752B">
              <w:t>Raise standards of learning and development achieved by Victorians using education, training, development and child health services</w:t>
            </w:r>
            <w:r w:rsidR="00D97B3D" w:rsidRPr="0087752B">
              <w:t>.</w:t>
            </w:r>
          </w:p>
        </w:tc>
        <w:tc>
          <w:tcPr>
            <w:tcW w:w="1667" w:type="pct"/>
            <w:tcBorders>
              <w:top w:val="nil"/>
              <w:left w:val="nil"/>
              <w:bottom w:val="single" w:sz="4" w:space="0" w:color="auto"/>
              <w:right w:val="nil"/>
            </w:tcBorders>
          </w:tcPr>
          <w:p w14:paraId="75060F1E" w14:textId="73707D65" w:rsidR="006016B9" w:rsidRPr="00DB79C1" w:rsidRDefault="00CB7713" w:rsidP="005572D8">
            <w:pPr>
              <w:pStyle w:val="DETTablebulletlist"/>
              <w:tabs>
                <w:tab w:val="clear" w:pos="360"/>
              </w:tabs>
              <w:ind w:left="113" w:hanging="113"/>
              <w:rPr>
                <w:lang w:val="en-AU"/>
              </w:rPr>
            </w:pPr>
            <w:r>
              <w:rPr>
                <w:lang w:val="en-AU"/>
              </w:rPr>
              <w:t>C</w:t>
            </w:r>
            <w:r w:rsidR="00D97B3D" w:rsidRPr="00CB7713">
              <w:rPr>
                <w:lang w:val="en-AU"/>
              </w:rPr>
              <w:t xml:space="preserve">hildren </w:t>
            </w:r>
            <w:r w:rsidR="006016B9" w:rsidRPr="00CB7713">
              <w:rPr>
                <w:lang w:val="en-AU"/>
              </w:rPr>
              <w:t xml:space="preserve">developmentally </w:t>
            </w:r>
            <w:r w:rsidR="006016B9" w:rsidRPr="00DB79C1">
              <w:rPr>
                <w:lang w:val="en-AU"/>
              </w:rPr>
              <w:t>‘on track’ on the Australian Early Development Index language and cognitive skills domains</w:t>
            </w:r>
          </w:p>
          <w:p w14:paraId="047EF999" w14:textId="341AA9CD" w:rsidR="006016B9" w:rsidRPr="00CB7713" w:rsidRDefault="00CB7713" w:rsidP="005572D8">
            <w:pPr>
              <w:pStyle w:val="DETTablebulletlist"/>
              <w:tabs>
                <w:tab w:val="clear" w:pos="360"/>
              </w:tabs>
              <w:ind w:left="113" w:hanging="113"/>
              <w:rPr>
                <w:lang w:val="en-AU"/>
              </w:rPr>
            </w:pPr>
            <w:r>
              <w:rPr>
                <w:lang w:val="en-AU"/>
              </w:rPr>
              <w:t>S</w:t>
            </w:r>
            <w:r w:rsidR="00D97B3D" w:rsidRPr="00CB7713">
              <w:rPr>
                <w:lang w:val="en-AU"/>
              </w:rPr>
              <w:t xml:space="preserve">tudents </w:t>
            </w:r>
            <w:r w:rsidR="006016B9" w:rsidRPr="00CB7713">
              <w:rPr>
                <w:lang w:val="en-AU"/>
              </w:rPr>
              <w:t>meeting the expected standard in national and international literacy and numeracy assessment</w:t>
            </w:r>
          </w:p>
          <w:p w14:paraId="163A1443" w14:textId="1C97F46A" w:rsidR="006016B9" w:rsidRPr="00DB79C1" w:rsidRDefault="006016B9" w:rsidP="005572D8">
            <w:pPr>
              <w:pStyle w:val="DETTablebulletlist"/>
              <w:tabs>
                <w:tab w:val="clear" w:pos="360"/>
              </w:tabs>
              <w:ind w:left="113" w:hanging="113"/>
              <w:rPr>
                <w:lang w:val="en-AU"/>
              </w:rPr>
            </w:pPr>
            <w:r w:rsidRPr="00CB7713">
              <w:t xml:space="preserve">Students meeting the expected standards </w:t>
            </w:r>
            <w:r w:rsidRPr="00DB79C1">
              <w:rPr>
                <w:lang w:val="en-AU"/>
              </w:rPr>
              <w:t>in other key learning areas, such as science, arts, history and ICT</w:t>
            </w:r>
          </w:p>
          <w:p w14:paraId="4D281239" w14:textId="7F9D6AF0" w:rsidR="006016B9" w:rsidRPr="00CB7713" w:rsidRDefault="006016B9" w:rsidP="005572D8">
            <w:pPr>
              <w:pStyle w:val="DETTablebulletlist"/>
              <w:tabs>
                <w:tab w:val="clear" w:pos="360"/>
              </w:tabs>
              <w:ind w:left="113" w:hanging="113"/>
            </w:pPr>
            <w:r w:rsidRPr="00CB7713">
              <w:t>Year 12 or equivalent completion rates of young people</w:t>
            </w:r>
          </w:p>
          <w:p w14:paraId="15500447" w14:textId="77777777" w:rsidR="006016B9" w:rsidRPr="00DB79C1" w:rsidRDefault="006016B9" w:rsidP="005572D8">
            <w:pPr>
              <w:pStyle w:val="DETTablebulletlist"/>
              <w:tabs>
                <w:tab w:val="clear" w:pos="360"/>
              </w:tabs>
              <w:ind w:left="113" w:hanging="113"/>
              <w:rPr>
                <w:lang w:val="en-AU"/>
              </w:rPr>
            </w:pPr>
            <w:r w:rsidRPr="00DB79C1">
              <w:rPr>
                <w:lang w:val="en-AU"/>
              </w:rPr>
              <w:t xml:space="preserve">VET course completions </w:t>
            </w:r>
          </w:p>
          <w:p w14:paraId="39C0DD07" w14:textId="60FF6BBE" w:rsidR="006016B9" w:rsidRPr="00DB79C1" w:rsidRDefault="006016B9" w:rsidP="005572D8">
            <w:pPr>
              <w:pStyle w:val="DETTablebulletlist"/>
              <w:tabs>
                <w:tab w:val="clear" w:pos="360"/>
              </w:tabs>
              <w:ind w:left="113" w:hanging="113"/>
              <w:rPr>
                <w:lang w:val="en-AU"/>
              </w:rPr>
            </w:pPr>
            <w:r w:rsidRPr="00CB7713">
              <w:t>Certificate III or above course completions</w:t>
            </w:r>
            <w:r w:rsidR="00D97B3D" w:rsidRPr="005C767D">
              <w:rPr>
                <w:lang w:val="en-AU"/>
              </w:rPr>
              <w:t>.</w:t>
            </w:r>
          </w:p>
        </w:tc>
        <w:tc>
          <w:tcPr>
            <w:tcW w:w="1667" w:type="pct"/>
            <w:tcBorders>
              <w:top w:val="nil"/>
              <w:left w:val="nil"/>
              <w:bottom w:val="single" w:sz="4" w:space="0" w:color="auto"/>
              <w:right w:val="nil"/>
            </w:tcBorders>
          </w:tcPr>
          <w:p w14:paraId="36EC2917" w14:textId="1B34BA71" w:rsidR="006016B9" w:rsidRPr="00CB7713" w:rsidRDefault="006016B9" w:rsidP="005572D8">
            <w:pPr>
              <w:pStyle w:val="DETTablebulletlist"/>
              <w:tabs>
                <w:tab w:val="clear" w:pos="360"/>
              </w:tabs>
              <w:ind w:left="113" w:hanging="113"/>
            </w:pPr>
            <w:r w:rsidRPr="00CB7713">
              <w:t>Strategy, Review and Regulation</w:t>
            </w:r>
          </w:p>
          <w:p w14:paraId="1CF11F24" w14:textId="03FE05AC" w:rsidR="006016B9" w:rsidRPr="00CB7713" w:rsidRDefault="006016B9" w:rsidP="005572D8">
            <w:pPr>
              <w:pStyle w:val="DETTablebulletlist"/>
              <w:tabs>
                <w:tab w:val="clear" w:pos="360"/>
              </w:tabs>
              <w:ind w:left="113" w:hanging="113"/>
            </w:pPr>
            <w:r w:rsidRPr="00CB7713">
              <w:t>Early Childhood Development</w:t>
            </w:r>
          </w:p>
          <w:p w14:paraId="69445C00" w14:textId="1BEEC827" w:rsidR="006016B9" w:rsidRPr="00CB7713" w:rsidRDefault="006016B9" w:rsidP="005572D8">
            <w:pPr>
              <w:pStyle w:val="DETTablebulletlist"/>
              <w:tabs>
                <w:tab w:val="clear" w:pos="360"/>
              </w:tabs>
              <w:ind w:left="113" w:hanging="113"/>
            </w:pPr>
            <w:r w:rsidRPr="00CB7713">
              <w:t>School Education—Primary</w:t>
            </w:r>
          </w:p>
          <w:p w14:paraId="7E8A677A" w14:textId="73D31865" w:rsidR="006016B9" w:rsidRPr="00CB7713" w:rsidRDefault="006016B9" w:rsidP="005572D8">
            <w:pPr>
              <w:pStyle w:val="DETTablebulletlist"/>
              <w:tabs>
                <w:tab w:val="clear" w:pos="360"/>
              </w:tabs>
              <w:ind w:left="113" w:hanging="113"/>
            </w:pPr>
            <w:r w:rsidRPr="00CB7713">
              <w:t>School Education—Secondary</w:t>
            </w:r>
          </w:p>
          <w:p w14:paraId="1EB0C0B6" w14:textId="37F7CCA6" w:rsidR="006016B9" w:rsidRPr="00CB7713" w:rsidRDefault="006016B9" w:rsidP="005572D8">
            <w:pPr>
              <w:pStyle w:val="DETTablebulletlist"/>
              <w:tabs>
                <w:tab w:val="clear" w:pos="360"/>
              </w:tabs>
              <w:ind w:left="113" w:hanging="113"/>
            </w:pPr>
            <w:r w:rsidRPr="00CB7713">
              <w:t>Support Services Delivery</w:t>
            </w:r>
          </w:p>
          <w:p w14:paraId="7DDDD6A9" w14:textId="06C28774" w:rsidR="006016B9" w:rsidRPr="00CB7713" w:rsidRDefault="006016B9" w:rsidP="005572D8">
            <w:pPr>
              <w:pStyle w:val="DETTablebulletlist"/>
              <w:tabs>
                <w:tab w:val="clear" w:pos="360"/>
              </w:tabs>
              <w:ind w:left="113" w:hanging="113"/>
            </w:pPr>
            <w:r w:rsidRPr="00CB7713">
              <w:t>Support for Students with Disabilities</w:t>
            </w:r>
          </w:p>
          <w:p w14:paraId="42811BB6" w14:textId="120F46AE" w:rsidR="006016B9" w:rsidRPr="00DB79C1" w:rsidRDefault="006016B9" w:rsidP="005572D8">
            <w:pPr>
              <w:pStyle w:val="DETTablebulletlist"/>
              <w:tabs>
                <w:tab w:val="clear" w:pos="360"/>
              </w:tabs>
              <w:ind w:left="113" w:hanging="113"/>
              <w:rPr>
                <w:lang w:val="en-AU"/>
              </w:rPr>
            </w:pPr>
            <w:r w:rsidRPr="00CB7713">
              <w:t>Higher Education and Skills</w:t>
            </w:r>
          </w:p>
        </w:tc>
      </w:tr>
      <w:tr w:rsidR="006016B9" w:rsidRPr="0087752B" w14:paraId="30836FBD" w14:textId="77777777" w:rsidTr="008B7D2C">
        <w:trPr>
          <w:cantSplit/>
          <w:trHeight w:val="454"/>
        </w:trPr>
        <w:tc>
          <w:tcPr>
            <w:tcW w:w="1666" w:type="pct"/>
            <w:tcBorders>
              <w:top w:val="single" w:sz="4" w:space="0" w:color="auto"/>
              <w:left w:val="nil"/>
              <w:bottom w:val="single" w:sz="4" w:space="0" w:color="auto"/>
              <w:right w:val="nil"/>
            </w:tcBorders>
          </w:tcPr>
          <w:p w14:paraId="1C77E9FC" w14:textId="77777777" w:rsidR="006016B9" w:rsidRPr="0087752B" w:rsidRDefault="006016B9" w:rsidP="00532EEF">
            <w:pPr>
              <w:pStyle w:val="DETTableTextFinancial"/>
              <w:rPr>
                <w:b/>
              </w:rPr>
            </w:pPr>
            <w:r w:rsidRPr="0087752B">
              <w:rPr>
                <w:b/>
              </w:rPr>
              <w:t>Engagement</w:t>
            </w:r>
          </w:p>
          <w:p w14:paraId="3F583AE5" w14:textId="377839FB" w:rsidR="006016B9" w:rsidRPr="0087752B" w:rsidRDefault="006016B9" w:rsidP="005572D8">
            <w:pPr>
              <w:pStyle w:val="DETTableTextFinancial"/>
            </w:pPr>
            <w:r w:rsidRPr="0087752B">
              <w:t>Increase the number of Victorians actively participating in education, training, development and child health services</w:t>
            </w:r>
            <w:r w:rsidR="00D97B3D" w:rsidRPr="0087752B">
              <w:t>.</w:t>
            </w:r>
          </w:p>
        </w:tc>
        <w:tc>
          <w:tcPr>
            <w:tcW w:w="1667" w:type="pct"/>
            <w:tcBorders>
              <w:top w:val="single" w:sz="4" w:space="0" w:color="auto"/>
              <w:left w:val="nil"/>
              <w:bottom w:val="single" w:sz="4" w:space="0" w:color="auto"/>
              <w:right w:val="nil"/>
            </w:tcBorders>
          </w:tcPr>
          <w:p w14:paraId="36D82E92" w14:textId="7279ECF3" w:rsidR="006016B9" w:rsidRPr="00E747C6" w:rsidRDefault="00E747C6" w:rsidP="005572D8">
            <w:pPr>
              <w:pStyle w:val="DETTablebulletlist"/>
              <w:tabs>
                <w:tab w:val="clear" w:pos="360"/>
              </w:tabs>
              <w:ind w:left="113" w:hanging="113"/>
              <w:rPr>
                <w:lang w:val="en-AU"/>
              </w:rPr>
            </w:pPr>
            <w:r>
              <w:rPr>
                <w:lang w:val="en-AU"/>
              </w:rPr>
              <w:t>P</w:t>
            </w:r>
            <w:r w:rsidR="00D97B3D" w:rsidRPr="00E747C6">
              <w:rPr>
                <w:lang w:val="en-AU"/>
              </w:rPr>
              <w:t xml:space="preserve">articipation </w:t>
            </w:r>
            <w:r w:rsidR="006016B9" w:rsidRPr="00E747C6">
              <w:rPr>
                <w:lang w:val="en-AU"/>
              </w:rPr>
              <w:t>in a kindergarten service in the year before school</w:t>
            </w:r>
          </w:p>
          <w:p w14:paraId="1E7F668A" w14:textId="0E6E66DE" w:rsidR="006016B9" w:rsidRPr="00E747C6" w:rsidRDefault="00E747C6" w:rsidP="005572D8">
            <w:pPr>
              <w:pStyle w:val="DETTablebulletlist"/>
              <w:tabs>
                <w:tab w:val="clear" w:pos="360"/>
              </w:tabs>
              <w:ind w:left="113" w:hanging="113"/>
              <w:rPr>
                <w:lang w:val="en-AU"/>
              </w:rPr>
            </w:pPr>
            <w:r>
              <w:rPr>
                <w:lang w:val="en-AU"/>
              </w:rPr>
              <w:t>P</w:t>
            </w:r>
            <w:r w:rsidR="00D97B3D" w:rsidRPr="00E747C6">
              <w:rPr>
                <w:lang w:val="en-AU"/>
              </w:rPr>
              <w:t xml:space="preserve">articipation </w:t>
            </w:r>
            <w:r w:rsidR="006016B9" w:rsidRPr="00E747C6">
              <w:rPr>
                <w:lang w:val="en-AU"/>
              </w:rPr>
              <w:t>in Maternal and Child Health Services</w:t>
            </w:r>
          </w:p>
          <w:p w14:paraId="188D8B43" w14:textId="441B7AF6"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tudents </w:t>
            </w:r>
            <w:r w:rsidR="006016B9" w:rsidRPr="00E747C6">
              <w:rPr>
                <w:lang w:val="en-AU"/>
              </w:rPr>
              <w:t>with acceptable levels of school attendance</w:t>
            </w:r>
          </w:p>
          <w:p w14:paraId="092435A0" w14:textId="3339FE8E"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tudents </w:t>
            </w:r>
            <w:r w:rsidR="006016B9" w:rsidRPr="00E747C6">
              <w:rPr>
                <w:lang w:val="en-AU"/>
              </w:rPr>
              <w:t>with a positive opinion of their school teachers providing a stimulating learning environment</w:t>
            </w:r>
          </w:p>
          <w:p w14:paraId="4D29FC03" w14:textId="77777777" w:rsidR="006016B9" w:rsidRPr="00E747C6" w:rsidRDefault="006016B9" w:rsidP="005572D8">
            <w:pPr>
              <w:pStyle w:val="DETTablebulletlist"/>
              <w:tabs>
                <w:tab w:val="clear" w:pos="360"/>
              </w:tabs>
              <w:ind w:left="113" w:hanging="113"/>
              <w:rPr>
                <w:lang w:val="en-AU"/>
              </w:rPr>
            </w:pPr>
            <w:r w:rsidRPr="00E747C6">
              <w:rPr>
                <w:lang w:val="en-AU"/>
              </w:rPr>
              <w:t>VET enrolments by age and gender</w:t>
            </w:r>
          </w:p>
          <w:p w14:paraId="5EB5E477" w14:textId="77777777" w:rsidR="006016B9" w:rsidRPr="00E747C6" w:rsidRDefault="006016B9" w:rsidP="005572D8">
            <w:pPr>
              <w:pStyle w:val="DETTablebulletlist"/>
              <w:tabs>
                <w:tab w:val="clear" w:pos="360"/>
              </w:tabs>
              <w:ind w:left="113" w:hanging="113"/>
              <w:rPr>
                <w:lang w:val="en-AU"/>
              </w:rPr>
            </w:pPr>
            <w:r w:rsidRPr="00E747C6">
              <w:rPr>
                <w:lang w:val="en-AU"/>
              </w:rPr>
              <w:t>VET enrolments by administrative regions</w:t>
            </w:r>
          </w:p>
          <w:p w14:paraId="030AA038" w14:textId="77777777" w:rsidR="006016B9" w:rsidRPr="00E747C6" w:rsidRDefault="006016B9" w:rsidP="005572D8">
            <w:pPr>
              <w:pStyle w:val="DETTablebulletlist"/>
              <w:tabs>
                <w:tab w:val="clear" w:pos="360"/>
              </w:tabs>
              <w:ind w:left="113" w:hanging="113"/>
              <w:rPr>
                <w:lang w:val="en-AU"/>
              </w:rPr>
            </w:pPr>
            <w:r w:rsidRPr="00E747C6">
              <w:rPr>
                <w:lang w:val="en-AU"/>
              </w:rPr>
              <w:t>VET enrolments by skills shortage category courses</w:t>
            </w:r>
          </w:p>
          <w:p w14:paraId="49B148E7" w14:textId="77777777" w:rsidR="006016B9" w:rsidRPr="00E747C6" w:rsidRDefault="006016B9" w:rsidP="005572D8">
            <w:pPr>
              <w:pStyle w:val="DETTablebulletlist"/>
              <w:tabs>
                <w:tab w:val="clear" w:pos="360"/>
              </w:tabs>
              <w:ind w:left="113" w:hanging="113"/>
              <w:rPr>
                <w:lang w:val="en-AU"/>
              </w:rPr>
            </w:pPr>
            <w:r w:rsidRPr="00E747C6">
              <w:rPr>
                <w:lang w:val="en-AU"/>
              </w:rPr>
              <w:t>VET enrolments by specialised category courses</w:t>
            </w:r>
          </w:p>
          <w:p w14:paraId="3146A77A" w14:textId="77777777" w:rsidR="006016B9" w:rsidRPr="00E747C6" w:rsidRDefault="006016B9" w:rsidP="005572D8">
            <w:pPr>
              <w:pStyle w:val="DETTablebulletlist"/>
              <w:tabs>
                <w:tab w:val="clear" w:pos="360"/>
              </w:tabs>
              <w:ind w:left="113" w:hanging="113"/>
              <w:rPr>
                <w:lang w:val="en-AU"/>
              </w:rPr>
            </w:pPr>
            <w:r w:rsidRPr="00E747C6">
              <w:rPr>
                <w:lang w:val="en-AU"/>
              </w:rPr>
              <w:t>VET participation by learners facing barriers</w:t>
            </w:r>
          </w:p>
          <w:p w14:paraId="7E93D0D4" w14:textId="711BF35E" w:rsidR="006016B9" w:rsidRPr="00E747C6" w:rsidRDefault="006016B9" w:rsidP="005572D8">
            <w:pPr>
              <w:pStyle w:val="DETTablebulletlist"/>
              <w:tabs>
                <w:tab w:val="clear" w:pos="360"/>
              </w:tabs>
              <w:ind w:left="113" w:hanging="113"/>
              <w:rPr>
                <w:lang w:val="en-AU"/>
              </w:rPr>
            </w:pPr>
            <w:r w:rsidRPr="00E747C6">
              <w:rPr>
                <w:lang w:val="en-AU"/>
              </w:rPr>
              <w:t>VET participation by unemployed learners</w:t>
            </w:r>
            <w:r w:rsidR="00D97B3D" w:rsidRPr="005C767D">
              <w:rPr>
                <w:lang w:val="en-AU"/>
              </w:rPr>
              <w:t>.</w:t>
            </w:r>
          </w:p>
        </w:tc>
        <w:tc>
          <w:tcPr>
            <w:tcW w:w="1667" w:type="pct"/>
            <w:tcBorders>
              <w:top w:val="single" w:sz="4" w:space="0" w:color="auto"/>
              <w:left w:val="nil"/>
              <w:bottom w:val="single" w:sz="4" w:space="0" w:color="auto"/>
              <w:right w:val="nil"/>
            </w:tcBorders>
          </w:tcPr>
          <w:p w14:paraId="07BF493C" w14:textId="1A225F72"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trategy</w:t>
            </w:r>
            <w:r w:rsidR="006016B9" w:rsidRPr="00E747C6">
              <w:rPr>
                <w:lang w:val="en-AU"/>
              </w:rPr>
              <w:t xml:space="preserve">, </w:t>
            </w:r>
            <w:r w:rsidR="00D97B3D" w:rsidRPr="005C767D">
              <w:rPr>
                <w:lang w:val="en-AU"/>
              </w:rPr>
              <w:t>r</w:t>
            </w:r>
            <w:r w:rsidR="00D97B3D" w:rsidRPr="00E747C6">
              <w:rPr>
                <w:lang w:val="en-AU"/>
              </w:rPr>
              <w:t xml:space="preserve">eview </w:t>
            </w:r>
            <w:r w:rsidR="006016B9" w:rsidRPr="00E747C6">
              <w:rPr>
                <w:lang w:val="en-AU"/>
              </w:rPr>
              <w:t xml:space="preserve">and </w:t>
            </w:r>
            <w:r w:rsidR="00D97B3D" w:rsidRPr="005C767D">
              <w:rPr>
                <w:lang w:val="en-AU"/>
              </w:rPr>
              <w:t>r</w:t>
            </w:r>
            <w:r w:rsidR="00D97B3D" w:rsidRPr="00E747C6">
              <w:rPr>
                <w:lang w:val="en-AU"/>
              </w:rPr>
              <w:t>egulation</w:t>
            </w:r>
          </w:p>
          <w:p w14:paraId="50692BC8" w14:textId="7378530D" w:rsidR="006016B9" w:rsidRPr="00E747C6" w:rsidRDefault="008B5430" w:rsidP="005572D8">
            <w:pPr>
              <w:pStyle w:val="DETTablebulletlist"/>
              <w:tabs>
                <w:tab w:val="clear" w:pos="360"/>
              </w:tabs>
              <w:ind w:left="113" w:hanging="113"/>
              <w:rPr>
                <w:lang w:val="en-AU"/>
              </w:rPr>
            </w:pPr>
            <w:r>
              <w:rPr>
                <w:lang w:val="en-AU"/>
              </w:rPr>
              <w:t>E</w:t>
            </w:r>
            <w:r w:rsidR="00D97B3D" w:rsidRPr="00E747C6">
              <w:rPr>
                <w:lang w:val="en-AU"/>
              </w:rPr>
              <w:t xml:space="preserve">arly </w:t>
            </w:r>
            <w:r w:rsidR="00D97B3D" w:rsidRPr="005C767D">
              <w:rPr>
                <w:lang w:val="en-AU"/>
              </w:rPr>
              <w:t>c</w:t>
            </w:r>
            <w:r w:rsidR="00D97B3D" w:rsidRPr="00E747C6">
              <w:rPr>
                <w:lang w:val="en-AU"/>
              </w:rPr>
              <w:t xml:space="preserve">hildhood </w:t>
            </w:r>
            <w:r w:rsidR="00D97B3D" w:rsidRPr="005C767D">
              <w:rPr>
                <w:lang w:val="en-AU"/>
              </w:rPr>
              <w:t>d</w:t>
            </w:r>
            <w:r w:rsidR="00D97B3D" w:rsidRPr="00E747C6">
              <w:rPr>
                <w:lang w:val="en-AU"/>
              </w:rPr>
              <w:t>evelopment</w:t>
            </w:r>
          </w:p>
          <w:p w14:paraId="6DC17F34" w14:textId="1042F5AD"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chool </w:t>
            </w:r>
            <w:r w:rsidR="00D97B3D" w:rsidRPr="005C767D">
              <w:rPr>
                <w:lang w:val="en-AU"/>
              </w:rPr>
              <w:t>e</w:t>
            </w:r>
            <w:r w:rsidR="00D97B3D" w:rsidRPr="00E747C6">
              <w:rPr>
                <w:lang w:val="en-AU"/>
              </w:rPr>
              <w:t>ducation</w:t>
            </w:r>
            <w:r w:rsidR="006016B9" w:rsidRPr="00E747C6">
              <w:rPr>
                <w:lang w:val="en-AU"/>
              </w:rPr>
              <w:t>—</w:t>
            </w:r>
            <w:r w:rsidR="00D97B3D" w:rsidRPr="005C767D">
              <w:rPr>
                <w:lang w:val="en-AU"/>
              </w:rPr>
              <w:t>p</w:t>
            </w:r>
            <w:r w:rsidR="00D97B3D" w:rsidRPr="00E747C6">
              <w:rPr>
                <w:lang w:val="en-AU"/>
              </w:rPr>
              <w:t>rimary</w:t>
            </w:r>
          </w:p>
          <w:p w14:paraId="3339EF25" w14:textId="7D041248"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chool </w:t>
            </w:r>
            <w:r w:rsidR="00D97B3D" w:rsidRPr="005C767D">
              <w:rPr>
                <w:lang w:val="en-AU"/>
              </w:rPr>
              <w:t>e</w:t>
            </w:r>
            <w:r w:rsidR="00D97B3D" w:rsidRPr="00E747C6">
              <w:rPr>
                <w:lang w:val="en-AU"/>
              </w:rPr>
              <w:t>ducation</w:t>
            </w:r>
            <w:r w:rsidR="006016B9" w:rsidRPr="00E747C6">
              <w:rPr>
                <w:lang w:val="en-AU"/>
              </w:rPr>
              <w:t>—</w:t>
            </w:r>
            <w:r w:rsidR="00D97B3D" w:rsidRPr="005C767D">
              <w:rPr>
                <w:lang w:val="en-AU"/>
              </w:rPr>
              <w:t>s</w:t>
            </w:r>
            <w:r w:rsidR="00D97B3D" w:rsidRPr="00E747C6">
              <w:rPr>
                <w:lang w:val="en-AU"/>
              </w:rPr>
              <w:t>econdary</w:t>
            </w:r>
          </w:p>
          <w:p w14:paraId="50981EA7" w14:textId="30B95ADB"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upport </w:t>
            </w:r>
            <w:r w:rsidR="00D97B3D" w:rsidRPr="005C767D">
              <w:rPr>
                <w:lang w:val="en-AU"/>
              </w:rPr>
              <w:t>s</w:t>
            </w:r>
            <w:r w:rsidR="00D97B3D" w:rsidRPr="00E747C6">
              <w:rPr>
                <w:lang w:val="en-AU"/>
              </w:rPr>
              <w:t xml:space="preserve">ervices </w:t>
            </w:r>
            <w:r w:rsidR="00D97B3D" w:rsidRPr="005C767D">
              <w:rPr>
                <w:lang w:val="en-AU"/>
              </w:rPr>
              <w:t>d</w:t>
            </w:r>
            <w:r w:rsidR="00D97B3D" w:rsidRPr="00E747C6">
              <w:rPr>
                <w:lang w:val="en-AU"/>
              </w:rPr>
              <w:t>elivery</w:t>
            </w:r>
          </w:p>
          <w:p w14:paraId="76DCE00E" w14:textId="64CE77F4" w:rsidR="006016B9" w:rsidRPr="00E747C6" w:rsidRDefault="00E747C6" w:rsidP="005572D8">
            <w:pPr>
              <w:pStyle w:val="DETTablebulletlist"/>
              <w:tabs>
                <w:tab w:val="clear" w:pos="360"/>
              </w:tabs>
              <w:ind w:left="113" w:hanging="113"/>
              <w:rPr>
                <w:lang w:val="en-AU"/>
              </w:rPr>
            </w:pPr>
            <w:r>
              <w:rPr>
                <w:lang w:val="en-AU"/>
              </w:rPr>
              <w:t>S</w:t>
            </w:r>
            <w:r w:rsidR="00D97B3D" w:rsidRPr="00E747C6">
              <w:rPr>
                <w:lang w:val="en-AU"/>
              </w:rPr>
              <w:t xml:space="preserve">upport </w:t>
            </w:r>
            <w:r w:rsidR="006016B9" w:rsidRPr="00E747C6">
              <w:rPr>
                <w:lang w:val="en-AU"/>
              </w:rPr>
              <w:t xml:space="preserve">for </w:t>
            </w:r>
            <w:r w:rsidR="00D97B3D" w:rsidRPr="005C767D">
              <w:rPr>
                <w:lang w:val="en-AU"/>
              </w:rPr>
              <w:t>st</w:t>
            </w:r>
            <w:r w:rsidR="00D97B3D" w:rsidRPr="00E747C6">
              <w:rPr>
                <w:lang w:val="en-AU"/>
              </w:rPr>
              <w:t xml:space="preserve">udents </w:t>
            </w:r>
            <w:r w:rsidR="006016B9" w:rsidRPr="00E747C6">
              <w:rPr>
                <w:lang w:val="en-AU"/>
              </w:rPr>
              <w:t xml:space="preserve">with </w:t>
            </w:r>
            <w:r w:rsidR="00D97B3D" w:rsidRPr="005C767D">
              <w:rPr>
                <w:lang w:val="en-AU"/>
              </w:rPr>
              <w:t>d</w:t>
            </w:r>
            <w:r w:rsidR="00D97B3D" w:rsidRPr="00E747C6">
              <w:rPr>
                <w:lang w:val="en-AU"/>
              </w:rPr>
              <w:t>isabilities</w:t>
            </w:r>
          </w:p>
          <w:p w14:paraId="128C6ECD" w14:textId="286B4902" w:rsidR="006016B9" w:rsidRPr="00E747C6" w:rsidRDefault="00E747C6" w:rsidP="005572D8">
            <w:pPr>
              <w:pStyle w:val="DETTablebulletlist"/>
              <w:tabs>
                <w:tab w:val="clear" w:pos="360"/>
              </w:tabs>
              <w:ind w:left="113" w:hanging="113"/>
              <w:rPr>
                <w:lang w:val="en-AU"/>
              </w:rPr>
            </w:pPr>
            <w:r>
              <w:rPr>
                <w:lang w:val="en-AU"/>
              </w:rPr>
              <w:t>H</w:t>
            </w:r>
            <w:r w:rsidR="00D97B3D" w:rsidRPr="00E747C6">
              <w:rPr>
                <w:lang w:val="en-AU"/>
              </w:rPr>
              <w:t xml:space="preserve">igher </w:t>
            </w:r>
            <w:r w:rsidR="00D97B3D" w:rsidRPr="005C767D">
              <w:rPr>
                <w:lang w:val="en-AU"/>
              </w:rPr>
              <w:t>e</w:t>
            </w:r>
            <w:r w:rsidR="00D97B3D" w:rsidRPr="00E747C6">
              <w:rPr>
                <w:lang w:val="en-AU"/>
              </w:rPr>
              <w:t xml:space="preserve">ducation </w:t>
            </w:r>
            <w:r w:rsidR="006016B9" w:rsidRPr="00E747C6">
              <w:rPr>
                <w:lang w:val="en-AU"/>
              </w:rPr>
              <w:t xml:space="preserve">and </w:t>
            </w:r>
            <w:r w:rsidR="00D97B3D" w:rsidRPr="005C767D">
              <w:rPr>
                <w:lang w:val="en-AU"/>
              </w:rPr>
              <w:t>s</w:t>
            </w:r>
            <w:r w:rsidR="00D97B3D" w:rsidRPr="00E747C6">
              <w:rPr>
                <w:lang w:val="en-AU"/>
              </w:rPr>
              <w:t>kills</w:t>
            </w:r>
            <w:r w:rsidR="00D97B3D" w:rsidRPr="005C767D">
              <w:rPr>
                <w:lang w:val="en-AU"/>
              </w:rPr>
              <w:t>.</w:t>
            </w:r>
          </w:p>
        </w:tc>
      </w:tr>
      <w:tr w:rsidR="006016B9" w:rsidRPr="0087752B" w14:paraId="77DC1DB0" w14:textId="77777777" w:rsidTr="001D6D97">
        <w:trPr>
          <w:cantSplit/>
          <w:trHeight w:val="454"/>
        </w:trPr>
        <w:tc>
          <w:tcPr>
            <w:tcW w:w="1666" w:type="pct"/>
            <w:tcBorders>
              <w:top w:val="single" w:sz="4" w:space="0" w:color="auto"/>
              <w:left w:val="nil"/>
              <w:bottom w:val="single" w:sz="4" w:space="0" w:color="auto"/>
              <w:right w:val="nil"/>
            </w:tcBorders>
            <w:shd w:val="clear" w:color="auto" w:fill="auto"/>
          </w:tcPr>
          <w:p w14:paraId="3D626127" w14:textId="77777777" w:rsidR="006016B9" w:rsidRPr="0087752B" w:rsidRDefault="006016B9" w:rsidP="001D6D97">
            <w:pPr>
              <w:pStyle w:val="DETTableTextFinancial"/>
              <w:rPr>
                <w:b/>
              </w:rPr>
            </w:pPr>
            <w:r w:rsidRPr="0087752B">
              <w:rPr>
                <w:b/>
              </w:rPr>
              <w:t>Wellbeing</w:t>
            </w:r>
          </w:p>
          <w:p w14:paraId="0235F78E" w14:textId="03E02493" w:rsidR="006016B9" w:rsidRPr="0087752B" w:rsidRDefault="006016B9" w:rsidP="005572D8">
            <w:pPr>
              <w:pStyle w:val="DETTableTextFinancial"/>
            </w:pPr>
            <w:r w:rsidRPr="0087752B">
              <w:t>Increase the contribution education, training, development and child health services make to good health and quality of life of Victorians, particularly children and young people</w:t>
            </w:r>
            <w:r w:rsidR="00D97B3D" w:rsidRPr="0087752B">
              <w:t>.</w:t>
            </w:r>
          </w:p>
        </w:tc>
        <w:tc>
          <w:tcPr>
            <w:tcW w:w="1667" w:type="pct"/>
            <w:tcBorders>
              <w:top w:val="single" w:sz="4" w:space="0" w:color="auto"/>
              <w:left w:val="nil"/>
              <w:bottom w:val="single" w:sz="4" w:space="0" w:color="auto"/>
              <w:right w:val="nil"/>
            </w:tcBorders>
            <w:shd w:val="clear" w:color="auto" w:fill="auto"/>
          </w:tcPr>
          <w:p w14:paraId="6B66A2A7" w14:textId="614B2BE7" w:rsidR="006016B9" w:rsidRPr="008B5430" w:rsidRDefault="008B5430" w:rsidP="008B5430">
            <w:pPr>
              <w:pStyle w:val="DETTablebulletlist"/>
              <w:tabs>
                <w:tab w:val="clear" w:pos="360"/>
              </w:tabs>
              <w:ind w:left="113" w:hanging="113"/>
              <w:rPr>
                <w:lang w:val="en-AU"/>
              </w:rPr>
            </w:pPr>
            <w:r>
              <w:rPr>
                <w:lang w:val="en-AU"/>
              </w:rPr>
              <w:t>P</w:t>
            </w:r>
            <w:r w:rsidR="00D97B3D" w:rsidRPr="008B5430">
              <w:rPr>
                <w:lang w:val="en-AU"/>
              </w:rPr>
              <w:t xml:space="preserve">roportion </w:t>
            </w:r>
            <w:r w:rsidR="006016B9" w:rsidRPr="008B5430">
              <w:rPr>
                <w:lang w:val="en-AU"/>
              </w:rPr>
              <w:t>of infants fully or partially breastfeed at three and six months</w:t>
            </w:r>
          </w:p>
          <w:p w14:paraId="5B7AD6FB" w14:textId="76449685" w:rsidR="006016B9" w:rsidRPr="008B5430" w:rsidRDefault="008B5430" w:rsidP="008B5430">
            <w:pPr>
              <w:pStyle w:val="DETTablebulletlist"/>
              <w:tabs>
                <w:tab w:val="clear" w:pos="360"/>
              </w:tabs>
              <w:ind w:left="113" w:hanging="113"/>
              <w:rPr>
                <w:lang w:val="en-AU"/>
              </w:rPr>
            </w:pPr>
            <w:r>
              <w:rPr>
                <w:lang w:val="en-AU"/>
              </w:rPr>
              <w:t>C</w:t>
            </w:r>
            <w:r w:rsidR="00D97B3D" w:rsidRPr="008B5430">
              <w:rPr>
                <w:lang w:val="en-AU"/>
              </w:rPr>
              <w:t xml:space="preserve">hildren </w:t>
            </w:r>
            <w:r w:rsidR="006016B9" w:rsidRPr="008B5430">
              <w:rPr>
                <w:lang w:val="en-AU"/>
              </w:rPr>
              <w:t xml:space="preserve">who have no development or behavioural issues on entry into </w:t>
            </w:r>
            <w:r w:rsidR="00FD0018" w:rsidRPr="005C767D">
              <w:rPr>
                <w:lang w:val="en-AU"/>
              </w:rPr>
              <w:t>P</w:t>
            </w:r>
            <w:r w:rsidR="00D97B3D" w:rsidRPr="008B5430">
              <w:rPr>
                <w:lang w:val="en-AU"/>
              </w:rPr>
              <w:t>rep</w:t>
            </w:r>
          </w:p>
          <w:p w14:paraId="129644C3" w14:textId="6D3CA02C" w:rsidR="006016B9" w:rsidRPr="008B5430" w:rsidRDefault="008B5430" w:rsidP="008B5430">
            <w:pPr>
              <w:pStyle w:val="DETTablebulletlist"/>
              <w:tabs>
                <w:tab w:val="clear" w:pos="360"/>
              </w:tabs>
              <w:ind w:left="113" w:hanging="113"/>
              <w:rPr>
                <w:lang w:val="en-AU"/>
              </w:rPr>
            </w:pPr>
            <w:r>
              <w:rPr>
                <w:lang w:val="en-AU"/>
              </w:rPr>
              <w:t>C</w:t>
            </w:r>
            <w:r w:rsidR="00D97B3D" w:rsidRPr="008B5430">
              <w:rPr>
                <w:lang w:val="en-AU"/>
              </w:rPr>
              <w:t xml:space="preserve">hildren </w:t>
            </w:r>
            <w:r w:rsidR="006016B9" w:rsidRPr="008B5430">
              <w:rPr>
                <w:lang w:val="en-AU"/>
              </w:rPr>
              <w:t>developmentally ‘on track’ on the Australian Early Development Index social competence and emotional maturity domains</w:t>
            </w:r>
          </w:p>
          <w:p w14:paraId="29D89DB2" w14:textId="59DF8173" w:rsidR="006016B9" w:rsidRPr="008B5430" w:rsidRDefault="008B5430" w:rsidP="008B5430">
            <w:pPr>
              <w:pStyle w:val="DETTablebulletlist"/>
              <w:tabs>
                <w:tab w:val="clear" w:pos="360"/>
              </w:tabs>
              <w:ind w:left="113" w:hanging="113"/>
              <w:rPr>
                <w:lang w:val="en-AU"/>
              </w:rPr>
            </w:pPr>
            <w:r>
              <w:rPr>
                <w:lang w:val="en-AU"/>
              </w:rPr>
              <w:t>S</w:t>
            </w:r>
            <w:r w:rsidR="00D97B3D" w:rsidRPr="008B5430">
              <w:rPr>
                <w:lang w:val="en-AU"/>
              </w:rPr>
              <w:t xml:space="preserve">tudents </w:t>
            </w:r>
            <w:r w:rsidR="006016B9" w:rsidRPr="008B5430">
              <w:rPr>
                <w:lang w:val="en-AU"/>
              </w:rPr>
              <w:t>feeling connected to their school</w:t>
            </w:r>
          </w:p>
          <w:p w14:paraId="7626799F" w14:textId="2782443B" w:rsidR="006016B9" w:rsidRPr="008B5430" w:rsidRDefault="008B5430" w:rsidP="008B5430">
            <w:pPr>
              <w:pStyle w:val="DETTablebulletlist"/>
              <w:tabs>
                <w:tab w:val="clear" w:pos="360"/>
              </w:tabs>
              <w:ind w:left="113" w:hanging="113"/>
              <w:rPr>
                <w:lang w:val="en-AU"/>
              </w:rPr>
            </w:pPr>
            <w:r>
              <w:rPr>
                <w:lang w:val="en-AU"/>
              </w:rPr>
              <w:t>S</w:t>
            </w:r>
            <w:r w:rsidR="00D97B3D" w:rsidRPr="008B5430">
              <w:rPr>
                <w:lang w:val="en-AU"/>
              </w:rPr>
              <w:t xml:space="preserve">tudents </w:t>
            </w:r>
            <w:r w:rsidR="006016B9" w:rsidRPr="008B5430">
              <w:rPr>
                <w:lang w:val="en-AU"/>
              </w:rPr>
              <w:t>with a positive opinion about their school providing a safe and orderly environment for learning</w:t>
            </w:r>
          </w:p>
          <w:p w14:paraId="3D14BF4C" w14:textId="55E4ED7B" w:rsidR="006016B9" w:rsidRPr="008B5430" w:rsidRDefault="008B5430" w:rsidP="008B5430">
            <w:pPr>
              <w:pStyle w:val="DETTablebulletlist"/>
              <w:tabs>
                <w:tab w:val="clear" w:pos="360"/>
              </w:tabs>
              <w:ind w:left="113" w:hanging="113"/>
              <w:rPr>
                <w:lang w:val="en-AU"/>
              </w:rPr>
            </w:pPr>
            <w:r>
              <w:rPr>
                <w:lang w:val="en-AU"/>
              </w:rPr>
              <w:t>L</w:t>
            </w:r>
            <w:r w:rsidR="00D97B3D" w:rsidRPr="008B5430">
              <w:rPr>
                <w:lang w:val="en-AU"/>
              </w:rPr>
              <w:t xml:space="preserve">evel </w:t>
            </w:r>
            <w:r w:rsidR="006016B9" w:rsidRPr="008B5430">
              <w:rPr>
                <w:lang w:val="en-AU"/>
              </w:rPr>
              <w:t>of student satisfaction with VET</w:t>
            </w:r>
            <w:r w:rsidR="00D97B3D" w:rsidRPr="005C767D">
              <w:rPr>
                <w:lang w:val="en-AU"/>
              </w:rPr>
              <w:t>.</w:t>
            </w:r>
          </w:p>
        </w:tc>
        <w:tc>
          <w:tcPr>
            <w:tcW w:w="1667" w:type="pct"/>
            <w:tcBorders>
              <w:top w:val="single" w:sz="4" w:space="0" w:color="auto"/>
              <w:left w:val="nil"/>
              <w:bottom w:val="single" w:sz="4" w:space="0" w:color="auto"/>
              <w:right w:val="nil"/>
            </w:tcBorders>
            <w:shd w:val="clear" w:color="auto" w:fill="auto"/>
          </w:tcPr>
          <w:p w14:paraId="5FFBAE3C" w14:textId="3C80B5DD" w:rsidR="006016B9" w:rsidRPr="008B5430" w:rsidRDefault="008B5430" w:rsidP="00DC29DC">
            <w:pPr>
              <w:pStyle w:val="DETTablebulletlist"/>
              <w:tabs>
                <w:tab w:val="clear" w:pos="360"/>
              </w:tabs>
              <w:ind w:left="113" w:hanging="113"/>
              <w:rPr>
                <w:lang w:val="en-AU"/>
              </w:rPr>
            </w:pPr>
            <w:r>
              <w:rPr>
                <w:lang w:val="en-AU"/>
              </w:rPr>
              <w:t>S</w:t>
            </w:r>
            <w:r w:rsidR="00D97B3D" w:rsidRPr="008B5430">
              <w:rPr>
                <w:lang w:val="en-AU"/>
              </w:rPr>
              <w:t>trategy</w:t>
            </w:r>
            <w:r w:rsidR="006016B9" w:rsidRPr="008B5430">
              <w:rPr>
                <w:lang w:val="en-AU"/>
              </w:rPr>
              <w:t xml:space="preserve">, </w:t>
            </w:r>
            <w:r w:rsidR="00D97B3D" w:rsidRPr="005C767D">
              <w:rPr>
                <w:lang w:val="en-AU"/>
              </w:rPr>
              <w:t>r</w:t>
            </w:r>
            <w:r w:rsidR="00D97B3D" w:rsidRPr="008B5430">
              <w:rPr>
                <w:lang w:val="en-AU"/>
              </w:rPr>
              <w:t xml:space="preserve">eview </w:t>
            </w:r>
            <w:r w:rsidR="006016B9" w:rsidRPr="008B5430">
              <w:rPr>
                <w:lang w:val="en-AU"/>
              </w:rPr>
              <w:t xml:space="preserve">and </w:t>
            </w:r>
            <w:r w:rsidR="00D97B3D" w:rsidRPr="005C767D">
              <w:rPr>
                <w:lang w:val="en-AU"/>
              </w:rPr>
              <w:t>r</w:t>
            </w:r>
            <w:r w:rsidR="00D97B3D" w:rsidRPr="008B5430">
              <w:rPr>
                <w:lang w:val="en-AU"/>
              </w:rPr>
              <w:t>egulation</w:t>
            </w:r>
          </w:p>
          <w:p w14:paraId="555815A7" w14:textId="11457100" w:rsidR="006016B9" w:rsidRPr="008B5430" w:rsidRDefault="008B5430" w:rsidP="00DC29DC">
            <w:pPr>
              <w:pStyle w:val="DETTablebulletlist"/>
              <w:tabs>
                <w:tab w:val="clear" w:pos="360"/>
              </w:tabs>
              <w:ind w:left="113" w:hanging="113"/>
              <w:rPr>
                <w:lang w:val="en-AU"/>
              </w:rPr>
            </w:pPr>
            <w:r>
              <w:rPr>
                <w:lang w:val="en-AU"/>
              </w:rPr>
              <w:t>E</w:t>
            </w:r>
            <w:r w:rsidR="00D97B3D" w:rsidRPr="008B5430">
              <w:rPr>
                <w:lang w:val="en-AU"/>
              </w:rPr>
              <w:t xml:space="preserve">arly </w:t>
            </w:r>
            <w:r w:rsidR="00D97B3D" w:rsidRPr="005C767D">
              <w:rPr>
                <w:lang w:val="en-AU"/>
              </w:rPr>
              <w:t>c</w:t>
            </w:r>
            <w:r w:rsidR="00D97B3D" w:rsidRPr="008B5430">
              <w:rPr>
                <w:lang w:val="en-AU"/>
              </w:rPr>
              <w:t xml:space="preserve">hildhood </w:t>
            </w:r>
            <w:r w:rsidR="00D97B3D" w:rsidRPr="005C767D">
              <w:rPr>
                <w:lang w:val="en-AU"/>
              </w:rPr>
              <w:t>d</w:t>
            </w:r>
            <w:r w:rsidR="00D97B3D" w:rsidRPr="008B5430">
              <w:rPr>
                <w:lang w:val="en-AU"/>
              </w:rPr>
              <w:t>evelopment</w:t>
            </w:r>
          </w:p>
          <w:p w14:paraId="2F438A0D" w14:textId="5A7915F9" w:rsidR="006016B9" w:rsidRPr="008B5430" w:rsidRDefault="008B5430" w:rsidP="00DC29DC">
            <w:pPr>
              <w:pStyle w:val="DETTablebulletlist"/>
              <w:tabs>
                <w:tab w:val="clear" w:pos="360"/>
              </w:tabs>
              <w:ind w:left="113" w:hanging="113"/>
              <w:rPr>
                <w:lang w:val="en-AU"/>
              </w:rPr>
            </w:pPr>
            <w:r>
              <w:rPr>
                <w:lang w:val="en-AU"/>
              </w:rPr>
              <w:t>S</w:t>
            </w:r>
            <w:r w:rsidR="00D97B3D" w:rsidRPr="008B5430">
              <w:rPr>
                <w:lang w:val="en-AU"/>
              </w:rPr>
              <w:t xml:space="preserve">chool </w:t>
            </w:r>
            <w:r w:rsidR="00D97B3D" w:rsidRPr="005C767D">
              <w:rPr>
                <w:lang w:val="en-AU"/>
              </w:rPr>
              <w:t>e</w:t>
            </w:r>
            <w:r w:rsidR="00D97B3D" w:rsidRPr="008B5430">
              <w:rPr>
                <w:lang w:val="en-AU"/>
              </w:rPr>
              <w:t>ducation</w:t>
            </w:r>
            <w:r w:rsidR="006016B9" w:rsidRPr="008B5430">
              <w:rPr>
                <w:lang w:val="en-AU"/>
              </w:rPr>
              <w:t>—</w:t>
            </w:r>
            <w:r w:rsidR="00D97B3D" w:rsidRPr="005C767D">
              <w:rPr>
                <w:lang w:val="en-AU"/>
              </w:rPr>
              <w:t>p</w:t>
            </w:r>
            <w:r w:rsidR="00D97B3D" w:rsidRPr="008B5430">
              <w:rPr>
                <w:lang w:val="en-AU"/>
              </w:rPr>
              <w:t>rimary</w:t>
            </w:r>
          </w:p>
          <w:p w14:paraId="4D13DB28" w14:textId="0941816D" w:rsidR="006016B9" w:rsidRPr="008B5430" w:rsidRDefault="008B5430" w:rsidP="00DC29DC">
            <w:pPr>
              <w:pStyle w:val="DETTablebulletlist"/>
              <w:tabs>
                <w:tab w:val="clear" w:pos="360"/>
              </w:tabs>
              <w:ind w:left="113" w:hanging="113"/>
              <w:rPr>
                <w:lang w:val="en-AU"/>
              </w:rPr>
            </w:pPr>
            <w:r>
              <w:rPr>
                <w:lang w:val="en-AU"/>
              </w:rPr>
              <w:t>S</w:t>
            </w:r>
            <w:r w:rsidR="00D97B3D" w:rsidRPr="008B5430">
              <w:rPr>
                <w:lang w:val="en-AU"/>
              </w:rPr>
              <w:t xml:space="preserve">chool </w:t>
            </w:r>
            <w:r w:rsidR="00D97B3D" w:rsidRPr="005C767D">
              <w:rPr>
                <w:lang w:val="en-AU"/>
              </w:rPr>
              <w:t>e</w:t>
            </w:r>
            <w:r w:rsidR="00D97B3D" w:rsidRPr="008B5430">
              <w:rPr>
                <w:lang w:val="en-AU"/>
              </w:rPr>
              <w:t>ducation</w:t>
            </w:r>
            <w:r w:rsidR="006016B9" w:rsidRPr="008B5430">
              <w:rPr>
                <w:lang w:val="en-AU"/>
              </w:rPr>
              <w:t>—</w:t>
            </w:r>
            <w:r w:rsidR="00D97B3D" w:rsidRPr="005C767D">
              <w:rPr>
                <w:lang w:val="en-AU"/>
              </w:rPr>
              <w:t>s</w:t>
            </w:r>
            <w:r w:rsidR="00D97B3D" w:rsidRPr="008B5430">
              <w:rPr>
                <w:lang w:val="en-AU"/>
              </w:rPr>
              <w:t>econdary</w:t>
            </w:r>
          </w:p>
          <w:p w14:paraId="0DCB5D7C" w14:textId="6F4FFCCB" w:rsidR="006016B9" w:rsidRPr="008B5430" w:rsidRDefault="008B5430" w:rsidP="00DC29DC">
            <w:pPr>
              <w:pStyle w:val="DETTablebulletlist"/>
              <w:tabs>
                <w:tab w:val="clear" w:pos="360"/>
              </w:tabs>
              <w:ind w:left="113" w:hanging="113"/>
              <w:rPr>
                <w:lang w:val="en-AU"/>
              </w:rPr>
            </w:pPr>
            <w:r>
              <w:rPr>
                <w:lang w:val="en-AU"/>
              </w:rPr>
              <w:t>S</w:t>
            </w:r>
            <w:r w:rsidR="00D97B3D" w:rsidRPr="008B5430">
              <w:rPr>
                <w:lang w:val="en-AU"/>
              </w:rPr>
              <w:t xml:space="preserve">upport </w:t>
            </w:r>
            <w:r w:rsidR="00D97B3D" w:rsidRPr="005C767D">
              <w:rPr>
                <w:lang w:val="en-AU"/>
              </w:rPr>
              <w:t>s</w:t>
            </w:r>
            <w:r w:rsidR="00D97B3D" w:rsidRPr="008B5430">
              <w:rPr>
                <w:lang w:val="en-AU"/>
              </w:rPr>
              <w:t xml:space="preserve">ervices </w:t>
            </w:r>
            <w:r w:rsidR="00D97B3D" w:rsidRPr="005C767D">
              <w:rPr>
                <w:lang w:val="en-AU"/>
              </w:rPr>
              <w:t>d</w:t>
            </w:r>
            <w:r w:rsidR="00D97B3D" w:rsidRPr="008B5430">
              <w:rPr>
                <w:lang w:val="en-AU"/>
              </w:rPr>
              <w:t>elivery</w:t>
            </w:r>
          </w:p>
          <w:p w14:paraId="4DCE0A41" w14:textId="3326AF5B" w:rsidR="006016B9" w:rsidRPr="008B5430" w:rsidRDefault="008B5430" w:rsidP="00DC29DC">
            <w:pPr>
              <w:pStyle w:val="DETTablebulletlist"/>
              <w:tabs>
                <w:tab w:val="clear" w:pos="360"/>
              </w:tabs>
              <w:ind w:left="113" w:hanging="113"/>
              <w:rPr>
                <w:lang w:val="en-AU"/>
              </w:rPr>
            </w:pPr>
            <w:r>
              <w:rPr>
                <w:lang w:val="en-AU"/>
              </w:rPr>
              <w:t>S</w:t>
            </w:r>
            <w:r w:rsidR="00D97B3D" w:rsidRPr="008B5430">
              <w:rPr>
                <w:lang w:val="en-AU"/>
              </w:rPr>
              <w:t xml:space="preserve">upport </w:t>
            </w:r>
            <w:r w:rsidR="006016B9" w:rsidRPr="008B5430">
              <w:rPr>
                <w:lang w:val="en-AU"/>
              </w:rPr>
              <w:t xml:space="preserve">for </w:t>
            </w:r>
            <w:r w:rsidR="00D97B3D" w:rsidRPr="005C767D">
              <w:rPr>
                <w:lang w:val="en-AU"/>
              </w:rPr>
              <w:t>s</w:t>
            </w:r>
            <w:r w:rsidR="00D97B3D" w:rsidRPr="008B5430">
              <w:rPr>
                <w:lang w:val="en-AU"/>
              </w:rPr>
              <w:t xml:space="preserve">tudents </w:t>
            </w:r>
            <w:r w:rsidR="006016B9" w:rsidRPr="008B5430">
              <w:rPr>
                <w:lang w:val="en-AU"/>
              </w:rPr>
              <w:t xml:space="preserve">with </w:t>
            </w:r>
            <w:r w:rsidR="00D97B3D" w:rsidRPr="005C767D">
              <w:rPr>
                <w:lang w:val="en-AU"/>
              </w:rPr>
              <w:t>d</w:t>
            </w:r>
            <w:r w:rsidR="00D97B3D" w:rsidRPr="008B5430">
              <w:rPr>
                <w:lang w:val="en-AU"/>
              </w:rPr>
              <w:t>isabilities</w:t>
            </w:r>
          </w:p>
          <w:p w14:paraId="746C3FE5" w14:textId="082E55CE" w:rsidR="006016B9" w:rsidRPr="008B5430" w:rsidRDefault="008B5430" w:rsidP="00DC29DC">
            <w:pPr>
              <w:pStyle w:val="DETTablebulletlist"/>
              <w:tabs>
                <w:tab w:val="clear" w:pos="360"/>
              </w:tabs>
              <w:ind w:left="113" w:hanging="113"/>
              <w:rPr>
                <w:lang w:val="en-AU"/>
              </w:rPr>
            </w:pPr>
            <w:r>
              <w:rPr>
                <w:lang w:val="en-AU"/>
              </w:rPr>
              <w:t>H</w:t>
            </w:r>
            <w:r w:rsidR="00D97B3D" w:rsidRPr="008B5430">
              <w:rPr>
                <w:lang w:val="en-AU"/>
              </w:rPr>
              <w:t xml:space="preserve">igher </w:t>
            </w:r>
            <w:r w:rsidR="00D97B3D" w:rsidRPr="005C767D">
              <w:rPr>
                <w:lang w:val="en-AU"/>
              </w:rPr>
              <w:t>e</w:t>
            </w:r>
            <w:r w:rsidR="00D97B3D" w:rsidRPr="008B5430">
              <w:rPr>
                <w:lang w:val="en-AU"/>
              </w:rPr>
              <w:t xml:space="preserve">ducation </w:t>
            </w:r>
            <w:r w:rsidR="006016B9" w:rsidRPr="008B5430">
              <w:rPr>
                <w:lang w:val="en-AU"/>
              </w:rPr>
              <w:t xml:space="preserve">and </w:t>
            </w:r>
            <w:r w:rsidR="00D97B3D" w:rsidRPr="005C767D">
              <w:rPr>
                <w:lang w:val="en-AU"/>
              </w:rPr>
              <w:t>s</w:t>
            </w:r>
            <w:r w:rsidR="00D97B3D" w:rsidRPr="008B5430">
              <w:rPr>
                <w:lang w:val="en-AU"/>
              </w:rPr>
              <w:t>kills</w:t>
            </w:r>
            <w:r w:rsidR="00D97B3D" w:rsidRPr="005C767D">
              <w:rPr>
                <w:lang w:val="en-AU"/>
              </w:rPr>
              <w:t>.</w:t>
            </w:r>
          </w:p>
        </w:tc>
      </w:tr>
      <w:tr w:rsidR="006016B9" w:rsidRPr="0087752B" w14:paraId="73668A23" w14:textId="77777777" w:rsidTr="001D6D97">
        <w:trPr>
          <w:cantSplit/>
          <w:trHeight w:val="454"/>
        </w:trPr>
        <w:tc>
          <w:tcPr>
            <w:tcW w:w="1666" w:type="pct"/>
            <w:tcBorders>
              <w:top w:val="single" w:sz="4" w:space="0" w:color="auto"/>
              <w:left w:val="nil"/>
              <w:right w:val="nil"/>
            </w:tcBorders>
          </w:tcPr>
          <w:p w14:paraId="526BDF8C" w14:textId="77777777" w:rsidR="006016B9" w:rsidRPr="0087752B" w:rsidRDefault="006016B9" w:rsidP="00532EEF">
            <w:pPr>
              <w:pStyle w:val="TableText0"/>
              <w:rPr>
                <w:b/>
              </w:rPr>
            </w:pPr>
            <w:r w:rsidRPr="0087752B">
              <w:rPr>
                <w:b/>
              </w:rPr>
              <w:t>Productivity</w:t>
            </w:r>
          </w:p>
          <w:p w14:paraId="0F6BEC62" w14:textId="75EF3B2F" w:rsidR="006016B9" w:rsidRPr="0087752B" w:rsidRDefault="006016B9" w:rsidP="00532EEF">
            <w:pPr>
              <w:pStyle w:val="TableText0"/>
            </w:pPr>
            <w:r w:rsidRPr="0087752B">
              <w:t>Increase the economic and social return on expenditure on the Department’s services</w:t>
            </w:r>
            <w:r w:rsidR="00D97B3D" w:rsidRPr="0087752B">
              <w:t>.</w:t>
            </w:r>
          </w:p>
        </w:tc>
        <w:tc>
          <w:tcPr>
            <w:tcW w:w="1667" w:type="pct"/>
            <w:tcBorders>
              <w:top w:val="single" w:sz="4" w:space="0" w:color="auto"/>
              <w:left w:val="nil"/>
              <w:right w:val="nil"/>
            </w:tcBorders>
          </w:tcPr>
          <w:p w14:paraId="3A581C02" w14:textId="77777777" w:rsidR="006016B9" w:rsidRPr="001D6D97" w:rsidRDefault="006016B9" w:rsidP="001D6D97">
            <w:pPr>
              <w:pStyle w:val="DETTablebulletlist"/>
              <w:tabs>
                <w:tab w:val="clear" w:pos="360"/>
              </w:tabs>
              <w:ind w:left="113" w:hanging="113"/>
              <w:rPr>
                <w:lang w:val="en-AU"/>
              </w:rPr>
            </w:pPr>
            <w:r w:rsidRPr="001D6D97">
              <w:rPr>
                <w:lang w:val="en-AU"/>
              </w:rPr>
              <w:t>$ per kindergarten student per year (or Early Childhood Intervention Services or Maternal and Child Heath)</w:t>
            </w:r>
          </w:p>
          <w:p w14:paraId="6137393D" w14:textId="77777777" w:rsidR="006016B9" w:rsidRPr="001D6D97" w:rsidRDefault="006016B9" w:rsidP="001D6D97">
            <w:pPr>
              <w:pStyle w:val="DETTablebulletlist"/>
              <w:tabs>
                <w:tab w:val="clear" w:pos="360"/>
              </w:tabs>
              <w:ind w:left="113" w:hanging="113"/>
              <w:rPr>
                <w:lang w:val="en-AU"/>
              </w:rPr>
            </w:pPr>
            <w:r w:rsidRPr="001D6D97">
              <w:rPr>
                <w:lang w:val="en-AU"/>
              </w:rPr>
              <w:t>$ per primary school student per year</w:t>
            </w:r>
          </w:p>
          <w:p w14:paraId="1E9BC210" w14:textId="77777777" w:rsidR="006016B9" w:rsidRPr="001D6D97" w:rsidRDefault="006016B9" w:rsidP="001D6D97">
            <w:pPr>
              <w:pStyle w:val="DETTablebulletlist"/>
              <w:tabs>
                <w:tab w:val="clear" w:pos="360"/>
              </w:tabs>
              <w:ind w:left="113" w:hanging="113"/>
              <w:rPr>
                <w:lang w:val="en-AU"/>
              </w:rPr>
            </w:pPr>
            <w:r w:rsidRPr="001D6D97">
              <w:rPr>
                <w:lang w:val="en-AU"/>
              </w:rPr>
              <w:t>$ per secondary school student per year</w:t>
            </w:r>
          </w:p>
          <w:p w14:paraId="58709EAD" w14:textId="0B4C6F42" w:rsidR="006016B9" w:rsidRPr="001D6D97" w:rsidRDefault="006016B9" w:rsidP="001D6D97">
            <w:pPr>
              <w:pStyle w:val="DETTablebulletlist"/>
              <w:tabs>
                <w:tab w:val="clear" w:pos="360"/>
              </w:tabs>
              <w:ind w:left="113" w:hanging="113"/>
              <w:rPr>
                <w:lang w:val="en-AU"/>
              </w:rPr>
            </w:pPr>
            <w:r w:rsidRPr="001D6D97">
              <w:rPr>
                <w:lang w:val="en-AU"/>
              </w:rPr>
              <w:t>$ per VET student contact hour</w:t>
            </w:r>
            <w:r w:rsidR="00D97B3D" w:rsidRPr="005C767D">
              <w:rPr>
                <w:lang w:val="en-AU"/>
              </w:rPr>
              <w:t>.</w:t>
            </w:r>
          </w:p>
        </w:tc>
        <w:tc>
          <w:tcPr>
            <w:tcW w:w="1667" w:type="pct"/>
            <w:tcBorders>
              <w:top w:val="single" w:sz="4" w:space="0" w:color="auto"/>
              <w:left w:val="nil"/>
              <w:right w:val="nil"/>
            </w:tcBorders>
          </w:tcPr>
          <w:p w14:paraId="73843BE5" w14:textId="3822220B" w:rsidR="006016B9" w:rsidRPr="001D6D97" w:rsidRDefault="001D6D97" w:rsidP="001D6D97">
            <w:pPr>
              <w:pStyle w:val="DETTablebulletlist"/>
              <w:tabs>
                <w:tab w:val="clear" w:pos="360"/>
              </w:tabs>
              <w:ind w:left="113" w:hanging="113"/>
              <w:rPr>
                <w:lang w:val="en-AU"/>
              </w:rPr>
            </w:pPr>
            <w:r>
              <w:rPr>
                <w:lang w:val="en-AU"/>
              </w:rPr>
              <w:t>S</w:t>
            </w:r>
            <w:r w:rsidR="00D97B3D" w:rsidRPr="001D6D97">
              <w:rPr>
                <w:lang w:val="en-AU"/>
              </w:rPr>
              <w:t>trategy</w:t>
            </w:r>
            <w:r w:rsidR="006016B9" w:rsidRPr="001D6D97">
              <w:rPr>
                <w:lang w:val="en-AU"/>
              </w:rPr>
              <w:t xml:space="preserve">, </w:t>
            </w:r>
            <w:r w:rsidR="00D97B3D" w:rsidRPr="005C767D">
              <w:rPr>
                <w:lang w:val="en-AU"/>
              </w:rPr>
              <w:t>r</w:t>
            </w:r>
            <w:r w:rsidR="00D97B3D" w:rsidRPr="001D6D97">
              <w:rPr>
                <w:lang w:val="en-AU"/>
              </w:rPr>
              <w:t xml:space="preserve">eview </w:t>
            </w:r>
            <w:r w:rsidR="006016B9" w:rsidRPr="001D6D97">
              <w:rPr>
                <w:lang w:val="en-AU"/>
              </w:rPr>
              <w:t xml:space="preserve">and </w:t>
            </w:r>
            <w:r w:rsidR="00D97B3D" w:rsidRPr="005C767D">
              <w:rPr>
                <w:lang w:val="en-AU"/>
              </w:rPr>
              <w:t>r</w:t>
            </w:r>
            <w:r w:rsidR="00D97B3D" w:rsidRPr="001D6D97">
              <w:rPr>
                <w:lang w:val="en-AU"/>
              </w:rPr>
              <w:t>egulation</w:t>
            </w:r>
          </w:p>
          <w:p w14:paraId="32FAB35B" w14:textId="5A32977C" w:rsidR="006016B9" w:rsidRPr="001D6D97" w:rsidRDefault="001D6D97" w:rsidP="001D6D97">
            <w:pPr>
              <w:pStyle w:val="DETTablebulletlist"/>
              <w:tabs>
                <w:tab w:val="clear" w:pos="360"/>
              </w:tabs>
              <w:ind w:left="113" w:hanging="113"/>
              <w:rPr>
                <w:lang w:val="en-AU"/>
              </w:rPr>
            </w:pPr>
            <w:r>
              <w:rPr>
                <w:lang w:val="en-AU"/>
              </w:rPr>
              <w:t>E</w:t>
            </w:r>
            <w:r w:rsidR="00D97B3D" w:rsidRPr="001D6D97">
              <w:rPr>
                <w:lang w:val="en-AU"/>
              </w:rPr>
              <w:t xml:space="preserve">arly </w:t>
            </w:r>
            <w:r w:rsidR="00D97B3D" w:rsidRPr="005C767D">
              <w:rPr>
                <w:lang w:val="en-AU"/>
              </w:rPr>
              <w:t>c</w:t>
            </w:r>
            <w:r w:rsidR="00D97B3D" w:rsidRPr="001D6D97">
              <w:rPr>
                <w:lang w:val="en-AU"/>
              </w:rPr>
              <w:t xml:space="preserve">hildhood </w:t>
            </w:r>
            <w:r w:rsidR="00D97B3D" w:rsidRPr="005C767D">
              <w:rPr>
                <w:lang w:val="en-AU"/>
              </w:rPr>
              <w:t>d</w:t>
            </w:r>
            <w:r w:rsidR="00D97B3D" w:rsidRPr="001D6D97">
              <w:rPr>
                <w:lang w:val="en-AU"/>
              </w:rPr>
              <w:t>evelopment</w:t>
            </w:r>
          </w:p>
          <w:p w14:paraId="56BF8AF1" w14:textId="7C8BA6B2" w:rsidR="006016B9" w:rsidRPr="001D6D97" w:rsidRDefault="001D6D97" w:rsidP="001D6D97">
            <w:pPr>
              <w:pStyle w:val="DETTablebulletlist"/>
              <w:tabs>
                <w:tab w:val="clear" w:pos="360"/>
              </w:tabs>
              <w:ind w:left="113" w:hanging="113"/>
              <w:rPr>
                <w:lang w:val="en-AU"/>
              </w:rPr>
            </w:pPr>
            <w:r>
              <w:rPr>
                <w:lang w:val="en-AU"/>
              </w:rPr>
              <w:t>S</w:t>
            </w:r>
            <w:r w:rsidR="00D97B3D" w:rsidRPr="001D6D97">
              <w:rPr>
                <w:lang w:val="en-AU"/>
              </w:rPr>
              <w:t xml:space="preserve">chool </w:t>
            </w:r>
            <w:r w:rsidR="00D97B3D" w:rsidRPr="005C767D">
              <w:rPr>
                <w:lang w:val="en-AU"/>
              </w:rPr>
              <w:t>e</w:t>
            </w:r>
            <w:r w:rsidR="00D97B3D" w:rsidRPr="001D6D97">
              <w:rPr>
                <w:lang w:val="en-AU"/>
              </w:rPr>
              <w:t>ducation</w:t>
            </w:r>
            <w:r w:rsidR="006016B9" w:rsidRPr="001D6D97">
              <w:rPr>
                <w:lang w:val="en-AU"/>
              </w:rPr>
              <w:t>—</w:t>
            </w:r>
            <w:r w:rsidR="00D97B3D" w:rsidRPr="005C767D">
              <w:rPr>
                <w:lang w:val="en-AU"/>
              </w:rPr>
              <w:t>p</w:t>
            </w:r>
            <w:r w:rsidR="00D97B3D" w:rsidRPr="001D6D97">
              <w:rPr>
                <w:lang w:val="en-AU"/>
              </w:rPr>
              <w:t>rimary</w:t>
            </w:r>
          </w:p>
          <w:p w14:paraId="0D421413" w14:textId="1AA61923" w:rsidR="006016B9" w:rsidRPr="001D6D97" w:rsidRDefault="001D6D97" w:rsidP="001D6D97">
            <w:pPr>
              <w:pStyle w:val="DETTablebulletlist"/>
              <w:tabs>
                <w:tab w:val="clear" w:pos="360"/>
              </w:tabs>
              <w:ind w:left="113" w:hanging="113"/>
              <w:rPr>
                <w:lang w:val="en-AU"/>
              </w:rPr>
            </w:pPr>
            <w:r>
              <w:rPr>
                <w:lang w:val="en-AU"/>
              </w:rPr>
              <w:t>S</w:t>
            </w:r>
            <w:r w:rsidR="00D97B3D" w:rsidRPr="001D6D97">
              <w:rPr>
                <w:lang w:val="en-AU"/>
              </w:rPr>
              <w:t xml:space="preserve">chool </w:t>
            </w:r>
            <w:r w:rsidR="00D97B3D" w:rsidRPr="005C767D">
              <w:rPr>
                <w:lang w:val="en-AU"/>
              </w:rPr>
              <w:t>e</w:t>
            </w:r>
            <w:r w:rsidR="00D97B3D" w:rsidRPr="001D6D97">
              <w:rPr>
                <w:lang w:val="en-AU"/>
              </w:rPr>
              <w:t>ducation</w:t>
            </w:r>
            <w:r w:rsidR="006016B9" w:rsidRPr="001D6D97">
              <w:rPr>
                <w:lang w:val="en-AU"/>
              </w:rPr>
              <w:t>—</w:t>
            </w:r>
            <w:r w:rsidR="00D97B3D" w:rsidRPr="005C767D">
              <w:rPr>
                <w:lang w:val="en-AU"/>
              </w:rPr>
              <w:t>s</w:t>
            </w:r>
            <w:r w:rsidR="00D97B3D" w:rsidRPr="001D6D97">
              <w:rPr>
                <w:lang w:val="en-AU"/>
              </w:rPr>
              <w:t>econdary</w:t>
            </w:r>
          </w:p>
          <w:p w14:paraId="3B08CC2F" w14:textId="7CC6410D" w:rsidR="006016B9" w:rsidRPr="001D6D97" w:rsidRDefault="001D6D97" w:rsidP="001D6D97">
            <w:pPr>
              <w:pStyle w:val="DETTablebulletlist"/>
              <w:tabs>
                <w:tab w:val="clear" w:pos="360"/>
              </w:tabs>
              <w:ind w:left="113" w:hanging="113"/>
              <w:rPr>
                <w:lang w:val="en-AU"/>
              </w:rPr>
            </w:pPr>
            <w:r>
              <w:rPr>
                <w:lang w:val="en-AU"/>
              </w:rPr>
              <w:t>S</w:t>
            </w:r>
            <w:r w:rsidR="00D97B3D" w:rsidRPr="001D6D97">
              <w:rPr>
                <w:lang w:val="en-AU"/>
              </w:rPr>
              <w:t xml:space="preserve">upport </w:t>
            </w:r>
            <w:r w:rsidR="00D97B3D" w:rsidRPr="005C767D">
              <w:rPr>
                <w:lang w:val="en-AU"/>
              </w:rPr>
              <w:t>s</w:t>
            </w:r>
            <w:r w:rsidR="00D97B3D" w:rsidRPr="001D6D97">
              <w:rPr>
                <w:lang w:val="en-AU"/>
              </w:rPr>
              <w:t xml:space="preserve">ervices </w:t>
            </w:r>
            <w:r w:rsidR="00D97B3D" w:rsidRPr="005C767D">
              <w:rPr>
                <w:lang w:val="en-AU"/>
              </w:rPr>
              <w:t>d</w:t>
            </w:r>
            <w:r w:rsidR="00D97B3D" w:rsidRPr="001D6D97">
              <w:rPr>
                <w:lang w:val="en-AU"/>
              </w:rPr>
              <w:t>elivery</w:t>
            </w:r>
          </w:p>
          <w:p w14:paraId="5B8DF227" w14:textId="7D94B8CE" w:rsidR="006016B9" w:rsidRPr="001D6D97" w:rsidRDefault="001D6D97" w:rsidP="001D6D97">
            <w:pPr>
              <w:pStyle w:val="DETTablebulletlist"/>
              <w:tabs>
                <w:tab w:val="clear" w:pos="360"/>
              </w:tabs>
              <w:ind w:left="113" w:hanging="113"/>
              <w:rPr>
                <w:lang w:val="en-AU"/>
              </w:rPr>
            </w:pPr>
            <w:r>
              <w:rPr>
                <w:lang w:val="en-AU"/>
              </w:rPr>
              <w:t>S</w:t>
            </w:r>
            <w:r w:rsidR="00D97B3D" w:rsidRPr="001D6D97">
              <w:rPr>
                <w:lang w:val="en-AU"/>
              </w:rPr>
              <w:t xml:space="preserve">upport </w:t>
            </w:r>
            <w:r w:rsidR="006016B9" w:rsidRPr="001D6D97">
              <w:rPr>
                <w:lang w:val="en-AU"/>
              </w:rPr>
              <w:t xml:space="preserve">for </w:t>
            </w:r>
            <w:r w:rsidR="00D97B3D" w:rsidRPr="005C767D">
              <w:rPr>
                <w:lang w:val="en-AU"/>
              </w:rPr>
              <w:t>s</w:t>
            </w:r>
            <w:r w:rsidR="00D97B3D" w:rsidRPr="001D6D97">
              <w:rPr>
                <w:lang w:val="en-AU"/>
              </w:rPr>
              <w:t xml:space="preserve">tudents </w:t>
            </w:r>
            <w:r w:rsidR="006016B9" w:rsidRPr="001D6D97">
              <w:rPr>
                <w:lang w:val="en-AU"/>
              </w:rPr>
              <w:t xml:space="preserve">with </w:t>
            </w:r>
            <w:r w:rsidR="00D97B3D" w:rsidRPr="005C767D">
              <w:rPr>
                <w:lang w:val="en-AU"/>
              </w:rPr>
              <w:t>d</w:t>
            </w:r>
            <w:r w:rsidR="00D97B3D" w:rsidRPr="001D6D97">
              <w:rPr>
                <w:lang w:val="en-AU"/>
              </w:rPr>
              <w:t>isabilities</w:t>
            </w:r>
          </w:p>
          <w:p w14:paraId="6F8F9C27" w14:textId="29D77644" w:rsidR="006016B9" w:rsidRPr="001D6D97" w:rsidRDefault="001D6D97" w:rsidP="001D6D97">
            <w:pPr>
              <w:pStyle w:val="DETTablebulletlist"/>
              <w:tabs>
                <w:tab w:val="clear" w:pos="360"/>
              </w:tabs>
              <w:ind w:left="113" w:hanging="113"/>
              <w:rPr>
                <w:lang w:val="en-AU"/>
              </w:rPr>
            </w:pPr>
            <w:r>
              <w:rPr>
                <w:lang w:val="en-AU"/>
              </w:rPr>
              <w:t>H</w:t>
            </w:r>
            <w:r w:rsidR="00D97B3D" w:rsidRPr="001D6D97">
              <w:rPr>
                <w:lang w:val="en-AU"/>
              </w:rPr>
              <w:t xml:space="preserve">igher </w:t>
            </w:r>
            <w:r w:rsidR="00D97B3D" w:rsidRPr="005C767D">
              <w:rPr>
                <w:lang w:val="en-AU"/>
              </w:rPr>
              <w:t>e</w:t>
            </w:r>
            <w:r w:rsidR="00D97B3D" w:rsidRPr="001D6D97">
              <w:rPr>
                <w:lang w:val="en-AU"/>
              </w:rPr>
              <w:t xml:space="preserve">ducation </w:t>
            </w:r>
            <w:r w:rsidR="006016B9" w:rsidRPr="001D6D97">
              <w:rPr>
                <w:lang w:val="en-AU"/>
              </w:rPr>
              <w:t xml:space="preserve">and </w:t>
            </w:r>
            <w:r w:rsidR="00D97B3D" w:rsidRPr="005C767D">
              <w:rPr>
                <w:lang w:val="en-AU"/>
              </w:rPr>
              <w:t>s</w:t>
            </w:r>
            <w:r w:rsidR="00D97B3D" w:rsidRPr="001D6D97">
              <w:rPr>
                <w:lang w:val="en-AU"/>
              </w:rPr>
              <w:t>kills</w:t>
            </w:r>
            <w:r w:rsidR="00D97B3D" w:rsidRPr="005C767D">
              <w:rPr>
                <w:lang w:val="en-AU"/>
              </w:rPr>
              <w:t>.</w:t>
            </w:r>
          </w:p>
        </w:tc>
      </w:tr>
    </w:tbl>
    <w:p w14:paraId="3FCE583A" w14:textId="77777777" w:rsidR="006016B9" w:rsidRPr="0087752B" w:rsidRDefault="006016B9" w:rsidP="00936796">
      <w:pPr>
        <w:pStyle w:val="DETHeading2"/>
      </w:pPr>
      <w:bookmarkStart w:id="46" w:name="_Toc458069588"/>
      <w:bookmarkStart w:id="47" w:name="_Toc458072367"/>
      <w:bookmarkStart w:id="48" w:name="_Toc458088550"/>
      <w:bookmarkStart w:id="49" w:name="_Toc461013247"/>
      <w:bookmarkStart w:id="50" w:name="_Toc461025824"/>
      <w:bookmarkStart w:id="51" w:name="_Toc462405117"/>
      <w:r w:rsidRPr="0087752B">
        <w:t>Progress towards objectives and indicators</w:t>
      </w:r>
      <w:bookmarkEnd w:id="46"/>
      <w:bookmarkEnd w:id="47"/>
      <w:bookmarkEnd w:id="48"/>
      <w:bookmarkEnd w:id="49"/>
      <w:bookmarkEnd w:id="50"/>
      <w:bookmarkEnd w:id="51"/>
    </w:p>
    <w:p w14:paraId="6A1B781E" w14:textId="77777777" w:rsidR="006016B9" w:rsidRPr="0087752B" w:rsidRDefault="006016B9" w:rsidP="006016B9">
      <w:r w:rsidRPr="0087752B">
        <w:t xml:space="preserve">The Department seeks to measure the progress of children and young people as they move from early childhood into their school years and then into further education and work. </w:t>
      </w:r>
    </w:p>
    <w:p w14:paraId="3ADC08F1" w14:textId="77777777" w:rsidR="006016B9" w:rsidRPr="0087752B" w:rsidRDefault="006016B9" w:rsidP="006016B9">
      <w:r w:rsidRPr="0087752B">
        <w:lastRenderedPageBreak/>
        <w:t xml:space="preserve">This section reports on the Department’s progress against its four objectives: Achievement, Engagement, Wellbeing and Productivity. A range of indicators are used to demonstrate current performance and trends. </w:t>
      </w:r>
    </w:p>
    <w:p w14:paraId="264FCA90" w14:textId="77777777" w:rsidR="006016B9" w:rsidRPr="0087752B" w:rsidRDefault="006016B9" w:rsidP="006016B9">
      <w:r w:rsidRPr="0087752B">
        <w:t>Performance against these indicators demonstrates that the Department continues to perform well against the majority of its objectives. Participation and engagement with services are generally high and achievement results reflect good rates of success. There is, however, room for improvement in some areas. These, together with the Department’s performance highlights, are outlined below.</w:t>
      </w:r>
    </w:p>
    <w:p w14:paraId="5E1AB4F3" w14:textId="77777777" w:rsidR="006016B9" w:rsidRPr="0087752B" w:rsidRDefault="006016B9" w:rsidP="009834E4">
      <w:pPr>
        <w:pStyle w:val="Heading3"/>
      </w:pPr>
      <w:r w:rsidRPr="0087752B">
        <w:t>Achievement</w:t>
      </w:r>
    </w:p>
    <w:p w14:paraId="64C7803E" w14:textId="77777777" w:rsidR="00F6765D" w:rsidRPr="00F6765D" w:rsidRDefault="006016B9" w:rsidP="006016B9">
      <w:r w:rsidRPr="00F6765D">
        <w:t>Victorian children perform well in their development as measured by the Australian Early Development Census, with the majority on track. In 2015, nearly 85 per cent of Victorian children in Prep were assessed by their teachers as ‘on track’ in their language and cognitive development, up marginally from 2012.</w:t>
      </w:r>
      <w:r w:rsidR="0048622B" w:rsidRPr="00F6765D">
        <w:t xml:space="preserve"> </w:t>
      </w:r>
    </w:p>
    <w:p w14:paraId="452E8197" w14:textId="7FD95493" w:rsidR="0048622B" w:rsidRPr="0087752B" w:rsidRDefault="0048622B" w:rsidP="006016B9">
      <w:r w:rsidRPr="002178E9">
        <w:t xml:space="preserve">There has also been a significant increase in the number of three-year old children receiving a free, 15 hour kindergarten program through the Early Start Kindergarten (ESK) initiative, up from 791 in 2014 to 1,006 in 2015. This </w:t>
      </w:r>
      <w:r w:rsidR="00F6765D" w:rsidRPr="002178E9">
        <w:t>comprised</w:t>
      </w:r>
      <w:r w:rsidRPr="002178E9">
        <w:t xml:space="preserve"> 499 children known to Child Protection and 507 Aboriginal and Torres Strait Islander children. The increase from 2014 was both a record number and the highest ever single year increase in ESK enrolments. </w:t>
      </w:r>
      <w:r w:rsidR="00DC65A2" w:rsidRPr="002178E9">
        <w:t>In addition i</w:t>
      </w:r>
      <w:r w:rsidRPr="002178E9">
        <w:t>n 2016, the Department piloted pre-purchased kindergarten places in targeted areas to secure a kindergarten place for almost 500 vulnerable children across Victoria who may otherwise have missed out on a kindergarten program.  </w:t>
      </w:r>
    </w:p>
    <w:p w14:paraId="36CFA02F" w14:textId="77777777" w:rsidR="006016B9" w:rsidRPr="0087752B" w:rsidRDefault="006016B9" w:rsidP="006016B9">
      <w:r w:rsidRPr="0087752B">
        <w:t>Victorian students have historically performed well in national assessments of literacy (reading) and numeracy. However, achievement in these areas has stalled over recent years, more so for secondary than primary students. Victoria’s performance in the 2015 National Assessment Program—Literacy and Numeracy (NAPLAN) shows some minor fluctuations in the proportion of students in the top two bands or above the bottom three when compared with 2014. Education State targets aim to lift the performance of all Victorian students, with a particular focus on increasing the proportion of students achieving at the highest levels. This includes increasing the proportion of Victorian students achieving in the top two bands in literacy and numeracy.</w:t>
      </w:r>
    </w:p>
    <w:p w14:paraId="56410AC2" w14:textId="4D0B785D" w:rsidR="006016B9" w:rsidRPr="0087752B" w:rsidRDefault="006016B9" w:rsidP="006016B9">
      <w:r w:rsidRPr="0087752B">
        <w:t xml:space="preserve">International testing under the </w:t>
      </w:r>
      <w:r w:rsidR="009976B5">
        <w:t>Progress in</w:t>
      </w:r>
      <w:r w:rsidRPr="005C767D">
        <w:t xml:space="preserve"> International Reading</w:t>
      </w:r>
      <w:r w:rsidR="009976B5">
        <w:t xml:space="preserve"> and</w:t>
      </w:r>
      <w:r w:rsidRPr="005C767D">
        <w:t xml:space="preserve"> Literacy Study (PIRLS), Trends in</w:t>
      </w:r>
      <w:r w:rsidRPr="0087752B">
        <w:t xml:space="preserve"> Maths and Science Study (TIMSS) and Programme for International Student Assessment (PISA) is run on a rolling basis, every three to five years. However, there have been no updates to this data since 2011 and 2012, at which time more than half the Victorian students who participated in the studies were reaching the international benchmarks. There are differences in performance across domains and year levels: a greater proportion of Year 4 students are achieving benchmarks compared with older students, and larger proportions of students are meeting benchmarks in reading than in numeracy.</w:t>
      </w:r>
    </w:p>
    <w:p w14:paraId="18468C98" w14:textId="560E34BA" w:rsidR="006016B9" w:rsidRPr="0087752B" w:rsidRDefault="006016B9" w:rsidP="006016B9">
      <w:r w:rsidRPr="0087752B">
        <w:t xml:space="preserve">Compared to the more traditional fields of reading and numeracy, lower proportions of Victorian students are meeting expected standards in other key learning </w:t>
      </w:r>
      <w:r w:rsidRPr="0087752B">
        <w:lastRenderedPageBreak/>
        <w:t>areas such as science and information and communication technology (ICT) literacy. Having more students excel in scientific literacy is a key aim of the Education State in Schools</w:t>
      </w:r>
      <w:r w:rsidR="00FD0018" w:rsidRPr="0087752B">
        <w:t xml:space="preserve"> </w:t>
      </w:r>
      <w:r w:rsidRPr="0087752B">
        <w:t>reform.</w:t>
      </w:r>
    </w:p>
    <w:p w14:paraId="658C6E12" w14:textId="77777777" w:rsidR="006016B9" w:rsidRPr="0087752B" w:rsidRDefault="006016B9" w:rsidP="006016B9">
      <w:r w:rsidRPr="0087752B">
        <w:t>In the second half of 2015–16, significant Education State related investments provided additional funding for students to catch up, to address the educational impacts of social disadvantage and build system capacity in terms of improved science instruction and school leadership. These are expected to contribute to improved outcomes in 2016–17 and beyond.</w:t>
      </w:r>
    </w:p>
    <w:p w14:paraId="576793FC" w14:textId="6170EA99" w:rsidR="006016B9" w:rsidRPr="0087752B" w:rsidRDefault="006016B9" w:rsidP="006016B9">
      <w:r w:rsidRPr="0087752B">
        <w:t>In 2015</w:t>
      </w:r>
      <w:r w:rsidR="00725F99">
        <w:t>,</w:t>
      </w:r>
      <w:r w:rsidRPr="0087752B">
        <w:t xml:space="preserve"> there were around 230,000 vocational completions, and while this represents a decrease from 2014 (of 9 per cent), completions are nearly a quarter (22 per cent) higher than in 2011. In addition to an increase in overall course completion numbers over the past five years, completion rates remained relatively stable in the period 2012 to 2014, and many 2015 commencing students continue their studies. </w:t>
      </w:r>
    </w:p>
    <w:p w14:paraId="3BA51685" w14:textId="77777777" w:rsidR="006016B9" w:rsidRPr="0087752B" w:rsidRDefault="006016B9" w:rsidP="009834E4">
      <w:pPr>
        <w:pStyle w:val="Heading3"/>
      </w:pPr>
      <w:r w:rsidRPr="0087752B">
        <w:t>Engagement</w:t>
      </w:r>
    </w:p>
    <w:p w14:paraId="475DBC57" w14:textId="77777777" w:rsidR="006016B9" w:rsidRPr="0087752B" w:rsidRDefault="006016B9" w:rsidP="006016B9">
      <w:r w:rsidRPr="0087752B">
        <w:t xml:space="preserve">An increasing proportion of Victorian families are accessing early childhood services. Participation rates in kindergarten programs increased at the most recent measure (2015) from already high levels. Participation in Maternal and Child Health (MCH) services has remained stable or grown. Increased participation in these services follows additional funding provided in the 2015–16 Budget for kindergarten and other early childhood services. </w:t>
      </w:r>
    </w:p>
    <w:p w14:paraId="720F2F24" w14:textId="77777777" w:rsidR="006016B9" w:rsidRPr="0087752B" w:rsidRDefault="006016B9" w:rsidP="006016B9">
      <w:r w:rsidRPr="0087752B">
        <w:t>While nearly all newborns in Victoria are visited by an MCH nurse at home for their initial consultation, rates of participation in the Key Ages and Stages visits drop off as the child gets older. Although participation rates at the final (3.5-year) consultation increased slightly in 2014, one third of families are not participating in the final consultation.</w:t>
      </w:r>
    </w:p>
    <w:p w14:paraId="4B907A9A" w14:textId="77777777" w:rsidR="006016B9" w:rsidRPr="0087752B" w:rsidRDefault="006016B9" w:rsidP="006016B9">
      <w:pPr>
        <w:rPr>
          <w:rFonts w:eastAsia="Arial"/>
        </w:rPr>
      </w:pPr>
      <w:r w:rsidRPr="0087752B">
        <w:t xml:space="preserve">Strong engagement in school is important, contributing to better achievement and wellbeing outcomes. Absence from school is a strong indicator of engagement, or lack thereof. Victorian government school children in Years 5 to 12 are missing on average 14 to 16 days of school a year. There has been minimal change in these figures over the past five years (2011 to 2015) for students in Years 5 to 10. </w:t>
      </w:r>
      <w:r w:rsidRPr="0087752B">
        <w:rPr>
          <w:rFonts w:eastAsia="Arial"/>
        </w:rPr>
        <w:t>However, for students in Years 11 and 12, absences have shown an upward trend.</w:t>
      </w:r>
    </w:p>
    <w:p w14:paraId="00BC4FF9" w14:textId="77777777" w:rsidR="006016B9" w:rsidRPr="0087752B" w:rsidRDefault="006016B9" w:rsidP="006016B9">
      <w:r w:rsidRPr="0087752B">
        <w:t xml:space="preserve">Direct measures of student engagement suggest room for improvement, particularly among secondary school students. The proportion of Victorian government school students in 2015 reporting that their school provides a stimulating learning environment was considerably lower among students in Year 11 to 12 (20 per cent) and Years 7 to 10 (21 per cent) than those in Years 5 to 6 (61 per cent). </w:t>
      </w:r>
    </w:p>
    <w:p w14:paraId="5354B7C2" w14:textId="5E52F8A1" w:rsidR="006016B9" w:rsidRPr="0087752B" w:rsidRDefault="006016B9" w:rsidP="006016B9">
      <w:r w:rsidRPr="0087752B">
        <w:t xml:space="preserve">In 2015, there were nearly 380,000 students enrolled in government-subsidised training in Victoria, a 15 per cent decrease </w:t>
      </w:r>
      <w:r w:rsidR="008A3A0E">
        <w:t>compared with</w:t>
      </w:r>
      <w:r w:rsidRPr="0087752B">
        <w:t xml:space="preserve"> 2014. This decline was particularly apparent for enrolments by young people aged 15 to 19 </w:t>
      </w:r>
      <w:r w:rsidR="008A3A0E">
        <w:t>years, which fell 18 per cent over</w:t>
      </w:r>
      <w:r w:rsidRPr="0087752B">
        <w:t xml:space="preserve"> the past year. All areas of th</w:t>
      </w:r>
      <w:r w:rsidR="008A3A0E">
        <w:t>e state experienced a decline over</w:t>
      </w:r>
      <w:r w:rsidRPr="0087752B">
        <w:t xml:space="preserve"> the last year</w:t>
      </w:r>
      <w:r w:rsidRPr="00D95C09">
        <w:t>.</w:t>
      </w:r>
      <w:r w:rsidR="00A851B9" w:rsidRPr="00D95C09">
        <w:t xml:space="preserve"> In response, the Reconnect </w:t>
      </w:r>
      <w:r w:rsidR="008A3A0E">
        <w:t xml:space="preserve">Program was established to </w:t>
      </w:r>
      <w:r w:rsidR="008A3A0E">
        <w:lastRenderedPageBreak/>
        <w:t>provide wrap</w:t>
      </w:r>
      <w:r w:rsidR="00A025B4">
        <w:t xml:space="preserve"> </w:t>
      </w:r>
      <w:r w:rsidR="008A3A0E">
        <w:t>around support for</w:t>
      </w:r>
      <w:r w:rsidR="00A025B4">
        <w:t xml:space="preserve"> </w:t>
      </w:r>
      <w:r w:rsidR="008A3A0E">
        <w:t>15–24 year olds most at risk of not engaging with or completing training.</w:t>
      </w:r>
      <w:r w:rsidR="00A851B9" w:rsidRPr="00D95C09">
        <w:t xml:space="preserve"> </w:t>
      </w:r>
    </w:p>
    <w:p w14:paraId="741A5F12" w14:textId="512E62ED" w:rsidR="006016B9" w:rsidRDefault="006016B9" w:rsidP="006016B9">
      <w:r w:rsidRPr="0087752B">
        <w:t xml:space="preserve">The decline in enrolment is associated with past policy changes, including a reduction in foundation course subsidy </w:t>
      </w:r>
      <w:r w:rsidRPr="00680ED4">
        <w:t>rates, tightening of eligibility rules, removal of Certificate I in Vocational Preparation from the foundation course list, and the establishment of the Foundatio</w:t>
      </w:r>
      <w:r w:rsidR="00680ED4" w:rsidRPr="00680ED4">
        <w:t>n Skills approved provider list</w:t>
      </w:r>
      <w:r w:rsidR="007447D9" w:rsidRPr="00680ED4">
        <w:t xml:space="preserve">. </w:t>
      </w:r>
      <w:r w:rsidRPr="00680ED4">
        <w:t>From 2015, providers are required to undertake pre and post assessment of students’</w:t>
      </w:r>
      <w:r w:rsidRPr="0087752B">
        <w:t xml:space="preserve"> skills for particular foundation skills courses. This could have contributed to a slight decrease in enrolments, as students enrolled in more suitable training for their skill needs.  Enrolment numbers </w:t>
      </w:r>
      <w:r w:rsidR="00A851B9" w:rsidRPr="00D95C09">
        <w:t>have also</w:t>
      </w:r>
      <w:r w:rsidRPr="0087752B">
        <w:t xml:space="preserve"> been impacted by the shift of students to VET FEE-HELP funded training, and fewer enrolments in sub-standard training as part of the Government’s implementation of the Review of Quality Assurance.</w:t>
      </w:r>
    </w:p>
    <w:p w14:paraId="508B796D" w14:textId="6BB9BF9A" w:rsidR="0092197F" w:rsidRPr="0092197F" w:rsidRDefault="0092197F" w:rsidP="0092197F">
      <w:r w:rsidRPr="0092197F">
        <w:t>The number of students undertaking government subsidised VET training in Australia has declined 6 per cent from 2013 to 2014</w:t>
      </w:r>
      <w:r w:rsidR="00DA1E13" w:rsidRPr="001C1E4B">
        <w:rPr>
          <w:rStyle w:val="FootnoteReference"/>
          <w:rFonts w:eastAsia="Arial"/>
        </w:rPr>
        <w:footnoteReference w:id="2"/>
      </w:r>
      <w:r w:rsidRPr="0092197F">
        <w:t>. Against declining enrolments nationally, Victorian Government-subsidised enrolments in apprenticeships increased five per cent over the last year, and enrolments in training directly aligned to occupations continues to be strong</w:t>
      </w:r>
      <w:r w:rsidRPr="0092197F">
        <w:rPr>
          <w:vertAlign w:val="superscript"/>
        </w:rPr>
        <w:t>1</w:t>
      </w:r>
      <w:r w:rsidR="00827FEB">
        <w:t>.</w:t>
      </w:r>
    </w:p>
    <w:p w14:paraId="46BBC4C9" w14:textId="77777777" w:rsidR="006016B9" w:rsidRPr="0087752B" w:rsidRDefault="006016B9" w:rsidP="006016B9">
      <w:pPr>
        <w:rPr>
          <w:rFonts w:eastAsia="Arial"/>
        </w:rPr>
      </w:pPr>
      <w:r w:rsidRPr="0087752B">
        <w:rPr>
          <w:rFonts w:eastAsia="Arial"/>
        </w:rPr>
        <w:t xml:space="preserve">A key focus of the Education State reform agenda is helping Victorian students stay engaged in education. In 2015–16, funding was provided for the Camps, Sports and Excursions Fund, which seeks to include disadvantaged children in the wider curriculum, and the Navigator and LOOKOUT Education Support Centre programs. In coming years, these initiatives are expected to increasingly identify and support students who are vulnerable and disengaged in schooling. </w:t>
      </w:r>
    </w:p>
    <w:p w14:paraId="41DA0D27" w14:textId="77777777" w:rsidR="006016B9" w:rsidRPr="0087752B" w:rsidRDefault="006016B9" w:rsidP="004B1764">
      <w:pPr>
        <w:pStyle w:val="Heading3"/>
      </w:pPr>
      <w:r w:rsidRPr="0087752B">
        <w:t>Wellbeing</w:t>
      </w:r>
    </w:p>
    <w:p w14:paraId="65375EF1" w14:textId="77777777" w:rsidR="006016B9" w:rsidRPr="0087752B" w:rsidRDefault="006016B9" w:rsidP="006016B9">
      <w:r w:rsidRPr="0087752B">
        <w:t>Indicators of wellbeing in the early years are generally positive. More than half Victoria’s infants are fully breastfed at three months old. There have been small increases from 2012–13 to 2014–15 in the proportion of infants being partially or fully breastfed at three and six months.</w:t>
      </w:r>
    </w:p>
    <w:p w14:paraId="18423239" w14:textId="77777777" w:rsidR="006016B9" w:rsidRPr="0087752B" w:rsidRDefault="006016B9" w:rsidP="006016B9">
      <w:r w:rsidRPr="0087752B">
        <w:t>The proportion of children presenting with behavioural and developmental issues when starting Prep (as identified by parents) has increased in recent years. While this may be influenced by increased parent awareness of these specific concerns, this trend accords with teacher reporting through the Australian Early Development Census, which shows a decrease from 2012 to 2015 in the proportion of Prep children ‘on track’ in their social competence and emotional maturity.</w:t>
      </w:r>
    </w:p>
    <w:p w14:paraId="3E8D730C" w14:textId="77777777" w:rsidR="006016B9" w:rsidRPr="0087752B" w:rsidRDefault="006016B9" w:rsidP="006016B9">
      <w:r w:rsidRPr="0087752B">
        <w:t xml:space="preserve">Student wellbeing factors, such as feeling safe and connected to school, have an impact on many aspects of school life. The majority of Victorian government school students feel safe at school but responses from students were less positive in 2015 than in the previous year. Feelings of connectedness to school have changed little over the past year, with younger students continuing to be significantly more positive than older students: nearly two thirds of Year 5 and 6 students feel connected to their school compared with just over one quarter of students in Years 11 and 12. Results from 2015 showed a slight improvement in </w:t>
      </w:r>
      <w:r w:rsidRPr="0087752B">
        <w:lastRenderedPageBreak/>
        <w:t>student perceptions of classroom behaviour, with lower proportions finding other students disruptive.</w:t>
      </w:r>
    </w:p>
    <w:p w14:paraId="538371FE" w14:textId="097B4075" w:rsidR="006016B9" w:rsidRPr="0087752B" w:rsidRDefault="00CD6240" w:rsidP="006016B9">
      <w:r w:rsidRPr="00D95C09">
        <w:t>The level of satisfaction with the quality of vocational training was relatively stable between 2015 and 2016, following a decline that had occurred between 2013 and 2014, with satisfaction lower in 2015 than in 2012</w:t>
      </w:r>
      <w:r w:rsidR="0071566B" w:rsidRPr="001C1E4B">
        <w:rPr>
          <w:rStyle w:val="FootnoteReference"/>
          <w:rFonts w:eastAsia="Arial"/>
        </w:rPr>
        <w:footnoteReference w:id="3"/>
      </w:r>
      <w:r w:rsidR="006016B9" w:rsidRPr="00D95C09">
        <w:t>.</w:t>
      </w:r>
      <w:r w:rsidR="006016B9" w:rsidRPr="0087752B">
        <w:t xml:space="preserve"> The Quality Blitz, including cancelling contracted training providers due to quality concerns, is expected to have improved quality significantly through 2015 but it will take time for improvements to flow from commencements to completions and for perceptions to change.</w:t>
      </w:r>
    </w:p>
    <w:p w14:paraId="74B906EB" w14:textId="77777777" w:rsidR="006016B9" w:rsidRPr="0087752B" w:rsidRDefault="006016B9" w:rsidP="004B1764">
      <w:pPr>
        <w:pStyle w:val="Heading3"/>
      </w:pPr>
      <w:r w:rsidRPr="0087752B">
        <w:t>Productivity</w:t>
      </w:r>
    </w:p>
    <w:p w14:paraId="794B69EB" w14:textId="77777777" w:rsidR="006016B9" w:rsidRPr="0087752B" w:rsidRDefault="006016B9" w:rsidP="006016B9">
      <w:r w:rsidRPr="0087752B">
        <w:t>Understanding productivity measures puts the Department in a position to better assess the impact of government investment in programs and policies.</w:t>
      </w:r>
    </w:p>
    <w:p w14:paraId="5D2B42A6" w14:textId="77777777" w:rsidR="006016B9" w:rsidRPr="0087752B" w:rsidRDefault="006016B9" w:rsidP="006016B9">
      <w:r w:rsidRPr="0087752B">
        <w:t>In 2015–16, the standard per-capita rate paid by the Victorian Government increased in the early childhood sector for both kindergarten and Maternal and Child Health services. The most significant increase was for kindergarten services, reflecting funding in the 2015–16 Budget supporting additional kindergarten places and the expansion of other early childhood services across Victorian regional and metropolitan areas.</w:t>
      </w:r>
    </w:p>
    <w:p w14:paraId="13412591" w14:textId="739B7CD7" w:rsidR="00331840" w:rsidRPr="00331840" w:rsidRDefault="00331840" w:rsidP="00331840">
      <w:bookmarkStart w:id="52" w:name="_Toc461013248"/>
      <w:bookmarkStart w:id="53" w:name="_Toc461025825"/>
      <w:bookmarkStart w:id="54" w:name="_Toc462405118"/>
      <w:r w:rsidRPr="00331840">
        <w:t xml:space="preserve">The unit cost per </w:t>
      </w:r>
      <w:r w:rsidR="00F33E3B">
        <w:t xml:space="preserve">school </w:t>
      </w:r>
      <w:r w:rsidRPr="00331840">
        <w:t xml:space="preserve">student (primary and secondary) remained relatively stable from 2012 to 2013, while the unit cost per VET student contact hour decreased nearly 20 per cent, from $9.50 per hour in </w:t>
      </w:r>
      <w:r>
        <w:t>2013 to $7.80 per hour in 2014</w:t>
      </w:r>
      <w:r w:rsidR="0071566B" w:rsidRPr="001C1E4B">
        <w:rPr>
          <w:rStyle w:val="FootnoteReference"/>
          <w:rFonts w:eastAsia="Arial"/>
        </w:rPr>
        <w:footnoteReference w:id="4"/>
      </w:r>
      <w:r>
        <w:t>.</w:t>
      </w:r>
    </w:p>
    <w:p w14:paraId="602909B5" w14:textId="77777777" w:rsidR="00331840" w:rsidRDefault="00331840" w:rsidP="0053227D">
      <w:pPr>
        <w:sectPr w:rsidR="00331840" w:rsidSect="00DA64AD">
          <w:type w:val="continuous"/>
          <w:pgSz w:w="11906" w:h="16838" w:code="9"/>
          <w:pgMar w:top="1440" w:right="1701" w:bottom="1440" w:left="2835" w:header="851" w:footer="567" w:gutter="0"/>
          <w:cols w:space="567"/>
          <w:docGrid w:linePitch="360"/>
        </w:sectPr>
      </w:pPr>
    </w:p>
    <w:p w14:paraId="65BD84FE" w14:textId="33010735" w:rsidR="006016B9" w:rsidRPr="0087752B" w:rsidRDefault="0053227D" w:rsidP="004B1764">
      <w:pPr>
        <w:pStyle w:val="DETHeading2"/>
      </w:pPr>
      <w:r>
        <w:lastRenderedPageBreak/>
        <w:t>P</w:t>
      </w:r>
      <w:r w:rsidR="006016B9" w:rsidRPr="0087752B">
        <w:t>erformance indicators</w:t>
      </w:r>
      <w:bookmarkEnd w:id="52"/>
      <w:bookmarkEnd w:id="53"/>
      <w:bookmarkEnd w:id="54"/>
    </w:p>
    <w:p w14:paraId="32A3E635" w14:textId="77777777" w:rsidR="006016B9" w:rsidRPr="0087752B" w:rsidRDefault="006016B9" w:rsidP="004B1764">
      <w:pPr>
        <w:pStyle w:val="Heading3"/>
      </w:pPr>
      <w:r w:rsidRPr="0087752B">
        <w:t>Achievement</w:t>
      </w:r>
    </w:p>
    <w:p w14:paraId="7A9BA40F" w14:textId="697D37A4" w:rsidR="00DA64AD" w:rsidRPr="0053227D" w:rsidRDefault="006016B9" w:rsidP="0053227D">
      <w:pPr>
        <w:rPr>
          <w:i/>
          <w:iCs/>
          <w:color w:val="404040" w:themeColor="text1" w:themeTint="BF"/>
        </w:rPr>
      </w:pPr>
      <w:r w:rsidRPr="00127B23">
        <w:rPr>
          <w:rStyle w:val="SubtleEmphasis"/>
        </w:rPr>
        <w:t>Raise standards of learning and development achieved by Victorians using education, develop</w:t>
      </w:r>
      <w:r w:rsidR="0053227D">
        <w:rPr>
          <w:rStyle w:val="SubtleEmphasis"/>
        </w:rPr>
        <w:t>ment and child health services.</w:t>
      </w:r>
    </w:p>
    <w:tbl>
      <w:tblPr>
        <w:tblW w:w="5061" w:type="pct"/>
        <w:tblInd w:w="-45" w:type="dxa"/>
        <w:tblBorders>
          <w:top w:val="single" w:sz="6" w:space="0" w:color="777777"/>
          <w:bottom w:val="single" w:sz="12" w:space="0" w:color="777777"/>
        </w:tblBorders>
        <w:tblLayout w:type="fixed"/>
        <w:tblCellMar>
          <w:left w:w="45" w:type="dxa"/>
          <w:right w:w="45" w:type="dxa"/>
        </w:tblCellMar>
        <w:tblLook w:val="0000" w:firstRow="0" w:lastRow="0" w:firstColumn="0" w:lastColumn="0" w:noHBand="0" w:noVBand="0"/>
      </w:tblPr>
      <w:tblGrid>
        <w:gridCol w:w="3776"/>
        <w:gridCol w:w="817"/>
        <w:gridCol w:w="627"/>
        <w:gridCol w:w="562"/>
        <w:gridCol w:w="561"/>
        <w:gridCol w:w="604"/>
        <w:gridCol w:w="604"/>
      </w:tblGrid>
      <w:tr w:rsidR="00DA64AD" w:rsidRPr="0087752B" w14:paraId="561F1843" w14:textId="77777777" w:rsidTr="00DA64AD">
        <w:trPr>
          <w:cantSplit/>
        </w:trPr>
        <w:tc>
          <w:tcPr>
            <w:tcW w:w="3776" w:type="dxa"/>
            <w:tcBorders>
              <w:top w:val="nil"/>
              <w:bottom w:val="nil"/>
            </w:tcBorders>
            <w:shd w:val="clear" w:color="auto" w:fill="A6A6A6" w:themeFill="background1" w:themeFillShade="A6"/>
          </w:tcPr>
          <w:p w14:paraId="08B74C58" w14:textId="476B4F02" w:rsidR="00DA64AD" w:rsidRPr="0087752B" w:rsidRDefault="00DA64AD" w:rsidP="00DA64AD">
            <w:pPr>
              <w:pStyle w:val="DETTablecolumnheading"/>
              <w:jc w:val="left"/>
            </w:pPr>
            <w:r w:rsidRPr="005C767D">
              <w:t>Indicators</w:t>
            </w:r>
          </w:p>
        </w:tc>
        <w:tc>
          <w:tcPr>
            <w:tcW w:w="817" w:type="dxa"/>
            <w:tcBorders>
              <w:top w:val="nil"/>
              <w:bottom w:val="nil"/>
            </w:tcBorders>
            <w:shd w:val="clear" w:color="auto" w:fill="A6A6A6" w:themeFill="background1" w:themeFillShade="A6"/>
            <w:vAlign w:val="center"/>
          </w:tcPr>
          <w:p w14:paraId="7AF87314" w14:textId="7AC2CF5F" w:rsidR="00DA64AD" w:rsidRPr="0087752B" w:rsidRDefault="00DA64AD" w:rsidP="00DA64AD">
            <w:pPr>
              <w:pStyle w:val="DETTablecolumnheading"/>
              <w:jc w:val="left"/>
            </w:pPr>
            <w:r w:rsidRPr="0087752B">
              <w:t>Unit</w:t>
            </w:r>
          </w:p>
        </w:tc>
        <w:tc>
          <w:tcPr>
            <w:tcW w:w="627" w:type="dxa"/>
            <w:tcBorders>
              <w:top w:val="nil"/>
              <w:bottom w:val="nil"/>
            </w:tcBorders>
            <w:shd w:val="clear" w:color="auto" w:fill="A6A6A6" w:themeFill="background1" w:themeFillShade="A6"/>
          </w:tcPr>
          <w:p w14:paraId="2863BF6D" w14:textId="1E9A72F0" w:rsidR="00DA64AD" w:rsidRDefault="00DA64AD" w:rsidP="00DA64AD">
            <w:pPr>
              <w:pStyle w:val="DETTablecolumnheading"/>
              <w:jc w:val="left"/>
            </w:pPr>
            <w:r w:rsidRPr="0087752B">
              <w:t>2011</w:t>
            </w:r>
          </w:p>
        </w:tc>
        <w:tc>
          <w:tcPr>
            <w:tcW w:w="562" w:type="dxa"/>
            <w:tcBorders>
              <w:top w:val="nil"/>
              <w:bottom w:val="nil"/>
            </w:tcBorders>
            <w:shd w:val="clear" w:color="auto" w:fill="A6A6A6" w:themeFill="background1" w:themeFillShade="A6"/>
          </w:tcPr>
          <w:p w14:paraId="15B38780" w14:textId="26382BBE" w:rsidR="00DA64AD" w:rsidRPr="0087752B" w:rsidRDefault="00DA64AD" w:rsidP="00DA64AD">
            <w:pPr>
              <w:pStyle w:val="DETTablecolumnheading"/>
              <w:jc w:val="left"/>
            </w:pPr>
            <w:r w:rsidRPr="0087752B">
              <w:t>2012</w:t>
            </w:r>
          </w:p>
        </w:tc>
        <w:tc>
          <w:tcPr>
            <w:tcW w:w="561" w:type="dxa"/>
            <w:tcBorders>
              <w:top w:val="nil"/>
              <w:bottom w:val="nil"/>
            </w:tcBorders>
            <w:shd w:val="clear" w:color="auto" w:fill="A6A6A6" w:themeFill="background1" w:themeFillShade="A6"/>
          </w:tcPr>
          <w:p w14:paraId="2361F73E" w14:textId="53F2E799" w:rsidR="00DA64AD" w:rsidRPr="00553703" w:rsidRDefault="00DA64AD" w:rsidP="00DA64AD">
            <w:pPr>
              <w:pStyle w:val="DETTablecolumnheading"/>
              <w:jc w:val="left"/>
            </w:pPr>
            <w:r w:rsidRPr="0087752B">
              <w:t>2013</w:t>
            </w:r>
          </w:p>
        </w:tc>
        <w:tc>
          <w:tcPr>
            <w:tcW w:w="604" w:type="dxa"/>
            <w:tcBorders>
              <w:top w:val="nil"/>
              <w:bottom w:val="nil"/>
            </w:tcBorders>
            <w:shd w:val="clear" w:color="auto" w:fill="A6A6A6" w:themeFill="background1" w:themeFillShade="A6"/>
          </w:tcPr>
          <w:p w14:paraId="0056D2C7" w14:textId="28ABAEAD" w:rsidR="00DA64AD" w:rsidRPr="00553703" w:rsidRDefault="00DA64AD" w:rsidP="00DA64AD">
            <w:pPr>
              <w:pStyle w:val="DETTablecolumnheading"/>
              <w:jc w:val="left"/>
            </w:pPr>
            <w:r w:rsidRPr="0087752B">
              <w:t>2014</w:t>
            </w:r>
          </w:p>
        </w:tc>
        <w:tc>
          <w:tcPr>
            <w:tcW w:w="604" w:type="dxa"/>
            <w:tcBorders>
              <w:top w:val="nil"/>
              <w:bottom w:val="nil"/>
            </w:tcBorders>
            <w:shd w:val="clear" w:color="auto" w:fill="A6A6A6" w:themeFill="background1" w:themeFillShade="A6"/>
          </w:tcPr>
          <w:p w14:paraId="1DE0DA30" w14:textId="5D58F15F" w:rsidR="00DA64AD" w:rsidRPr="0087752B" w:rsidRDefault="00DA64AD" w:rsidP="00DA64AD">
            <w:pPr>
              <w:pStyle w:val="DETTablecolumnheading"/>
              <w:jc w:val="left"/>
            </w:pPr>
            <w:r w:rsidRPr="0087752B">
              <w:t>2015</w:t>
            </w:r>
          </w:p>
        </w:tc>
      </w:tr>
      <w:tr w:rsidR="00DA64AD" w:rsidRPr="0087752B" w14:paraId="60B44F09" w14:textId="77777777" w:rsidTr="00DA64AD">
        <w:trPr>
          <w:cantSplit/>
        </w:trPr>
        <w:tc>
          <w:tcPr>
            <w:tcW w:w="7551" w:type="dxa"/>
            <w:gridSpan w:val="7"/>
            <w:tcBorders>
              <w:top w:val="nil"/>
            </w:tcBorders>
            <w:shd w:val="clear" w:color="auto" w:fill="7F7F7F" w:themeFill="text1" w:themeFillTint="80"/>
            <w:vAlign w:val="center"/>
          </w:tcPr>
          <w:p w14:paraId="6A3A7C02" w14:textId="03EE44B9" w:rsidR="00DA64AD" w:rsidRPr="0087752B" w:rsidRDefault="00DA64AD" w:rsidP="00DA64AD">
            <w:pPr>
              <w:pStyle w:val="DETTablecolumnheading"/>
              <w:jc w:val="left"/>
            </w:pPr>
            <w:r w:rsidRPr="0087752B">
              <w:t>Early childhood development</w:t>
            </w:r>
          </w:p>
        </w:tc>
      </w:tr>
      <w:tr w:rsidR="00DA64AD" w:rsidRPr="0087752B" w14:paraId="70355012" w14:textId="77777777" w:rsidTr="00DA64AD">
        <w:trPr>
          <w:cantSplit/>
        </w:trPr>
        <w:tc>
          <w:tcPr>
            <w:tcW w:w="7551" w:type="dxa"/>
            <w:gridSpan w:val="7"/>
            <w:shd w:val="clear" w:color="auto" w:fill="auto"/>
            <w:vAlign w:val="center"/>
          </w:tcPr>
          <w:p w14:paraId="5267B91C" w14:textId="734B45A9" w:rsidR="00DA64AD" w:rsidRPr="0087752B" w:rsidRDefault="00DA64AD" w:rsidP="00DA64AD">
            <w:pPr>
              <w:pStyle w:val="DETTableTextFinancial"/>
            </w:pPr>
            <w:r w:rsidRPr="0087752B">
              <w:rPr>
                <w:b/>
              </w:rPr>
              <w:t>Children developmentally ‘on track’ on the Australian Early Development Index language and cognitive skills domains</w:t>
            </w:r>
          </w:p>
        </w:tc>
      </w:tr>
      <w:tr w:rsidR="004D1C46" w:rsidRPr="0087752B" w14:paraId="345A35BE" w14:textId="77777777" w:rsidTr="00DA64AD">
        <w:trPr>
          <w:cantSplit/>
        </w:trPr>
        <w:tc>
          <w:tcPr>
            <w:tcW w:w="3776" w:type="dxa"/>
            <w:shd w:val="clear" w:color="auto" w:fill="auto"/>
            <w:vAlign w:val="center"/>
          </w:tcPr>
          <w:p w14:paraId="7B7DD2CA" w14:textId="69E738C5" w:rsidR="004D1C46" w:rsidRPr="0087752B" w:rsidRDefault="004D1C46" w:rsidP="004D1C46">
            <w:pPr>
              <w:pStyle w:val="DETTableTextFinancial"/>
            </w:pPr>
            <w:r w:rsidRPr="0087752B">
              <w:t xml:space="preserve">Proportion of children developmentally </w:t>
            </w:r>
            <w:r w:rsidR="00770123">
              <w:t>‘</w:t>
            </w:r>
            <w:r w:rsidRPr="0087752B">
              <w:t xml:space="preserve">on track’ on the Australian Early Development </w:t>
            </w:r>
            <w:r w:rsidRPr="0053227D">
              <w:t>Census</w:t>
            </w:r>
            <w:r w:rsidR="0053227D" w:rsidRPr="0053227D">
              <w:rPr>
                <w:rStyle w:val="FootnoteReference"/>
              </w:rPr>
              <w:footnoteReference w:id="5"/>
            </w:r>
            <w:r w:rsidRPr="0087752B">
              <w:rPr>
                <w:vertAlign w:val="superscript"/>
              </w:rPr>
              <w:t xml:space="preserve"> </w:t>
            </w:r>
            <w:r w:rsidRPr="0087752B">
              <w:t>language and cognitive skills domains</w:t>
            </w:r>
          </w:p>
        </w:tc>
        <w:tc>
          <w:tcPr>
            <w:tcW w:w="817" w:type="dxa"/>
            <w:shd w:val="clear" w:color="auto" w:fill="auto"/>
          </w:tcPr>
          <w:p w14:paraId="250C83AC" w14:textId="77777777" w:rsidR="004D1C46" w:rsidRPr="0087752B" w:rsidRDefault="004D1C46" w:rsidP="004D1C46">
            <w:pPr>
              <w:pStyle w:val="DETTableTextFinancial"/>
            </w:pPr>
            <w:r w:rsidRPr="0087752B">
              <w:t>per cent</w:t>
            </w:r>
          </w:p>
        </w:tc>
        <w:tc>
          <w:tcPr>
            <w:tcW w:w="627" w:type="dxa"/>
            <w:shd w:val="clear" w:color="auto" w:fill="auto"/>
          </w:tcPr>
          <w:p w14:paraId="6C2433B9" w14:textId="2CEC16FE" w:rsidR="004D1C46" w:rsidRPr="0087752B" w:rsidRDefault="004D1C46" w:rsidP="00127B23">
            <w:pPr>
              <w:pStyle w:val="DETTableTextFinancial"/>
              <w:jc w:val="right"/>
            </w:pPr>
            <w:r>
              <w:t>–</w:t>
            </w:r>
          </w:p>
        </w:tc>
        <w:tc>
          <w:tcPr>
            <w:tcW w:w="562" w:type="dxa"/>
            <w:shd w:val="clear" w:color="auto" w:fill="auto"/>
          </w:tcPr>
          <w:p w14:paraId="43E14308" w14:textId="77777777" w:rsidR="004D1C46" w:rsidRPr="0087752B" w:rsidRDefault="004D1C46" w:rsidP="00127B23">
            <w:pPr>
              <w:pStyle w:val="DETTableTextFinancial"/>
              <w:jc w:val="right"/>
            </w:pPr>
            <w:r w:rsidRPr="0087752B">
              <w:t>84.0</w:t>
            </w:r>
          </w:p>
        </w:tc>
        <w:tc>
          <w:tcPr>
            <w:tcW w:w="561" w:type="dxa"/>
            <w:shd w:val="clear" w:color="auto" w:fill="auto"/>
          </w:tcPr>
          <w:p w14:paraId="33D56971" w14:textId="783AC7AA" w:rsidR="004D1C46" w:rsidRPr="0087752B" w:rsidRDefault="004D1C46" w:rsidP="00127B23">
            <w:pPr>
              <w:pStyle w:val="DETTableTextFinancial"/>
              <w:jc w:val="right"/>
            </w:pPr>
            <w:r w:rsidRPr="00553703">
              <w:t>–</w:t>
            </w:r>
          </w:p>
        </w:tc>
        <w:tc>
          <w:tcPr>
            <w:tcW w:w="604" w:type="dxa"/>
            <w:shd w:val="clear" w:color="auto" w:fill="auto"/>
          </w:tcPr>
          <w:p w14:paraId="1D3ADE3B" w14:textId="020ACA36" w:rsidR="004D1C46" w:rsidRPr="0087752B" w:rsidRDefault="004D1C46" w:rsidP="00127B23">
            <w:pPr>
              <w:pStyle w:val="DETTableTextFinancial"/>
              <w:jc w:val="right"/>
            </w:pPr>
            <w:r w:rsidRPr="00553703">
              <w:t>–</w:t>
            </w:r>
          </w:p>
        </w:tc>
        <w:tc>
          <w:tcPr>
            <w:tcW w:w="604" w:type="dxa"/>
          </w:tcPr>
          <w:p w14:paraId="766C5087" w14:textId="77777777" w:rsidR="004D1C46" w:rsidRPr="0087752B" w:rsidRDefault="004D1C46" w:rsidP="00127B23">
            <w:pPr>
              <w:pStyle w:val="DETTableTextFinancial"/>
              <w:jc w:val="right"/>
            </w:pPr>
            <w:r w:rsidRPr="0087752B">
              <w:t>84.7</w:t>
            </w:r>
          </w:p>
        </w:tc>
      </w:tr>
      <w:tr w:rsidR="00FD31CF" w:rsidRPr="0087752B" w14:paraId="58576DB8" w14:textId="77777777" w:rsidTr="00DA64AD">
        <w:trPr>
          <w:cantSplit/>
        </w:trPr>
        <w:tc>
          <w:tcPr>
            <w:tcW w:w="7551" w:type="dxa"/>
            <w:gridSpan w:val="7"/>
            <w:shd w:val="clear" w:color="auto" w:fill="7F7F7F" w:themeFill="text1" w:themeFillTint="80"/>
            <w:vAlign w:val="center"/>
          </w:tcPr>
          <w:p w14:paraId="03CC86AE" w14:textId="77777777" w:rsidR="00FD31CF" w:rsidRPr="0087752B" w:rsidRDefault="00FD31CF" w:rsidP="00FD31CF">
            <w:pPr>
              <w:pStyle w:val="DETTablecolumnheading"/>
              <w:jc w:val="left"/>
            </w:pPr>
            <w:r w:rsidRPr="0087752B">
              <w:t>School education</w:t>
            </w:r>
          </w:p>
        </w:tc>
      </w:tr>
      <w:tr w:rsidR="00FD31CF" w:rsidRPr="0087752B" w14:paraId="3360A33B" w14:textId="77777777" w:rsidTr="00DA64AD">
        <w:trPr>
          <w:cantSplit/>
        </w:trPr>
        <w:tc>
          <w:tcPr>
            <w:tcW w:w="7551" w:type="dxa"/>
            <w:gridSpan w:val="7"/>
            <w:shd w:val="clear" w:color="auto" w:fill="auto"/>
            <w:vAlign w:val="center"/>
          </w:tcPr>
          <w:p w14:paraId="2D1901A3" w14:textId="4D6A606B" w:rsidR="00FD31CF" w:rsidRPr="005C767D" w:rsidRDefault="00FD31CF" w:rsidP="00FD31CF">
            <w:pPr>
              <w:pStyle w:val="DETTableTextFinancial"/>
              <w:rPr>
                <w:b/>
              </w:rPr>
            </w:pPr>
            <w:r w:rsidRPr="0087752B">
              <w:rPr>
                <w:b/>
              </w:rPr>
              <w:t xml:space="preserve">Students meeting the expected standard in national and international literacy and numeracy </w:t>
            </w:r>
            <w:r w:rsidRPr="0053227D">
              <w:rPr>
                <w:b/>
              </w:rPr>
              <w:t>assessments</w:t>
            </w:r>
            <w:r w:rsidR="0053227D" w:rsidRPr="0053227D">
              <w:rPr>
                <w:rStyle w:val="FootnoteReference"/>
                <w:b/>
              </w:rPr>
              <w:footnoteReference w:id="6"/>
            </w:r>
          </w:p>
        </w:tc>
      </w:tr>
      <w:tr w:rsidR="00FD31CF" w:rsidRPr="0087752B" w14:paraId="753F2511" w14:textId="77777777" w:rsidTr="00DA64AD">
        <w:tblPrEx>
          <w:tblBorders>
            <w:top w:val="none" w:sz="0" w:space="0" w:color="auto"/>
            <w:bottom w:val="none" w:sz="0" w:space="0" w:color="auto"/>
          </w:tblBorders>
        </w:tblPrEx>
        <w:tc>
          <w:tcPr>
            <w:tcW w:w="7551" w:type="dxa"/>
            <w:gridSpan w:val="7"/>
            <w:shd w:val="clear" w:color="auto" w:fill="auto"/>
          </w:tcPr>
          <w:p w14:paraId="1D62E02F" w14:textId="77777777" w:rsidR="00FD31CF" w:rsidRPr="0087752B" w:rsidRDefault="00FD31CF" w:rsidP="00FD31CF">
            <w:pPr>
              <w:pStyle w:val="DETTableTextFinancial"/>
            </w:pPr>
            <w:r w:rsidRPr="0087752B">
              <w:t>NAPLAN Proportion of students above the bottom three bands:</w:t>
            </w:r>
          </w:p>
        </w:tc>
      </w:tr>
      <w:tr w:rsidR="00FD31CF" w:rsidRPr="0087752B" w14:paraId="6132AB9C" w14:textId="77777777" w:rsidTr="00DA64AD">
        <w:trPr>
          <w:cantSplit/>
        </w:trPr>
        <w:tc>
          <w:tcPr>
            <w:tcW w:w="3776" w:type="dxa"/>
            <w:shd w:val="clear" w:color="auto" w:fill="auto"/>
            <w:vAlign w:val="center"/>
          </w:tcPr>
          <w:p w14:paraId="127DEDA5" w14:textId="77777777" w:rsidR="00FD31CF" w:rsidRPr="0087752B" w:rsidRDefault="00FD31CF" w:rsidP="00FD31CF">
            <w:pPr>
              <w:pStyle w:val="DETTableTextFinancial"/>
            </w:pPr>
            <w:r w:rsidRPr="0087752B">
              <w:tab/>
              <w:t>Year 3—Literacy</w:t>
            </w:r>
          </w:p>
        </w:tc>
        <w:tc>
          <w:tcPr>
            <w:tcW w:w="817" w:type="dxa"/>
            <w:shd w:val="clear" w:color="auto" w:fill="auto"/>
          </w:tcPr>
          <w:p w14:paraId="04129F26" w14:textId="77777777" w:rsidR="00FD31CF" w:rsidRPr="0087752B" w:rsidRDefault="00FD31CF" w:rsidP="00FD31CF">
            <w:pPr>
              <w:pStyle w:val="DETTableTextFinancial"/>
            </w:pPr>
            <w:r w:rsidRPr="0087752B">
              <w:t>per cent</w:t>
            </w:r>
          </w:p>
        </w:tc>
        <w:tc>
          <w:tcPr>
            <w:tcW w:w="627" w:type="dxa"/>
            <w:shd w:val="clear" w:color="auto" w:fill="auto"/>
          </w:tcPr>
          <w:p w14:paraId="59701DDD" w14:textId="77777777" w:rsidR="00FD31CF" w:rsidRPr="0087752B" w:rsidRDefault="00FD31CF" w:rsidP="00FD31CF">
            <w:pPr>
              <w:pStyle w:val="DETTableTextFinancial"/>
              <w:jc w:val="right"/>
            </w:pPr>
            <w:r w:rsidRPr="0087752B">
              <w:t>73.0</w:t>
            </w:r>
          </w:p>
        </w:tc>
        <w:tc>
          <w:tcPr>
            <w:tcW w:w="562" w:type="dxa"/>
            <w:shd w:val="clear" w:color="auto" w:fill="auto"/>
          </w:tcPr>
          <w:p w14:paraId="3D3695CE" w14:textId="77777777" w:rsidR="00FD31CF" w:rsidRPr="0087752B" w:rsidRDefault="00FD31CF" w:rsidP="00FD31CF">
            <w:pPr>
              <w:pStyle w:val="DETTableTextFinancial"/>
              <w:jc w:val="right"/>
            </w:pPr>
            <w:r w:rsidRPr="0087752B">
              <w:t>73.3</w:t>
            </w:r>
          </w:p>
        </w:tc>
        <w:tc>
          <w:tcPr>
            <w:tcW w:w="561" w:type="dxa"/>
            <w:shd w:val="clear" w:color="auto" w:fill="auto"/>
          </w:tcPr>
          <w:p w14:paraId="721DD69A" w14:textId="77777777" w:rsidR="00FD31CF" w:rsidRPr="0087752B" w:rsidRDefault="00FD31CF" w:rsidP="00FD31CF">
            <w:pPr>
              <w:pStyle w:val="DETTableTextFinancial"/>
              <w:jc w:val="right"/>
            </w:pPr>
            <w:r w:rsidRPr="0087752B">
              <w:t>75.3</w:t>
            </w:r>
          </w:p>
        </w:tc>
        <w:tc>
          <w:tcPr>
            <w:tcW w:w="604" w:type="dxa"/>
            <w:shd w:val="clear" w:color="auto" w:fill="auto"/>
          </w:tcPr>
          <w:p w14:paraId="7DBEB8D2" w14:textId="77777777" w:rsidR="00FD31CF" w:rsidRPr="0087752B" w:rsidRDefault="00FD31CF" w:rsidP="00FD31CF">
            <w:pPr>
              <w:pStyle w:val="DETTableTextFinancial"/>
              <w:jc w:val="right"/>
            </w:pPr>
            <w:r w:rsidRPr="0087752B">
              <w:t>73.7</w:t>
            </w:r>
          </w:p>
        </w:tc>
        <w:tc>
          <w:tcPr>
            <w:tcW w:w="604" w:type="dxa"/>
          </w:tcPr>
          <w:p w14:paraId="18C53944" w14:textId="77777777" w:rsidR="00FD31CF" w:rsidRPr="0087752B" w:rsidRDefault="00FD31CF" w:rsidP="00FD31CF">
            <w:pPr>
              <w:pStyle w:val="DETTableTextFinancial"/>
              <w:jc w:val="right"/>
            </w:pPr>
            <w:r w:rsidRPr="0087752B">
              <w:t>76.2</w:t>
            </w:r>
          </w:p>
        </w:tc>
      </w:tr>
      <w:tr w:rsidR="00FD31CF" w:rsidRPr="0087752B" w14:paraId="44C4FF87" w14:textId="77777777" w:rsidTr="00DA64AD">
        <w:trPr>
          <w:cantSplit/>
        </w:trPr>
        <w:tc>
          <w:tcPr>
            <w:tcW w:w="3776" w:type="dxa"/>
            <w:shd w:val="clear" w:color="auto" w:fill="auto"/>
            <w:vAlign w:val="center"/>
          </w:tcPr>
          <w:p w14:paraId="6FEE6B91" w14:textId="77777777" w:rsidR="00FD31CF" w:rsidRPr="0087752B" w:rsidRDefault="00FD31CF" w:rsidP="00FD31CF">
            <w:pPr>
              <w:pStyle w:val="DETTableTextFinancial"/>
            </w:pPr>
            <w:r w:rsidRPr="0087752B">
              <w:tab/>
              <w:t>Year 3—Numeracy</w:t>
            </w:r>
          </w:p>
        </w:tc>
        <w:tc>
          <w:tcPr>
            <w:tcW w:w="817" w:type="dxa"/>
            <w:shd w:val="clear" w:color="auto" w:fill="auto"/>
          </w:tcPr>
          <w:p w14:paraId="28A18919" w14:textId="77777777" w:rsidR="00FD31CF" w:rsidRPr="0087752B" w:rsidRDefault="00FD31CF" w:rsidP="00FD31CF">
            <w:pPr>
              <w:pStyle w:val="DETTableTextFinancial"/>
            </w:pPr>
            <w:r w:rsidRPr="0087752B">
              <w:t>per cent</w:t>
            </w:r>
          </w:p>
        </w:tc>
        <w:tc>
          <w:tcPr>
            <w:tcW w:w="627" w:type="dxa"/>
            <w:shd w:val="clear" w:color="auto" w:fill="auto"/>
          </w:tcPr>
          <w:p w14:paraId="58153B74" w14:textId="77777777" w:rsidR="00FD31CF" w:rsidRPr="0087752B" w:rsidRDefault="00FD31CF" w:rsidP="00FD31CF">
            <w:pPr>
              <w:pStyle w:val="DETTableTextFinancial"/>
              <w:jc w:val="right"/>
            </w:pPr>
            <w:r w:rsidRPr="0087752B">
              <w:t>68.2</w:t>
            </w:r>
          </w:p>
        </w:tc>
        <w:tc>
          <w:tcPr>
            <w:tcW w:w="562" w:type="dxa"/>
            <w:shd w:val="clear" w:color="auto" w:fill="auto"/>
          </w:tcPr>
          <w:p w14:paraId="4196B3E5" w14:textId="77777777" w:rsidR="00FD31CF" w:rsidRPr="0087752B" w:rsidRDefault="00FD31CF" w:rsidP="00FD31CF">
            <w:pPr>
              <w:pStyle w:val="DETTableTextFinancial"/>
              <w:jc w:val="right"/>
            </w:pPr>
            <w:r w:rsidRPr="0087752B">
              <w:t>67.3</w:t>
            </w:r>
          </w:p>
        </w:tc>
        <w:tc>
          <w:tcPr>
            <w:tcW w:w="561" w:type="dxa"/>
            <w:shd w:val="clear" w:color="auto" w:fill="auto"/>
          </w:tcPr>
          <w:p w14:paraId="4D804177" w14:textId="77777777" w:rsidR="00FD31CF" w:rsidRPr="0087752B" w:rsidRDefault="00FD31CF" w:rsidP="00FD31CF">
            <w:pPr>
              <w:pStyle w:val="DETTableTextFinancial"/>
              <w:jc w:val="right"/>
            </w:pPr>
            <w:r w:rsidRPr="0087752B">
              <w:t>68.9</w:t>
            </w:r>
          </w:p>
        </w:tc>
        <w:tc>
          <w:tcPr>
            <w:tcW w:w="604" w:type="dxa"/>
            <w:shd w:val="clear" w:color="auto" w:fill="auto"/>
          </w:tcPr>
          <w:p w14:paraId="4C5C53F0" w14:textId="77777777" w:rsidR="00FD31CF" w:rsidRPr="0087752B" w:rsidRDefault="00FD31CF" w:rsidP="00FD31CF">
            <w:pPr>
              <w:pStyle w:val="DETTableTextFinancial"/>
              <w:jc w:val="right"/>
            </w:pPr>
            <w:r w:rsidRPr="0087752B">
              <w:t>69.1</w:t>
            </w:r>
          </w:p>
        </w:tc>
        <w:tc>
          <w:tcPr>
            <w:tcW w:w="604" w:type="dxa"/>
          </w:tcPr>
          <w:p w14:paraId="0D0CF2A3" w14:textId="77777777" w:rsidR="00FD31CF" w:rsidRPr="0087752B" w:rsidRDefault="00FD31CF" w:rsidP="00FD31CF">
            <w:pPr>
              <w:pStyle w:val="DETTableTextFinancial"/>
              <w:jc w:val="right"/>
            </w:pPr>
            <w:r w:rsidRPr="0087752B">
              <w:t>66.4</w:t>
            </w:r>
          </w:p>
        </w:tc>
      </w:tr>
      <w:tr w:rsidR="00FD31CF" w:rsidRPr="0087752B" w14:paraId="55B97FC1" w14:textId="77777777" w:rsidTr="00DA64AD">
        <w:trPr>
          <w:cantSplit/>
        </w:trPr>
        <w:tc>
          <w:tcPr>
            <w:tcW w:w="3776" w:type="dxa"/>
            <w:shd w:val="clear" w:color="auto" w:fill="auto"/>
            <w:vAlign w:val="center"/>
          </w:tcPr>
          <w:p w14:paraId="548BAD3E" w14:textId="77777777" w:rsidR="00FD31CF" w:rsidRPr="0087752B" w:rsidRDefault="00FD31CF" w:rsidP="00FD31CF">
            <w:pPr>
              <w:pStyle w:val="DETTableTextFinancial"/>
            </w:pPr>
            <w:r w:rsidRPr="0087752B">
              <w:tab/>
              <w:t>Year 5—Literacy</w:t>
            </w:r>
          </w:p>
        </w:tc>
        <w:tc>
          <w:tcPr>
            <w:tcW w:w="817" w:type="dxa"/>
            <w:shd w:val="clear" w:color="auto" w:fill="auto"/>
          </w:tcPr>
          <w:p w14:paraId="0D81FD24" w14:textId="77777777" w:rsidR="00FD31CF" w:rsidRPr="0087752B" w:rsidRDefault="00FD31CF" w:rsidP="00FD31CF">
            <w:pPr>
              <w:pStyle w:val="DETTableTextFinancial"/>
            </w:pPr>
            <w:r w:rsidRPr="0087752B">
              <w:t>per cent</w:t>
            </w:r>
          </w:p>
        </w:tc>
        <w:tc>
          <w:tcPr>
            <w:tcW w:w="627" w:type="dxa"/>
            <w:shd w:val="clear" w:color="auto" w:fill="auto"/>
          </w:tcPr>
          <w:p w14:paraId="4ED90AD8" w14:textId="77777777" w:rsidR="00FD31CF" w:rsidRPr="0087752B" w:rsidRDefault="00FD31CF" w:rsidP="00FD31CF">
            <w:pPr>
              <w:pStyle w:val="DETTableTextFinancial"/>
              <w:jc w:val="right"/>
            </w:pPr>
            <w:r w:rsidRPr="0087752B">
              <w:t>62.0</w:t>
            </w:r>
          </w:p>
        </w:tc>
        <w:tc>
          <w:tcPr>
            <w:tcW w:w="562" w:type="dxa"/>
            <w:shd w:val="clear" w:color="auto" w:fill="auto"/>
          </w:tcPr>
          <w:p w14:paraId="7781E638" w14:textId="77777777" w:rsidR="00FD31CF" w:rsidRPr="0087752B" w:rsidRDefault="00FD31CF" w:rsidP="00FD31CF">
            <w:pPr>
              <w:pStyle w:val="DETTableTextFinancial"/>
              <w:jc w:val="right"/>
            </w:pPr>
            <w:r w:rsidRPr="0087752B">
              <w:t>62.8</w:t>
            </w:r>
          </w:p>
        </w:tc>
        <w:tc>
          <w:tcPr>
            <w:tcW w:w="561" w:type="dxa"/>
            <w:shd w:val="clear" w:color="auto" w:fill="auto"/>
          </w:tcPr>
          <w:p w14:paraId="4D69E5CF" w14:textId="77777777" w:rsidR="00FD31CF" w:rsidRPr="0087752B" w:rsidRDefault="00FD31CF" w:rsidP="00FD31CF">
            <w:pPr>
              <w:pStyle w:val="DETTableTextFinancial"/>
              <w:jc w:val="right"/>
            </w:pPr>
            <w:r w:rsidRPr="0087752B">
              <w:t>66.9</w:t>
            </w:r>
          </w:p>
        </w:tc>
        <w:tc>
          <w:tcPr>
            <w:tcW w:w="604" w:type="dxa"/>
            <w:shd w:val="clear" w:color="auto" w:fill="auto"/>
          </w:tcPr>
          <w:p w14:paraId="72A20C97" w14:textId="77777777" w:rsidR="00FD31CF" w:rsidRPr="0087752B" w:rsidRDefault="00FD31CF" w:rsidP="00FD31CF">
            <w:pPr>
              <w:pStyle w:val="DETTableTextFinancial"/>
              <w:jc w:val="right"/>
            </w:pPr>
            <w:r w:rsidRPr="0087752B">
              <w:t>64.1</w:t>
            </w:r>
          </w:p>
        </w:tc>
        <w:tc>
          <w:tcPr>
            <w:tcW w:w="604" w:type="dxa"/>
          </w:tcPr>
          <w:p w14:paraId="4DC9E741" w14:textId="77777777" w:rsidR="00FD31CF" w:rsidRPr="0087752B" w:rsidRDefault="00FD31CF" w:rsidP="00FD31CF">
            <w:pPr>
              <w:pStyle w:val="DETTableTextFinancial"/>
              <w:jc w:val="right"/>
            </w:pPr>
            <w:r w:rsidRPr="0087752B">
              <w:t>62.2</w:t>
            </w:r>
          </w:p>
        </w:tc>
      </w:tr>
      <w:tr w:rsidR="00FD31CF" w:rsidRPr="0087752B" w14:paraId="5A57AEDB" w14:textId="77777777" w:rsidTr="00DA64AD">
        <w:trPr>
          <w:cantSplit/>
        </w:trPr>
        <w:tc>
          <w:tcPr>
            <w:tcW w:w="3776" w:type="dxa"/>
            <w:shd w:val="clear" w:color="auto" w:fill="auto"/>
            <w:vAlign w:val="center"/>
          </w:tcPr>
          <w:p w14:paraId="4866F278" w14:textId="77777777" w:rsidR="00FD31CF" w:rsidRPr="0087752B" w:rsidRDefault="00FD31CF" w:rsidP="00FD31CF">
            <w:pPr>
              <w:pStyle w:val="DETTableTextFinancial"/>
            </w:pPr>
            <w:r w:rsidRPr="0087752B">
              <w:tab/>
              <w:t>Year 5—Numeracy</w:t>
            </w:r>
          </w:p>
        </w:tc>
        <w:tc>
          <w:tcPr>
            <w:tcW w:w="817" w:type="dxa"/>
            <w:shd w:val="clear" w:color="auto" w:fill="auto"/>
          </w:tcPr>
          <w:p w14:paraId="3070B9E4" w14:textId="77777777" w:rsidR="00FD31CF" w:rsidRPr="0087752B" w:rsidRDefault="00FD31CF" w:rsidP="00FD31CF">
            <w:pPr>
              <w:pStyle w:val="DETTableTextFinancial"/>
            </w:pPr>
            <w:r w:rsidRPr="0087752B">
              <w:t>per cent</w:t>
            </w:r>
          </w:p>
        </w:tc>
        <w:tc>
          <w:tcPr>
            <w:tcW w:w="627" w:type="dxa"/>
            <w:shd w:val="clear" w:color="auto" w:fill="auto"/>
          </w:tcPr>
          <w:p w14:paraId="6F982090" w14:textId="77777777" w:rsidR="00FD31CF" w:rsidRPr="0087752B" w:rsidRDefault="00FD31CF" w:rsidP="00FD31CF">
            <w:pPr>
              <w:pStyle w:val="DETTableTextFinancial"/>
              <w:jc w:val="right"/>
            </w:pPr>
            <w:r w:rsidRPr="0087752B">
              <w:t>59.6</w:t>
            </w:r>
          </w:p>
        </w:tc>
        <w:tc>
          <w:tcPr>
            <w:tcW w:w="562" w:type="dxa"/>
            <w:shd w:val="clear" w:color="auto" w:fill="auto"/>
          </w:tcPr>
          <w:p w14:paraId="3A26321E" w14:textId="77777777" w:rsidR="00FD31CF" w:rsidRPr="0087752B" w:rsidRDefault="00FD31CF" w:rsidP="00FD31CF">
            <w:pPr>
              <w:pStyle w:val="DETTableTextFinancial"/>
              <w:jc w:val="right"/>
            </w:pPr>
            <w:r w:rsidRPr="0087752B">
              <w:t>58.9</w:t>
            </w:r>
          </w:p>
        </w:tc>
        <w:tc>
          <w:tcPr>
            <w:tcW w:w="561" w:type="dxa"/>
            <w:shd w:val="clear" w:color="auto" w:fill="auto"/>
          </w:tcPr>
          <w:p w14:paraId="665D81D6" w14:textId="77777777" w:rsidR="00FD31CF" w:rsidRPr="0087752B" w:rsidRDefault="00FD31CF" w:rsidP="00FD31CF">
            <w:pPr>
              <w:pStyle w:val="DETTableTextFinancial"/>
              <w:jc w:val="right"/>
            </w:pPr>
            <w:r w:rsidRPr="0087752B">
              <w:t>55.5</w:t>
            </w:r>
          </w:p>
        </w:tc>
        <w:tc>
          <w:tcPr>
            <w:tcW w:w="604" w:type="dxa"/>
            <w:shd w:val="clear" w:color="auto" w:fill="auto"/>
          </w:tcPr>
          <w:p w14:paraId="2C4ADFE3" w14:textId="77777777" w:rsidR="00FD31CF" w:rsidRPr="0087752B" w:rsidRDefault="00FD31CF" w:rsidP="00FD31CF">
            <w:pPr>
              <w:pStyle w:val="DETTableTextFinancial"/>
              <w:jc w:val="right"/>
            </w:pPr>
            <w:r w:rsidRPr="0087752B">
              <w:t>57.6</w:t>
            </w:r>
          </w:p>
        </w:tc>
        <w:tc>
          <w:tcPr>
            <w:tcW w:w="604" w:type="dxa"/>
          </w:tcPr>
          <w:p w14:paraId="4F7BC594" w14:textId="77777777" w:rsidR="00FD31CF" w:rsidRPr="0087752B" w:rsidRDefault="00FD31CF" w:rsidP="00FD31CF">
            <w:pPr>
              <w:pStyle w:val="DETTableTextFinancial"/>
              <w:jc w:val="right"/>
            </w:pPr>
            <w:r w:rsidRPr="0087752B">
              <w:t>61.2</w:t>
            </w:r>
          </w:p>
        </w:tc>
      </w:tr>
      <w:tr w:rsidR="00FD31CF" w:rsidRPr="0087752B" w14:paraId="4F5AA5AC" w14:textId="77777777" w:rsidTr="00DA64AD">
        <w:trPr>
          <w:cantSplit/>
        </w:trPr>
        <w:tc>
          <w:tcPr>
            <w:tcW w:w="3776" w:type="dxa"/>
            <w:shd w:val="clear" w:color="auto" w:fill="auto"/>
            <w:vAlign w:val="center"/>
          </w:tcPr>
          <w:p w14:paraId="70DBFD91" w14:textId="77777777" w:rsidR="00FD31CF" w:rsidRPr="0087752B" w:rsidRDefault="00FD31CF" w:rsidP="00FD31CF">
            <w:pPr>
              <w:pStyle w:val="DETTableTextFinancial"/>
            </w:pPr>
            <w:r w:rsidRPr="0087752B">
              <w:tab/>
              <w:t>Year 7—Literacy</w:t>
            </w:r>
          </w:p>
        </w:tc>
        <w:tc>
          <w:tcPr>
            <w:tcW w:w="817" w:type="dxa"/>
            <w:shd w:val="clear" w:color="auto" w:fill="auto"/>
          </w:tcPr>
          <w:p w14:paraId="429BA71A" w14:textId="77777777" w:rsidR="00FD31CF" w:rsidRPr="0087752B" w:rsidRDefault="00FD31CF" w:rsidP="00FD31CF">
            <w:pPr>
              <w:pStyle w:val="DETTableTextFinancial"/>
            </w:pPr>
            <w:r w:rsidRPr="0087752B">
              <w:t>per cent</w:t>
            </w:r>
          </w:p>
        </w:tc>
        <w:tc>
          <w:tcPr>
            <w:tcW w:w="627" w:type="dxa"/>
            <w:shd w:val="clear" w:color="auto" w:fill="auto"/>
          </w:tcPr>
          <w:p w14:paraId="68665AFF" w14:textId="77777777" w:rsidR="00FD31CF" w:rsidRPr="0087752B" w:rsidRDefault="00FD31CF" w:rsidP="00FD31CF">
            <w:pPr>
              <w:pStyle w:val="DETTableTextFinancial"/>
              <w:jc w:val="right"/>
            </w:pPr>
            <w:r w:rsidRPr="0087752B">
              <w:t>57.1</w:t>
            </w:r>
          </w:p>
        </w:tc>
        <w:tc>
          <w:tcPr>
            <w:tcW w:w="562" w:type="dxa"/>
            <w:shd w:val="clear" w:color="auto" w:fill="auto"/>
          </w:tcPr>
          <w:p w14:paraId="39BDDE93" w14:textId="77777777" w:rsidR="00FD31CF" w:rsidRPr="0087752B" w:rsidRDefault="00FD31CF" w:rsidP="00FD31CF">
            <w:pPr>
              <w:pStyle w:val="DETTableTextFinancial"/>
              <w:jc w:val="right"/>
            </w:pPr>
            <w:r w:rsidRPr="0087752B">
              <w:t>59.8</w:t>
            </w:r>
          </w:p>
        </w:tc>
        <w:tc>
          <w:tcPr>
            <w:tcW w:w="561" w:type="dxa"/>
            <w:shd w:val="clear" w:color="auto" w:fill="auto"/>
          </w:tcPr>
          <w:p w14:paraId="4410837F" w14:textId="77777777" w:rsidR="00FD31CF" w:rsidRPr="0087752B" w:rsidRDefault="00FD31CF" w:rsidP="00FD31CF">
            <w:pPr>
              <w:pStyle w:val="DETTableTextFinancial"/>
              <w:jc w:val="right"/>
            </w:pPr>
            <w:r w:rsidRPr="0087752B">
              <w:t>59.7</w:t>
            </w:r>
          </w:p>
        </w:tc>
        <w:tc>
          <w:tcPr>
            <w:tcW w:w="604" w:type="dxa"/>
            <w:shd w:val="clear" w:color="auto" w:fill="auto"/>
          </w:tcPr>
          <w:p w14:paraId="48916DA9" w14:textId="77777777" w:rsidR="00FD31CF" w:rsidRPr="0087752B" w:rsidRDefault="00FD31CF" w:rsidP="00FD31CF">
            <w:pPr>
              <w:pStyle w:val="DETTableTextFinancial"/>
              <w:jc w:val="right"/>
            </w:pPr>
            <w:r w:rsidRPr="0087752B">
              <w:t>59.2</w:t>
            </w:r>
          </w:p>
        </w:tc>
        <w:tc>
          <w:tcPr>
            <w:tcW w:w="604" w:type="dxa"/>
          </w:tcPr>
          <w:p w14:paraId="0E28D406" w14:textId="77777777" w:rsidR="00FD31CF" w:rsidRPr="0087752B" w:rsidRDefault="00FD31CF" w:rsidP="00FD31CF">
            <w:pPr>
              <w:pStyle w:val="DETTableTextFinancial"/>
              <w:jc w:val="right"/>
            </w:pPr>
            <w:r w:rsidRPr="0087752B">
              <w:t>59.5</w:t>
            </w:r>
          </w:p>
        </w:tc>
      </w:tr>
      <w:tr w:rsidR="00FD31CF" w:rsidRPr="0087752B" w14:paraId="0F930136" w14:textId="77777777" w:rsidTr="00DA64AD">
        <w:trPr>
          <w:cantSplit/>
        </w:trPr>
        <w:tc>
          <w:tcPr>
            <w:tcW w:w="3776" w:type="dxa"/>
            <w:shd w:val="clear" w:color="auto" w:fill="auto"/>
            <w:vAlign w:val="center"/>
          </w:tcPr>
          <w:p w14:paraId="639299DD" w14:textId="77777777" w:rsidR="00FD31CF" w:rsidRPr="0087752B" w:rsidRDefault="00FD31CF" w:rsidP="00FD31CF">
            <w:pPr>
              <w:pStyle w:val="DETTableTextFinancial"/>
            </w:pPr>
            <w:r w:rsidRPr="0087752B">
              <w:tab/>
              <w:t>Year 7—Numeracy</w:t>
            </w:r>
          </w:p>
        </w:tc>
        <w:tc>
          <w:tcPr>
            <w:tcW w:w="817" w:type="dxa"/>
            <w:shd w:val="clear" w:color="auto" w:fill="auto"/>
          </w:tcPr>
          <w:p w14:paraId="0A25A016" w14:textId="77777777" w:rsidR="00FD31CF" w:rsidRPr="0087752B" w:rsidRDefault="00FD31CF" w:rsidP="00FD31CF">
            <w:pPr>
              <w:pStyle w:val="DETTableTextFinancial"/>
            </w:pPr>
            <w:r w:rsidRPr="0087752B">
              <w:t>per cent</w:t>
            </w:r>
          </w:p>
        </w:tc>
        <w:tc>
          <w:tcPr>
            <w:tcW w:w="627" w:type="dxa"/>
            <w:shd w:val="clear" w:color="auto" w:fill="auto"/>
          </w:tcPr>
          <w:p w14:paraId="607B1593" w14:textId="77777777" w:rsidR="00FD31CF" w:rsidRPr="0087752B" w:rsidRDefault="00FD31CF" w:rsidP="00FD31CF">
            <w:pPr>
              <w:pStyle w:val="DETTableTextFinancial"/>
              <w:jc w:val="right"/>
            </w:pPr>
            <w:r w:rsidRPr="0087752B">
              <w:t>58.0</w:t>
            </w:r>
          </w:p>
        </w:tc>
        <w:tc>
          <w:tcPr>
            <w:tcW w:w="562" w:type="dxa"/>
            <w:shd w:val="clear" w:color="auto" w:fill="auto"/>
          </w:tcPr>
          <w:p w14:paraId="6CF7A156" w14:textId="77777777" w:rsidR="00FD31CF" w:rsidRPr="0087752B" w:rsidRDefault="00FD31CF" w:rsidP="00FD31CF">
            <w:pPr>
              <w:pStyle w:val="DETTableTextFinancial"/>
              <w:jc w:val="right"/>
            </w:pPr>
            <w:r w:rsidRPr="0087752B">
              <w:t>54.2</w:t>
            </w:r>
          </w:p>
        </w:tc>
        <w:tc>
          <w:tcPr>
            <w:tcW w:w="561" w:type="dxa"/>
            <w:shd w:val="clear" w:color="auto" w:fill="auto"/>
          </w:tcPr>
          <w:p w14:paraId="72F54086" w14:textId="77777777" w:rsidR="00FD31CF" w:rsidRPr="0087752B" w:rsidRDefault="00FD31CF" w:rsidP="00FD31CF">
            <w:pPr>
              <w:pStyle w:val="DETTableTextFinancial"/>
              <w:jc w:val="right"/>
            </w:pPr>
            <w:r w:rsidRPr="0087752B">
              <w:t>54.7</w:t>
            </w:r>
          </w:p>
        </w:tc>
        <w:tc>
          <w:tcPr>
            <w:tcW w:w="604" w:type="dxa"/>
            <w:shd w:val="clear" w:color="auto" w:fill="auto"/>
          </w:tcPr>
          <w:p w14:paraId="45B93E41" w14:textId="77777777" w:rsidR="00FD31CF" w:rsidRPr="0087752B" w:rsidRDefault="00FD31CF" w:rsidP="00FD31CF">
            <w:pPr>
              <w:pStyle w:val="DETTableTextFinancial"/>
              <w:jc w:val="right"/>
            </w:pPr>
            <w:r w:rsidRPr="0087752B">
              <w:t>56.4</w:t>
            </w:r>
          </w:p>
        </w:tc>
        <w:tc>
          <w:tcPr>
            <w:tcW w:w="604" w:type="dxa"/>
          </w:tcPr>
          <w:p w14:paraId="6E961AE7" w14:textId="77777777" w:rsidR="00FD31CF" w:rsidRPr="0087752B" w:rsidRDefault="00FD31CF" w:rsidP="00FD31CF">
            <w:pPr>
              <w:pStyle w:val="DETTableTextFinancial"/>
              <w:jc w:val="right"/>
            </w:pPr>
            <w:r w:rsidRPr="0087752B">
              <w:t>56.4</w:t>
            </w:r>
          </w:p>
        </w:tc>
      </w:tr>
      <w:tr w:rsidR="00FD31CF" w:rsidRPr="0087752B" w14:paraId="3AB26E27" w14:textId="77777777" w:rsidTr="00DA64AD">
        <w:trPr>
          <w:cantSplit/>
        </w:trPr>
        <w:tc>
          <w:tcPr>
            <w:tcW w:w="3776" w:type="dxa"/>
            <w:shd w:val="clear" w:color="auto" w:fill="auto"/>
            <w:vAlign w:val="center"/>
          </w:tcPr>
          <w:p w14:paraId="15A240AC" w14:textId="77777777" w:rsidR="00FD31CF" w:rsidRPr="0087752B" w:rsidRDefault="00FD31CF" w:rsidP="00FD31CF">
            <w:pPr>
              <w:pStyle w:val="DETTableTextFinancial"/>
            </w:pPr>
            <w:r w:rsidRPr="0087752B">
              <w:tab/>
              <w:t>Year 9—Literacy</w:t>
            </w:r>
          </w:p>
        </w:tc>
        <w:tc>
          <w:tcPr>
            <w:tcW w:w="817" w:type="dxa"/>
            <w:shd w:val="clear" w:color="auto" w:fill="auto"/>
          </w:tcPr>
          <w:p w14:paraId="0C97C7FA" w14:textId="77777777" w:rsidR="00FD31CF" w:rsidRPr="0087752B" w:rsidRDefault="00FD31CF" w:rsidP="00FD31CF">
            <w:pPr>
              <w:pStyle w:val="DETTableTextFinancial"/>
            </w:pPr>
            <w:r w:rsidRPr="0087752B">
              <w:t>per cent</w:t>
            </w:r>
          </w:p>
        </w:tc>
        <w:tc>
          <w:tcPr>
            <w:tcW w:w="627" w:type="dxa"/>
            <w:shd w:val="clear" w:color="auto" w:fill="auto"/>
          </w:tcPr>
          <w:p w14:paraId="35DF6BDB" w14:textId="77777777" w:rsidR="00FD31CF" w:rsidRPr="0087752B" w:rsidRDefault="00FD31CF" w:rsidP="00FD31CF">
            <w:pPr>
              <w:pStyle w:val="DETTableTextFinancial"/>
              <w:jc w:val="right"/>
            </w:pPr>
            <w:r w:rsidRPr="0087752B">
              <w:t>50.3</w:t>
            </w:r>
          </w:p>
        </w:tc>
        <w:tc>
          <w:tcPr>
            <w:tcW w:w="562" w:type="dxa"/>
            <w:shd w:val="clear" w:color="auto" w:fill="auto"/>
          </w:tcPr>
          <w:p w14:paraId="57398693" w14:textId="77777777" w:rsidR="00FD31CF" w:rsidRPr="0087752B" w:rsidRDefault="00FD31CF" w:rsidP="00FD31CF">
            <w:pPr>
              <w:pStyle w:val="DETTableTextFinancial"/>
              <w:jc w:val="right"/>
            </w:pPr>
            <w:r w:rsidRPr="0087752B">
              <w:t>48.3</w:t>
            </w:r>
          </w:p>
        </w:tc>
        <w:tc>
          <w:tcPr>
            <w:tcW w:w="561" w:type="dxa"/>
            <w:shd w:val="clear" w:color="auto" w:fill="auto"/>
          </w:tcPr>
          <w:p w14:paraId="54ECA352" w14:textId="77777777" w:rsidR="00FD31CF" w:rsidRPr="0087752B" w:rsidRDefault="00FD31CF" w:rsidP="00FD31CF">
            <w:pPr>
              <w:pStyle w:val="DETTableTextFinancial"/>
              <w:jc w:val="right"/>
            </w:pPr>
            <w:r w:rsidRPr="0087752B">
              <w:t>50.5</w:t>
            </w:r>
          </w:p>
        </w:tc>
        <w:tc>
          <w:tcPr>
            <w:tcW w:w="604" w:type="dxa"/>
            <w:shd w:val="clear" w:color="auto" w:fill="auto"/>
          </w:tcPr>
          <w:p w14:paraId="15426C8A" w14:textId="77777777" w:rsidR="00FD31CF" w:rsidRPr="0087752B" w:rsidRDefault="00FD31CF" w:rsidP="00FD31CF">
            <w:pPr>
              <w:pStyle w:val="DETTableTextFinancial"/>
              <w:jc w:val="right"/>
            </w:pPr>
            <w:r w:rsidRPr="0087752B">
              <w:t>50.6</w:t>
            </w:r>
          </w:p>
        </w:tc>
        <w:tc>
          <w:tcPr>
            <w:tcW w:w="604" w:type="dxa"/>
          </w:tcPr>
          <w:p w14:paraId="304AA541" w14:textId="77777777" w:rsidR="00FD31CF" w:rsidRPr="0087752B" w:rsidRDefault="00FD31CF" w:rsidP="00FD31CF">
            <w:pPr>
              <w:pStyle w:val="DETTableTextFinancial"/>
              <w:jc w:val="right"/>
            </w:pPr>
            <w:r w:rsidRPr="0087752B">
              <w:t>50.2</w:t>
            </w:r>
          </w:p>
        </w:tc>
      </w:tr>
      <w:tr w:rsidR="00FD31CF" w:rsidRPr="0087752B" w14:paraId="7EAFCC3A" w14:textId="77777777" w:rsidTr="00DA64AD">
        <w:trPr>
          <w:cantSplit/>
        </w:trPr>
        <w:tc>
          <w:tcPr>
            <w:tcW w:w="3776" w:type="dxa"/>
            <w:shd w:val="clear" w:color="auto" w:fill="auto"/>
            <w:vAlign w:val="center"/>
          </w:tcPr>
          <w:p w14:paraId="6A38A934" w14:textId="77777777" w:rsidR="00FD31CF" w:rsidRPr="0087752B" w:rsidRDefault="00FD31CF" w:rsidP="00FD31CF">
            <w:pPr>
              <w:pStyle w:val="DETTableTextFinancial"/>
            </w:pPr>
            <w:r w:rsidRPr="0087752B">
              <w:tab/>
              <w:t>Year 9—Numeracy</w:t>
            </w:r>
          </w:p>
        </w:tc>
        <w:tc>
          <w:tcPr>
            <w:tcW w:w="817" w:type="dxa"/>
            <w:shd w:val="clear" w:color="auto" w:fill="auto"/>
          </w:tcPr>
          <w:p w14:paraId="1AC02455" w14:textId="09C1A720" w:rsidR="00FD31CF" w:rsidRPr="0087752B" w:rsidRDefault="00FD31CF" w:rsidP="00FD31CF">
            <w:pPr>
              <w:pStyle w:val="DETTableTextFinancial"/>
            </w:pPr>
            <w:r w:rsidRPr="0087752B">
              <w:t>per cent</w:t>
            </w:r>
          </w:p>
        </w:tc>
        <w:tc>
          <w:tcPr>
            <w:tcW w:w="627" w:type="dxa"/>
            <w:shd w:val="clear" w:color="auto" w:fill="auto"/>
          </w:tcPr>
          <w:p w14:paraId="583E8EB2" w14:textId="77777777" w:rsidR="00FD31CF" w:rsidRPr="0087752B" w:rsidRDefault="00FD31CF" w:rsidP="00FD31CF">
            <w:pPr>
              <w:pStyle w:val="DETTableTextFinancial"/>
              <w:jc w:val="right"/>
            </w:pPr>
            <w:r w:rsidRPr="0087752B">
              <w:t>50.7</w:t>
            </w:r>
          </w:p>
        </w:tc>
        <w:tc>
          <w:tcPr>
            <w:tcW w:w="562" w:type="dxa"/>
            <w:shd w:val="clear" w:color="auto" w:fill="auto"/>
          </w:tcPr>
          <w:p w14:paraId="72F516E1" w14:textId="77777777" w:rsidR="00FD31CF" w:rsidRPr="0087752B" w:rsidRDefault="00FD31CF" w:rsidP="00FD31CF">
            <w:pPr>
              <w:pStyle w:val="DETTableTextFinancial"/>
              <w:jc w:val="right"/>
            </w:pPr>
            <w:r w:rsidRPr="0087752B">
              <w:t>50.3</w:t>
            </w:r>
          </w:p>
        </w:tc>
        <w:tc>
          <w:tcPr>
            <w:tcW w:w="561" w:type="dxa"/>
            <w:shd w:val="clear" w:color="auto" w:fill="auto"/>
          </w:tcPr>
          <w:p w14:paraId="3F7BBC3C" w14:textId="77777777" w:rsidR="00FD31CF" w:rsidRPr="0087752B" w:rsidRDefault="00FD31CF" w:rsidP="00FD31CF">
            <w:pPr>
              <w:pStyle w:val="DETTableTextFinancial"/>
              <w:jc w:val="right"/>
            </w:pPr>
            <w:r w:rsidRPr="0087752B">
              <w:t>49.1</w:t>
            </w:r>
          </w:p>
        </w:tc>
        <w:tc>
          <w:tcPr>
            <w:tcW w:w="604" w:type="dxa"/>
            <w:shd w:val="clear" w:color="auto" w:fill="auto"/>
          </w:tcPr>
          <w:p w14:paraId="08F12570" w14:textId="77777777" w:rsidR="00FD31CF" w:rsidRPr="0087752B" w:rsidRDefault="00FD31CF" w:rsidP="00FD31CF">
            <w:pPr>
              <w:pStyle w:val="DETTableTextFinancial"/>
              <w:jc w:val="right"/>
            </w:pPr>
            <w:r w:rsidRPr="0087752B">
              <w:t>51.5</w:t>
            </w:r>
          </w:p>
        </w:tc>
        <w:tc>
          <w:tcPr>
            <w:tcW w:w="604" w:type="dxa"/>
          </w:tcPr>
          <w:p w14:paraId="2635F2C9" w14:textId="77777777" w:rsidR="00FD31CF" w:rsidRPr="0087752B" w:rsidRDefault="00FD31CF" w:rsidP="00FD31CF">
            <w:pPr>
              <w:pStyle w:val="DETTableTextFinancial"/>
              <w:jc w:val="right"/>
            </w:pPr>
            <w:r w:rsidRPr="0087752B">
              <w:t>54.0</w:t>
            </w:r>
          </w:p>
        </w:tc>
      </w:tr>
      <w:tr w:rsidR="00FD31CF" w:rsidRPr="0087752B" w14:paraId="1F7D2CA1" w14:textId="77777777" w:rsidTr="00DA64AD">
        <w:tblPrEx>
          <w:tblBorders>
            <w:top w:val="none" w:sz="0" w:space="0" w:color="auto"/>
            <w:bottom w:val="none" w:sz="0" w:space="0" w:color="auto"/>
          </w:tblBorders>
        </w:tblPrEx>
        <w:tc>
          <w:tcPr>
            <w:tcW w:w="7551" w:type="dxa"/>
            <w:gridSpan w:val="7"/>
            <w:shd w:val="clear" w:color="auto" w:fill="auto"/>
          </w:tcPr>
          <w:p w14:paraId="393ACAA7" w14:textId="77777777" w:rsidR="00FD31CF" w:rsidRPr="0087752B" w:rsidRDefault="00FD31CF" w:rsidP="00FD31CF">
            <w:pPr>
              <w:pStyle w:val="DETTableTextFinancial"/>
            </w:pPr>
            <w:r w:rsidRPr="0087752B">
              <w:t>NAPLAN Proportion of students in the top two bands:</w:t>
            </w:r>
          </w:p>
        </w:tc>
      </w:tr>
      <w:tr w:rsidR="00FD31CF" w:rsidRPr="0087752B" w14:paraId="70BDE54F" w14:textId="77777777" w:rsidTr="00DA64AD">
        <w:trPr>
          <w:cantSplit/>
        </w:trPr>
        <w:tc>
          <w:tcPr>
            <w:tcW w:w="3776" w:type="dxa"/>
            <w:shd w:val="clear" w:color="auto" w:fill="auto"/>
            <w:vAlign w:val="center"/>
          </w:tcPr>
          <w:p w14:paraId="2025ECAA" w14:textId="77777777" w:rsidR="00FD31CF" w:rsidRPr="0087752B" w:rsidRDefault="00FD31CF" w:rsidP="00FD31CF">
            <w:pPr>
              <w:pStyle w:val="DETTableTextFinancial"/>
            </w:pPr>
            <w:r w:rsidRPr="0087752B">
              <w:tab/>
              <w:t>Year 3—Literacy</w:t>
            </w:r>
          </w:p>
        </w:tc>
        <w:tc>
          <w:tcPr>
            <w:tcW w:w="817" w:type="dxa"/>
            <w:shd w:val="clear" w:color="auto" w:fill="auto"/>
          </w:tcPr>
          <w:p w14:paraId="69F4F6DE" w14:textId="77777777" w:rsidR="00FD31CF" w:rsidRPr="0087752B" w:rsidRDefault="00FD31CF" w:rsidP="00FD31CF">
            <w:pPr>
              <w:pStyle w:val="DETTableTextFinancial"/>
            </w:pPr>
            <w:r w:rsidRPr="0087752B">
              <w:t>per cent</w:t>
            </w:r>
          </w:p>
        </w:tc>
        <w:tc>
          <w:tcPr>
            <w:tcW w:w="627" w:type="dxa"/>
            <w:shd w:val="clear" w:color="auto" w:fill="auto"/>
          </w:tcPr>
          <w:p w14:paraId="75AF9CEE" w14:textId="77777777" w:rsidR="00FD31CF" w:rsidRPr="0087752B" w:rsidRDefault="00FD31CF" w:rsidP="00FD31CF">
            <w:pPr>
              <w:pStyle w:val="DETTableTextFinancial"/>
              <w:jc w:val="right"/>
            </w:pPr>
            <w:r w:rsidRPr="0087752B">
              <w:t>51.6</w:t>
            </w:r>
          </w:p>
        </w:tc>
        <w:tc>
          <w:tcPr>
            <w:tcW w:w="562" w:type="dxa"/>
            <w:shd w:val="clear" w:color="auto" w:fill="auto"/>
          </w:tcPr>
          <w:p w14:paraId="6D244115" w14:textId="77777777" w:rsidR="00FD31CF" w:rsidRPr="0087752B" w:rsidRDefault="00FD31CF" w:rsidP="00FD31CF">
            <w:pPr>
              <w:pStyle w:val="DETTableTextFinancial"/>
              <w:jc w:val="right"/>
            </w:pPr>
            <w:r w:rsidRPr="0087752B">
              <w:t>51.1</w:t>
            </w:r>
          </w:p>
        </w:tc>
        <w:tc>
          <w:tcPr>
            <w:tcW w:w="561" w:type="dxa"/>
            <w:shd w:val="clear" w:color="auto" w:fill="auto"/>
          </w:tcPr>
          <w:p w14:paraId="22E1AEC1" w14:textId="77777777" w:rsidR="00FD31CF" w:rsidRPr="0087752B" w:rsidRDefault="00FD31CF" w:rsidP="00FD31CF">
            <w:pPr>
              <w:pStyle w:val="DETTableTextFinancial"/>
              <w:jc w:val="right"/>
            </w:pPr>
            <w:r w:rsidRPr="0087752B">
              <w:t>52.2</w:t>
            </w:r>
          </w:p>
        </w:tc>
        <w:tc>
          <w:tcPr>
            <w:tcW w:w="604" w:type="dxa"/>
            <w:shd w:val="clear" w:color="auto" w:fill="auto"/>
          </w:tcPr>
          <w:p w14:paraId="46F9D9C9" w14:textId="77777777" w:rsidR="00FD31CF" w:rsidRPr="0087752B" w:rsidRDefault="00FD31CF" w:rsidP="00FD31CF">
            <w:pPr>
              <w:pStyle w:val="DETTableTextFinancial"/>
              <w:jc w:val="right"/>
            </w:pPr>
            <w:r w:rsidRPr="0087752B">
              <w:t>51.2</w:t>
            </w:r>
          </w:p>
        </w:tc>
        <w:tc>
          <w:tcPr>
            <w:tcW w:w="604" w:type="dxa"/>
          </w:tcPr>
          <w:p w14:paraId="7A24CC48" w14:textId="77777777" w:rsidR="00FD31CF" w:rsidRPr="0087752B" w:rsidRDefault="00FD31CF" w:rsidP="00FD31CF">
            <w:pPr>
              <w:pStyle w:val="DETTableTextFinancial"/>
              <w:jc w:val="right"/>
            </w:pPr>
            <w:r w:rsidRPr="0087752B">
              <w:t>53.6</w:t>
            </w:r>
          </w:p>
        </w:tc>
      </w:tr>
      <w:tr w:rsidR="00FD31CF" w:rsidRPr="0087752B" w14:paraId="3AE22031" w14:textId="77777777" w:rsidTr="00DA64AD">
        <w:trPr>
          <w:cantSplit/>
        </w:trPr>
        <w:tc>
          <w:tcPr>
            <w:tcW w:w="3776" w:type="dxa"/>
            <w:shd w:val="clear" w:color="auto" w:fill="auto"/>
            <w:vAlign w:val="center"/>
          </w:tcPr>
          <w:p w14:paraId="4012EAFB" w14:textId="77777777" w:rsidR="00FD31CF" w:rsidRPr="0087752B" w:rsidRDefault="00FD31CF" w:rsidP="00FD31CF">
            <w:pPr>
              <w:pStyle w:val="DETTableTextFinancial"/>
            </w:pPr>
            <w:r w:rsidRPr="0087752B">
              <w:tab/>
              <w:t>Year 3—Numeracy</w:t>
            </w:r>
          </w:p>
        </w:tc>
        <w:tc>
          <w:tcPr>
            <w:tcW w:w="817" w:type="dxa"/>
            <w:shd w:val="clear" w:color="auto" w:fill="auto"/>
          </w:tcPr>
          <w:p w14:paraId="30CD6C96" w14:textId="77777777" w:rsidR="00FD31CF" w:rsidRPr="0087752B" w:rsidRDefault="00FD31CF" w:rsidP="00FD31CF">
            <w:pPr>
              <w:pStyle w:val="DETTableTextFinancial"/>
            </w:pPr>
            <w:r w:rsidRPr="0087752B">
              <w:t>per cent</w:t>
            </w:r>
          </w:p>
        </w:tc>
        <w:tc>
          <w:tcPr>
            <w:tcW w:w="627" w:type="dxa"/>
            <w:shd w:val="clear" w:color="auto" w:fill="auto"/>
          </w:tcPr>
          <w:p w14:paraId="53CB8252" w14:textId="77777777" w:rsidR="00FD31CF" w:rsidRPr="0087752B" w:rsidRDefault="00FD31CF" w:rsidP="00FD31CF">
            <w:pPr>
              <w:pStyle w:val="DETTableTextFinancial"/>
              <w:jc w:val="right"/>
            </w:pPr>
            <w:r w:rsidRPr="0087752B">
              <w:t>40.0</w:t>
            </w:r>
          </w:p>
        </w:tc>
        <w:tc>
          <w:tcPr>
            <w:tcW w:w="562" w:type="dxa"/>
            <w:shd w:val="clear" w:color="auto" w:fill="auto"/>
          </w:tcPr>
          <w:p w14:paraId="415356BC" w14:textId="77777777" w:rsidR="00FD31CF" w:rsidRPr="0087752B" w:rsidRDefault="00FD31CF" w:rsidP="00FD31CF">
            <w:pPr>
              <w:pStyle w:val="DETTableTextFinancial"/>
              <w:jc w:val="right"/>
            </w:pPr>
            <w:r w:rsidRPr="0087752B">
              <w:t>38.8</w:t>
            </w:r>
          </w:p>
        </w:tc>
        <w:tc>
          <w:tcPr>
            <w:tcW w:w="561" w:type="dxa"/>
            <w:shd w:val="clear" w:color="auto" w:fill="auto"/>
          </w:tcPr>
          <w:p w14:paraId="3533470F" w14:textId="77777777" w:rsidR="00FD31CF" w:rsidRPr="0087752B" w:rsidRDefault="00FD31CF" w:rsidP="00FD31CF">
            <w:pPr>
              <w:pStyle w:val="DETTableTextFinancial"/>
              <w:jc w:val="right"/>
            </w:pPr>
            <w:r w:rsidRPr="0087752B">
              <w:t>37.5</w:t>
            </w:r>
          </w:p>
        </w:tc>
        <w:tc>
          <w:tcPr>
            <w:tcW w:w="604" w:type="dxa"/>
            <w:shd w:val="clear" w:color="auto" w:fill="auto"/>
          </w:tcPr>
          <w:p w14:paraId="0B39DF59" w14:textId="77777777" w:rsidR="00FD31CF" w:rsidRPr="0087752B" w:rsidRDefault="00FD31CF" w:rsidP="00FD31CF">
            <w:pPr>
              <w:pStyle w:val="DETTableTextFinancial"/>
              <w:jc w:val="right"/>
            </w:pPr>
            <w:r w:rsidRPr="0087752B">
              <w:t>41.1</w:t>
            </w:r>
          </w:p>
        </w:tc>
        <w:tc>
          <w:tcPr>
            <w:tcW w:w="604" w:type="dxa"/>
          </w:tcPr>
          <w:p w14:paraId="463A0517" w14:textId="77777777" w:rsidR="00FD31CF" w:rsidRPr="0087752B" w:rsidRDefault="00FD31CF" w:rsidP="00FD31CF">
            <w:pPr>
              <w:pStyle w:val="DETTableTextFinancial"/>
              <w:jc w:val="right"/>
            </w:pPr>
            <w:r w:rsidRPr="0087752B">
              <w:t>38.4</w:t>
            </w:r>
          </w:p>
        </w:tc>
      </w:tr>
      <w:tr w:rsidR="00FD31CF" w:rsidRPr="0087752B" w14:paraId="41C738C8" w14:textId="77777777" w:rsidTr="00DA64AD">
        <w:trPr>
          <w:cantSplit/>
        </w:trPr>
        <w:tc>
          <w:tcPr>
            <w:tcW w:w="3776" w:type="dxa"/>
            <w:shd w:val="clear" w:color="auto" w:fill="auto"/>
            <w:vAlign w:val="center"/>
          </w:tcPr>
          <w:p w14:paraId="0FF9D3AB" w14:textId="77777777" w:rsidR="00FD31CF" w:rsidRPr="0087752B" w:rsidRDefault="00FD31CF" w:rsidP="00FD31CF">
            <w:pPr>
              <w:pStyle w:val="DETTableTextFinancial"/>
            </w:pPr>
            <w:r w:rsidRPr="0087752B">
              <w:tab/>
              <w:t>Year 5—Literacy</w:t>
            </w:r>
          </w:p>
        </w:tc>
        <w:tc>
          <w:tcPr>
            <w:tcW w:w="817" w:type="dxa"/>
            <w:shd w:val="clear" w:color="auto" w:fill="auto"/>
          </w:tcPr>
          <w:p w14:paraId="7E39EEC1" w14:textId="77777777" w:rsidR="00FD31CF" w:rsidRPr="0087752B" w:rsidRDefault="00FD31CF" w:rsidP="00FD31CF">
            <w:pPr>
              <w:pStyle w:val="DETTableTextFinancial"/>
            </w:pPr>
            <w:r w:rsidRPr="0087752B">
              <w:t>per cent</w:t>
            </w:r>
          </w:p>
        </w:tc>
        <w:tc>
          <w:tcPr>
            <w:tcW w:w="627" w:type="dxa"/>
            <w:shd w:val="clear" w:color="auto" w:fill="auto"/>
          </w:tcPr>
          <w:p w14:paraId="0F8965B1" w14:textId="77777777" w:rsidR="00FD31CF" w:rsidRPr="0087752B" w:rsidRDefault="00FD31CF" w:rsidP="00FD31CF">
            <w:pPr>
              <w:pStyle w:val="DETTableTextFinancial"/>
              <w:jc w:val="right"/>
            </w:pPr>
            <w:r w:rsidRPr="0087752B">
              <w:t>34.1</w:t>
            </w:r>
          </w:p>
        </w:tc>
        <w:tc>
          <w:tcPr>
            <w:tcW w:w="562" w:type="dxa"/>
            <w:shd w:val="clear" w:color="auto" w:fill="auto"/>
          </w:tcPr>
          <w:p w14:paraId="250EE948" w14:textId="77777777" w:rsidR="00FD31CF" w:rsidRPr="0087752B" w:rsidRDefault="00FD31CF" w:rsidP="00FD31CF">
            <w:pPr>
              <w:pStyle w:val="DETTableTextFinancial"/>
              <w:jc w:val="right"/>
            </w:pPr>
            <w:r w:rsidRPr="0087752B">
              <w:t>34.4</w:t>
            </w:r>
          </w:p>
        </w:tc>
        <w:tc>
          <w:tcPr>
            <w:tcW w:w="561" w:type="dxa"/>
            <w:shd w:val="clear" w:color="auto" w:fill="auto"/>
          </w:tcPr>
          <w:p w14:paraId="4818288D" w14:textId="77777777" w:rsidR="00FD31CF" w:rsidRPr="0087752B" w:rsidRDefault="00FD31CF" w:rsidP="00FD31CF">
            <w:pPr>
              <w:pStyle w:val="DETTableTextFinancial"/>
              <w:jc w:val="right"/>
            </w:pPr>
            <w:r w:rsidRPr="0087752B">
              <w:t>35.6</w:t>
            </w:r>
          </w:p>
        </w:tc>
        <w:tc>
          <w:tcPr>
            <w:tcW w:w="604" w:type="dxa"/>
            <w:shd w:val="clear" w:color="auto" w:fill="auto"/>
          </w:tcPr>
          <w:p w14:paraId="61D8884E" w14:textId="77777777" w:rsidR="00FD31CF" w:rsidRPr="0087752B" w:rsidRDefault="00FD31CF" w:rsidP="00FD31CF">
            <w:pPr>
              <w:pStyle w:val="DETTableTextFinancial"/>
              <w:jc w:val="right"/>
            </w:pPr>
            <w:r w:rsidRPr="0087752B">
              <w:t>37.3</w:t>
            </w:r>
          </w:p>
        </w:tc>
        <w:tc>
          <w:tcPr>
            <w:tcW w:w="604" w:type="dxa"/>
          </w:tcPr>
          <w:p w14:paraId="4AF2056E" w14:textId="77777777" w:rsidR="00FD31CF" w:rsidRPr="0087752B" w:rsidRDefault="00FD31CF" w:rsidP="00FD31CF">
            <w:pPr>
              <w:pStyle w:val="DETTableTextFinancial"/>
              <w:jc w:val="right"/>
            </w:pPr>
            <w:r w:rsidRPr="0087752B">
              <w:t>36.9</w:t>
            </w:r>
          </w:p>
        </w:tc>
      </w:tr>
      <w:tr w:rsidR="00FD31CF" w:rsidRPr="0087752B" w14:paraId="7C6392D3" w14:textId="77777777" w:rsidTr="00DA64AD">
        <w:trPr>
          <w:cantSplit/>
        </w:trPr>
        <w:tc>
          <w:tcPr>
            <w:tcW w:w="3776" w:type="dxa"/>
            <w:shd w:val="clear" w:color="auto" w:fill="auto"/>
            <w:vAlign w:val="center"/>
          </w:tcPr>
          <w:p w14:paraId="12DA391C" w14:textId="77777777" w:rsidR="00FD31CF" w:rsidRPr="0087752B" w:rsidRDefault="00FD31CF" w:rsidP="00FD31CF">
            <w:pPr>
              <w:pStyle w:val="DETTableTextFinancial"/>
            </w:pPr>
            <w:r w:rsidRPr="0087752B">
              <w:tab/>
              <w:t>Year 5—Numeracy</w:t>
            </w:r>
          </w:p>
        </w:tc>
        <w:tc>
          <w:tcPr>
            <w:tcW w:w="817" w:type="dxa"/>
            <w:shd w:val="clear" w:color="auto" w:fill="auto"/>
          </w:tcPr>
          <w:p w14:paraId="58CDA297" w14:textId="77777777" w:rsidR="00FD31CF" w:rsidRPr="0087752B" w:rsidRDefault="00FD31CF" w:rsidP="00FD31CF">
            <w:pPr>
              <w:pStyle w:val="DETTableTextFinancial"/>
            </w:pPr>
            <w:r w:rsidRPr="0087752B">
              <w:t>per cent</w:t>
            </w:r>
          </w:p>
        </w:tc>
        <w:tc>
          <w:tcPr>
            <w:tcW w:w="627" w:type="dxa"/>
            <w:shd w:val="clear" w:color="auto" w:fill="auto"/>
          </w:tcPr>
          <w:p w14:paraId="63E35644" w14:textId="77777777" w:rsidR="00FD31CF" w:rsidRPr="0087752B" w:rsidRDefault="00FD31CF" w:rsidP="00FD31CF">
            <w:pPr>
              <w:pStyle w:val="DETTableTextFinancial"/>
              <w:jc w:val="right"/>
            </w:pPr>
            <w:r w:rsidRPr="0087752B">
              <w:t>29.7</w:t>
            </w:r>
          </w:p>
        </w:tc>
        <w:tc>
          <w:tcPr>
            <w:tcW w:w="562" w:type="dxa"/>
            <w:shd w:val="clear" w:color="auto" w:fill="auto"/>
          </w:tcPr>
          <w:p w14:paraId="23715F9F" w14:textId="77777777" w:rsidR="00FD31CF" w:rsidRPr="0087752B" w:rsidRDefault="00FD31CF" w:rsidP="00FD31CF">
            <w:pPr>
              <w:pStyle w:val="DETTableTextFinancial"/>
              <w:jc w:val="right"/>
            </w:pPr>
            <w:r w:rsidRPr="0087752B">
              <w:t>29.5</w:t>
            </w:r>
          </w:p>
        </w:tc>
        <w:tc>
          <w:tcPr>
            <w:tcW w:w="561" w:type="dxa"/>
            <w:shd w:val="clear" w:color="auto" w:fill="auto"/>
          </w:tcPr>
          <w:p w14:paraId="4F6E2656" w14:textId="77777777" w:rsidR="00FD31CF" w:rsidRPr="0087752B" w:rsidRDefault="00FD31CF" w:rsidP="00FD31CF">
            <w:pPr>
              <w:pStyle w:val="DETTableTextFinancial"/>
              <w:jc w:val="right"/>
            </w:pPr>
            <w:r w:rsidRPr="0087752B">
              <w:t>27.3</w:t>
            </w:r>
          </w:p>
        </w:tc>
        <w:tc>
          <w:tcPr>
            <w:tcW w:w="604" w:type="dxa"/>
            <w:shd w:val="clear" w:color="auto" w:fill="auto"/>
          </w:tcPr>
          <w:p w14:paraId="4FC18756" w14:textId="77777777" w:rsidR="00FD31CF" w:rsidRPr="0087752B" w:rsidRDefault="00FD31CF" w:rsidP="00FD31CF">
            <w:pPr>
              <w:pStyle w:val="DETTableTextFinancial"/>
              <w:jc w:val="right"/>
            </w:pPr>
            <w:r w:rsidRPr="0087752B">
              <w:t>28.7</w:t>
            </w:r>
          </w:p>
        </w:tc>
        <w:tc>
          <w:tcPr>
            <w:tcW w:w="604" w:type="dxa"/>
          </w:tcPr>
          <w:p w14:paraId="4E71BCC4" w14:textId="77777777" w:rsidR="00FD31CF" w:rsidRPr="0087752B" w:rsidRDefault="00FD31CF" w:rsidP="00FD31CF">
            <w:pPr>
              <w:pStyle w:val="DETTableTextFinancial"/>
              <w:jc w:val="right"/>
            </w:pPr>
            <w:r w:rsidRPr="0087752B">
              <w:t>31.9</w:t>
            </w:r>
          </w:p>
        </w:tc>
      </w:tr>
      <w:tr w:rsidR="00FD31CF" w:rsidRPr="0087752B" w14:paraId="2FA46374" w14:textId="77777777" w:rsidTr="00DA64AD">
        <w:trPr>
          <w:cantSplit/>
        </w:trPr>
        <w:tc>
          <w:tcPr>
            <w:tcW w:w="3776" w:type="dxa"/>
            <w:shd w:val="clear" w:color="auto" w:fill="auto"/>
            <w:vAlign w:val="center"/>
          </w:tcPr>
          <w:p w14:paraId="1304B0E0" w14:textId="77777777" w:rsidR="00FD31CF" w:rsidRPr="0087752B" w:rsidRDefault="00FD31CF" w:rsidP="00FD31CF">
            <w:pPr>
              <w:pStyle w:val="DETTableTextFinancial"/>
            </w:pPr>
            <w:r w:rsidRPr="0087752B">
              <w:tab/>
              <w:t>Year 7—Literacy</w:t>
            </w:r>
          </w:p>
        </w:tc>
        <w:tc>
          <w:tcPr>
            <w:tcW w:w="817" w:type="dxa"/>
            <w:shd w:val="clear" w:color="auto" w:fill="auto"/>
          </w:tcPr>
          <w:p w14:paraId="36023D8B" w14:textId="77777777" w:rsidR="00FD31CF" w:rsidRPr="0087752B" w:rsidRDefault="00FD31CF" w:rsidP="00FD31CF">
            <w:pPr>
              <w:pStyle w:val="DETTableTextFinancial"/>
            </w:pPr>
            <w:r w:rsidRPr="0087752B">
              <w:t>per cent</w:t>
            </w:r>
          </w:p>
        </w:tc>
        <w:tc>
          <w:tcPr>
            <w:tcW w:w="627" w:type="dxa"/>
            <w:shd w:val="clear" w:color="auto" w:fill="auto"/>
          </w:tcPr>
          <w:p w14:paraId="0EFFD1DE" w14:textId="77777777" w:rsidR="00FD31CF" w:rsidRPr="0087752B" w:rsidRDefault="00FD31CF" w:rsidP="00FD31CF">
            <w:pPr>
              <w:pStyle w:val="DETTableTextFinancial"/>
              <w:jc w:val="right"/>
            </w:pPr>
            <w:r w:rsidRPr="0087752B">
              <w:t>27.5</w:t>
            </w:r>
          </w:p>
        </w:tc>
        <w:tc>
          <w:tcPr>
            <w:tcW w:w="562" w:type="dxa"/>
            <w:shd w:val="clear" w:color="auto" w:fill="auto"/>
          </w:tcPr>
          <w:p w14:paraId="0722F95C" w14:textId="77777777" w:rsidR="00FD31CF" w:rsidRPr="0087752B" w:rsidRDefault="00FD31CF" w:rsidP="00FD31CF">
            <w:pPr>
              <w:pStyle w:val="DETTableTextFinancial"/>
              <w:jc w:val="right"/>
            </w:pPr>
            <w:r w:rsidRPr="0087752B">
              <w:t>29.9</w:t>
            </w:r>
          </w:p>
        </w:tc>
        <w:tc>
          <w:tcPr>
            <w:tcW w:w="561" w:type="dxa"/>
            <w:shd w:val="clear" w:color="auto" w:fill="auto"/>
          </w:tcPr>
          <w:p w14:paraId="63C4EB61" w14:textId="77777777" w:rsidR="00FD31CF" w:rsidRPr="0087752B" w:rsidRDefault="00FD31CF" w:rsidP="00FD31CF">
            <w:pPr>
              <w:pStyle w:val="DETTableTextFinancial"/>
              <w:jc w:val="right"/>
            </w:pPr>
            <w:r w:rsidRPr="0087752B">
              <w:t>27.6</w:t>
            </w:r>
          </w:p>
        </w:tc>
        <w:tc>
          <w:tcPr>
            <w:tcW w:w="604" w:type="dxa"/>
            <w:shd w:val="clear" w:color="auto" w:fill="auto"/>
          </w:tcPr>
          <w:p w14:paraId="1486C17B" w14:textId="77777777" w:rsidR="00FD31CF" w:rsidRPr="0087752B" w:rsidRDefault="00FD31CF" w:rsidP="00FD31CF">
            <w:pPr>
              <w:pStyle w:val="DETTableTextFinancial"/>
              <w:jc w:val="right"/>
            </w:pPr>
            <w:r w:rsidRPr="0087752B">
              <w:t>29.8</w:t>
            </w:r>
          </w:p>
        </w:tc>
        <w:tc>
          <w:tcPr>
            <w:tcW w:w="604" w:type="dxa"/>
          </w:tcPr>
          <w:p w14:paraId="10B94BFA" w14:textId="77777777" w:rsidR="00FD31CF" w:rsidRPr="0087752B" w:rsidRDefault="00FD31CF" w:rsidP="00FD31CF">
            <w:pPr>
              <w:pStyle w:val="DETTableTextFinancial"/>
              <w:jc w:val="right"/>
            </w:pPr>
            <w:r w:rsidRPr="0087752B">
              <w:t>30.1</w:t>
            </w:r>
          </w:p>
        </w:tc>
      </w:tr>
      <w:tr w:rsidR="00FD31CF" w:rsidRPr="0087752B" w14:paraId="006718FF" w14:textId="77777777" w:rsidTr="00DA64AD">
        <w:trPr>
          <w:cantSplit/>
        </w:trPr>
        <w:tc>
          <w:tcPr>
            <w:tcW w:w="3776" w:type="dxa"/>
            <w:tcBorders>
              <w:bottom w:val="nil"/>
            </w:tcBorders>
            <w:shd w:val="clear" w:color="auto" w:fill="auto"/>
            <w:vAlign w:val="center"/>
          </w:tcPr>
          <w:p w14:paraId="5088245E" w14:textId="77777777" w:rsidR="00FD31CF" w:rsidRPr="0087752B" w:rsidRDefault="00FD31CF" w:rsidP="00FD31CF">
            <w:pPr>
              <w:pStyle w:val="DETTableTextFinancial"/>
            </w:pPr>
            <w:r w:rsidRPr="0087752B">
              <w:tab/>
              <w:t>Year 7—Numeracy</w:t>
            </w:r>
          </w:p>
        </w:tc>
        <w:tc>
          <w:tcPr>
            <w:tcW w:w="817" w:type="dxa"/>
            <w:tcBorders>
              <w:bottom w:val="nil"/>
            </w:tcBorders>
            <w:shd w:val="clear" w:color="auto" w:fill="auto"/>
          </w:tcPr>
          <w:p w14:paraId="11E81214" w14:textId="77777777" w:rsidR="00FD31CF" w:rsidRPr="0087752B" w:rsidRDefault="00FD31CF" w:rsidP="00FD31CF">
            <w:pPr>
              <w:pStyle w:val="DETTableTextFinancial"/>
            </w:pPr>
            <w:r w:rsidRPr="0087752B">
              <w:t>per cent</w:t>
            </w:r>
          </w:p>
        </w:tc>
        <w:tc>
          <w:tcPr>
            <w:tcW w:w="627" w:type="dxa"/>
            <w:tcBorders>
              <w:bottom w:val="nil"/>
            </w:tcBorders>
            <w:shd w:val="clear" w:color="auto" w:fill="auto"/>
          </w:tcPr>
          <w:p w14:paraId="0F0A3A46" w14:textId="77777777" w:rsidR="00FD31CF" w:rsidRPr="0087752B" w:rsidRDefault="00FD31CF" w:rsidP="00FD31CF">
            <w:pPr>
              <w:pStyle w:val="DETTableTextFinancial"/>
              <w:jc w:val="right"/>
            </w:pPr>
            <w:r w:rsidRPr="0087752B">
              <w:t>31.0</w:t>
            </w:r>
          </w:p>
        </w:tc>
        <w:tc>
          <w:tcPr>
            <w:tcW w:w="562" w:type="dxa"/>
            <w:tcBorders>
              <w:bottom w:val="nil"/>
            </w:tcBorders>
            <w:shd w:val="clear" w:color="auto" w:fill="auto"/>
          </w:tcPr>
          <w:p w14:paraId="166A3AF7" w14:textId="77777777" w:rsidR="00FD31CF" w:rsidRPr="0087752B" w:rsidRDefault="00FD31CF" w:rsidP="00FD31CF">
            <w:pPr>
              <w:pStyle w:val="DETTableTextFinancial"/>
              <w:jc w:val="right"/>
            </w:pPr>
            <w:r w:rsidRPr="0087752B">
              <w:t>27.3</w:t>
            </w:r>
          </w:p>
        </w:tc>
        <w:tc>
          <w:tcPr>
            <w:tcW w:w="561" w:type="dxa"/>
            <w:tcBorders>
              <w:bottom w:val="nil"/>
            </w:tcBorders>
            <w:shd w:val="clear" w:color="auto" w:fill="auto"/>
          </w:tcPr>
          <w:p w14:paraId="0464DDAA" w14:textId="77777777" w:rsidR="00FD31CF" w:rsidRPr="0087752B" w:rsidRDefault="00FD31CF" w:rsidP="00FD31CF">
            <w:pPr>
              <w:pStyle w:val="DETTableTextFinancial"/>
              <w:jc w:val="right"/>
            </w:pPr>
            <w:r w:rsidRPr="0087752B">
              <w:t>27.4</w:t>
            </w:r>
          </w:p>
        </w:tc>
        <w:tc>
          <w:tcPr>
            <w:tcW w:w="604" w:type="dxa"/>
            <w:tcBorders>
              <w:bottom w:val="nil"/>
            </w:tcBorders>
            <w:shd w:val="clear" w:color="auto" w:fill="auto"/>
          </w:tcPr>
          <w:p w14:paraId="2C98849F" w14:textId="77777777" w:rsidR="00FD31CF" w:rsidRPr="0087752B" w:rsidRDefault="00FD31CF" w:rsidP="00FD31CF">
            <w:pPr>
              <w:pStyle w:val="DETTableTextFinancial"/>
              <w:jc w:val="right"/>
            </w:pPr>
            <w:r w:rsidRPr="0087752B">
              <w:t>29.2</w:t>
            </w:r>
          </w:p>
        </w:tc>
        <w:tc>
          <w:tcPr>
            <w:tcW w:w="604" w:type="dxa"/>
            <w:tcBorders>
              <w:bottom w:val="nil"/>
            </w:tcBorders>
          </w:tcPr>
          <w:p w14:paraId="722494A3" w14:textId="77777777" w:rsidR="00FD31CF" w:rsidRPr="0087752B" w:rsidRDefault="00FD31CF" w:rsidP="00FD31CF">
            <w:pPr>
              <w:pStyle w:val="DETTableTextFinancial"/>
              <w:jc w:val="right"/>
            </w:pPr>
            <w:r w:rsidRPr="0087752B">
              <w:t>27.8</w:t>
            </w:r>
          </w:p>
        </w:tc>
      </w:tr>
      <w:tr w:rsidR="00FD31CF" w:rsidRPr="0087752B" w14:paraId="566CB8F1" w14:textId="77777777" w:rsidTr="00DA64AD">
        <w:trPr>
          <w:cantSplit/>
        </w:trPr>
        <w:tc>
          <w:tcPr>
            <w:tcW w:w="3776" w:type="dxa"/>
            <w:tcBorders>
              <w:top w:val="nil"/>
              <w:bottom w:val="nil"/>
            </w:tcBorders>
            <w:shd w:val="clear" w:color="auto" w:fill="auto"/>
            <w:vAlign w:val="center"/>
          </w:tcPr>
          <w:p w14:paraId="0E3691C8" w14:textId="77777777" w:rsidR="00FD31CF" w:rsidRPr="0087752B" w:rsidRDefault="00FD31CF" w:rsidP="00FD31CF">
            <w:pPr>
              <w:pStyle w:val="DETTableTextFinancial"/>
            </w:pPr>
            <w:r w:rsidRPr="0087752B">
              <w:tab/>
              <w:t>Year 9—Literacy</w:t>
            </w:r>
          </w:p>
        </w:tc>
        <w:tc>
          <w:tcPr>
            <w:tcW w:w="817" w:type="dxa"/>
            <w:tcBorders>
              <w:top w:val="nil"/>
              <w:bottom w:val="nil"/>
            </w:tcBorders>
            <w:shd w:val="clear" w:color="auto" w:fill="auto"/>
          </w:tcPr>
          <w:p w14:paraId="5E836066" w14:textId="77777777" w:rsidR="00FD31CF" w:rsidRPr="0087752B" w:rsidRDefault="00FD31CF" w:rsidP="00FD31CF">
            <w:pPr>
              <w:pStyle w:val="DETTableTextFinancial"/>
            </w:pPr>
            <w:r w:rsidRPr="0087752B">
              <w:t>per cent</w:t>
            </w:r>
          </w:p>
        </w:tc>
        <w:tc>
          <w:tcPr>
            <w:tcW w:w="627" w:type="dxa"/>
            <w:tcBorders>
              <w:top w:val="nil"/>
              <w:bottom w:val="nil"/>
            </w:tcBorders>
            <w:shd w:val="clear" w:color="auto" w:fill="auto"/>
          </w:tcPr>
          <w:p w14:paraId="711620D8" w14:textId="77777777" w:rsidR="00FD31CF" w:rsidRPr="0087752B" w:rsidRDefault="00FD31CF" w:rsidP="00FD31CF">
            <w:pPr>
              <w:pStyle w:val="DETTableTextFinancial"/>
              <w:jc w:val="right"/>
            </w:pPr>
            <w:r w:rsidRPr="0087752B">
              <w:t>21.6</w:t>
            </w:r>
          </w:p>
        </w:tc>
        <w:tc>
          <w:tcPr>
            <w:tcW w:w="562" w:type="dxa"/>
            <w:tcBorders>
              <w:top w:val="nil"/>
              <w:bottom w:val="nil"/>
            </w:tcBorders>
            <w:shd w:val="clear" w:color="auto" w:fill="auto"/>
          </w:tcPr>
          <w:p w14:paraId="78F6F12E" w14:textId="77777777" w:rsidR="00FD31CF" w:rsidRPr="0087752B" w:rsidRDefault="00FD31CF" w:rsidP="00FD31CF">
            <w:pPr>
              <w:pStyle w:val="DETTableTextFinancial"/>
              <w:jc w:val="right"/>
            </w:pPr>
            <w:r w:rsidRPr="0087752B">
              <w:t>20.4</w:t>
            </w:r>
          </w:p>
        </w:tc>
        <w:tc>
          <w:tcPr>
            <w:tcW w:w="561" w:type="dxa"/>
            <w:tcBorders>
              <w:top w:val="nil"/>
              <w:bottom w:val="nil"/>
            </w:tcBorders>
            <w:shd w:val="clear" w:color="auto" w:fill="auto"/>
          </w:tcPr>
          <w:p w14:paraId="348F7583" w14:textId="77777777" w:rsidR="00FD31CF" w:rsidRPr="0087752B" w:rsidRDefault="00FD31CF" w:rsidP="00FD31CF">
            <w:pPr>
              <w:pStyle w:val="DETTableTextFinancial"/>
              <w:jc w:val="right"/>
            </w:pPr>
            <w:r w:rsidRPr="0087752B">
              <w:t>20.7</w:t>
            </w:r>
          </w:p>
        </w:tc>
        <w:tc>
          <w:tcPr>
            <w:tcW w:w="604" w:type="dxa"/>
            <w:tcBorders>
              <w:top w:val="nil"/>
              <w:bottom w:val="nil"/>
            </w:tcBorders>
            <w:shd w:val="clear" w:color="auto" w:fill="auto"/>
          </w:tcPr>
          <w:p w14:paraId="7E9BE98B" w14:textId="77777777" w:rsidR="00FD31CF" w:rsidRPr="0087752B" w:rsidRDefault="00FD31CF" w:rsidP="00FD31CF">
            <w:pPr>
              <w:pStyle w:val="DETTableTextFinancial"/>
              <w:jc w:val="right"/>
            </w:pPr>
            <w:r w:rsidRPr="0087752B">
              <w:t>22.6</w:t>
            </w:r>
          </w:p>
        </w:tc>
        <w:tc>
          <w:tcPr>
            <w:tcW w:w="604" w:type="dxa"/>
            <w:tcBorders>
              <w:top w:val="nil"/>
              <w:bottom w:val="nil"/>
            </w:tcBorders>
          </w:tcPr>
          <w:p w14:paraId="3E5B7A39" w14:textId="77777777" w:rsidR="00FD31CF" w:rsidRPr="0087752B" w:rsidRDefault="00FD31CF" w:rsidP="00FD31CF">
            <w:pPr>
              <w:pStyle w:val="DETTableTextFinancial"/>
              <w:jc w:val="right"/>
            </w:pPr>
            <w:r w:rsidRPr="0087752B">
              <w:t>22.8</w:t>
            </w:r>
          </w:p>
        </w:tc>
      </w:tr>
      <w:tr w:rsidR="00FD31CF" w:rsidRPr="0087752B" w14:paraId="55453FC8" w14:textId="77777777" w:rsidTr="00DA64AD">
        <w:trPr>
          <w:cantSplit/>
        </w:trPr>
        <w:tc>
          <w:tcPr>
            <w:tcW w:w="3776" w:type="dxa"/>
            <w:tcBorders>
              <w:top w:val="nil"/>
            </w:tcBorders>
            <w:shd w:val="clear" w:color="auto" w:fill="auto"/>
            <w:vAlign w:val="center"/>
          </w:tcPr>
          <w:p w14:paraId="23FFE665" w14:textId="77777777" w:rsidR="00FD31CF" w:rsidRPr="0087752B" w:rsidRDefault="00FD31CF" w:rsidP="00FD31CF">
            <w:pPr>
              <w:pStyle w:val="DETTableTextFinancial"/>
            </w:pPr>
            <w:r w:rsidRPr="0087752B">
              <w:tab/>
              <w:t>Year 9—Numeracy</w:t>
            </w:r>
          </w:p>
        </w:tc>
        <w:tc>
          <w:tcPr>
            <w:tcW w:w="817" w:type="dxa"/>
            <w:tcBorders>
              <w:top w:val="nil"/>
            </w:tcBorders>
            <w:shd w:val="clear" w:color="auto" w:fill="auto"/>
          </w:tcPr>
          <w:p w14:paraId="2B36794C" w14:textId="77777777" w:rsidR="00FD31CF" w:rsidRPr="0087752B" w:rsidRDefault="00FD31CF" w:rsidP="00FD31CF">
            <w:pPr>
              <w:pStyle w:val="DETTableTextFinancial"/>
            </w:pPr>
            <w:r w:rsidRPr="0087752B">
              <w:t>per cent</w:t>
            </w:r>
          </w:p>
        </w:tc>
        <w:tc>
          <w:tcPr>
            <w:tcW w:w="627" w:type="dxa"/>
            <w:tcBorders>
              <w:top w:val="nil"/>
            </w:tcBorders>
            <w:shd w:val="clear" w:color="auto" w:fill="auto"/>
          </w:tcPr>
          <w:p w14:paraId="63D832D2" w14:textId="77777777" w:rsidR="00FD31CF" w:rsidRPr="0087752B" w:rsidRDefault="00FD31CF" w:rsidP="00FD31CF">
            <w:pPr>
              <w:pStyle w:val="DETTableTextFinancial"/>
              <w:jc w:val="right"/>
            </w:pPr>
            <w:r w:rsidRPr="0087752B">
              <w:t>25.0</w:t>
            </w:r>
          </w:p>
        </w:tc>
        <w:tc>
          <w:tcPr>
            <w:tcW w:w="562" w:type="dxa"/>
            <w:tcBorders>
              <w:top w:val="nil"/>
            </w:tcBorders>
            <w:shd w:val="clear" w:color="auto" w:fill="auto"/>
          </w:tcPr>
          <w:p w14:paraId="782296CD" w14:textId="77777777" w:rsidR="00FD31CF" w:rsidRPr="0087752B" w:rsidRDefault="00FD31CF" w:rsidP="00FD31CF">
            <w:pPr>
              <w:pStyle w:val="DETTableTextFinancial"/>
              <w:jc w:val="right"/>
            </w:pPr>
            <w:r w:rsidRPr="0087752B">
              <w:t>24.7</w:t>
            </w:r>
          </w:p>
        </w:tc>
        <w:tc>
          <w:tcPr>
            <w:tcW w:w="561" w:type="dxa"/>
            <w:tcBorders>
              <w:top w:val="nil"/>
            </w:tcBorders>
            <w:shd w:val="clear" w:color="auto" w:fill="auto"/>
          </w:tcPr>
          <w:p w14:paraId="6200219E" w14:textId="77777777" w:rsidR="00FD31CF" w:rsidRPr="0087752B" w:rsidRDefault="00FD31CF" w:rsidP="00FD31CF">
            <w:pPr>
              <w:pStyle w:val="DETTableTextFinancial"/>
              <w:jc w:val="right"/>
            </w:pPr>
            <w:r w:rsidRPr="0087752B">
              <w:t>25.2</w:t>
            </w:r>
          </w:p>
        </w:tc>
        <w:tc>
          <w:tcPr>
            <w:tcW w:w="604" w:type="dxa"/>
            <w:tcBorders>
              <w:top w:val="nil"/>
            </w:tcBorders>
            <w:shd w:val="clear" w:color="auto" w:fill="auto"/>
          </w:tcPr>
          <w:p w14:paraId="3A16A103" w14:textId="77777777" w:rsidR="00FD31CF" w:rsidRPr="0087752B" w:rsidRDefault="00FD31CF" w:rsidP="00FD31CF">
            <w:pPr>
              <w:pStyle w:val="DETTableTextFinancial"/>
              <w:jc w:val="right"/>
            </w:pPr>
            <w:r w:rsidRPr="0087752B">
              <w:t>25.3</w:t>
            </w:r>
          </w:p>
        </w:tc>
        <w:tc>
          <w:tcPr>
            <w:tcW w:w="604" w:type="dxa"/>
            <w:tcBorders>
              <w:top w:val="nil"/>
            </w:tcBorders>
          </w:tcPr>
          <w:p w14:paraId="112BB82D" w14:textId="77777777" w:rsidR="00FD31CF" w:rsidRPr="0087752B" w:rsidRDefault="00FD31CF" w:rsidP="00FD31CF">
            <w:pPr>
              <w:pStyle w:val="DETTableTextFinancial"/>
              <w:jc w:val="right"/>
            </w:pPr>
            <w:r w:rsidRPr="0087752B">
              <w:t>26.1</w:t>
            </w:r>
          </w:p>
        </w:tc>
      </w:tr>
      <w:tr w:rsidR="004D1C46" w:rsidRPr="0087752B" w14:paraId="08E49FF5" w14:textId="77777777" w:rsidTr="00DA64AD">
        <w:trPr>
          <w:cantSplit/>
        </w:trPr>
        <w:tc>
          <w:tcPr>
            <w:tcW w:w="3776" w:type="dxa"/>
            <w:shd w:val="clear" w:color="auto" w:fill="auto"/>
            <w:vAlign w:val="center"/>
          </w:tcPr>
          <w:p w14:paraId="5CACC6A7" w14:textId="1FBF5CFC" w:rsidR="004D1C46" w:rsidRPr="005C767D" w:rsidRDefault="004D1C46" w:rsidP="004D1C46">
            <w:pPr>
              <w:pStyle w:val="DETTableTextFinancial"/>
            </w:pPr>
            <w:r w:rsidRPr="0087752B">
              <w:t>Proportion of Year 4 students reaching the international benchmarks (PIRLS)</w:t>
            </w:r>
            <w:r w:rsidR="0053227D">
              <w:rPr>
                <w:rStyle w:val="FootnoteReference"/>
              </w:rPr>
              <w:footnoteReference w:id="7"/>
            </w:r>
            <w:r w:rsidRPr="005C767D">
              <w:rPr>
                <w:vertAlign w:val="superscript"/>
              </w:rPr>
              <w:t>,</w:t>
            </w:r>
            <w:r w:rsidR="0053227D">
              <w:rPr>
                <w:rStyle w:val="FootnoteReference"/>
              </w:rPr>
              <w:footnoteReference w:id="8"/>
            </w:r>
            <w:r w:rsidRPr="005C767D">
              <w:t>—Reading</w:t>
            </w:r>
          </w:p>
        </w:tc>
        <w:tc>
          <w:tcPr>
            <w:tcW w:w="817" w:type="dxa"/>
            <w:shd w:val="clear" w:color="auto" w:fill="auto"/>
          </w:tcPr>
          <w:p w14:paraId="6B4DDD31" w14:textId="77777777" w:rsidR="004D1C46" w:rsidRPr="0087752B" w:rsidRDefault="004D1C46" w:rsidP="004D1C46">
            <w:pPr>
              <w:pStyle w:val="DETTableTextFinancial"/>
            </w:pPr>
            <w:r w:rsidRPr="0087752B">
              <w:t>per cent</w:t>
            </w:r>
          </w:p>
        </w:tc>
        <w:tc>
          <w:tcPr>
            <w:tcW w:w="627" w:type="dxa"/>
            <w:shd w:val="clear" w:color="auto" w:fill="auto"/>
          </w:tcPr>
          <w:p w14:paraId="252B898D" w14:textId="77777777" w:rsidR="004D1C46" w:rsidRPr="0087752B" w:rsidRDefault="004D1C46" w:rsidP="004D1C46">
            <w:pPr>
              <w:pStyle w:val="DETTableTextFinancial"/>
              <w:jc w:val="right"/>
            </w:pPr>
            <w:r w:rsidRPr="0087752B">
              <w:t>80.0</w:t>
            </w:r>
          </w:p>
        </w:tc>
        <w:tc>
          <w:tcPr>
            <w:tcW w:w="562" w:type="dxa"/>
            <w:shd w:val="clear" w:color="auto" w:fill="auto"/>
          </w:tcPr>
          <w:p w14:paraId="1248BDAB" w14:textId="65352FB8" w:rsidR="004D1C46" w:rsidRPr="0087752B" w:rsidRDefault="004D1C46" w:rsidP="004D1C46">
            <w:pPr>
              <w:pStyle w:val="DETTableTextFinancial"/>
              <w:jc w:val="right"/>
            </w:pPr>
            <w:r w:rsidRPr="00346078">
              <w:t>–</w:t>
            </w:r>
          </w:p>
        </w:tc>
        <w:tc>
          <w:tcPr>
            <w:tcW w:w="561" w:type="dxa"/>
            <w:shd w:val="clear" w:color="auto" w:fill="auto"/>
          </w:tcPr>
          <w:p w14:paraId="0BA0FBA0" w14:textId="44748F6B" w:rsidR="004D1C46" w:rsidRPr="0087752B" w:rsidRDefault="004D1C46" w:rsidP="004D1C46">
            <w:pPr>
              <w:pStyle w:val="DETTableTextFinancial"/>
              <w:jc w:val="right"/>
            </w:pPr>
            <w:r w:rsidRPr="00346078">
              <w:t>–</w:t>
            </w:r>
          </w:p>
        </w:tc>
        <w:tc>
          <w:tcPr>
            <w:tcW w:w="604" w:type="dxa"/>
            <w:shd w:val="clear" w:color="auto" w:fill="auto"/>
          </w:tcPr>
          <w:p w14:paraId="39E1ECF0" w14:textId="46AED316" w:rsidR="004D1C46" w:rsidRPr="0087752B" w:rsidRDefault="004D1C46" w:rsidP="004D1C46">
            <w:pPr>
              <w:pStyle w:val="DETTableTextFinancial"/>
              <w:jc w:val="right"/>
            </w:pPr>
            <w:r w:rsidRPr="00346078">
              <w:t>–</w:t>
            </w:r>
          </w:p>
        </w:tc>
        <w:tc>
          <w:tcPr>
            <w:tcW w:w="604" w:type="dxa"/>
          </w:tcPr>
          <w:p w14:paraId="2B4B756D" w14:textId="3BE4DD51" w:rsidR="004D1C46" w:rsidRPr="0087752B" w:rsidRDefault="004D1C46" w:rsidP="004D1C46">
            <w:pPr>
              <w:pStyle w:val="DETTableTextFinancial"/>
              <w:jc w:val="right"/>
            </w:pPr>
            <w:r w:rsidRPr="00346078">
              <w:t>–</w:t>
            </w:r>
          </w:p>
        </w:tc>
      </w:tr>
      <w:tr w:rsidR="004D1C46" w:rsidRPr="0087752B" w14:paraId="1E8E25AB" w14:textId="77777777" w:rsidTr="00DA64AD">
        <w:trPr>
          <w:cantSplit/>
        </w:trPr>
        <w:tc>
          <w:tcPr>
            <w:tcW w:w="3776" w:type="dxa"/>
            <w:shd w:val="clear" w:color="auto" w:fill="auto"/>
            <w:vAlign w:val="center"/>
          </w:tcPr>
          <w:p w14:paraId="45D926D0" w14:textId="1303D2BF" w:rsidR="004D1C46" w:rsidRPr="005C767D" w:rsidRDefault="004D1C46" w:rsidP="004D1C46">
            <w:pPr>
              <w:pStyle w:val="DETTableTextFinancial"/>
            </w:pPr>
            <w:r w:rsidRPr="0087752B">
              <w:t>Proportion of Year 4 students reaching the international benchmarks (TIMSS)</w:t>
            </w:r>
            <w:r w:rsidR="00DA64AD">
              <w:rPr>
                <w:vertAlign w:val="superscript"/>
              </w:rPr>
              <w:t>4</w:t>
            </w:r>
            <w:r w:rsidRPr="0087752B">
              <w:rPr>
                <w:vertAlign w:val="superscript"/>
              </w:rPr>
              <w:t>,</w:t>
            </w:r>
            <w:r w:rsidR="0053227D">
              <w:rPr>
                <w:rStyle w:val="FootnoteReference"/>
              </w:rPr>
              <w:footnoteReference w:id="9"/>
            </w:r>
            <w:r w:rsidRPr="005C767D">
              <w:t>—Mathematics</w:t>
            </w:r>
          </w:p>
        </w:tc>
        <w:tc>
          <w:tcPr>
            <w:tcW w:w="817" w:type="dxa"/>
            <w:shd w:val="clear" w:color="auto" w:fill="auto"/>
          </w:tcPr>
          <w:p w14:paraId="36B2C4DE" w14:textId="77777777" w:rsidR="004D1C46" w:rsidRPr="0087752B" w:rsidRDefault="004D1C46" w:rsidP="004D1C46">
            <w:pPr>
              <w:pStyle w:val="DETTableTextFinancial"/>
            </w:pPr>
            <w:r w:rsidRPr="0087752B">
              <w:t>per cent</w:t>
            </w:r>
          </w:p>
        </w:tc>
        <w:tc>
          <w:tcPr>
            <w:tcW w:w="627" w:type="dxa"/>
            <w:shd w:val="clear" w:color="auto" w:fill="auto"/>
          </w:tcPr>
          <w:p w14:paraId="0337412F" w14:textId="77777777" w:rsidR="004D1C46" w:rsidRPr="0087752B" w:rsidRDefault="004D1C46" w:rsidP="004D1C46">
            <w:pPr>
              <w:pStyle w:val="DETTableTextFinancial"/>
              <w:jc w:val="right"/>
            </w:pPr>
            <w:r w:rsidRPr="0087752B">
              <w:t>75.0</w:t>
            </w:r>
          </w:p>
        </w:tc>
        <w:tc>
          <w:tcPr>
            <w:tcW w:w="562" w:type="dxa"/>
            <w:shd w:val="clear" w:color="auto" w:fill="auto"/>
          </w:tcPr>
          <w:p w14:paraId="79CC54F4" w14:textId="0820A110" w:rsidR="004D1C46" w:rsidRPr="0087752B" w:rsidRDefault="004D1C46" w:rsidP="004D1C46">
            <w:pPr>
              <w:pStyle w:val="DETTableTextFinancial"/>
              <w:jc w:val="right"/>
            </w:pPr>
            <w:r w:rsidRPr="00346078">
              <w:t>–</w:t>
            </w:r>
          </w:p>
        </w:tc>
        <w:tc>
          <w:tcPr>
            <w:tcW w:w="561" w:type="dxa"/>
            <w:shd w:val="clear" w:color="auto" w:fill="auto"/>
          </w:tcPr>
          <w:p w14:paraId="2EE40D47" w14:textId="66CF905E" w:rsidR="004D1C46" w:rsidRPr="0087752B" w:rsidRDefault="004D1C46" w:rsidP="004D1C46">
            <w:pPr>
              <w:pStyle w:val="DETTableTextFinancial"/>
              <w:jc w:val="right"/>
            </w:pPr>
            <w:r w:rsidRPr="00346078">
              <w:t>–</w:t>
            </w:r>
          </w:p>
        </w:tc>
        <w:tc>
          <w:tcPr>
            <w:tcW w:w="604" w:type="dxa"/>
            <w:shd w:val="clear" w:color="auto" w:fill="auto"/>
          </w:tcPr>
          <w:p w14:paraId="7DDE3847" w14:textId="43E250C5" w:rsidR="004D1C46" w:rsidRPr="0087752B" w:rsidRDefault="004D1C46" w:rsidP="004D1C46">
            <w:pPr>
              <w:pStyle w:val="DETTableTextFinancial"/>
              <w:jc w:val="right"/>
            </w:pPr>
            <w:r w:rsidRPr="00346078">
              <w:t>–</w:t>
            </w:r>
          </w:p>
        </w:tc>
        <w:tc>
          <w:tcPr>
            <w:tcW w:w="604" w:type="dxa"/>
          </w:tcPr>
          <w:p w14:paraId="5121F3AD" w14:textId="5C41819D" w:rsidR="004D1C46" w:rsidRPr="0087752B" w:rsidRDefault="004D1C46" w:rsidP="004D1C46">
            <w:pPr>
              <w:pStyle w:val="DETTableTextFinancial"/>
              <w:jc w:val="right"/>
            </w:pPr>
            <w:r w:rsidRPr="00346078">
              <w:t>–</w:t>
            </w:r>
          </w:p>
        </w:tc>
      </w:tr>
      <w:tr w:rsidR="004D1C46" w:rsidRPr="0087752B" w14:paraId="073FFF4B" w14:textId="77777777" w:rsidTr="00DA64AD">
        <w:trPr>
          <w:cantSplit/>
        </w:trPr>
        <w:tc>
          <w:tcPr>
            <w:tcW w:w="3776" w:type="dxa"/>
            <w:tcBorders>
              <w:bottom w:val="nil"/>
            </w:tcBorders>
            <w:shd w:val="clear" w:color="auto" w:fill="auto"/>
            <w:vAlign w:val="center"/>
          </w:tcPr>
          <w:p w14:paraId="4E47C139" w14:textId="275DA8B7" w:rsidR="004D1C46" w:rsidRPr="005C767D" w:rsidRDefault="004D1C46" w:rsidP="004D1C46">
            <w:pPr>
              <w:pStyle w:val="DETTableTextFinancial"/>
            </w:pPr>
            <w:r w:rsidRPr="0087752B">
              <w:t>Proportion of Year 8 students reaching the international benchmarks (TIMSS)</w:t>
            </w:r>
            <w:r w:rsidR="00DA64AD">
              <w:rPr>
                <w:vertAlign w:val="superscript"/>
              </w:rPr>
              <w:t>5</w:t>
            </w:r>
            <w:r w:rsidRPr="0087752B">
              <w:rPr>
                <w:vertAlign w:val="superscript"/>
              </w:rPr>
              <w:t>,</w:t>
            </w:r>
            <w:r w:rsidR="0053227D">
              <w:rPr>
                <w:rStyle w:val="FootnoteReference"/>
              </w:rPr>
              <w:footnoteReference w:id="10"/>
            </w:r>
            <w:r w:rsidRPr="005C767D">
              <w:t>—Mathematics</w:t>
            </w:r>
          </w:p>
        </w:tc>
        <w:tc>
          <w:tcPr>
            <w:tcW w:w="817" w:type="dxa"/>
            <w:tcBorders>
              <w:bottom w:val="nil"/>
            </w:tcBorders>
            <w:shd w:val="clear" w:color="auto" w:fill="auto"/>
          </w:tcPr>
          <w:p w14:paraId="31CC9913" w14:textId="77777777" w:rsidR="004D1C46" w:rsidRPr="0087752B" w:rsidRDefault="004D1C46" w:rsidP="004D1C46">
            <w:pPr>
              <w:pStyle w:val="DETTableTextFinancial"/>
            </w:pPr>
            <w:r w:rsidRPr="0087752B">
              <w:t>per cent</w:t>
            </w:r>
          </w:p>
        </w:tc>
        <w:tc>
          <w:tcPr>
            <w:tcW w:w="627" w:type="dxa"/>
            <w:tcBorders>
              <w:bottom w:val="nil"/>
            </w:tcBorders>
            <w:shd w:val="clear" w:color="auto" w:fill="auto"/>
          </w:tcPr>
          <w:p w14:paraId="111940ED" w14:textId="77777777" w:rsidR="004D1C46" w:rsidRPr="0087752B" w:rsidRDefault="004D1C46" w:rsidP="004D1C46">
            <w:pPr>
              <w:pStyle w:val="DETTableTextFinancial"/>
              <w:jc w:val="right"/>
            </w:pPr>
            <w:r w:rsidRPr="0087752B">
              <w:t>65.0</w:t>
            </w:r>
          </w:p>
        </w:tc>
        <w:tc>
          <w:tcPr>
            <w:tcW w:w="562" w:type="dxa"/>
            <w:tcBorders>
              <w:bottom w:val="nil"/>
            </w:tcBorders>
            <w:shd w:val="clear" w:color="auto" w:fill="auto"/>
          </w:tcPr>
          <w:p w14:paraId="10DC8178" w14:textId="58163B07" w:rsidR="004D1C46" w:rsidRPr="0087752B" w:rsidRDefault="004D1C46" w:rsidP="004D1C46">
            <w:pPr>
              <w:pStyle w:val="DETTableTextFinancial"/>
              <w:jc w:val="right"/>
            </w:pPr>
            <w:r w:rsidRPr="00346078">
              <w:t>–</w:t>
            </w:r>
          </w:p>
        </w:tc>
        <w:tc>
          <w:tcPr>
            <w:tcW w:w="561" w:type="dxa"/>
            <w:tcBorders>
              <w:bottom w:val="nil"/>
            </w:tcBorders>
            <w:shd w:val="clear" w:color="auto" w:fill="auto"/>
          </w:tcPr>
          <w:p w14:paraId="765F8300" w14:textId="67E350F6" w:rsidR="004D1C46" w:rsidRPr="0087752B" w:rsidRDefault="004D1C46" w:rsidP="004D1C46">
            <w:pPr>
              <w:pStyle w:val="DETTableTextFinancial"/>
              <w:jc w:val="right"/>
            </w:pPr>
            <w:r w:rsidRPr="00346078">
              <w:t>–</w:t>
            </w:r>
          </w:p>
        </w:tc>
        <w:tc>
          <w:tcPr>
            <w:tcW w:w="604" w:type="dxa"/>
            <w:tcBorders>
              <w:bottom w:val="nil"/>
            </w:tcBorders>
            <w:shd w:val="clear" w:color="auto" w:fill="auto"/>
          </w:tcPr>
          <w:p w14:paraId="49318FDC" w14:textId="16A5C9E8" w:rsidR="004D1C46" w:rsidRPr="0087752B" w:rsidRDefault="004D1C46" w:rsidP="004D1C46">
            <w:pPr>
              <w:pStyle w:val="DETTableTextFinancial"/>
              <w:jc w:val="right"/>
            </w:pPr>
            <w:r w:rsidRPr="00346078">
              <w:t>–</w:t>
            </w:r>
          </w:p>
        </w:tc>
        <w:tc>
          <w:tcPr>
            <w:tcW w:w="604" w:type="dxa"/>
            <w:tcBorders>
              <w:bottom w:val="nil"/>
            </w:tcBorders>
          </w:tcPr>
          <w:p w14:paraId="0D68C451" w14:textId="713F8944" w:rsidR="004D1C46" w:rsidRPr="0087752B" w:rsidRDefault="004D1C46" w:rsidP="004D1C46">
            <w:pPr>
              <w:pStyle w:val="DETTableTextFinancial"/>
              <w:jc w:val="right"/>
            </w:pPr>
            <w:r w:rsidRPr="00346078">
              <w:t>–</w:t>
            </w:r>
          </w:p>
        </w:tc>
      </w:tr>
    </w:tbl>
    <w:p w14:paraId="40B5C4BF" w14:textId="3005ED4F" w:rsidR="00D73FFC" w:rsidRDefault="00D73FFC"/>
    <w:tbl>
      <w:tblPr>
        <w:tblW w:w="5000" w:type="pct"/>
        <w:tblBorders>
          <w:top w:val="single" w:sz="6" w:space="0" w:color="777777"/>
          <w:bottom w:val="single" w:sz="12" w:space="0" w:color="777777"/>
        </w:tblBorders>
        <w:tblLayout w:type="fixed"/>
        <w:tblCellMar>
          <w:left w:w="45" w:type="dxa"/>
          <w:right w:w="45" w:type="dxa"/>
        </w:tblCellMar>
        <w:tblLook w:val="0000" w:firstRow="0" w:lastRow="0" w:firstColumn="0" w:lastColumn="0" w:noHBand="0" w:noVBand="0"/>
      </w:tblPr>
      <w:tblGrid>
        <w:gridCol w:w="3731"/>
        <w:gridCol w:w="807"/>
        <w:gridCol w:w="619"/>
        <w:gridCol w:w="555"/>
        <w:gridCol w:w="554"/>
        <w:gridCol w:w="597"/>
        <w:gridCol w:w="597"/>
      </w:tblGrid>
      <w:tr w:rsidR="00D73FFC" w:rsidRPr="0087752B" w14:paraId="1D7BCBC8" w14:textId="77777777" w:rsidTr="00127B23">
        <w:trPr>
          <w:cantSplit/>
        </w:trPr>
        <w:tc>
          <w:tcPr>
            <w:tcW w:w="3731" w:type="dxa"/>
            <w:tcBorders>
              <w:top w:val="nil"/>
              <w:bottom w:val="nil"/>
            </w:tcBorders>
            <w:shd w:val="clear" w:color="auto" w:fill="A6A6A6" w:themeFill="background1" w:themeFillShade="A6"/>
          </w:tcPr>
          <w:p w14:paraId="020867CD" w14:textId="1B686726" w:rsidR="00D73FFC" w:rsidRPr="00E73803" w:rsidRDefault="00D73FFC" w:rsidP="00127B23">
            <w:pPr>
              <w:pStyle w:val="DETTablecolumnheading"/>
              <w:jc w:val="left"/>
            </w:pPr>
            <w:r w:rsidRPr="0087752B">
              <w:br w:type="page"/>
            </w:r>
            <w:r w:rsidRPr="001F07C0">
              <w:t>Indicators</w:t>
            </w:r>
          </w:p>
        </w:tc>
        <w:tc>
          <w:tcPr>
            <w:tcW w:w="807" w:type="dxa"/>
            <w:tcBorders>
              <w:top w:val="nil"/>
              <w:bottom w:val="nil"/>
            </w:tcBorders>
            <w:shd w:val="clear" w:color="auto" w:fill="A6A6A6" w:themeFill="background1" w:themeFillShade="A6"/>
            <w:vAlign w:val="center"/>
          </w:tcPr>
          <w:p w14:paraId="1782DE72" w14:textId="0DEA9F45" w:rsidR="00D73FFC" w:rsidRPr="00E73803" w:rsidRDefault="00D73FFC" w:rsidP="00127B23">
            <w:pPr>
              <w:pStyle w:val="DETTablecolumnheading"/>
              <w:jc w:val="left"/>
            </w:pPr>
            <w:r w:rsidRPr="00E73803">
              <w:t>Unit</w:t>
            </w:r>
          </w:p>
        </w:tc>
        <w:tc>
          <w:tcPr>
            <w:tcW w:w="619" w:type="dxa"/>
            <w:tcBorders>
              <w:top w:val="nil"/>
              <w:bottom w:val="nil"/>
            </w:tcBorders>
            <w:shd w:val="clear" w:color="auto" w:fill="A6A6A6" w:themeFill="background1" w:themeFillShade="A6"/>
          </w:tcPr>
          <w:p w14:paraId="129C6D06" w14:textId="7CECDF86" w:rsidR="00D73FFC" w:rsidRPr="00E73803" w:rsidRDefault="00D73FFC" w:rsidP="00127B23">
            <w:pPr>
              <w:pStyle w:val="DETTablecolumnheading"/>
              <w:jc w:val="left"/>
            </w:pPr>
            <w:r w:rsidRPr="00E73803">
              <w:t>2011</w:t>
            </w:r>
          </w:p>
        </w:tc>
        <w:tc>
          <w:tcPr>
            <w:tcW w:w="555" w:type="dxa"/>
            <w:tcBorders>
              <w:top w:val="nil"/>
              <w:bottom w:val="nil"/>
            </w:tcBorders>
            <w:shd w:val="clear" w:color="auto" w:fill="A6A6A6" w:themeFill="background1" w:themeFillShade="A6"/>
          </w:tcPr>
          <w:p w14:paraId="160F2CBD" w14:textId="26480022" w:rsidR="00D73FFC" w:rsidRPr="00E73803" w:rsidRDefault="00D73FFC" w:rsidP="00127B23">
            <w:pPr>
              <w:pStyle w:val="DETTablecolumnheading"/>
              <w:jc w:val="left"/>
            </w:pPr>
            <w:r w:rsidRPr="00E73803">
              <w:t>2012</w:t>
            </w:r>
          </w:p>
        </w:tc>
        <w:tc>
          <w:tcPr>
            <w:tcW w:w="554" w:type="dxa"/>
            <w:tcBorders>
              <w:top w:val="nil"/>
              <w:bottom w:val="nil"/>
            </w:tcBorders>
            <w:shd w:val="clear" w:color="auto" w:fill="A6A6A6" w:themeFill="background1" w:themeFillShade="A6"/>
          </w:tcPr>
          <w:p w14:paraId="5F3412EB" w14:textId="3339D3EC" w:rsidR="00D73FFC" w:rsidRPr="00E73803" w:rsidRDefault="00D73FFC" w:rsidP="00127B23">
            <w:pPr>
              <w:pStyle w:val="DETTablecolumnheading"/>
              <w:jc w:val="left"/>
            </w:pPr>
            <w:r w:rsidRPr="00E73803">
              <w:t>2013</w:t>
            </w:r>
          </w:p>
        </w:tc>
        <w:tc>
          <w:tcPr>
            <w:tcW w:w="597" w:type="dxa"/>
            <w:tcBorders>
              <w:top w:val="nil"/>
              <w:bottom w:val="nil"/>
            </w:tcBorders>
            <w:shd w:val="clear" w:color="auto" w:fill="A6A6A6" w:themeFill="background1" w:themeFillShade="A6"/>
          </w:tcPr>
          <w:p w14:paraId="6BC6AD6A" w14:textId="4C83C7B8" w:rsidR="00D73FFC" w:rsidRPr="0056353B" w:rsidRDefault="00D73FFC" w:rsidP="00127B23">
            <w:pPr>
              <w:pStyle w:val="DETTablecolumnheading"/>
              <w:jc w:val="left"/>
            </w:pPr>
            <w:r w:rsidRPr="00E73803">
              <w:t>2014</w:t>
            </w:r>
          </w:p>
        </w:tc>
        <w:tc>
          <w:tcPr>
            <w:tcW w:w="597" w:type="dxa"/>
            <w:tcBorders>
              <w:top w:val="nil"/>
              <w:bottom w:val="nil"/>
            </w:tcBorders>
            <w:shd w:val="clear" w:color="auto" w:fill="A6A6A6" w:themeFill="background1" w:themeFillShade="A6"/>
          </w:tcPr>
          <w:p w14:paraId="3FF7B8DD" w14:textId="7691C684" w:rsidR="00D73FFC" w:rsidRPr="0056353B" w:rsidRDefault="00D73FFC" w:rsidP="00127B23">
            <w:pPr>
              <w:pStyle w:val="DETTablecolumnheading"/>
              <w:jc w:val="left"/>
            </w:pPr>
            <w:r w:rsidRPr="0056353B">
              <w:t>2015</w:t>
            </w:r>
          </w:p>
        </w:tc>
      </w:tr>
      <w:tr w:rsidR="004D1C46" w:rsidRPr="0087752B" w14:paraId="0994650B" w14:textId="77777777" w:rsidTr="00127B23">
        <w:trPr>
          <w:cantSplit/>
        </w:trPr>
        <w:tc>
          <w:tcPr>
            <w:tcW w:w="3731" w:type="dxa"/>
            <w:tcBorders>
              <w:top w:val="nil"/>
              <w:bottom w:val="nil"/>
            </w:tcBorders>
            <w:shd w:val="clear" w:color="auto" w:fill="auto"/>
            <w:vAlign w:val="center"/>
          </w:tcPr>
          <w:p w14:paraId="3D3185A3" w14:textId="5B592634" w:rsidR="004D1C46" w:rsidRPr="005C767D" w:rsidRDefault="004D1C46" w:rsidP="004D1C46">
            <w:pPr>
              <w:pStyle w:val="DETTableTextFinancial"/>
            </w:pPr>
            <w:r w:rsidRPr="0087752B">
              <w:t>Proportion of 15-year-old students in achieving level 3 or above in PISA Reading literacy</w:t>
            </w:r>
            <w:r w:rsidR="0053227D">
              <w:rPr>
                <w:rStyle w:val="FootnoteReference"/>
              </w:rPr>
              <w:footnoteReference w:id="11"/>
            </w:r>
          </w:p>
        </w:tc>
        <w:tc>
          <w:tcPr>
            <w:tcW w:w="807" w:type="dxa"/>
            <w:tcBorders>
              <w:top w:val="nil"/>
              <w:bottom w:val="nil"/>
            </w:tcBorders>
            <w:shd w:val="clear" w:color="auto" w:fill="auto"/>
          </w:tcPr>
          <w:p w14:paraId="2FE08A32" w14:textId="77777777" w:rsidR="004D1C46" w:rsidRPr="0087752B" w:rsidRDefault="004D1C46" w:rsidP="004D1C46">
            <w:pPr>
              <w:pStyle w:val="DETTableTextFinancial"/>
            </w:pPr>
            <w:r w:rsidRPr="0087752B">
              <w:t>per cent</w:t>
            </w:r>
          </w:p>
        </w:tc>
        <w:tc>
          <w:tcPr>
            <w:tcW w:w="619" w:type="dxa"/>
            <w:tcBorders>
              <w:top w:val="nil"/>
              <w:bottom w:val="nil"/>
            </w:tcBorders>
            <w:shd w:val="clear" w:color="auto" w:fill="auto"/>
          </w:tcPr>
          <w:p w14:paraId="54225AAF" w14:textId="2DBF8FAD" w:rsidR="004D1C46" w:rsidRPr="0087752B" w:rsidRDefault="004D1C46" w:rsidP="004D1C46">
            <w:pPr>
              <w:pStyle w:val="DETTableTextFinancial"/>
              <w:jc w:val="right"/>
            </w:pPr>
            <w:r w:rsidRPr="00E56FCE">
              <w:t>–</w:t>
            </w:r>
          </w:p>
        </w:tc>
        <w:tc>
          <w:tcPr>
            <w:tcW w:w="555" w:type="dxa"/>
            <w:tcBorders>
              <w:top w:val="nil"/>
              <w:bottom w:val="nil"/>
            </w:tcBorders>
            <w:shd w:val="clear" w:color="auto" w:fill="auto"/>
          </w:tcPr>
          <w:p w14:paraId="44FDC018" w14:textId="77777777" w:rsidR="004D1C46" w:rsidRPr="0087752B" w:rsidRDefault="004D1C46" w:rsidP="004D1C46">
            <w:pPr>
              <w:pStyle w:val="DETTableTextFinancial"/>
              <w:jc w:val="right"/>
            </w:pPr>
            <w:r w:rsidRPr="0087752B">
              <w:t>67.0</w:t>
            </w:r>
          </w:p>
        </w:tc>
        <w:tc>
          <w:tcPr>
            <w:tcW w:w="554" w:type="dxa"/>
            <w:tcBorders>
              <w:top w:val="nil"/>
              <w:bottom w:val="nil"/>
            </w:tcBorders>
            <w:shd w:val="clear" w:color="auto" w:fill="auto"/>
          </w:tcPr>
          <w:p w14:paraId="55BF2E5C" w14:textId="28F79D84" w:rsidR="004D1C46" w:rsidRPr="0087752B" w:rsidRDefault="004D1C46" w:rsidP="004D1C46">
            <w:pPr>
              <w:pStyle w:val="DETTableTextFinancial"/>
              <w:jc w:val="right"/>
            </w:pPr>
            <w:r w:rsidRPr="00350531">
              <w:t>–</w:t>
            </w:r>
          </w:p>
        </w:tc>
        <w:tc>
          <w:tcPr>
            <w:tcW w:w="597" w:type="dxa"/>
            <w:tcBorders>
              <w:top w:val="nil"/>
              <w:bottom w:val="nil"/>
            </w:tcBorders>
            <w:shd w:val="clear" w:color="auto" w:fill="auto"/>
          </w:tcPr>
          <w:p w14:paraId="226270DE" w14:textId="3E62973C" w:rsidR="004D1C46" w:rsidRPr="0087752B" w:rsidRDefault="004D1C46" w:rsidP="004D1C46">
            <w:pPr>
              <w:pStyle w:val="DETTableTextFinancial"/>
              <w:jc w:val="right"/>
            </w:pPr>
            <w:r w:rsidRPr="00350531">
              <w:t>–</w:t>
            </w:r>
          </w:p>
        </w:tc>
        <w:tc>
          <w:tcPr>
            <w:tcW w:w="597" w:type="dxa"/>
            <w:tcBorders>
              <w:top w:val="nil"/>
              <w:bottom w:val="nil"/>
            </w:tcBorders>
          </w:tcPr>
          <w:p w14:paraId="3590A846" w14:textId="6750C12B" w:rsidR="004D1C46" w:rsidRPr="0087752B" w:rsidRDefault="004D1C46" w:rsidP="004D1C46">
            <w:pPr>
              <w:pStyle w:val="DETTableTextFinancial"/>
              <w:jc w:val="right"/>
            </w:pPr>
            <w:r w:rsidRPr="00350531">
              <w:t>–</w:t>
            </w:r>
          </w:p>
        </w:tc>
      </w:tr>
      <w:tr w:rsidR="004D1C46" w:rsidRPr="0087752B" w14:paraId="794BDC9E" w14:textId="77777777" w:rsidTr="00127B23">
        <w:trPr>
          <w:cantSplit/>
        </w:trPr>
        <w:tc>
          <w:tcPr>
            <w:tcW w:w="3731" w:type="dxa"/>
            <w:tcBorders>
              <w:top w:val="nil"/>
              <w:bottom w:val="nil"/>
            </w:tcBorders>
            <w:shd w:val="clear" w:color="auto" w:fill="auto"/>
            <w:vAlign w:val="center"/>
          </w:tcPr>
          <w:p w14:paraId="1CF501C8" w14:textId="74CBBCED" w:rsidR="004D1C46" w:rsidRPr="0087752B" w:rsidRDefault="004D1C46" w:rsidP="00406CF0">
            <w:pPr>
              <w:pStyle w:val="DETTableTextFinancial"/>
            </w:pPr>
            <w:r w:rsidRPr="0087752B">
              <w:lastRenderedPageBreak/>
              <w:t>Proportion of 15-year-old students in achieving level 3 or above in PISA Mathematical literacy</w:t>
            </w:r>
            <w:r w:rsidR="00406CF0">
              <w:rPr>
                <w:vertAlign w:val="superscript"/>
              </w:rPr>
              <w:t>5</w:t>
            </w:r>
          </w:p>
        </w:tc>
        <w:tc>
          <w:tcPr>
            <w:tcW w:w="807" w:type="dxa"/>
            <w:tcBorders>
              <w:top w:val="nil"/>
              <w:bottom w:val="nil"/>
            </w:tcBorders>
            <w:shd w:val="clear" w:color="auto" w:fill="auto"/>
          </w:tcPr>
          <w:p w14:paraId="7E5224A1" w14:textId="77777777" w:rsidR="004D1C46" w:rsidRPr="0087752B" w:rsidRDefault="004D1C46" w:rsidP="004D1C46">
            <w:pPr>
              <w:pStyle w:val="DETTableTextFinancial"/>
            </w:pPr>
            <w:r w:rsidRPr="0087752B">
              <w:t>per cent</w:t>
            </w:r>
          </w:p>
        </w:tc>
        <w:tc>
          <w:tcPr>
            <w:tcW w:w="619" w:type="dxa"/>
            <w:tcBorders>
              <w:top w:val="nil"/>
              <w:bottom w:val="nil"/>
            </w:tcBorders>
            <w:shd w:val="clear" w:color="auto" w:fill="auto"/>
          </w:tcPr>
          <w:p w14:paraId="30541F90" w14:textId="200F8FCD" w:rsidR="004D1C46" w:rsidRPr="0087752B" w:rsidRDefault="004D1C46" w:rsidP="004D1C46">
            <w:pPr>
              <w:pStyle w:val="DETTableTextFinancial"/>
              <w:jc w:val="right"/>
            </w:pPr>
            <w:r w:rsidRPr="00E56FCE">
              <w:t>–</w:t>
            </w:r>
          </w:p>
        </w:tc>
        <w:tc>
          <w:tcPr>
            <w:tcW w:w="555" w:type="dxa"/>
            <w:tcBorders>
              <w:top w:val="nil"/>
              <w:bottom w:val="nil"/>
            </w:tcBorders>
            <w:shd w:val="clear" w:color="auto" w:fill="auto"/>
          </w:tcPr>
          <w:p w14:paraId="264BA085" w14:textId="77777777" w:rsidR="004D1C46" w:rsidRPr="0087752B" w:rsidRDefault="004D1C46" w:rsidP="004D1C46">
            <w:pPr>
              <w:pStyle w:val="DETTableTextFinancial"/>
              <w:jc w:val="right"/>
            </w:pPr>
            <w:r w:rsidRPr="0087752B">
              <w:t>58.0</w:t>
            </w:r>
          </w:p>
        </w:tc>
        <w:tc>
          <w:tcPr>
            <w:tcW w:w="554" w:type="dxa"/>
            <w:tcBorders>
              <w:top w:val="nil"/>
              <w:bottom w:val="nil"/>
            </w:tcBorders>
            <w:shd w:val="clear" w:color="auto" w:fill="auto"/>
          </w:tcPr>
          <w:p w14:paraId="3E59D38D" w14:textId="100C64A5" w:rsidR="004D1C46" w:rsidRPr="0087752B" w:rsidRDefault="004D1C46" w:rsidP="004D1C46">
            <w:pPr>
              <w:pStyle w:val="DETTableTextFinancial"/>
              <w:jc w:val="right"/>
            </w:pPr>
            <w:r w:rsidRPr="00350531">
              <w:t>–</w:t>
            </w:r>
          </w:p>
        </w:tc>
        <w:tc>
          <w:tcPr>
            <w:tcW w:w="597" w:type="dxa"/>
            <w:tcBorders>
              <w:top w:val="nil"/>
              <w:bottom w:val="nil"/>
            </w:tcBorders>
            <w:shd w:val="clear" w:color="auto" w:fill="auto"/>
          </w:tcPr>
          <w:p w14:paraId="17159BC5" w14:textId="467DD81F" w:rsidR="004D1C46" w:rsidRPr="0087752B" w:rsidRDefault="004D1C46" w:rsidP="004D1C46">
            <w:pPr>
              <w:pStyle w:val="DETTableTextFinancial"/>
              <w:jc w:val="right"/>
            </w:pPr>
            <w:r w:rsidRPr="00350531">
              <w:t>–</w:t>
            </w:r>
          </w:p>
        </w:tc>
        <w:tc>
          <w:tcPr>
            <w:tcW w:w="597" w:type="dxa"/>
            <w:tcBorders>
              <w:top w:val="nil"/>
              <w:bottom w:val="nil"/>
            </w:tcBorders>
          </w:tcPr>
          <w:p w14:paraId="33059C59" w14:textId="64D8F05B" w:rsidR="004D1C46" w:rsidRPr="0087752B" w:rsidRDefault="004D1C46" w:rsidP="004D1C46">
            <w:pPr>
              <w:pStyle w:val="DETTableTextFinancial"/>
              <w:jc w:val="right"/>
            </w:pPr>
            <w:r w:rsidRPr="00350531">
              <w:t>–</w:t>
            </w:r>
          </w:p>
        </w:tc>
      </w:tr>
      <w:tr w:rsidR="00FD31CF" w:rsidRPr="0087752B" w14:paraId="4A6B62C4" w14:textId="77777777" w:rsidTr="00FD31CF">
        <w:trPr>
          <w:cantSplit/>
        </w:trPr>
        <w:tc>
          <w:tcPr>
            <w:tcW w:w="7460" w:type="dxa"/>
            <w:gridSpan w:val="7"/>
            <w:tcBorders>
              <w:top w:val="nil"/>
              <w:bottom w:val="nil"/>
            </w:tcBorders>
            <w:shd w:val="clear" w:color="auto" w:fill="auto"/>
            <w:vAlign w:val="center"/>
          </w:tcPr>
          <w:p w14:paraId="6E5B94E1" w14:textId="5E740540" w:rsidR="00FD31CF" w:rsidRPr="0087752B" w:rsidRDefault="00FD31CF" w:rsidP="00406CF0">
            <w:pPr>
              <w:pStyle w:val="DETTableTextFinancial"/>
              <w:rPr>
                <w:b/>
              </w:rPr>
            </w:pPr>
            <w:r w:rsidRPr="0087752B">
              <w:rPr>
                <w:b/>
              </w:rPr>
              <w:t>Students meeting the expected standard in other key learning areas, such as science, arts, history and ICT</w:t>
            </w:r>
            <w:r w:rsidR="00406CF0">
              <w:rPr>
                <w:vertAlign w:val="superscript"/>
              </w:rPr>
              <w:t>2</w:t>
            </w:r>
          </w:p>
        </w:tc>
      </w:tr>
      <w:tr w:rsidR="004D1C46" w:rsidRPr="0087752B" w14:paraId="716889E2" w14:textId="77777777" w:rsidTr="00127B23">
        <w:trPr>
          <w:cantSplit/>
        </w:trPr>
        <w:tc>
          <w:tcPr>
            <w:tcW w:w="3731" w:type="dxa"/>
            <w:tcBorders>
              <w:top w:val="nil"/>
              <w:bottom w:val="nil"/>
            </w:tcBorders>
            <w:shd w:val="clear" w:color="auto" w:fill="auto"/>
            <w:vAlign w:val="center"/>
          </w:tcPr>
          <w:p w14:paraId="14B8C9C1" w14:textId="37267B74" w:rsidR="004D1C46" w:rsidRPr="005C767D" w:rsidRDefault="004D1C46" w:rsidP="004D1C46">
            <w:pPr>
              <w:pStyle w:val="DETTableTextFinancial"/>
            </w:pPr>
            <w:r w:rsidRPr="0087752B">
              <w:t>Proportion of Year 6 students at or above the Proficient Standard in scientific literacy</w:t>
            </w:r>
            <w:r w:rsidR="0053227D">
              <w:rPr>
                <w:rStyle w:val="FootnoteReference"/>
              </w:rPr>
              <w:footnoteReference w:id="12"/>
            </w:r>
          </w:p>
        </w:tc>
        <w:tc>
          <w:tcPr>
            <w:tcW w:w="807" w:type="dxa"/>
            <w:tcBorders>
              <w:top w:val="nil"/>
              <w:bottom w:val="nil"/>
            </w:tcBorders>
            <w:shd w:val="clear" w:color="auto" w:fill="auto"/>
          </w:tcPr>
          <w:p w14:paraId="1020AEB5" w14:textId="77777777" w:rsidR="004D1C46" w:rsidRPr="0087752B" w:rsidRDefault="004D1C46" w:rsidP="004D1C46">
            <w:pPr>
              <w:pStyle w:val="DETTableTextFinancial"/>
            </w:pPr>
            <w:r w:rsidRPr="0087752B">
              <w:t>per cent</w:t>
            </w:r>
          </w:p>
        </w:tc>
        <w:tc>
          <w:tcPr>
            <w:tcW w:w="619" w:type="dxa"/>
            <w:tcBorders>
              <w:top w:val="nil"/>
              <w:bottom w:val="nil"/>
            </w:tcBorders>
            <w:shd w:val="clear" w:color="auto" w:fill="auto"/>
          </w:tcPr>
          <w:p w14:paraId="50DB1511" w14:textId="7189BDC1" w:rsidR="004D1C46" w:rsidRPr="0087752B" w:rsidRDefault="004D1C46" w:rsidP="004D1C46">
            <w:pPr>
              <w:pStyle w:val="DETTableTextFinancial"/>
              <w:jc w:val="right"/>
            </w:pPr>
            <w:r>
              <w:t>–</w:t>
            </w:r>
          </w:p>
        </w:tc>
        <w:tc>
          <w:tcPr>
            <w:tcW w:w="555" w:type="dxa"/>
            <w:tcBorders>
              <w:top w:val="nil"/>
              <w:bottom w:val="nil"/>
            </w:tcBorders>
            <w:shd w:val="clear" w:color="auto" w:fill="auto"/>
          </w:tcPr>
          <w:p w14:paraId="7FC419AB" w14:textId="77777777" w:rsidR="004D1C46" w:rsidRPr="0087752B" w:rsidRDefault="004D1C46" w:rsidP="004D1C46">
            <w:pPr>
              <w:pStyle w:val="DETTableTextFinancial"/>
              <w:jc w:val="right"/>
            </w:pPr>
            <w:r w:rsidRPr="0087752B">
              <w:t>51.3</w:t>
            </w:r>
          </w:p>
        </w:tc>
        <w:tc>
          <w:tcPr>
            <w:tcW w:w="554" w:type="dxa"/>
            <w:tcBorders>
              <w:top w:val="nil"/>
              <w:bottom w:val="nil"/>
            </w:tcBorders>
            <w:shd w:val="clear" w:color="auto" w:fill="auto"/>
          </w:tcPr>
          <w:p w14:paraId="2119B5ED" w14:textId="4C418821" w:rsidR="004D1C46" w:rsidRPr="0087752B" w:rsidRDefault="004D1C46" w:rsidP="004D1C46">
            <w:pPr>
              <w:pStyle w:val="DETTableTextFinancial"/>
              <w:jc w:val="right"/>
            </w:pPr>
            <w:r w:rsidRPr="00EB0AEA">
              <w:t>–</w:t>
            </w:r>
          </w:p>
        </w:tc>
        <w:tc>
          <w:tcPr>
            <w:tcW w:w="597" w:type="dxa"/>
            <w:tcBorders>
              <w:top w:val="nil"/>
              <w:bottom w:val="nil"/>
            </w:tcBorders>
            <w:shd w:val="clear" w:color="auto" w:fill="auto"/>
          </w:tcPr>
          <w:p w14:paraId="726501DD" w14:textId="09102CF0" w:rsidR="004D1C46" w:rsidRPr="0087752B" w:rsidRDefault="004D1C46" w:rsidP="004D1C46">
            <w:pPr>
              <w:pStyle w:val="DETTableTextFinancial"/>
              <w:jc w:val="right"/>
            </w:pPr>
            <w:r w:rsidRPr="00EB0AEA">
              <w:t>–</w:t>
            </w:r>
          </w:p>
        </w:tc>
        <w:tc>
          <w:tcPr>
            <w:tcW w:w="597" w:type="dxa"/>
            <w:tcBorders>
              <w:top w:val="nil"/>
              <w:bottom w:val="nil"/>
            </w:tcBorders>
          </w:tcPr>
          <w:p w14:paraId="2805610A" w14:textId="4C98A996" w:rsidR="004D1C46" w:rsidRPr="0087752B" w:rsidRDefault="004D1C46" w:rsidP="004D1C46">
            <w:pPr>
              <w:pStyle w:val="DETTableTextFinancial"/>
              <w:jc w:val="right"/>
            </w:pPr>
            <w:r w:rsidRPr="00EB0AEA">
              <w:t>–</w:t>
            </w:r>
          </w:p>
        </w:tc>
      </w:tr>
      <w:tr w:rsidR="004D1C46" w:rsidRPr="0087752B" w14:paraId="700B30CB" w14:textId="77777777" w:rsidTr="00127B23">
        <w:trPr>
          <w:cantSplit/>
        </w:trPr>
        <w:tc>
          <w:tcPr>
            <w:tcW w:w="3731" w:type="dxa"/>
            <w:tcBorders>
              <w:top w:val="nil"/>
              <w:bottom w:val="nil"/>
            </w:tcBorders>
            <w:shd w:val="clear" w:color="auto" w:fill="auto"/>
            <w:vAlign w:val="center"/>
          </w:tcPr>
          <w:p w14:paraId="527E875B" w14:textId="595C889C" w:rsidR="004D1C46" w:rsidRPr="005C767D" w:rsidRDefault="004D1C46" w:rsidP="004D1C46">
            <w:pPr>
              <w:pStyle w:val="DETTableTextFinancial"/>
            </w:pPr>
            <w:r w:rsidRPr="0087752B">
              <w:t>Proportion of Year 6 students at or above the Proficient Standard on the Information and Communications Technologies Literacy scale</w:t>
            </w:r>
            <w:r w:rsidR="0053227D">
              <w:rPr>
                <w:rStyle w:val="FootnoteReference"/>
              </w:rPr>
              <w:footnoteReference w:id="13"/>
            </w:r>
          </w:p>
        </w:tc>
        <w:tc>
          <w:tcPr>
            <w:tcW w:w="807" w:type="dxa"/>
            <w:tcBorders>
              <w:top w:val="nil"/>
              <w:bottom w:val="nil"/>
            </w:tcBorders>
            <w:shd w:val="clear" w:color="auto" w:fill="auto"/>
          </w:tcPr>
          <w:p w14:paraId="5B1B8965" w14:textId="77777777" w:rsidR="004D1C46" w:rsidRPr="0087752B" w:rsidRDefault="004D1C46" w:rsidP="004D1C46">
            <w:pPr>
              <w:pStyle w:val="DETTableTextFinancial"/>
            </w:pPr>
            <w:r w:rsidRPr="0087752B">
              <w:t>per cent</w:t>
            </w:r>
          </w:p>
        </w:tc>
        <w:tc>
          <w:tcPr>
            <w:tcW w:w="619" w:type="dxa"/>
            <w:tcBorders>
              <w:top w:val="nil"/>
              <w:bottom w:val="nil"/>
            </w:tcBorders>
            <w:shd w:val="clear" w:color="auto" w:fill="auto"/>
          </w:tcPr>
          <w:p w14:paraId="4A72D1A4" w14:textId="77777777" w:rsidR="004D1C46" w:rsidRPr="0087752B" w:rsidRDefault="004D1C46" w:rsidP="004D1C46">
            <w:pPr>
              <w:pStyle w:val="DETTableTextFinancial"/>
              <w:jc w:val="right"/>
            </w:pPr>
            <w:r w:rsidRPr="0087752B">
              <w:t>64</w:t>
            </w:r>
          </w:p>
        </w:tc>
        <w:tc>
          <w:tcPr>
            <w:tcW w:w="555" w:type="dxa"/>
            <w:tcBorders>
              <w:top w:val="nil"/>
              <w:bottom w:val="nil"/>
            </w:tcBorders>
            <w:shd w:val="clear" w:color="auto" w:fill="auto"/>
          </w:tcPr>
          <w:p w14:paraId="31E15446" w14:textId="17AEB464" w:rsidR="004D1C46" w:rsidRPr="0087752B" w:rsidRDefault="004D1C46" w:rsidP="004D1C46">
            <w:pPr>
              <w:pStyle w:val="DETTableTextFinancial"/>
              <w:jc w:val="right"/>
            </w:pPr>
            <w:r w:rsidRPr="002F1EE6">
              <w:t>–</w:t>
            </w:r>
          </w:p>
        </w:tc>
        <w:tc>
          <w:tcPr>
            <w:tcW w:w="554" w:type="dxa"/>
            <w:tcBorders>
              <w:top w:val="nil"/>
              <w:bottom w:val="nil"/>
            </w:tcBorders>
            <w:shd w:val="clear" w:color="auto" w:fill="auto"/>
          </w:tcPr>
          <w:p w14:paraId="2C6AD726" w14:textId="244B0C17" w:rsidR="004D1C46" w:rsidRPr="0087752B" w:rsidRDefault="004D1C46" w:rsidP="004D1C46">
            <w:pPr>
              <w:pStyle w:val="DETTableTextFinancial"/>
              <w:jc w:val="right"/>
            </w:pPr>
            <w:r w:rsidRPr="002F1EE6">
              <w:t>–</w:t>
            </w:r>
          </w:p>
        </w:tc>
        <w:tc>
          <w:tcPr>
            <w:tcW w:w="597" w:type="dxa"/>
            <w:tcBorders>
              <w:top w:val="nil"/>
              <w:bottom w:val="nil"/>
            </w:tcBorders>
            <w:shd w:val="clear" w:color="auto" w:fill="auto"/>
          </w:tcPr>
          <w:p w14:paraId="19CC9EDB" w14:textId="77777777" w:rsidR="004D1C46" w:rsidRPr="0087752B" w:rsidRDefault="004D1C46" w:rsidP="004D1C46">
            <w:pPr>
              <w:pStyle w:val="DETTableTextFinancial"/>
              <w:jc w:val="right"/>
            </w:pPr>
            <w:r w:rsidRPr="0087752B">
              <w:t>64</w:t>
            </w:r>
          </w:p>
        </w:tc>
        <w:tc>
          <w:tcPr>
            <w:tcW w:w="597" w:type="dxa"/>
            <w:tcBorders>
              <w:top w:val="nil"/>
              <w:bottom w:val="nil"/>
            </w:tcBorders>
          </w:tcPr>
          <w:p w14:paraId="59F6E710" w14:textId="6E1B84D3" w:rsidR="004D1C46" w:rsidRPr="0087752B" w:rsidRDefault="004D1C46" w:rsidP="004D1C46">
            <w:pPr>
              <w:pStyle w:val="DETTableTextFinancial"/>
              <w:jc w:val="right"/>
            </w:pPr>
            <w:r w:rsidRPr="00115E6D">
              <w:t>–</w:t>
            </w:r>
          </w:p>
        </w:tc>
      </w:tr>
      <w:tr w:rsidR="004D1C46" w:rsidRPr="0087752B" w14:paraId="7AE53525" w14:textId="77777777" w:rsidTr="00127B23">
        <w:trPr>
          <w:cantSplit/>
        </w:trPr>
        <w:tc>
          <w:tcPr>
            <w:tcW w:w="3731" w:type="dxa"/>
            <w:tcBorders>
              <w:top w:val="nil"/>
              <w:bottom w:val="nil"/>
            </w:tcBorders>
            <w:shd w:val="clear" w:color="auto" w:fill="auto"/>
            <w:vAlign w:val="center"/>
          </w:tcPr>
          <w:p w14:paraId="785BCFBB" w14:textId="210BB4D8" w:rsidR="004D1C46" w:rsidRPr="0087752B" w:rsidRDefault="004D1C46" w:rsidP="004D1C46">
            <w:pPr>
              <w:pStyle w:val="DETTableTextFinancial"/>
            </w:pPr>
            <w:r w:rsidRPr="0087752B">
              <w:t>Proportion of Year 10 students at or above the Proficient Standard on the Information and Communications Technologies Literacy scale</w:t>
            </w:r>
            <w:r w:rsidR="00146A97">
              <w:rPr>
                <w:vertAlign w:val="superscript"/>
              </w:rPr>
              <w:t>9</w:t>
            </w:r>
          </w:p>
        </w:tc>
        <w:tc>
          <w:tcPr>
            <w:tcW w:w="807" w:type="dxa"/>
            <w:tcBorders>
              <w:top w:val="nil"/>
              <w:bottom w:val="nil"/>
            </w:tcBorders>
            <w:shd w:val="clear" w:color="auto" w:fill="auto"/>
          </w:tcPr>
          <w:p w14:paraId="753D4007" w14:textId="77777777" w:rsidR="004D1C46" w:rsidRPr="0087752B" w:rsidRDefault="004D1C46" w:rsidP="004D1C46">
            <w:pPr>
              <w:pStyle w:val="DETTableTextFinancial"/>
            </w:pPr>
            <w:r w:rsidRPr="0087752B">
              <w:t>per cent</w:t>
            </w:r>
          </w:p>
        </w:tc>
        <w:tc>
          <w:tcPr>
            <w:tcW w:w="619" w:type="dxa"/>
            <w:tcBorders>
              <w:top w:val="nil"/>
              <w:bottom w:val="nil"/>
            </w:tcBorders>
            <w:shd w:val="clear" w:color="auto" w:fill="auto"/>
          </w:tcPr>
          <w:p w14:paraId="49CE3990" w14:textId="77777777" w:rsidR="004D1C46" w:rsidRPr="0087752B" w:rsidRDefault="004D1C46" w:rsidP="004D1C46">
            <w:pPr>
              <w:pStyle w:val="DETTableTextFinancial"/>
              <w:jc w:val="right"/>
            </w:pPr>
            <w:r w:rsidRPr="0087752B">
              <w:t>68</w:t>
            </w:r>
          </w:p>
        </w:tc>
        <w:tc>
          <w:tcPr>
            <w:tcW w:w="555" w:type="dxa"/>
            <w:tcBorders>
              <w:top w:val="nil"/>
              <w:bottom w:val="nil"/>
            </w:tcBorders>
            <w:shd w:val="clear" w:color="auto" w:fill="auto"/>
          </w:tcPr>
          <w:p w14:paraId="07832E3F" w14:textId="30C394E1" w:rsidR="004D1C46" w:rsidRPr="0087752B" w:rsidRDefault="004D1C46" w:rsidP="004D1C46">
            <w:pPr>
              <w:pStyle w:val="DETTableTextFinancial"/>
              <w:jc w:val="right"/>
            </w:pPr>
            <w:r w:rsidRPr="002F1EE6">
              <w:t>–</w:t>
            </w:r>
          </w:p>
        </w:tc>
        <w:tc>
          <w:tcPr>
            <w:tcW w:w="554" w:type="dxa"/>
            <w:tcBorders>
              <w:top w:val="nil"/>
              <w:bottom w:val="nil"/>
            </w:tcBorders>
            <w:shd w:val="clear" w:color="auto" w:fill="auto"/>
          </w:tcPr>
          <w:p w14:paraId="4E91CDB3" w14:textId="5A3349BD" w:rsidR="004D1C46" w:rsidRPr="0087752B" w:rsidRDefault="004D1C46" w:rsidP="004D1C46">
            <w:pPr>
              <w:pStyle w:val="DETTableTextFinancial"/>
              <w:jc w:val="right"/>
            </w:pPr>
            <w:r w:rsidRPr="002F1EE6">
              <w:t>–</w:t>
            </w:r>
          </w:p>
        </w:tc>
        <w:tc>
          <w:tcPr>
            <w:tcW w:w="597" w:type="dxa"/>
            <w:tcBorders>
              <w:top w:val="nil"/>
              <w:bottom w:val="nil"/>
            </w:tcBorders>
            <w:shd w:val="clear" w:color="auto" w:fill="auto"/>
          </w:tcPr>
          <w:p w14:paraId="4A8D2950" w14:textId="77777777" w:rsidR="004D1C46" w:rsidRPr="0087752B" w:rsidRDefault="004D1C46" w:rsidP="004D1C46">
            <w:pPr>
              <w:pStyle w:val="DETTableTextFinancial"/>
              <w:jc w:val="right"/>
            </w:pPr>
            <w:r w:rsidRPr="0087752B">
              <w:t>55</w:t>
            </w:r>
          </w:p>
        </w:tc>
        <w:tc>
          <w:tcPr>
            <w:tcW w:w="597" w:type="dxa"/>
            <w:tcBorders>
              <w:top w:val="nil"/>
              <w:bottom w:val="nil"/>
            </w:tcBorders>
          </w:tcPr>
          <w:p w14:paraId="2476C160" w14:textId="7CA0B4DE" w:rsidR="004D1C46" w:rsidRPr="0087752B" w:rsidRDefault="004D1C46" w:rsidP="004D1C46">
            <w:pPr>
              <w:pStyle w:val="DETTableTextFinancial"/>
              <w:jc w:val="right"/>
            </w:pPr>
            <w:r w:rsidRPr="00115E6D">
              <w:t>–</w:t>
            </w:r>
          </w:p>
        </w:tc>
      </w:tr>
      <w:tr w:rsidR="00FD31CF" w:rsidRPr="0087752B" w14:paraId="0362FD94" w14:textId="77777777" w:rsidTr="00FD31CF">
        <w:trPr>
          <w:cantSplit/>
        </w:trPr>
        <w:tc>
          <w:tcPr>
            <w:tcW w:w="7460" w:type="dxa"/>
            <w:gridSpan w:val="7"/>
            <w:tcBorders>
              <w:top w:val="nil"/>
              <w:bottom w:val="nil"/>
            </w:tcBorders>
            <w:shd w:val="clear" w:color="auto" w:fill="7F7F7F" w:themeFill="text1" w:themeFillTint="80"/>
            <w:vAlign w:val="center"/>
          </w:tcPr>
          <w:p w14:paraId="529D9B7D" w14:textId="125F942A" w:rsidR="00FD31CF" w:rsidRPr="0087752B" w:rsidRDefault="00FD31CF" w:rsidP="00FD31CF">
            <w:pPr>
              <w:pStyle w:val="DETTableTextFinancial"/>
            </w:pPr>
            <w:r w:rsidRPr="0087752B">
              <w:rPr>
                <w:rFonts w:eastAsia="Times New Roman"/>
                <w:b/>
                <w:color w:val="FFFFFF"/>
                <w:sz w:val="17"/>
                <w:szCs w:val="18"/>
              </w:rPr>
              <w:t>Higher education and skills</w:t>
            </w:r>
          </w:p>
        </w:tc>
      </w:tr>
      <w:tr w:rsidR="00FD31CF" w:rsidRPr="0087752B" w14:paraId="5C6B1E7C" w14:textId="77777777" w:rsidTr="00FD31CF">
        <w:trPr>
          <w:cantSplit/>
        </w:trPr>
        <w:tc>
          <w:tcPr>
            <w:tcW w:w="7460" w:type="dxa"/>
            <w:gridSpan w:val="7"/>
            <w:tcBorders>
              <w:top w:val="nil"/>
              <w:bottom w:val="nil"/>
            </w:tcBorders>
            <w:shd w:val="clear" w:color="auto" w:fill="auto"/>
            <w:vAlign w:val="center"/>
          </w:tcPr>
          <w:p w14:paraId="457CB651" w14:textId="3C83F71A" w:rsidR="00FD31CF" w:rsidRPr="0087752B" w:rsidRDefault="00FD31CF" w:rsidP="00FD31CF">
            <w:pPr>
              <w:pStyle w:val="DETTableTextFinancial"/>
              <w:rPr>
                <w:b/>
              </w:rPr>
            </w:pPr>
            <w:r w:rsidRPr="0087752B">
              <w:rPr>
                <w:b/>
              </w:rPr>
              <w:t>VET course completions</w:t>
            </w:r>
          </w:p>
        </w:tc>
      </w:tr>
      <w:tr w:rsidR="00FD31CF" w:rsidRPr="0087752B" w14:paraId="10395101" w14:textId="77777777" w:rsidTr="00127B23">
        <w:trPr>
          <w:cantSplit/>
        </w:trPr>
        <w:tc>
          <w:tcPr>
            <w:tcW w:w="3731" w:type="dxa"/>
            <w:tcBorders>
              <w:top w:val="nil"/>
              <w:bottom w:val="nil"/>
            </w:tcBorders>
            <w:shd w:val="clear" w:color="auto" w:fill="auto"/>
            <w:vAlign w:val="center"/>
          </w:tcPr>
          <w:p w14:paraId="0687C7F0" w14:textId="6DA2B145" w:rsidR="00FD31CF" w:rsidRPr="005C767D" w:rsidRDefault="00FD31CF" w:rsidP="00FD31CF">
            <w:pPr>
              <w:pStyle w:val="DETTableTextFinancial"/>
            </w:pPr>
            <w:r w:rsidRPr="0087752B">
              <w:t>VET completions</w:t>
            </w:r>
            <w:r w:rsidR="00146A97">
              <w:rPr>
                <w:rStyle w:val="FootnoteReference"/>
              </w:rPr>
              <w:footnoteReference w:id="14"/>
            </w:r>
          </w:p>
        </w:tc>
        <w:tc>
          <w:tcPr>
            <w:tcW w:w="807" w:type="dxa"/>
            <w:tcBorders>
              <w:top w:val="nil"/>
              <w:bottom w:val="nil"/>
            </w:tcBorders>
            <w:shd w:val="clear" w:color="auto" w:fill="auto"/>
          </w:tcPr>
          <w:p w14:paraId="220E04CD" w14:textId="02F06145" w:rsidR="00FD31CF" w:rsidRPr="0087752B" w:rsidRDefault="00FD31CF" w:rsidP="00FD31CF">
            <w:pPr>
              <w:pStyle w:val="DETTableTextFinancial"/>
            </w:pPr>
            <w:r w:rsidRPr="0087752B">
              <w:t>number</w:t>
            </w:r>
          </w:p>
        </w:tc>
        <w:tc>
          <w:tcPr>
            <w:tcW w:w="619" w:type="dxa"/>
            <w:tcBorders>
              <w:top w:val="nil"/>
              <w:bottom w:val="nil"/>
            </w:tcBorders>
            <w:shd w:val="clear" w:color="auto" w:fill="auto"/>
          </w:tcPr>
          <w:p w14:paraId="0EDAF24F" w14:textId="5AD04CF0" w:rsidR="00FD31CF" w:rsidRPr="00E825B4" w:rsidRDefault="00FD31CF" w:rsidP="00FD31CF">
            <w:pPr>
              <w:pStyle w:val="DETTableTextFinancial"/>
              <w:jc w:val="right"/>
              <w:rPr>
                <w:sz w:val="12"/>
                <w:szCs w:val="12"/>
              </w:rPr>
            </w:pPr>
            <w:r w:rsidRPr="00E825B4">
              <w:rPr>
                <w:sz w:val="12"/>
                <w:szCs w:val="12"/>
              </w:rPr>
              <w:t>187,500</w:t>
            </w:r>
          </w:p>
        </w:tc>
        <w:tc>
          <w:tcPr>
            <w:tcW w:w="555" w:type="dxa"/>
            <w:tcBorders>
              <w:top w:val="nil"/>
              <w:bottom w:val="nil"/>
            </w:tcBorders>
            <w:shd w:val="clear" w:color="auto" w:fill="auto"/>
          </w:tcPr>
          <w:p w14:paraId="008E7F45" w14:textId="042467DD" w:rsidR="00FD31CF" w:rsidRPr="00E825B4" w:rsidRDefault="00FD31CF" w:rsidP="00FD31CF">
            <w:pPr>
              <w:pStyle w:val="DETTableTextFinancial"/>
              <w:jc w:val="right"/>
              <w:rPr>
                <w:sz w:val="12"/>
                <w:szCs w:val="12"/>
              </w:rPr>
            </w:pPr>
            <w:r w:rsidRPr="00E825B4">
              <w:rPr>
                <w:sz w:val="12"/>
                <w:szCs w:val="12"/>
              </w:rPr>
              <w:t>238,500</w:t>
            </w:r>
          </w:p>
        </w:tc>
        <w:tc>
          <w:tcPr>
            <w:tcW w:w="554" w:type="dxa"/>
            <w:tcBorders>
              <w:top w:val="nil"/>
              <w:bottom w:val="nil"/>
            </w:tcBorders>
            <w:shd w:val="clear" w:color="auto" w:fill="auto"/>
          </w:tcPr>
          <w:p w14:paraId="75B520E0" w14:textId="03B13725" w:rsidR="00FD31CF" w:rsidRPr="00E825B4" w:rsidRDefault="00FD31CF" w:rsidP="00FD31CF">
            <w:pPr>
              <w:pStyle w:val="DETTableTextFinancial"/>
              <w:jc w:val="right"/>
              <w:rPr>
                <w:sz w:val="12"/>
                <w:szCs w:val="12"/>
              </w:rPr>
            </w:pPr>
            <w:r w:rsidRPr="00E825B4">
              <w:rPr>
                <w:sz w:val="12"/>
                <w:szCs w:val="12"/>
              </w:rPr>
              <w:t>220,500</w:t>
            </w:r>
          </w:p>
        </w:tc>
        <w:tc>
          <w:tcPr>
            <w:tcW w:w="597" w:type="dxa"/>
            <w:tcBorders>
              <w:top w:val="nil"/>
              <w:bottom w:val="nil"/>
            </w:tcBorders>
            <w:shd w:val="clear" w:color="auto" w:fill="auto"/>
          </w:tcPr>
          <w:p w14:paraId="40BB3507" w14:textId="409D4036" w:rsidR="00FD31CF" w:rsidRPr="00E825B4" w:rsidRDefault="00FD31CF" w:rsidP="00FD31CF">
            <w:pPr>
              <w:pStyle w:val="DETTableTextFinancial"/>
              <w:jc w:val="right"/>
              <w:rPr>
                <w:sz w:val="12"/>
                <w:szCs w:val="12"/>
              </w:rPr>
            </w:pPr>
            <w:r w:rsidRPr="00E825B4">
              <w:rPr>
                <w:sz w:val="12"/>
                <w:szCs w:val="12"/>
              </w:rPr>
              <w:t>249,700</w:t>
            </w:r>
          </w:p>
        </w:tc>
        <w:tc>
          <w:tcPr>
            <w:tcW w:w="597" w:type="dxa"/>
            <w:tcBorders>
              <w:top w:val="nil"/>
              <w:bottom w:val="nil"/>
            </w:tcBorders>
          </w:tcPr>
          <w:p w14:paraId="68EE121A" w14:textId="6BB5332D" w:rsidR="00FD31CF" w:rsidRPr="00E825B4" w:rsidRDefault="00FD31CF" w:rsidP="00FD31CF">
            <w:pPr>
              <w:pStyle w:val="DETTableTextFinancial"/>
              <w:jc w:val="right"/>
              <w:rPr>
                <w:sz w:val="12"/>
                <w:szCs w:val="12"/>
              </w:rPr>
            </w:pPr>
            <w:r w:rsidRPr="00E825B4">
              <w:rPr>
                <w:sz w:val="12"/>
                <w:szCs w:val="12"/>
              </w:rPr>
              <w:t>228,100</w:t>
            </w:r>
          </w:p>
        </w:tc>
      </w:tr>
      <w:tr w:rsidR="00FD31CF" w:rsidRPr="0087752B" w14:paraId="68F0A499" w14:textId="77777777" w:rsidTr="00FD31CF">
        <w:trPr>
          <w:cantSplit/>
        </w:trPr>
        <w:tc>
          <w:tcPr>
            <w:tcW w:w="7460" w:type="dxa"/>
            <w:gridSpan w:val="7"/>
            <w:tcBorders>
              <w:top w:val="nil"/>
              <w:bottom w:val="nil"/>
            </w:tcBorders>
            <w:shd w:val="clear" w:color="auto" w:fill="auto"/>
            <w:vAlign w:val="center"/>
          </w:tcPr>
          <w:p w14:paraId="644FEAD4" w14:textId="5A0E1125" w:rsidR="00FD31CF" w:rsidRPr="0087752B" w:rsidRDefault="00FD31CF" w:rsidP="00FD31CF">
            <w:pPr>
              <w:pStyle w:val="DETTableTextFinancial"/>
              <w:rPr>
                <w:b/>
              </w:rPr>
            </w:pPr>
            <w:r w:rsidRPr="0087752B">
              <w:rPr>
                <w:b/>
              </w:rPr>
              <w:t>Year 12 or equivalent completion rates of young people</w:t>
            </w:r>
          </w:p>
        </w:tc>
      </w:tr>
      <w:tr w:rsidR="00FD31CF" w:rsidRPr="0087752B" w14:paraId="6331BC15" w14:textId="77777777" w:rsidTr="00127B23">
        <w:trPr>
          <w:cantSplit/>
        </w:trPr>
        <w:tc>
          <w:tcPr>
            <w:tcW w:w="3731" w:type="dxa"/>
            <w:tcBorders>
              <w:top w:val="nil"/>
              <w:bottom w:val="single" w:sz="4" w:space="0" w:color="auto"/>
            </w:tcBorders>
            <w:shd w:val="clear" w:color="auto" w:fill="auto"/>
            <w:vAlign w:val="center"/>
          </w:tcPr>
          <w:p w14:paraId="3818E607" w14:textId="7C05B1F7" w:rsidR="00FD31CF" w:rsidRPr="005C767D" w:rsidRDefault="00FD31CF" w:rsidP="00FD31CF">
            <w:pPr>
              <w:pStyle w:val="DETTableTextFinancial"/>
            </w:pPr>
            <w:r w:rsidRPr="0087752B">
              <w:t>Year 12 or a non-school qualification at Certificate II level or above of young people 20–24 years</w:t>
            </w:r>
            <w:r w:rsidR="00146A97">
              <w:rPr>
                <w:rStyle w:val="FootnoteReference"/>
              </w:rPr>
              <w:footnoteReference w:id="15"/>
            </w:r>
          </w:p>
        </w:tc>
        <w:tc>
          <w:tcPr>
            <w:tcW w:w="807" w:type="dxa"/>
            <w:tcBorders>
              <w:top w:val="nil"/>
              <w:bottom w:val="single" w:sz="4" w:space="0" w:color="auto"/>
            </w:tcBorders>
            <w:shd w:val="clear" w:color="auto" w:fill="auto"/>
          </w:tcPr>
          <w:p w14:paraId="2E3D6FAA" w14:textId="3C609C81" w:rsidR="00FD31CF" w:rsidRPr="0087752B" w:rsidRDefault="00FD31CF" w:rsidP="00FD31CF">
            <w:pPr>
              <w:pStyle w:val="DETTableTextFinancial"/>
            </w:pPr>
            <w:r w:rsidRPr="0087752B">
              <w:t>per cent</w:t>
            </w:r>
          </w:p>
        </w:tc>
        <w:tc>
          <w:tcPr>
            <w:tcW w:w="619" w:type="dxa"/>
            <w:tcBorders>
              <w:top w:val="nil"/>
              <w:bottom w:val="single" w:sz="4" w:space="0" w:color="auto"/>
            </w:tcBorders>
            <w:shd w:val="clear" w:color="auto" w:fill="auto"/>
          </w:tcPr>
          <w:p w14:paraId="05F18D6D" w14:textId="6160E5B7" w:rsidR="00FD31CF" w:rsidRPr="0087752B" w:rsidRDefault="00FD31CF" w:rsidP="00FD31CF">
            <w:pPr>
              <w:pStyle w:val="DETTableTextFinancial"/>
              <w:jc w:val="right"/>
            </w:pPr>
            <w:r w:rsidRPr="0087752B">
              <w:t>86.1</w:t>
            </w:r>
          </w:p>
        </w:tc>
        <w:tc>
          <w:tcPr>
            <w:tcW w:w="555" w:type="dxa"/>
            <w:tcBorders>
              <w:top w:val="nil"/>
              <w:bottom w:val="single" w:sz="4" w:space="0" w:color="auto"/>
            </w:tcBorders>
            <w:shd w:val="clear" w:color="auto" w:fill="auto"/>
          </w:tcPr>
          <w:p w14:paraId="1ECB38B6" w14:textId="5D598A0D" w:rsidR="00FD31CF" w:rsidRPr="0087752B" w:rsidRDefault="00FD31CF" w:rsidP="00FD31CF">
            <w:pPr>
              <w:pStyle w:val="DETTableTextFinancial"/>
              <w:jc w:val="right"/>
            </w:pPr>
            <w:r w:rsidRPr="0087752B">
              <w:t>88.0</w:t>
            </w:r>
          </w:p>
        </w:tc>
        <w:tc>
          <w:tcPr>
            <w:tcW w:w="554" w:type="dxa"/>
            <w:tcBorders>
              <w:top w:val="nil"/>
              <w:bottom w:val="single" w:sz="4" w:space="0" w:color="auto"/>
            </w:tcBorders>
            <w:shd w:val="clear" w:color="auto" w:fill="auto"/>
          </w:tcPr>
          <w:p w14:paraId="754B54BD" w14:textId="4F11F621" w:rsidR="00FD31CF" w:rsidRPr="0087752B" w:rsidRDefault="00FD31CF" w:rsidP="00FD31CF">
            <w:pPr>
              <w:pStyle w:val="DETTableTextFinancial"/>
              <w:jc w:val="right"/>
            </w:pPr>
            <w:r w:rsidRPr="0087752B">
              <w:t>90.1</w:t>
            </w:r>
          </w:p>
        </w:tc>
        <w:tc>
          <w:tcPr>
            <w:tcW w:w="597" w:type="dxa"/>
            <w:tcBorders>
              <w:top w:val="nil"/>
              <w:bottom w:val="single" w:sz="4" w:space="0" w:color="auto"/>
            </w:tcBorders>
            <w:shd w:val="clear" w:color="auto" w:fill="auto"/>
          </w:tcPr>
          <w:p w14:paraId="65FEC075" w14:textId="7F1C2EEB" w:rsidR="00FD31CF" w:rsidRPr="0087752B" w:rsidRDefault="00FD31CF" w:rsidP="00FD31CF">
            <w:pPr>
              <w:pStyle w:val="DETTableTextFinancial"/>
              <w:jc w:val="right"/>
            </w:pPr>
            <w:r w:rsidRPr="0087752B">
              <w:t>89.0</w:t>
            </w:r>
          </w:p>
        </w:tc>
        <w:tc>
          <w:tcPr>
            <w:tcW w:w="597" w:type="dxa"/>
            <w:tcBorders>
              <w:top w:val="nil"/>
              <w:bottom w:val="single" w:sz="4" w:space="0" w:color="auto"/>
            </w:tcBorders>
          </w:tcPr>
          <w:p w14:paraId="792A349F" w14:textId="7740F2E4" w:rsidR="00FD31CF" w:rsidRPr="0087752B" w:rsidRDefault="00FD31CF" w:rsidP="00FD31CF">
            <w:pPr>
              <w:pStyle w:val="DETTableTextFinancial"/>
              <w:jc w:val="right"/>
            </w:pPr>
            <w:r w:rsidRPr="0087752B">
              <w:t>89.5</w:t>
            </w:r>
          </w:p>
        </w:tc>
      </w:tr>
    </w:tbl>
    <w:p w14:paraId="2D1B23BC" w14:textId="749342A5" w:rsidR="00FD31CF" w:rsidRPr="0087752B" w:rsidRDefault="00FD31CF" w:rsidP="006016B9"/>
    <w:p w14:paraId="50709712" w14:textId="77777777" w:rsidR="00FD31CF" w:rsidRPr="0087752B" w:rsidRDefault="00FD31CF" w:rsidP="006016B9"/>
    <w:p w14:paraId="110ED08D" w14:textId="77777777" w:rsidR="00DA64AD" w:rsidRDefault="00DA64AD" w:rsidP="006016B9">
      <w:pPr>
        <w:sectPr w:rsidR="00DA64AD" w:rsidSect="0053227D">
          <w:footnotePr>
            <w:numRestart w:val="eachSect"/>
          </w:footnotePr>
          <w:pgSz w:w="11906" w:h="16838" w:code="9"/>
          <w:pgMar w:top="1440" w:right="1701" w:bottom="1440" w:left="2835" w:header="851" w:footer="567" w:gutter="0"/>
          <w:cols w:space="567"/>
          <w:docGrid w:linePitch="360"/>
        </w:sectPr>
      </w:pPr>
    </w:p>
    <w:p w14:paraId="3B8364A4" w14:textId="77777777" w:rsidR="006016B9" w:rsidRPr="0087752B" w:rsidRDefault="006016B9" w:rsidP="0014546F">
      <w:pPr>
        <w:pStyle w:val="Heading3"/>
      </w:pPr>
      <w:r w:rsidRPr="0087752B">
        <w:lastRenderedPageBreak/>
        <w:t>Engagement</w:t>
      </w:r>
    </w:p>
    <w:p w14:paraId="3AB8A8EB" w14:textId="77777777" w:rsidR="006016B9" w:rsidRPr="00127B23" w:rsidRDefault="006016B9" w:rsidP="006016B9">
      <w:pPr>
        <w:rPr>
          <w:rStyle w:val="SubtleEmphasis"/>
        </w:rPr>
      </w:pPr>
      <w:r w:rsidRPr="00127B23">
        <w:rPr>
          <w:rStyle w:val="SubtleEmphasis"/>
        </w:rPr>
        <w:t>Increase the number of Victorians actively participating in education, development and child health services.</w:t>
      </w:r>
    </w:p>
    <w:tbl>
      <w:tblPr>
        <w:tblW w:w="5000" w:type="pct"/>
        <w:tblLayout w:type="fixed"/>
        <w:tblCellMar>
          <w:left w:w="45" w:type="dxa"/>
          <w:right w:w="45" w:type="dxa"/>
        </w:tblCellMar>
        <w:tblLook w:val="0000" w:firstRow="0" w:lastRow="0" w:firstColumn="0" w:lastColumn="0" w:noHBand="0" w:noVBand="0"/>
      </w:tblPr>
      <w:tblGrid>
        <w:gridCol w:w="3873"/>
        <w:gridCol w:w="708"/>
        <w:gridCol w:w="567"/>
        <w:gridCol w:w="567"/>
        <w:gridCol w:w="567"/>
        <w:gridCol w:w="611"/>
        <w:gridCol w:w="567"/>
      </w:tblGrid>
      <w:tr w:rsidR="00107DF4" w:rsidRPr="0087752B" w14:paraId="72431E76" w14:textId="77777777" w:rsidTr="00107DF4">
        <w:trPr>
          <w:tblHeader/>
        </w:trPr>
        <w:tc>
          <w:tcPr>
            <w:tcW w:w="3873" w:type="dxa"/>
            <w:shd w:val="clear" w:color="auto" w:fill="A6A6A6" w:themeFill="background1" w:themeFillShade="A6"/>
          </w:tcPr>
          <w:p w14:paraId="619426A3" w14:textId="77777777" w:rsidR="006016B9" w:rsidRPr="005C767D" w:rsidRDefault="006016B9" w:rsidP="0014546F">
            <w:pPr>
              <w:pStyle w:val="DETTablecolumnheading"/>
              <w:jc w:val="left"/>
            </w:pPr>
            <w:r w:rsidRPr="005C767D">
              <w:t>Indicators</w:t>
            </w:r>
          </w:p>
        </w:tc>
        <w:tc>
          <w:tcPr>
            <w:tcW w:w="708" w:type="dxa"/>
            <w:shd w:val="clear" w:color="auto" w:fill="A6A6A6" w:themeFill="background1" w:themeFillShade="A6"/>
            <w:vAlign w:val="center"/>
          </w:tcPr>
          <w:p w14:paraId="0B9B2864" w14:textId="77777777" w:rsidR="006016B9" w:rsidRPr="0087752B" w:rsidRDefault="006016B9" w:rsidP="0014546F">
            <w:pPr>
              <w:pStyle w:val="DETTablecolumnheading"/>
            </w:pPr>
            <w:r w:rsidRPr="0087752B">
              <w:t>Unit</w:t>
            </w:r>
          </w:p>
        </w:tc>
        <w:tc>
          <w:tcPr>
            <w:tcW w:w="567" w:type="dxa"/>
            <w:shd w:val="clear" w:color="auto" w:fill="A6A6A6" w:themeFill="background1" w:themeFillShade="A6"/>
          </w:tcPr>
          <w:p w14:paraId="5A692A64" w14:textId="77777777" w:rsidR="006016B9" w:rsidRPr="0087752B" w:rsidRDefault="006016B9" w:rsidP="00107DF4">
            <w:pPr>
              <w:pStyle w:val="DETTablecolumnheading"/>
            </w:pPr>
            <w:r w:rsidRPr="0087752B">
              <w:t>2011</w:t>
            </w:r>
          </w:p>
        </w:tc>
        <w:tc>
          <w:tcPr>
            <w:tcW w:w="567" w:type="dxa"/>
            <w:shd w:val="clear" w:color="auto" w:fill="A6A6A6" w:themeFill="background1" w:themeFillShade="A6"/>
          </w:tcPr>
          <w:p w14:paraId="0F8C22A9" w14:textId="77777777" w:rsidR="006016B9" w:rsidRPr="0087752B" w:rsidRDefault="006016B9" w:rsidP="00107DF4">
            <w:pPr>
              <w:pStyle w:val="DETTablecolumnheading"/>
            </w:pPr>
            <w:r w:rsidRPr="0087752B">
              <w:t>2012</w:t>
            </w:r>
          </w:p>
        </w:tc>
        <w:tc>
          <w:tcPr>
            <w:tcW w:w="567" w:type="dxa"/>
            <w:shd w:val="clear" w:color="auto" w:fill="A6A6A6" w:themeFill="background1" w:themeFillShade="A6"/>
          </w:tcPr>
          <w:p w14:paraId="0E1A6931" w14:textId="77777777" w:rsidR="006016B9" w:rsidRPr="0087752B" w:rsidRDefault="006016B9" w:rsidP="00107DF4">
            <w:pPr>
              <w:pStyle w:val="DETTablecolumnheading"/>
            </w:pPr>
            <w:r w:rsidRPr="0087752B">
              <w:t>2013</w:t>
            </w:r>
          </w:p>
        </w:tc>
        <w:tc>
          <w:tcPr>
            <w:tcW w:w="611" w:type="dxa"/>
            <w:shd w:val="clear" w:color="auto" w:fill="A6A6A6" w:themeFill="background1" w:themeFillShade="A6"/>
          </w:tcPr>
          <w:p w14:paraId="26422E55" w14:textId="77777777" w:rsidR="006016B9" w:rsidRPr="0087752B" w:rsidRDefault="006016B9" w:rsidP="00107DF4">
            <w:pPr>
              <w:pStyle w:val="DETTablecolumnheading"/>
            </w:pPr>
            <w:r w:rsidRPr="0087752B">
              <w:t>2014</w:t>
            </w:r>
          </w:p>
        </w:tc>
        <w:tc>
          <w:tcPr>
            <w:tcW w:w="567" w:type="dxa"/>
            <w:shd w:val="clear" w:color="auto" w:fill="A6A6A6" w:themeFill="background1" w:themeFillShade="A6"/>
          </w:tcPr>
          <w:p w14:paraId="53F828D4" w14:textId="77777777" w:rsidR="006016B9" w:rsidRPr="0087752B" w:rsidRDefault="006016B9" w:rsidP="00107DF4">
            <w:pPr>
              <w:pStyle w:val="DETTablecolumnheading"/>
            </w:pPr>
            <w:r w:rsidRPr="0087752B">
              <w:t>2015</w:t>
            </w:r>
          </w:p>
        </w:tc>
      </w:tr>
      <w:tr w:rsidR="006016B9" w:rsidRPr="0087752B" w14:paraId="25D46A38" w14:textId="77777777" w:rsidTr="0014546F">
        <w:tc>
          <w:tcPr>
            <w:tcW w:w="7460" w:type="dxa"/>
            <w:gridSpan w:val="7"/>
            <w:shd w:val="clear" w:color="auto" w:fill="7F7F7F" w:themeFill="text1" w:themeFillTint="80"/>
            <w:vAlign w:val="center"/>
          </w:tcPr>
          <w:p w14:paraId="13F47FB8" w14:textId="77777777" w:rsidR="006016B9" w:rsidRPr="0087752B" w:rsidRDefault="006016B9" w:rsidP="0014546F">
            <w:pPr>
              <w:pStyle w:val="DETTablecolumnheading"/>
              <w:jc w:val="left"/>
            </w:pPr>
            <w:r w:rsidRPr="0087752B">
              <w:t>Early childhood development</w:t>
            </w:r>
          </w:p>
        </w:tc>
      </w:tr>
      <w:tr w:rsidR="006016B9" w:rsidRPr="0087752B" w14:paraId="34D7BEF2" w14:textId="77777777" w:rsidTr="006016B9">
        <w:tc>
          <w:tcPr>
            <w:tcW w:w="7460" w:type="dxa"/>
            <w:gridSpan w:val="7"/>
            <w:shd w:val="clear" w:color="auto" w:fill="auto"/>
            <w:vAlign w:val="center"/>
          </w:tcPr>
          <w:p w14:paraId="60FBBEE8" w14:textId="77777777" w:rsidR="006016B9" w:rsidRPr="0087752B" w:rsidRDefault="006016B9" w:rsidP="0014546F">
            <w:pPr>
              <w:pStyle w:val="DETTableTextFinancial"/>
              <w:rPr>
                <w:b/>
              </w:rPr>
            </w:pPr>
            <w:r w:rsidRPr="0087752B">
              <w:rPr>
                <w:b/>
              </w:rPr>
              <w:t>Participation in a kindergarten service in the year before school</w:t>
            </w:r>
          </w:p>
        </w:tc>
      </w:tr>
      <w:tr w:rsidR="006016B9" w:rsidRPr="0087752B" w14:paraId="7DD37F8A" w14:textId="77777777" w:rsidTr="00107DF4">
        <w:tc>
          <w:tcPr>
            <w:tcW w:w="3873" w:type="dxa"/>
            <w:shd w:val="clear" w:color="auto" w:fill="auto"/>
            <w:vAlign w:val="center"/>
          </w:tcPr>
          <w:p w14:paraId="53C51CA2" w14:textId="77777777" w:rsidR="006016B9" w:rsidRPr="0087752B" w:rsidRDefault="006016B9" w:rsidP="0014546F">
            <w:pPr>
              <w:pStyle w:val="DETTableTextFinancial"/>
            </w:pPr>
            <w:r w:rsidRPr="0087752B">
              <w:t>Kindergarten participation rate for first year enrolments</w:t>
            </w:r>
          </w:p>
        </w:tc>
        <w:tc>
          <w:tcPr>
            <w:tcW w:w="708" w:type="dxa"/>
            <w:shd w:val="clear" w:color="auto" w:fill="auto"/>
          </w:tcPr>
          <w:p w14:paraId="4BE86112" w14:textId="77777777" w:rsidR="006016B9" w:rsidRPr="0087752B" w:rsidRDefault="006016B9" w:rsidP="0014546F">
            <w:pPr>
              <w:pStyle w:val="DETTableTextFinancial"/>
            </w:pPr>
            <w:r w:rsidRPr="0087752B">
              <w:t>per cent</w:t>
            </w:r>
          </w:p>
        </w:tc>
        <w:tc>
          <w:tcPr>
            <w:tcW w:w="567" w:type="dxa"/>
            <w:shd w:val="clear" w:color="auto" w:fill="auto"/>
          </w:tcPr>
          <w:p w14:paraId="2CE0D0CC" w14:textId="77777777" w:rsidR="006016B9" w:rsidRPr="0087752B" w:rsidRDefault="006016B9" w:rsidP="0014546F">
            <w:pPr>
              <w:pStyle w:val="DETTableTextFinancial"/>
              <w:jc w:val="right"/>
            </w:pPr>
            <w:r w:rsidRPr="0087752B">
              <w:t>94.6</w:t>
            </w:r>
          </w:p>
        </w:tc>
        <w:tc>
          <w:tcPr>
            <w:tcW w:w="567" w:type="dxa"/>
            <w:shd w:val="clear" w:color="auto" w:fill="auto"/>
          </w:tcPr>
          <w:p w14:paraId="47B6F31B" w14:textId="77777777" w:rsidR="006016B9" w:rsidRPr="0087752B" w:rsidRDefault="006016B9" w:rsidP="0014546F">
            <w:pPr>
              <w:pStyle w:val="DETTableTextFinancial"/>
              <w:jc w:val="right"/>
            </w:pPr>
            <w:r w:rsidRPr="0087752B">
              <w:t>97.9</w:t>
            </w:r>
          </w:p>
        </w:tc>
        <w:tc>
          <w:tcPr>
            <w:tcW w:w="567" w:type="dxa"/>
            <w:shd w:val="clear" w:color="auto" w:fill="auto"/>
          </w:tcPr>
          <w:p w14:paraId="50993A35" w14:textId="77777777" w:rsidR="006016B9" w:rsidRPr="0087752B" w:rsidRDefault="006016B9" w:rsidP="0014546F">
            <w:pPr>
              <w:pStyle w:val="DETTableTextFinancial"/>
              <w:jc w:val="right"/>
            </w:pPr>
            <w:r w:rsidRPr="0087752B">
              <w:t>98.2</w:t>
            </w:r>
          </w:p>
        </w:tc>
        <w:tc>
          <w:tcPr>
            <w:tcW w:w="611" w:type="dxa"/>
            <w:shd w:val="clear" w:color="auto" w:fill="auto"/>
          </w:tcPr>
          <w:p w14:paraId="215AF692" w14:textId="77777777" w:rsidR="006016B9" w:rsidRPr="005C767D" w:rsidRDefault="006016B9" w:rsidP="0014546F">
            <w:pPr>
              <w:pStyle w:val="DETTableTextFinancial"/>
              <w:jc w:val="right"/>
            </w:pPr>
            <w:r w:rsidRPr="0087752B">
              <w:t>96.4</w:t>
            </w:r>
            <w:r w:rsidRPr="005C767D">
              <w:rPr>
                <w:rStyle w:val="FootnoteReference"/>
              </w:rPr>
              <w:footnoteReference w:id="16"/>
            </w:r>
          </w:p>
        </w:tc>
        <w:tc>
          <w:tcPr>
            <w:tcW w:w="567" w:type="dxa"/>
          </w:tcPr>
          <w:p w14:paraId="39B2076C" w14:textId="77777777" w:rsidR="006016B9" w:rsidRPr="0087752B" w:rsidRDefault="006016B9" w:rsidP="0014546F">
            <w:pPr>
              <w:pStyle w:val="DETTableTextFinancial"/>
              <w:jc w:val="right"/>
            </w:pPr>
            <w:r w:rsidRPr="0087752B">
              <w:t>98.1</w:t>
            </w:r>
            <w:r w:rsidRPr="0087752B">
              <w:rPr>
                <w:rStyle w:val="FootnoteReference"/>
              </w:rPr>
              <w:t>1</w:t>
            </w:r>
          </w:p>
        </w:tc>
      </w:tr>
      <w:tr w:rsidR="006016B9" w:rsidRPr="0087752B" w14:paraId="271580C0" w14:textId="77777777" w:rsidTr="006016B9">
        <w:tc>
          <w:tcPr>
            <w:tcW w:w="7460" w:type="dxa"/>
            <w:gridSpan w:val="7"/>
            <w:shd w:val="clear" w:color="auto" w:fill="auto"/>
            <w:vAlign w:val="center"/>
          </w:tcPr>
          <w:p w14:paraId="35D0D203" w14:textId="77777777" w:rsidR="006016B9" w:rsidRPr="005C767D" w:rsidRDefault="006016B9" w:rsidP="0014546F">
            <w:pPr>
              <w:pStyle w:val="DETTableTextFinancial"/>
              <w:rPr>
                <w:b/>
              </w:rPr>
            </w:pPr>
            <w:r w:rsidRPr="0087752B">
              <w:rPr>
                <w:b/>
              </w:rPr>
              <w:t>Participation in Maternal and Child Health Services</w:t>
            </w:r>
            <w:r w:rsidRPr="005C767D">
              <w:rPr>
                <w:rStyle w:val="FootnoteReference"/>
              </w:rPr>
              <w:footnoteReference w:id="17"/>
            </w:r>
          </w:p>
        </w:tc>
      </w:tr>
      <w:tr w:rsidR="004D1C46" w:rsidRPr="0087752B" w14:paraId="21B20EDB" w14:textId="77777777" w:rsidTr="00107DF4">
        <w:tc>
          <w:tcPr>
            <w:tcW w:w="3873" w:type="dxa"/>
            <w:shd w:val="clear" w:color="auto" w:fill="auto"/>
            <w:vAlign w:val="center"/>
          </w:tcPr>
          <w:p w14:paraId="7EF92069" w14:textId="77777777" w:rsidR="004D1C46" w:rsidRPr="0087752B" w:rsidRDefault="004D1C46" w:rsidP="004D1C46">
            <w:pPr>
              <w:pStyle w:val="DETTableTextFinancial"/>
            </w:pPr>
            <w:r w:rsidRPr="0087752B">
              <w:t>Home consultation</w:t>
            </w:r>
          </w:p>
        </w:tc>
        <w:tc>
          <w:tcPr>
            <w:tcW w:w="708" w:type="dxa"/>
            <w:shd w:val="clear" w:color="auto" w:fill="auto"/>
          </w:tcPr>
          <w:p w14:paraId="365D541B" w14:textId="77777777" w:rsidR="004D1C46" w:rsidRPr="0087752B" w:rsidRDefault="004D1C46" w:rsidP="004D1C46">
            <w:pPr>
              <w:pStyle w:val="DETTableTextFinancial"/>
            </w:pPr>
            <w:r w:rsidRPr="0087752B">
              <w:t>per cent</w:t>
            </w:r>
          </w:p>
        </w:tc>
        <w:tc>
          <w:tcPr>
            <w:tcW w:w="567" w:type="dxa"/>
            <w:shd w:val="clear" w:color="auto" w:fill="auto"/>
          </w:tcPr>
          <w:p w14:paraId="3570624E" w14:textId="77777777" w:rsidR="004D1C46" w:rsidRPr="0087752B" w:rsidRDefault="004D1C46" w:rsidP="004D1C46">
            <w:pPr>
              <w:pStyle w:val="DETTableTextFinancial"/>
              <w:jc w:val="right"/>
            </w:pPr>
            <w:r w:rsidRPr="0087752B">
              <w:t>100</w:t>
            </w:r>
          </w:p>
        </w:tc>
        <w:tc>
          <w:tcPr>
            <w:tcW w:w="567" w:type="dxa"/>
            <w:shd w:val="clear" w:color="auto" w:fill="auto"/>
          </w:tcPr>
          <w:p w14:paraId="337823A7" w14:textId="77777777" w:rsidR="004D1C46" w:rsidRPr="0087752B" w:rsidRDefault="004D1C46" w:rsidP="004D1C46">
            <w:pPr>
              <w:pStyle w:val="DETTableTextFinancial"/>
              <w:jc w:val="right"/>
            </w:pPr>
            <w:r w:rsidRPr="0087752B">
              <w:t>100</w:t>
            </w:r>
          </w:p>
        </w:tc>
        <w:tc>
          <w:tcPr>
            <w:tcW w:w="567" w:type="dxa"/>
            <w:shd w:val="clear" w:color="auto" w:fill="auto"/>
          </w:tcPr>
          <w:p w14:paraId="22FC84ED" w14:textId="77777777" w:rsidR="004D1C46" w:rsidRPr="0087752B" w:rsidRDefault="004D1C46" w:rsidP="004D1C46">
            <w:pPr>
              <w:pStyle w:val="DETTableTextFinancial"/>
              <w:jc w:val="right"/>
            </w:pPr>
            <w:r w:rsidRPr="0087752B">
              <w:t>101</w:t>
            </w:r>
          </w:p>
        </w:tc>
        <w:tc>
          <w:tcPr>
            <w:tcW w:w="611" w:type="dxa"/>
            <w:shd w:val="clear" w:color="auto" w:fill="auto"/>
          </w:tcPr>
          <w:p w14:paraId="4C8447F9" w14:textId="77777777" w:rsidR="004D1C46" w:rsidRPr="005C767D" w:rsidRDefault="004D1C46" w:rsidP="004D1C46">
            <w:pPr>
              <w:pStyle w:val="DETTableTextFinancial"/>
              <w:jc w:val="right"/>
            </w:pPr>
            <w:r w:rsidRPr="0087752B">
              <w:t>100.9</w:t>
            </w:r>
            <w:r w:rsidRPr="005C767D">
              <w:rPr>
                <w:rStyle w:val="FootnoteReference"/>
              </w:rPr>
              <w:footnoteReference w:id="18"/>
            </w:r>
          </w:p>
        </w:tc>
        <w:tc>
          <w:tcPr>
            <w:tcW w:w="567" w:type="dxa"/>
          </w:tcPr>
          <w:p w14:paraId="09C9E710" w14:textId="4B2B9E7E" w:rsidR="004D1C46" w:rsidRPr="0087752B" w:rsidRDefault="004D1C46" w:rsidP="004D1C46">
            <w:pPr>
              <w:pStyle w:val="DETTableTextFinancial"/>
              <w:jc w:val="right"/>
            </w:pPr>
            <w:r w:rsidRPr="00A75A17">
              <w:t>–</w:t>
            </w:r>
          </w:p>
        </w:tc>
      </w:tr>
      <w:tr w:rsidR="004D1C46" w:rsidRPr="0087752B" w14:paraId="31827875" w14:textId="77777777" w:rsidTr="00107DF4">
        <w:tc>
          <w:tcPr>
            <w:tcW w:w="3873" w:type="dxa"/>
            <w:shd w:val="clear" w:color="auto" w:fill="auto"/>
            <w:vAlign w:val="center"/>
          </w:tcPr>
          <w:p w14:paraId="46F0AA52" w14:textId="77777777" w:rsidR="004D1C46" w:rsidRPr="0087752B" w:rsidRDefault="004D1C46" w:rsidP="004D1C46">
            <w:pPr>
              <w:pStyle w:val="DETTableTextFinancial"/>
            </w:pPr>
            <w:r w:rsidRPr="0087752B">
              <w:t>12 months</w:t>
            </w:r>
          </w:p>
        </w:tc>
        <w:tc>
          <w:tcPr>
            <w:tcW w:w="708" w:type="dxa"/>
            <w:shd w:val="clear" w:color="auto" w:fill="auto"/>
          </w:tcPr>
          <w:p w14:paraId="19C2DF90" w14:textId="77777777" w:rsidR="004D1C46" w:rsidRPr="0087752B" w:rsidRDefault="004D1C46" w:rsidP="004D1C46">
            <w:pPr>
              <w:pStyle w:val="DETTableTextFinancial"/>
            </w:pPr>
            <w:r w:rsidRPr="0087752B">
              <w:t>per cent</w:t>
            </w:r>
          </w:p>
        </w:tc>
        <w:tc>
          <w:tcPr>
            <w:tcW w:w="567" w:type="dxa"/>
            <w:shd w:val="clear" w:color="auto" w:fill="auto"/>
          </w:tcPr>
          <w:p w14:paraId="64074DA2" w14:textId="77777777" w:rsidR="004D1C46" w:rsidRPr="0087752B" w:rsidRDefault="004D1C46" w:rsidP="004D1C46">
            <w:pPr>
              <w:pStyle w:val="DETTableTextFinancial"/>
              <w:jc w:val="right"/>
            </w:pPr>
            <w:r w:rsidRPr="0087752B">
              <w:t>80.7</w:t>
            </w:r>
          </w:p>
        </w:tc>
        <w:tc>
          <w:tcPr>
            <w:tcW w:w="567" w:type="dxa"/>
            <w:shd w:val="clear" w:color="auto" w:fill="auto"/>
          </w:tcPr>
          <w:p w14:paraId="073A3425" w14:textId="77777777" w:rsidR="004D1C46" w:rsidRPr="0087752B" w:rsidRDefault="004D1C46" w:rsidP="004D1C46">
            <w:pPr>
              <w:pStyle w:val="DETTableTextFinancial"/>
              <w:jc w:val="right"/>
            </w:pPr>
            <w:r w:rsidRPr="0087752B">
              <w:t>82.0</w:t>
            </w:r>
          </w:p>
        </w:tc>
        <w:tc>
          <w:tcPr>
            <w:tcW w:w="567" w:type="dxa"/>
            <w:shd w:val="clear" w:color="auto" w:fill="auto"/>
          </w:tcPr>
          <w:p w14:paraId="5EEF1F52" w14:textId="77777777" w:rsidR="004D1C46" w:rsidRPr="0087752B" w:rsidRDefault="004D1C46" w:rsidP="004D1C46">
            <w:pPr>
              <w:pStyle w:val="DETTableTextFinancial"/>
              <w:jc w:val="right"/>
            </w:pPr>
            <w:r w:rsidRPr="0087752B">
              <w:t>83.4</w:t>
            </w:r>
          </w:p>
        </w:tc>
        <w:tc>
          <w:tcPr>
            <w:tcW w:w="611" w:type="dxa"/>
            <w:shd w:val="clear" w:color="auto" w:fill="auto"/>
          </w:tcPr>
          <w:p w14:paraId="16916941" w14:textId="77777777" w:rsidR="004D1C46" w:rsidRPr="0087752B" w:rsidRDefault="004D1C46" w:rsidP="004D1C46">
            <w:pPr>
              <w:pStyle w:val="DETTableTextFinancial"/>
              <w:jc w:val="right"/>
            </w:pPr>
            <w:r w:rsidRPr="0087752B">
              <w:t>83.4</w:t>
            </w:r>
          </w:p>
        </w:tc>
        <w:tc>
          <w:tcPr>
            <w:tcW w:w="567" w:type="dxa"/>
          </w:tcPr>
          <w:p w14:paraId="637F9BA2" w14:textId="636C2369" w:rsidR="004D1C46" w:rsidRPr="0087752B" w:rsidRDefault="004D1C46" w:rsidP="004D1C46">
            <w:pPr>
              <w:pStyle w:val="DETTableTextFinancial"/>
              <w:jc w:val="right"/>
            </w:pPr>
            <w:r w:rsidRPr="00A75A17">
              <w:t>–</w:t>
            </w:r>
          </w:p>
        </w:tc>
      </w:tr>
      <w:tr w:rsidR="004D1C46" w:rsidRPr="0087752B" w14:paraId="046150CB" w14:textId="77777777" w:rsidTr="00107DF4">
        <w:tc>
          <w:tcPr>
            <w:tcW w:w="3873" w:type="dxa"/>
            <w:shd w:val="clear" w:color="auto" w:fill="auto"/>
            <w:vAlign w:val="center"/>
          </w:tcPr>
          <w:p w14:paraId="7553FBD7" w14:textId="77777777" w:rsidR="004D1C46" w:rsidRPr="0087752B" w:rsidRDefault="004D1C46" w:rsidP="004D1C46">
            <w:pPr>
              <w:pStyle w:val="DETTableTextFinancial"/>
            </w:pPr>
            <w:r w:rsidRPr="0087752B">
              <w:t>3.5 years</w:t>
            </w:r>
          </w:p>
        </w:tc>
        <w:tc>
          <w:tcPr>
            <w:tcW w:w="708" w:type="dxa"/>
            <w:shd w:val="clear" w:color="auto" w:fill="auto"/>
          </w:tcPr>
          <w:p w14:paraId="31F1510E" w14:textId="77777777" w:rsidR="004D1C46" w:rsidRPr="0087752B" w:rsidRDefault="004D1C46" w:rsidP="004D1C46">
            <w:pPr>
              <w:pStyle w:val="DETTableTextFinancial"/>
            </w:pPr>
            <w:r w:rsidRPr="0087752B">
              <w:t>per cent</w:t>
            </w:r>
          </w:p>
        </w:tc>
        <w:tc>
          <w:tcPr>
            <w:tcW w:w="567" w:type="dxa"/>
            <w:shd w:val="clear" w:color="auto" w:fill="auto"/>
          </w:tcPr>
          <w:p w14:paraId="11BF59EF" w14:textId="77777777" w:rsidR="004D1C46" w:rsidRPr="0087752B" w:rsidRDefault="004D1C46" w:rsidP="004D1C46">
            <w:pPr>
              <w:pStyle w:val="DETTableTextFinancial"/>
              <w:jc w:val="right"/>
            </w:pPr>
            <w:r w:rsidRPr="0087752B">
              <w:t>64.4</w:t>
            </w:r>
          </w:p>
        </w:tc>
        <w:tc>
          <w:tcPr>
            <w:tcW w:w="567" w:type="dxa"/>
            <w:shd w:val="clear" w:color="auto" w:fill="auto"/>
          </w:tcPr>
          <w:p w14:paraId="74E9E31D" w14:textId="77777777" w:rsidR="004D1C46" w:rsidRPr="0087752B" w:rsidRDefault="004D1C46" w:rsidP="004D1C46">
            <w:pPr>
              <w:pStyle w:val="DETTableTextFinancial"/>
              <w:jc w:val="right"/>
            </w:pPr>
            <w:r w:rsidRPr="0087752B">
              <w:t>66.5</w:t>
            </w:r>
          </w:p>
        </w:tc>
        <w:tc>
          <w:tcPr>
            <w:tcW w:w="567" w:type="dxa"/>
            <w:shd w:val="clear" w:color="auto" w:fill="auto"/>
          </w:tcPr>
          <w:p w14:paraId="4BBABFB4" w14:textId="77777777" w:rsidR="004D1C46" w:rsidRPr="0087752B" w:rsidRDefault="004D1C46" w:rsidP="004D1C46">
            <w:pPr>
              <w:pStyle w:val="DETTableTextFinancial"/>
              <w:jc w:val="right"/>
            </w:pPr>
            <w:r w:rsidRPr="0087752B">
              <w:t>64.9</w:t>
            </w:r>
          </w:p>
        </w:tc>
        <w:tc>
          <w:tcPr>
            <w:tcW w:w="611" w:type="dxa"/>
            <w:shd w:val="clear" w:color="auto" w:fill="auto"/>
          </w:tcPr>
          <w:p w14:paraId="56593315" w14:textId="77777777" w:rsidR="004D1C46" w:rsidRPr="0087752B" w:rsidRDefault="004D1C46" w:rsidP="004D1C46">
            <w:pPr>
              <w:pStyle w:val="DETTableTextFinancial"/>
              <w:jc w:val="right"/>
            </w:pPr>
            <w:r w:rsidRPr="0087752B">
              <w:t>66.1</w:t>
            </w:r>
          </w:p>
        </w:tc>
        <w:tc>
          <w:tcPr>
            <w:tcW w:w="567" w:type="dxa"/>
          </w:tcPr>
          <w:p w14:paraId="37098C8A" w14:textId="4697529A" w:rsidR="004D1C46" w:rsidRPr="0087752B" w:rsidRDefault="004D1C46" w:rsidP="004D1C46">
            <w:pPr>
              <w:pStyle w:val="DETTableTextFinancial"/>
              <w:jc w:val="right"/>
            </w:pPr>
            <w:r w:rsidRPr="00A75A17">
              <w:t>–</w:t>
            </w:r>
          </w:p>
        </w:tc>
      </w:tr>
      <w:tr w:rsidR="006016B9" w:rsidRPr="0087752B" w14:paraId="5A77FC5E" w14:textId="77777777" w:rsidTr="0014546F">
        <w:tc>
          <w:tcPr>
            <w:tcW w:w="7460" w:type="dxa"/>
            <w:gridSpan w:val="7"/>
            <w:shd w:val="clear" w:color="auto" w:fill="7F7F7F" w:themeFill="text1" w:themeFillTint="80"/>
            <w:vAlign w:val="center"/>
          </w:tcPr>
          <w:p w14:paraId="24653A3D" w14:textId="77777777" w:rsidR="006016B9" w:rsidRPr="0087752B" w:rsidRDefault="006016B9" w:rsidP="0014546F">
            <w:pPr>
              <w:pStyle w:val="DETTablecolumnheading"/>
              <w:jc w:val="left"/>
            </w:pPr>
            <w:r w:rsidRPr="0087752B">
              <w:t>School education</w:t>
            </w:r>
          </w:p>
        </w:tc>
      </w:tr>
      <w:tr w:rsidR="006016B9" w:rsidRPr="0087752B" w14:paraId="15D8BD86" w14:textId="77777777" w:rsidTr="006016B9">
        <w:tc>
          <w:tcPr>
            <w:tcW w:w="7460" w:type="dxa"/>
            <w:gridSpan w:val="7"/>
            <w:shd w:val="clear" w:color="auto" w:fill="auto"/>
            <w:vAlign w:val="center"/>
          </w:tcPr>
          <w:p w14:paraId="4819838E" w14:textId="77777777" w:rsidR="006016B9" w:rsidRPr="005C767D" w:rsidRDefault="006016B9" w:rsidP="0014546F">
            <w:pPr>
              <w:pStyle w:val="DETTableTextFinancial"/>
              <w:rPr>
                <w:b/>
              </w:rPr>
            </w:pPr>
            <w:r w:rsidRPr="0087752B">
              <w:rPr>
                <w:b/>
              </w:rPr>
              <w:t>Students with acceptable levels of school attendance</w:t>
            </w:r>
            <w:bookmarkStart w:id="55" w:name="_Ref393891045"/>
            <w:r w:rsidRPr="000859DF">
              <w:rPr>
                <w:rStyle w:val="FootnoteReference"/>
              </w:rPr>
              <w:footnoteReference w:id="19"/>
            </w:r>
            <w:bookmarkEnd w:id="55"/>
            <w:r w:rsidRPr="000859DF">
              <w:rPr>
                <w:rStyle w:val="FootnoteReference"/>
              </w:rPr>
              <w:t>,</w:t>
            </w:r>
            <w:r w:rsidRPr="000859DF">
              <w:rPr>
                <w:rStyle w:val="FootnoteReference"/>
              </w:rPr>
              <w:footnoteReference w:id="20"/>
            </w:r>
          </w:p>
        </w:tc>
      </w:tr>
      <w:tr w:rsidR="006016B9" w:rsidRPr="0087752B" w14:paraId="022CF406" w14:textId="77777777" w:rsidTr="006016B9">
        <w:tc>
          <w:tcPr>
            <w:tcW w:w="7460" w:type="dxa"/>
            <w:gridSpan w:val="7"/>
            <w:shd w:val="clear" w:color="auto" w:fill="auto"/>
          </w:tcPr>
          <w:p w14:paraId="36EB767A" w14:textId="77777777" w:rsidR="006016B9" w:rsidRPr="0087752B" w:rsidRDefault="006016B9" w:rsidP="0014546F">
            <w:pPr>
              <w:pStyle w:val="DETTableTextFinancial"/>
            </w:pPr>
            <w:r w:rsidRPr="0087752B">
              <w:t>Average number of absent days per full-time equivalent student:</w:t>
            </w:r>
          </w:p>
        </w:tc>
      </w:tr>
      <w:tr w:rsidR="006016B9" w:rsidRPr="0087752B" w14:paraId="19A99083" w14:textId="77777777" w:rsidTr="00107DF4">
        <w:tc>
          <w:tcPr>
            <w:tcW w:w="3873" w:type="dxa"/>
            <w:shd w:val="clear" w:color="auto" w:fill="auto"/>
            <w:vAlign w:val="center"/>
          </w:tcPr>
          <w:p w14:paraId="119A4B85" w14:textId="77777777" w:rsidR="006016B9" w:rsidRPr="0087752B" w:rsidRDefault="006016B9" w:rsidP="0014546F">
            <w:pPr>
              <w:pStyle w:val="DETTableTextFinancial"/>
            </w:pPr>
            <w:r w:rsidRPr="0087752B">
              <w:tab/>
              <w:t>Year 5</w:t>
            </w:r>
          </w:p>
        </w:tc>
        <w:tc>
          <w:tcPr>
            <w:tcW w:w="708" w:type="dxa"/>
            <w:shd w:val="clear" w:color="auto" w:fill="auto"/>
          </w:tcPr>
          <w:p w14:paraId="674FEFC7" w14:textId="77777777" w:rsidR="006016B9" w:rsidRPr="0087752B" w:rsidRDefault="006016B9" w:rsidP="0014546F">
            <w:pPr>
              <w:pStyle w:val="DETTableTextFinancial"/>
            </w:pPr>
            <w:r w:rsidRPr="0087752B">
              <w:t>number</w:t>
            </w:r>
          </w:p>
        </w:tc>
        <w:tc>
          <w:tcPr>
            <w:tcW w:w="567" w:type="dxa"/>
            <w:shd w:val="clear" w:color="auto" w:fill="auto"/>
          </w:tcPr>
          <w:p w14:paraId="00AE9A8F" w14:textId="77777777" w:rsidR="006016B9" w:rsidRPr="0087752B" w:rsidRDefault="006016B9" w:rsidP="0014546F">
            <w:pPr>
              <w:pStyle w:val="DETTableTextFinancial"/>
              <w:jc w:val="right"/>
            </w:pPr>
            <w:r w:rsidRPr="0087752B">
              <w:t>14.0</w:t>
            </w:r>
          </w:p>
        </w:tc>
        <w:tc>
          <w:tcPr>
            <w:tcW w:w="567" w:type="dxa"/>
            <w:shd w:val="clear" w:color="auto" w:fill="auto"/>
          </w:tcPr>
          <w:p w14:paraId="456C1DB1" w14:textId="77777777" w:rsidR="006016B9" w:rsidRPr="0087752B" w:rsidRDefault="006016B9" w:rsidP="0014546F">
            <w:pPr>
              <w:pStyle w:val="DETTableTextFinancial"/>
              <w:jc w:val="right"/>
            </w:pPr>
            <w:r w:rsidRPr="0087752B">
              <w:t>14.5</w:t>
            </w:r>
          </w:p>
        </w:tc>
        <w:tc>
          <w:tcPr>
            <w:tcW w:w="567" w:type="dxa"/>
            <w:shd w:val="clear" w:color="auto" w:fill="auto"/>
          </w:tcPr>
          <w:p w14:paraId="5FBBDC8D" w14:textId="77777777" w:rsidR="006016B9" w:rsidRPr="0087752B" w:rsidRDefault="006016B9" w:rsidP="0014546F">
            <w:pPr>
              <w:pStyle w:val="DETTableTextFinancial"/>
              <w:jc w:val="right"/>
            </w:pPr>
            <w:r w:rsidRPr="0087752B">
              <w:t>14.3</w:t>
            </w:r>
          </w:p>
        </w:tc>
        <w:tc>
          <w:tcPr>
            <w:tcW w:w="611" w:type="dxa"/>
            <w:shd w:val="clear" w:color="auto" w:fill="auto"/>
          </w:tcPr>
          <w:p w14:paraId="4508FCF1" w14:textId="77777777" w:rsidR="006016B9" w:rsidRPr="0087752B" w:rsidRDefault="006016B9" w:rsidP="0014546F">
            <w:pPr>
              <w:pStyle w:val="DETTableTextFinancial"/>
              <w:jc w:val="right"/>
            </w:pPr>
            <w:r w:rsidRPr="0087752B">
              <w:t>14.1</w:t>
            </w:r>
          </w:p>
        </w:tc>
        <w:tc>
          <w:tcPr>
            <w:tcW w:w="567" w:type="dxa"/>
          </w:tcPr>
          <w:p w14:paraId="04DC7CBA" w14:textId="77777777" w:rsidR="006016B9" w:rsidRPr="0087752B" w:rsidRDefault="006016B9" w:rsidP="0014546F">
            <w:pPr>
              <w:pStyle w:val="DETTableTextFinancial"/>
              <w:jc w:val="right"/>
            </w:pPr>
            <w:r w:rsidRPr="0087752B">
              <w:t>14.4</w:t>
            </w:r>
          </w:p>
        </w:tc>
      </w:tr>
      <w:tr w:rsidR="006016B9" w:rsidRPr="0087752B" w14:paraId="3726825E" w14:textId="77777777" w:rsidTr="00107DF4">
        <w:tc>
          <w:tcPr>
            <w:tcW w:w="3873" w:type="dxa"/>
            <w:shd w:val="clear" w:color="auto" w:fill="auto"/>
            <w:vAlign w:val="center"/>
          </w:tcPr>
          <w:p w14:paraId="1919BA20" w14:textId="77777777" w:rsidR="006016B9" w:rsidRPr="0087752B" w:rsidRDefault="006016B9" w:rsidP="0014546F">
            <w:pPr>
              <w:pStyle w:val="DETTableTextFinancial"/>
            </w:pPr>
            <w:r w:rsidRPr="0087752B">
              <w:tab/>
              <w:t>Year 6</w:t>
            </w:r>
          </w:p>
        </w:tc>
        <w:tc>
          <w:tcPr>
            <w:tcW w:w="708" w:type="dxa"/>
            <w:shd w:val="clear" w:color="auto" w:fill="auto"/>
          </w:tcPr>
          <w:p w14:paraId="0B060A83" w14:textId="77777777" w:rsidR="006016B9" w:rsidRPr="0087752B" w:rsidRDefault="006016B9" w:rsidP="0014546F">
            <w:pPr>
              <w:pStyle w:val="DETTableTextFinancial"/>
            </w:pPr>
            <w:r w:rsidRPr="0087752B">
              <w:t>number</w:t>
            </w:r>
          </w:p>
        </w:tc>
        <w:tc>
          <w:tcPr>
            <w:tcW w:w="567" w:type="dxa"/>
            <w:shd w:val="clear" w:color="auto" w:fill="auto"/>
          </w:tcPr>
          <w:p w14:paraId="01CDEF80" w14:textId="77777777" w:rsidR="006016B9" w:rsidRPr="0087752B" w:rsidRDefault="006016B9" w:rsidP="0014546F">
            <w:pPr>
              <w:pStyle w:val="DETTableTextFinancial"/>
              <w:jc w:val="right"/>
            </w:pPr>
            <w:r w:rsidRPr="0087752B">
              <w:t>14.4</w:t>
            </w:r>
          </w:p>
        </w:tc>
        <w:tc>
          <w:tcPr>
            <w:tcW w:w="567" w:type="dxa"/>
            <w:shd w:val="clear" w:color="auto" w:fill="auto"/>
          </w:tcPr>
          <w:p w14:paraId="5469C5E9" w14:textId="77777777" w:rsidR="006016B9" w:rsidRPr="0087752B" w:rsidRDefault="006016B9" w:rsidP="0014546F">
            <w:pPr>
              <w:pStyle w:val="DETTableTextFinancial"/>
              <w:jc w:val="right"/>
            </w:pPr>
            <w:r w:rsidRPr="0087752B">
              <w:t>14.7</w:t>
            </w:r>
          </w:p>
        </w:tc>
        <w:tc>
          <w:tcPr>
            <w:tcW w:w="567" w:type="dxa"/>
            <w:shd w:val="clear" w:color="auto" w:fill="auto"/>
          </w:tcPr>
          <w:p w14:paraId="78DA4F44" w14:textId="77777777" w:rsidR="006016B9" w:rsidRPr="0087752B" w:rsidRDefault="006016B9" w:rsidP="0014546F">
            <w:pPr>
              <w:pStyle w:val="DETTableTextFinancial"/>
              <w:jc w:val="right"/>
            </w:pPr>
            <w:r w:rsidRPr="0087752B">
              <w:t>14.8</w:t>
            </w:r>
          </w:p>
        </w:tc>
        <w:tc>
          <w:tcPr>
            <w:tcW w:w="611" w:type="dxa"/>
            <w:shd w:val="clear" w:color="auto" w:fill="auto"/>
          </w:tcPr>
          <w:p w14:paraId="6A1FC974" w14:textId="77777777" w:rsidR="006016B9" w:rsidRPr="0087752B" w:rsidRDefault="006016B9" w:rsidP="0014546F">
            <w:pPr>
              <w:pStyle w:val="DETTableTextFinancial"/>
              <w:jc w:val="right"/>
            </w:pPr>
            <w:r w:rsidRPr="0087752B">
              <w:t>14.6</w:t>
            </w:r>
          </w:p>
        </w:tc>
        <w:tc>
          <w:tcPr>
            <w:tcW w:w="567" w:type="dxa"/>
          </w:tcPr>
          <w:p w14:paraId="60805AC1" w14:textId="77777777" w:rsidR="006016B9" w:rsidRPr="0087752B" w:rsidRDefault="006016B9" w:rsidP="0014546F">
            <w:pPr>
              <w:pStyle w:val="DETTableTextFinancial"/>
              <w:jc w:val="right"/>
            </w:pPr>
            <w:r w:rsidRPr="0087752B">
              <w:t>15.1</w:t>
            </w:r>
          </w:p>
        </w:tc>
      </w:tr>
      <w:tr w:rsidR="006016B9" w:rsidRPr="0087752B" w14:paraId="0CB6DAC7" w14:textId="77777777" w:rsidTr="00107DF4">
        <w:tc>
          <w:tcPr>
            <w:tcW w:w="3873" w:type="dxa"/>
            <w:shd w:val="clear" w:color="auto" w:fill="auto"/>
            <w:vAlign w:val="center"/>
          </w:tcPr>
          <w:p w14:paraId="5B642B56" w14:textId="77777777" w:rsidR="006016B9" w:rsidRPr="0087752B" w:rsidRDefault="006016B9" w:rsidP="0014546F">
            <w:pPr>
              <w:pStyle w:val="DETTableTextFinancial"/>
            </w:pPr>
            <w:r w:rsidRPr="0087752B">
              <w:tab/>
              <w:t>Years 7–10</w:t>
            </w:r>
          </w:p>
        </w:tc>
        <w:tc>
          <w:tcPr>
            <w:tcW w:w="708" w:type="dxa"/>
            <w:shd w:val="clear" w:color="auto" w:fill="auto"/>
          </w:tcPr>
          <w:p w14:paraId="2CDF5E41" w14:textId="77777777" w:rsidR="006016B9" w:rsidRPr="0087752B" w:rsidRDefault="006016B9" w:rsidP="0014546F">
            <w:pPr>
              <w:pStyle w:val="DETTableTextFinancial"/>
            </w:pPr>
            <w:r w:rsidRPr="0087752B">
              <w:t>number</w:t>
            </w:r>
          </w:p>
        </w:tc>
        <w:tc>
          <w:tcPr>
            <w:tcW w:w="567" w:type="dxa"/>
            <w:shd w:val="clear" w:color="auto" w:fill="auto"/>
          </w:tcPr>
          <w:p w14:paraId="102FBF8E" w14:textId="77777777" w:rsidR="006016B9" w:rsidRPr="0087752B" w:rsidRDefault="006016B9" w:rsidP="0014546F">
            <w:pPr>
              <w:pStyle w:val="DETTableTextFinancial"/>
              <w:jc w:val="right"/>
            </w:pPr>
            <w:r w:rsidRPr="0087752B">
              <w:t>19.3</w:t>
            </w:r>
          </w:p>
        </w:tc>
        <w:tc>
          <w:tcPr>
            <w:tcW w:w="567" w:type="dxa"/>
            <w:shd w:val="clear" w:color="auto" w:fill="auto"/>
          </w:tcPr>
          <w:p w14:paraId="12D45932" w14:textId="77777777" w:rsidR="006016B9" w:rsidRPr="0087752B" w:rsidRDefault="006016B9" w:rsidP="0014546F">
            <w:pPr>
              <w:pStyle w:val="DETTableTextFinancial"/>
              <w:jc w:val="right"/>
            </w:pPr>
            <w:r w:rsidRPr="0087752B">
              <w:t>19.7</w:t>
            </w:r>
          </w:p>
        </w:tc>
        <w:tc>
          <w:tcPr>
            <w:tcW w:w="567" w:type="dxa"/>
            <w:shd w:val="clear" w:color="auto" w:fill="auto"/>
          </w:tcPr>
          <w:p w14:paraId="776E85E3" w14:textId="77777777" w:rsidR="006016B9" w:rsidRPr="0087752B" w:rsidRDefault="006016B9" w:rsidP="0014546F">
            <w:pPr>
              <w:pStyle w:val="DETTableTextFinancial"/>
              <w:jc w:val="right"/>
            </w:pPr>
            <w:r w:rsidRPr="0087752B">
              <w:t>19.3</w:t>
            </w:r>
          </w:p>
        </w:tc>
        <w:tc>
          <w:tcPr>
            <w:tcW w:w="611" w:type="dxa"/>
            <w:shd w:val="clear" w:color="auto" w:fill="auto"/>
          </w:tcPr>
          <w:p w14:paraId="6613548B" w14:textId="77777777" w:rsidR="006016B9" w:rsidRPr="0087752B" w:rsidRDefault="006016B9" w:rsidP="0014546F">
            <w:pPr>
              <w:pStyle w:val="DETTableTextFinancial"/>
              <w:jc w:val="right"/>
            </w:pPr>
            <w:r w:rsidRPr="0087752B">
              <w:t>19.5</w:t>
            </w:r>
          </w:p>
        </w:tc>
        <w:tc>
          <w:tcPr>
            <w:tcW w:w="567" w:type="dxa"/>
          </w:tcPr>
          <w:p w14:paraId="0E9F34BC" w14:textId="77777777" w:rsidR="006016B9" w:rsidRPr="0087752B" w:rsidRDefault="006016B9" w:rsidP="0014546F">
            <w:pPr>
              <w:pStyle w:val="DETTableTextFinancial"/>
              <w:jc w:val="right"/>
            </w:pPr>
            <w:r w:rsidRPr="0087752B">
              <w:t>19.3</w:t>
            </w:r>
          </w:p>
        </w:tc>
      </w:tr>
      <w:tr w:rsidR="006016B9" w:rsidRPr="0087752B" w14:paraId="6D55AF86" w14:textId="77777777" w:rsidTr="00107DF4">
        <w:tc>
          <w:tcPr>
            <w:tcW w:w="3873" w:type="dxa"/>
            <w:shd w:val="clear" w:color="auto" w:fill="auto"/>
            <w:vAlign w:val="center"/>
          </w:tcPr>
          <w:p w14:paraId="5DF3CCE6" w14:textId="77777777" w:rsidR="006016B9" w:rsidRPr="0087752B" w:rsidRDefault="006016B9" w:rsidP="0014546F">
            <w:pPr>
              <w:pStyle w:val="DETTableTextFinancial"/>
            </w:pPr>
            <w:r w:rsidRPr="0087752B">
              <w:tab/>
              <w:t>Years 11–12</w:t>
            </w:r>
          </w:p>
        </w:tc>
        <w:tc>
          <w:tcPr>
            <w:tcW w:w="708" w:type="dxa"/>
            <w:shd w:val="clear" w:color="auto" w:fill="auto"/>
          </w:tcPr>
          <w:p w14:paraId="6D086DC4" w14:textId="77777777" w:rsidR="006016B9" w:rsidRPr="0087752B" w:rsidRDefault="006016B9" w:rsidP="0014546F">
            <w:pPr>
              <w:pStyle w:val="DETTableTextFinancial"/>
            </w:pPr>
            <w:r w:rsidRPr="0087752B">
              <w:t>number</w:t>
            </w:r>
          </w:p>
        </w:tc>
        <w:tc>
          <w:tcPr>
            <w:tcW w:w="567" w:type="dxa"/>
            <w:shd w:val="clear" w:color="auto" w:fill="auto"/>
          </w:tcPr>
          <w:p w14:paraId="7767ECB7" w14:textId="77777777" w:rsidR="006016B9" w:rsidRPr="0087752B" w:rsidRDefault="006016B9" w:rsidP="0014546F">
            <w:pPr>
              <w:pStyle w:val="DETTableTextFinancial"/>
              <w:jc w:val="right"/>
            </w:pPr>
            <w:r w:rsidRPr="0087752B">
              <w:t>13.1</w:t>
            </w:r>
          </w:p>
        </w:tc>
        <w:tc>
          <w:tcPr>
            <w:tcW w:w="567" w:type="dxa"/>
            <w:shd w:val="clear" w:color="auto" w:fill="auto"/>
          </w:tcPr>
          <w:p w14:paraId="68F113B3" w14:textId="77777777" w:rsidR="006016B9" w:rsidRPr="0087752B" w:rsidRDefault="006016B9" w:rsidP="0014546F">
            <w:pPr>
              <w:pStyle w:val="DETTableTextFinancial"/>
              <w:jc w:val="right"/>
            </w:pPr>
            <w:r w:rsidRPr="0087752B">
              <w:t>14.9</w:t>
            </w:r>
          </w:p>
        </w:tc>
        <w:tc>
          <w:tcPr>
            <w:tcW w:w="567" w:type="dxa"/>
            <w:shd w:val="clear" w:color="auto" w:fill="auto"/>
          </w:tcPr>
          <w:p w14:paraId="038DB789" w14:textId="77777777" w:rsidR="006016B9" w:rsidRPr="0087752B" w:rsidRDefault="006016B9" w:rsidP="0014546F">
            <w:pPr>
              <w:pStyle w:val="DETTableTextFinancial"/>
              <w:jc w:val="right"/>
            </w:pPr>
            <w:r w:rsidRPr="0087752B">
              <w:t>15.4</w:t>
            </w:r>
          </w:p>
        </w:tc>
        <w:tc>
          <w:tcPr>
            <w:tcW w:w="611" w:type="dxa"/>
            <w:shd w:val="clear" w:color="auto" w:fill="auto"/>
          </w:tcPr>
          <w:p w14:paraId="6EC6BFC2" w14:textId="77777777" w:rsidR="006016B9" w:rsidRPr="0087752B" w:rsidRDefault="006016B9" w:rsidP="0014546F">
            <w:pPr>
              <w:pStyle w:val="DETTableTextFinancial"/>
              <w:jc w:val="right"/>
            </w:pPr>
            <w:r w:rsidRPr="0087752B">
              <w:t>16.0</w:t>
            </w:r>
          </w:p>
        </w:tc>
        <w:tc>
          <w:tcPr>
            <w:tcW w:w="567" w:type="dxa"/>
          </w:tcPr>
          <w:p w14:paraId="59B77022" w14:textId="77777777" w:rsidR="006016B9" w:rsidRPr="0087752B" w:rsidRDefault="006016B9" w:rsidP="0014546F">
            <w:pPr>
              <w:pStyle w:val="DETTableTextFinancial"/>
              <w:jc w:val="right"/>
            </w:pPr>
            <w:r w:rsidRPr="0087752B">
              <w:t>16.8</w:t>
            </w:r>
          </w:p>
        </w:tc>
      </w:tr>
      <w:tr w:rsidR="006016B9" w:rsidRPr="0087752B" w14:paraId="0B53B2E3" w14:textId="77777777" w:rsidTr="006016B9">
        <w:tc>
          <w:tcPr>
            <w:tcW w:w="7460" w:type="dxa"/>
            <w:gridSpan w:val="7"/>
            <w:shd w:val="clear" w:color="auto" w:fill="auto"/>
            <w:vAlign w:val="center"/>
          </w:tcPr>
          <w:p w14:paraId="0B3BAC75" w14:textId="77777777" w:rsidR="006016B9" w:rsidRPr="005C767D" w:rsidRDefault="006016B9" w:rsidP="0014546F">
            <w:pPr>
              <w:pStyle w:val="DETTableTextFinancial"/>
            </w:pPr>
            <w:r w:rsidRPr="000859DF">
              <w:rPr>
                <w:b/>
              </w:rPr>
              <w:t>Students with a positive opinion of their teachers providing a stimulating learning environment</w:t>
            </w:r>
            <w:r w:rsidRPr="001F07C0">
              <w:rPr>
                <w:rStyle w:val="FootnoteReference"/>
              </w:rPr>
              <w:fldChar w:fldCharType="begin"/>
            </w:r>
            <w:r w:rsidRPr="0087752B">
              <w:rPr>
                <w:rStyle w:val="FootnoteReference"/>
              </w:rPr>
              <w:instrText xml:space="preserve"> NOTEREF _Ref393891045 \h  \* MERGEFORMAT </w:instrText>
            </w:r>
            <w:r w:rsidRPr="001F07C0">
              <w:rPr>
                <w:rStyle w:val="FootnoteReference"/>
              </w:rPr>
            </w:r>
            <w:r w:rsidRPr="001F07C0">
              <w:rPr>
                <w:rStyle w:val="FootnoteReference"/>
              </w:rPr>
              <w:fldChar w:fldCharType="separate"/>
            </w:r>
            <w:r w:rsidR="00EF67CF">
              <w:rPr>
                <w:rStyle w:val="FootnoteReference"/>
              </w:rPr>
              <w:t>4</w:t>
            </w:r>
            <w:r w:rsidRPr="001F07C0">
              <w:rPr>
                <w:rStyle w:val="FootnoteReference"/>
              </w:rPr>
              <w:fldChar w:fldCharType="end"/>
            </w:r>
            <w:r w:rsidRPr="005C767D">
              <w:rPr>
                <w:rStyle w:val="FootnoteReference"/>
              </w:rPr>
              <w:t>,</w:t>
            </w:r>
            <w:r w:rsidRPr="005C767D">
              <w:rPr>
                <w:rStyle w:val="FootnoteReference"/>
              </w:rPr>
              <w:footnoteReference w:id="21"/>
            </w:r>
          </w:p>
        </w:tc>
      </w:tr>
      <w:tr w:rsidR="006016B9" w:rsidRPr="0087752B" w14:paraId="69F52F61" w14:textId="77777777" w:rsidTr="006016B9">
        <w:tc>
          <w:tcPr>
            <w:tcW w:w="7460" w:type="dxa"/>
            <w:gridSpan w:val="7"/>
            <w:shd w:val="clear" w:color="auto" w:fill="auto"/>
          </w:tcPr>
          <w:p w14:paraId="250272A7" w14:textId="77777777" w:rsidR="006016B9" w:rsidRPr="0087752B" w:rsidRDefault="006016B9" w:rsidP="0014546F">
            <w:pPr>
              <w:pStyle w:val="DETTableTextFinancial"/>
            </w:pPr>
            <w:r w:rsidRPr="0087752B">
              <w:t>Proportion of students who agree or strongly agree that their school provides a stimulating learning environment:</w:t>
            </w:r>
          </w:p>
        </w:tc>
      </w:tr>
      <w:tr w:rsidR="006016B9" w:rsidRPr="0087752B" w14:paraId="0267A047" w14:textId="77777777" w:rsidTr="00107DF4">
        <w:tc>
          <w:tcPr>
            <w:tcW w:w="3873" w:type="dxa"/>
            <w:shd w:val="clear" w:color="auto" w:fill="auto"/>
            <w:vAlign w:val="center"/>
          </w:tcPr>
          <w:p w14:paraId="7E279DB6" w14:textId="77777777" w:rsidR="006016B9" w:rsidRPr="0087752B" w:rsidRDefault="006016B9" w:rsidP="0014546F">
            <w:pPr>
              <w:pStyle w:val="DETTableTextFinancial"/>
            </w:pPr>
            <w:r w:rsidRPr="0087752B">
              <w:tab/>
              <w:t>Years 5–6</w:t>
            </w:r>
          </w:p>
        </w:tc>
        <w:tc>
          <w:tcPr>
            <w:tcW w:w="708" w:type="dxa"/>
            <w:shd w:val="clear" w:color="auto" w:fill="auto"/>
          </w:tcPr>
          <w:p w14:paraId="50DA4A86" w14:textId="77777777" w:rsidR="006016B9" w:rsidRPr="0087752B" w:rsidRDefault="006016B9" w:rsidP="0014546F">
            <w:pPr>
              <w:pStyle w:val="DETTableTextFinancial"/>
            </w:pPr>
            <w:r w:rsidRPr="0087752B">
              <w:t>per cent</w:t>
            </w:r>
          </w:p>
        </w:tc>
        <w:tc>
          <w:tcPr>
            <w:tcW w:w="567" w:type="dxa"/>
            <w:shd w:val="clear" w:color="auto" w:fill="auto"/>
          </w:tcPr>
          <w:p w14:paraId="6169D6D0" w14:textId="77777777" w:rsidR="006016B9" w:rsidRPr="0087752B" w:rsidRDefault="006016B9" w:rsidP="0014546F">
            <w:pPr>
              <w:pStyle w:val="DETTableTextFinancial"/>
              <w:jc w:val="right"/>
            </w:pPr>
            <w:r w:rsidRPr="0087752B">
              <w:t>60.9</w:t>
            </w:r>
          </w:p>
        </w:tc>
        <w:tc>
          <w:tcPr>
            <w:tcW w:w="567" w:type="dxa"/>
            <w:shd w:val="clear" w:color="auto" w:fill="auto"/>
          </w:tcPr>
          <w:p w14:paraId="3462C520" w14:textId="77777777" w:rsidR="006016B9" w:rsidRPr="0087752B" w:rsidRDefault="006016B9" w:rsidP="0014546F">
            <w:pPr>
              <w:pStyle w:val="DETTableTextFinancial"/>
              <w:jc w:val="right"/>
            </w:pPr>
            <w:r w:rsidRPr="0087752B">
              <w:t>62.7</w:t>
            </w:r>
          </w:p>
        </w:tc>
        <w:tc>
          <w:tcPr>
            <w:tcW w:w="567" w:type="dxa"/>
            <w:shd w:val="clear" w:color="auto" w:fill="auto"/>
          </w:tcPr>
          <w:p w14:paraId="4C31351D" w14:textId="77777777" w:rsidR="006016B9" w:rsidRPr="0087752B" w:rsidRDefault="006016B9" w:rsidP="0014546F">
            <w:pPr>
              <w:pStyle w:val="DETTableTextFinancial"/>
              <w:jc w:val="right"/>
            </w:pPr>
            <w:r w:rsidRPr="0087752B">
              <w:t>63.4</w:t>
            </w:r>
          </w:p>
        </w:tc>
        <w:tc>
          <w:tcPr>
            <w:tcW w:w="611" w:type="dxa"/>
            <w:shd w:val="clear" w:color="auto" w:fill="auto"/>
          </w:tcPr>
          <w:p w14:paraId="16CF873C" w14:textId="77777777" w:rsidR="006016B9" w:rsidRPr="0087752B" w:rsidRDefault="006016B9" w:rsidP="0014546F">
            <w:pPr>
              <w:pStyle w:val="DETTableTextFinancial"/>
              <w:jc w:val="right"/>
            </w:pPr>
            <w:r w:rsidRPr="0087752B">
              <w:t>63.5</w:t>
            </w:r>
          </w:p>
        </w:tc>
        <w:tc>
          <w:tcPr>
            <w:tcW w:w="567" w:type="dxa"/>
          </w:tcPr>
          <w:p w14:paraId="3283B947" w14:textId="77777777" w:rsidR="006016B9" w:rsidRPr="0087752B" w:rsidRDefault="006016B9" w:rsidP="0014546F">
            <w:pPr>
              <w:pStyle w:val="DETTableTextFinancial"/>
              <w:jc w:val="right"/>
            </w:pPr>
            <w:r w:rsidRPr="0087752B">
              <w:t>61.1</w:t>
            </w:r>
          </w:p>
        </w:tc>
      </w:tr>
      <w:tr w:rsidR="006016B9" w:rsidRPr="0087752B" w14:paraId="2A071C1E" w14:textId="77777777" w:rsidTr="000859DF">
        <w:tc>
          <w:tcPr>
            <w:tcW w:w="3873" w:type="dxa"/>
            <w:shd w:val="clear" w:color="auto" w:fill="auto"/>
            <w:vAlign w:val="center"/>
          </w:tcPr>
          <w:p w14:paraId="5C7C8235" w14:textId="77777777" w:rsidR="006016B9" w:rsidRPr="0087752B" w:rsidRDefault="006016B9" w:rsidP="0014546F">
            <w:pPr>
              <w:pStyle w:val="DETTableTextFinancial"/>
            </w:pPr>
            <w:r w:rsidRPr="0087752B">
              <w:tab/>
              <w:t>Years 7–10</w:t>
            </w:r>
          </w:p>
        </w:tc>
        <w:tc>
          <w:tcPr>
            <w:tcW w:w="708" w:type="dxa"/>
            <w:shd w:val="clear" w:color="auto" w:fill="auto"/>
          </w:tcPr>
          <w:p w14:paraId="2F9C10DC" w14:textId="77777777" w:rsidR="006016B9" w:rsidRPr="0087752B" w:rsidRDefault="006016B9" w:rsidP="0014546F">
            <w:pPr>
              <w:pStyle w:val="DETTableTextFinancial"/>
            </w:pPr>
            <w:r w:rsidRPr="0087752B">
              <w:t>per cent</w:t>
            </w:r>
          </w:p>
        </w:tc>
        <w:tc>
          <w:tcPr>
            <w:tcW w:w="567" w:type="dxa"/>
            <w:shd w:val="clear" w:color="auto" w:fill="auto"/>
          </w:tcPr>
          <w:p w14:paraId="113F9E18" w14:textId="77777777" w:rsidR="006016B9" w:rsidRPr="0087752B" w:rsidRDefault="006016B9" w:rsidP="0014546F">
            <w:pPr>
              <w:pStyle w:val="DETTableTextFinancial"/>
              <w:jc w:val="right"/>
            </w:pPr>
            <w:r w:rsidRPr="0087752B">
              <w:t>18.5</w:t>
            </w:r>
          </w:p>
        </w:tc>
        <w:tc>
          <w:tcPr>
            <w:tcW w:w="567" w:type="dxa"/>
            <w:shd w:val="clear" w:color="auto" w:fill="auto"/>
          </w:tcPr>
          <w:p w14:paraId="50A0ADD9" w14:textId="77777777" w:rsidR="006016B9" w:rsidRPr="0087752B" w:rsidRDefault="006016B9" w:rsidP="0014546F">
            <w:pPr>
              <w:pStyle w:val="DETTableTextFinancial"/>
              <w:jc w:val="right"/>
            </w:pPr>
            <w:r w:rsidRPr="0087752B">
              <w:t>21.4</w:t>
            </w:r>
          </w:p>
        </w:tc>
        <w:tc>
          <w:tcPr>
            <w:tcW w:w="567" w:type="dxa"/>
            <w:shd w:val="clear" w:color="auto" w:fill="auto"/>
          </w:tcPr>
          <w:p w14:paraId="3F3A4156" w14:textId="77777777" w:rsidR="006016B9" w:rsidRPr="0087752B" w:rsidRDefault="006016B9" w:rsidP="0014546F">
            <w:pPr>
              <w:pStyle w:val="DETTableTextFinancial"/>
              <w:jc w:val="right"/>
            </w:pPr>
            <w:r w:rsidRPr="0087752B">
              <w:t>21.2</w:t>
            </w:r>
          </w:p>
        </w:tc>
        <w:tc>
          <w:tcPr>
            <w:tcW w:w="611" w:type="dxa"/>
            <w:shd w:val="clear" w:color="auto" w:fill="auto"/>
          </w:tcPr>
          <w:p w14:paraId="38E96279" w14:textId="77777777" w:rsidR="006016B9" w:rsidRPr="0087752B" w:rsidRDefault="006016B9" w:rsidP="0014546F">
            <w:pPr>
              <w:pStyle w:val="DETTableTextFinancial"/>
              <w:jc w:val="right"/>
            </w:pPr>
            <w:r w:rsidRPr="0087752B">
              <w:t>21.7</w:t>
            </w:r>
          </w:p>
        </w:tc>
        <w:tc>
          <w:tcPr>
            <w:tcW w:w="567" w:type="dxa"/>
          </w:tcPr>
          <w:p w14:paraId="6C739AD0" w14:textId="77777777" w:rsidR="006016B9" w:rsidRPr="0087752B" w:rsidRDefault="006016B9" w:rsidP="0014546F">
            <w:pPr>
              <w:pStyle w:val="DETTableTextFinancial"/>
              <w:jc w:val="right"/>
            </w:pPr>
            <w:r w:rsidRPr="0087752B">
              <w:t>20.9</w:t>
            </w:r>
          </w:p>
        </w:tc>
      </w:tr>
      <w:tr w:rsidR="006016B9" w:rsidRPr="0087752B" w14:paraId="25D9CA10" w14:textId="77777777" w:rsidTr="000859DF">
        <w:tc>
          <w:tcPr>
            <w:tcW w:w="3873" w:type="dxa"/>
            <w:tcBorders>
              <w:bottom w:val="single" w:sz="4" w:space="0" w:color="auto"/>
            </w:tcBorders>
            <w:shd w:val="clear" w:color="auto" w:fill="auto"/>
            <w:vAlign w:val="center"/>
          </w:tcPr>
          <w:p w14:paraId="6DCE7CCB" w14:textId="77777777" w:rsidR="006016B9" w:rsidRPr="0087752B" w:rsidRDefault="006016B9" w:rsidP="0014546F">
            <w:pPr>
              <w:pStyle w:val="DETTableTextFinancial"/>
            </w:pPr>
            <w:r w:rsidRPr="0087752B">
              <w:tab/>
              <w:t xml:space="preserve">Years 11–12 </w:t>
            </w:r>
          </w:p>
        </w:tc>
        <w:tc>
          <w:tcPr>
            <w:tcW w:w="708" w:type="dxa"/>
            <w:tcBorders>
              <w:bottom w:val="single" w:sz="4" w:space="0" w:color="auto"/>
            </w:tcBorders>
            <w:shd w:val="clear" w:color="auto" w:fill="auto"/>
          </w:tcPr>
          <w:p w14:paraId="2596660B" w14:textId="77777777" w:rsidR="006016B9" w:rsidRPr="0087752B" w:rsidRDefault="006016B9" w:rsidP="0014546F">
            <w:pPr>
              <w:pStyle w:val="DETTableTextFinancial"/>
            </w:pPr>
            <w:r w:rsidRPr="0087752B">
              <w:t>per cent</w:t>
            </w:r>
          </w:p>
        </w:tc>
        <w:tc>
          <w:tcPr>
            <w:tcW w:w="567" w:type="dxa"/>
            <w:tcBorders>
              <w:bottom w:val="single" w:sz="4" w:space="0" w:color="auto"/>
            </w:tcBorders>
            <w:shd w:val="clear" w:color="auto" w:fill="auto"/>
          </w:tcPr>
          <w:p w14:paraId="15D575DC" w14:textId="77777777" w:rsidR="006016B9" w:rsidRPr="0087752B" w:rsidRDefault="006016B9" w:rsidP="0014546F">
            <w:pPr>
              <w:pStyle w:val="DETTableTextFinancial"/>
              <w:jc w:val="right"/>
            </w:pPr>
            <w:r w:rsidRPr="0087752B">
              <w:t>17.5</w:t>
            </w:r>
          </w:p>
        </w:tc>
        <w:tc>
          <w:tcPr>
            <w:tcW w:w="567" w:type="dxa"/>
            <w:tcBorders>
              <w:bottom w:val="single" w:sz="4" w:space="0" w:color="auto"/>
            </w:tcBorders>
            <w:shd w:val="clear" w:color="auto" w:fill="auto"/>
          </w:tcPr>
          <w:p w14:paraId="391745CD" w14:textId="77777777" w:rsidR="006016B9" w:rsidRPr="0087752B" w:rsidRDefault="006016B9" w:rsidP="0014546F">
            <w:pPr>
              <w:pStyle w:val="DETTableTextFinancial"/>
              <w:jc w:val="right"/>
            </w:pPr>
            <w:r w:rsidRPr="0087752B">
              <w:t>20.3</w:t>
            </w:r>
          </w:p>
        </w:tc>
        <w:tc>
          <w:tcPr>
            <w:tcW w:w="567" w:type="dxa"/>
            <w:tcBorders>
              <w:bottom w:val="single" w:sz="4" w:space="0" w:color="auto"/>
            </w:tcBorders>
            <w:shd w:val="clear" w:color="auto" w:fill="auto"/>
          </w:tcPr>
          <w:p w14:paraId="4CDD8AE2" w14:textId="77777777" w:rsidR="006016B9" w:rsidRPr="0087752B" w:rsidRDefault="006016B9" w:rsidP="0014546F">
            <w:pPr>
              <w:pStyle w:val="DETTableTextFinancial"/>
              <w:jc w:val="right"/>
            </w:pPr>
            <w:r w:rsidRPr="0087752B">
              <w:t>21.1</w:t>
            </w:r>
          </w:p>
        </w:tc>
        <w:tc>
          <w:tcPr>
            <w:tcW w:w="611" w:type="dxa"/>
            <w:tcBorders>
              <w:bottom w:val="single" w:sz="4" w:space="0" w:color="auto"/>
            </w:tcBorders>
            <w:shd w:val="clear" w:color="auto" w:fill="auto"/>
          </w:tcPr>
          <w:p w14:paraId="6A25EFE4" w14:textId="77777777" w:rsidR="006016B9" w:rsidRPr="0087752B" w:rsidRDefault="006016B9" w:rsidP="0014546F">
            <w:pPr>
              <w:pStyle w:val="DETTableTextFinancial"/>
              <w:jc w:val="right"/>
            </w:pPr>
            <w:r w:rsidRPr="0087752B">
              <w:t>20.0</w:t>
            </w:r>
          </w:p>
        </w:tc>
        <w:tc>
          <w:tcPr>
            <w:tcW w:w="567" w:type="dxa"/>
            <w:tcBorders>
              <w:bottom w:val="single" w:sz="4" w:space="0" w:color="auto"/>
            </w:tcBorders>
          </w:tcPr>
          <w:p w14:paraId="4C70FE54" w14:textId="77777777" w:rsidR="006016B9" w:rsidRPr="0087752B" w:rsidRDefault="006016B9" w:rsidP="0014546F">
            <w:pPr>
              <w:pStyle w:val="DETTableTextFinancial"/>
              <w:jc w:val="right"/>
            </w:pPr>
            <w:r w:rsidRPr="0087752B">
              <w:t>19.8</w:t>
            </w:r>
          </w:p>
        </w:tc>
      </w:tr>
    </w:tbl>
    <w:p w14:paraId="2F2990B8" w14:textId="07675972" w:rsidR="0014546F" w:rsidRPr="0087752B" w:rsidRDefault="0014546F" w:rsidP="006016B9"/>
    <w:p w14:paraId="0608946F" w14:textId="7233124F" w:rsidR="0014546F" w:rsidRPr="0087752B" w:rsidRDefault="0014546F">
      <w:pPr>
        <w:spacing w:after="200" w:line="276" w:lineRule="auto"/>
      </w:pPr>
      <w:r w:rsidRPr="0087752B">
        <w:br w:type="page"/>
      </w:r>
    </w:p>
    <w:p w14:paraId="562439D5" w14:textId="77777777" w:rsidR="006016B9" w:rsidRPr="0087752B" w:rsidRDefault="006016B9" w:rsidP="006016B9"/>
    <w:tbl>
      <w:tblPr>
        <w:tblW w:w="4971" w:type="pct"/>
        <w:tblLayout w:type="fixed"/>
        <w:tblCellMar>
          <w:left w:w="45" w:type="dxa"/>
          <w:right w:w="45" w:type="dxa"/>
        </w:tblCellMar>
        <w:tblLook w:val="0000" w:firstRow="0" w:lastRow="0" w:firstColumn="0" w:lastColumn="0" w:noHBand="0" w:noVBand="0"/>
      </w:tblPr>
      <w:tblGrid>
        <w:gridCol w:w="3165"/>
        <w:gridCol w:w="709"/>
        <w:gridCol w:w="708"/>
        <w:gridCol w:w="709"/>
        <w:gridCol w:w="709"/>
        <w:gridCol w:w="709"/>
        <w:gridCol w:w="708"/>
      </w:tblGrid>
      <w:tr w:rsidR="006016B9" w:rsidRPr="0087752B" w14:paraId="24F6C859" w14:textId="77777777" w:rsidTr="00107DF4">
        <w:trPr>
          <w:tblHeader/>
        </w:trPr>
        <w:tc>
          <w:tcPr>
            <w:tcW w:w="3164" w:type="dxa"/>
            <w:shd w:val="clear" w:color="auto" w:fill="A6A6A6" w:themeFill="background1" w:themeFillShade="A6"/>
          </w:tcPr>
          <w:p w14:paraId="68A1B291" w14:textId="77777777" w:rsidR="006016B9" w:rsidRPr="0087752B" w:rsidRDefault="006016B9" w:rsidP="00107DF4">
            <w:pPr>
              <w:pStyle w:val="DETTablecolumnheading"/>
              <w:jc w:val="left"/>
            </w:pPr>
            <w:r w:rsidRPr="0087752B">
              <w:t>Indicators</w:t>
            </w:r>
          </w:p>
        </w:tc>
        <w:tc>
          <w:tcPr>
            <w:tcW w:w="709" w:type="dxa"/>
            <w:shd w:val="clear" w:color="auto" w:fill="A6A6A6" w:themeFill="background1" w:themeFillShade="A6"/>
            <w:vAlign w:val="center"/>
          </w:tcPr>
          <w:p w14:paraId="1E4C48B5" w14:textId="77777777" w:rsidR="006016B9" w:rsidRPr="0087752B" w:rsidRDefault="006016B9" w:rsidP="00107DF4">
            <w:pPr>
              <w:pStyle w:val="DETTablecolumnheading"/>
            </w:pPr>
            <w:r w:rsidRPr="0087752B">
              <w:t>Unit</w:t>
            </w:r>
          </w:p>
        </w:tc>
        <w:tc>
          <w:tcPr>
            <w:tcW w:w="708" w:type="dxa"/>
            <w:shd w:val="clear" w:color="auto" w:fill="A6A6A6" w:themeFill="background1" w:themeFillShade="A6"/>
          </w:tcPr>
          <w:p w14:paraId="6F8E0E09" w14:textId="77777777" w:rsidR="006016B9" w:rsidRPr="0087752B" w:rsidRDefault="006016B9" w:rsidP="00107DF4">
            <w:pPr>
              <w:pStyle w:val="DETTablecolumnheading"/>
            </w:pPr>
            <w:r w:rsidRPr="0087752B">
              <w:t>2011</w:t>
            </w:r>
          </w:p>
        </w:tc>
        <w:tc>
          <w:tcPr>
            <w:tcW w:w="709" w:type="dxa"/>
            <w:shd w:val="clear" w:color="auto" w:fill="A6A6A6" w:themeFill="background1" w:themeFillShade="A6"/>
          </w:tcPr>
          <w:p w14:paraId="37BD57A5" w14:textId="77777777" w:rsidR="006016B9" w:rsidRPr="0087752B" w:rsidRDefault="006016B9" w:rsidP="00107DF4">
            <w:pPr>
              <w:pStyle w:val="DETTablecolumnheading"/>
            </w:pPr>
            <w:r w:rsidRPr="0087752B">
              <w:t>2012</w:t>
            </w:r>
          </w:p>
        </w:tc>
        <w:tc>
          <w:tcPr>
            <w:tcW w:w="709" w:type="dxa"/>
            <w:shd w:val="clear" w:color="auto" w:fill="A6A6A6" w:themeFill="background1" w:themeFillShade="A6"/>
          </w:tcPr>
          <w:p w14:paraId="75D82FD4" w14:textId="77777777" w:rsidR="006016B9" w:rsidRPr="0087752B" w:rsidRDefault="006016B9" w:rsidP="00107DF4">
            <w:pPr>
              <w:pStyle w:val="DETTablecolumnheading"/>
            </w:pPr>
            <w:r w:rsidRPr="0087752B">
              <w:t>2013</w:t>
            </w:r>
          </w:p>
        </w:tc>
        <w:tc>
          <w:tcPr>
            <w:tcW w:w="709" w:type="dxa"/>
            <w:shd w:val="clear" w:color="auto" w:fill="A6A6A6" w:themeFill="background1" w:themeFillShade="A6"/>
          </w:tcPr>
          <w:p w14:paraId="01AFBE86" w14:textId="77777777" w:rsidR="006016B9" w:rsidRPr="0087752B" w:rsidRDefault="006016B9" w:rsidP="00107DF4">
            <w:pPr>
              <w:pStyle w:val="DETTablecolumnheading"/>
            </w:pPr>
            <w:r w:rsidRPr="0087752B">
              <w:t>2014</w:t>
            </w:r>
          </w:p>
        </w:tc>
        <w:tc>
          <w:tcPr>
            <w:tcW w:w="708" w:type="dxa"/>
            <w:shd w:val="clear" w:color="auto" w:fill="A6A6A6" w:themeFill="background1" w:themeFillShade="A6"/>
          </w:tcPr>
          <w:p w14:paraId="4E2CBA60" w14:textId="77777777" w:rsidR="006016B9" w:rsidRPr="0087752B" w:rsidRDefault="006016B9" w:rsidP="00107DF4">
            <w:pPr>
              <w:pStyle w:val="DETTablecolumnheading"/>
            </w:pPr>
            <w:r w:rsidRPr="0087752B">
              <w:t>2015</w:t>
            </w:r>
          </w:p>
        </w:tc>
      </w:tr>
      <w:tr w:rsidR="006016B9" w:rsidRPr="0087752B" w14:paraId="45D44526" w14:textId="77777777" w:rsidTr="00107DF4">
        <w:tc>
          <w:tcPr>
            <w:tcW w:w="7416" w:type="dxa"/>
            <w:gridSpan w:val="7"/>
            <w:shd w:val="clear" w:color="auto" w:fill="7F7F7F" w:themeFill="text1" w:themeFillTint="80"/>
            <w:vAlign w:val="center"/>
          </w:tcPr>
          <w:p w14:paraId="2A70D626" w14:textId="77777777" w:rsidR="006016B9" w:rsidRPr="005C767D" w:rsidRDefault="006016B9" w:rsidP="00107DF4">
            <w:pPr>
              <w:pStyle w:val="DETTablecolumnheading"/>
              <w:jc w:val="left"/>
            </w:pPr>
            <w:r w:rsidRPr="0087752B">
              <w:t>Higher education and skills</w:t>
            </w:r>
            <w:r w:rsidRPr="005C767D">
              <w:rPr>
                <w:rStyle w:val="FootnoteReference"/>
              </w:rPr>
              <w:footnoteReference w:id="22"/>
            </w:r>
          </w:p>
        </w:tc>
      </w:tr>
      <w:tr w:rsidR="006016B9" w:rsidRPr="0087752B" w14:paraId="367B5EFC" w14:textId="77777777" w:rsidTr="00107DF4">
        <w:tc>
          <w:tcPr>
            <w:tcW w:w="7416" w:type="dxa"/>
            <w:gridSpan w:val="7"/>
            <w:shd w:val="clear" w:color="auto" w:fill="auto"/>
            <w:vAlign w:val="center"/>
          </w:tcPr>
          <w:p w14:paraId="7B6D985F" w14:textId="77777777" w:rsidR="006016B9" w:rsidRPr="0087752B" w:rsidRDefault="006016B9" w:rsidP="0014546F">
            <w:pPr>
              <w:pStyle w:val="DETTableTextFinancial"/>
            </w:pPr>
            <w:r w:rsidRPr="003D2FDD">
              <w:rPr>
                <w:b/>
              </w:rPr>
              <w:t>VET enrolments by students</w:t>
            </w:r>
            <w:r w:rsidRPr="005C767D">
              <w:rPr>
                <w:rStyle w:val="FootnoteReference"/>
              </w:rPr>
              <w:footnoteReference w:id="23"/>
            </w:r>
            <w:r w:rsidRPr="005C767D">
              <w:rPr>
                <w:rStyle w:val="FootnoteReference"/>
              </w:rPr>
              <w:t xml:space="preserve"> </w:t>
            </w:r>
            <w:r w:rsidRPr="003D2FDD">
              <w:rPr>
                <w:b/>
              </w:rPr>
              <w:t>age and gender</w:t>
            </w:r>
          </w:p>
        </w:tc>
      </w:tr>
      <w:tr w:rsidR="006016B9" w:rsidRPr="0087752B" w14:paraId="513CC66F" w14:textId="77777777" w:rsidTr="00107DF4">
        <w:tc>
          <w:tcPr>
            <w:tcW w:w="3164" w:type="dxa"/>
            <w:shd w:val="clear" w:color="auto" w:fill="auto"/>
            <w:vAlign w:val="center"/>
          </w:tcPr>
          <w:p w14:paraId="35F7C7BC" w14:textId="77777777" w:rsidR="006016B9" w:rsidRPr="0087752B" w:rsidRDefault="006016B9" w:rsidP="0014546F">
            <w:pPr>
              <w:pStyle w:val="DETTableTextFinancial"/>
            </w:pPr>
            <w:r w:rsidRPr="0087752B">
              <w:t>15–19 years</w:t>
            </w:r>
          </w:p>
        </w:tc>
        <w:tc>
          <w:tcPr>
            <w:tcW w:w="709" w:type="dxa"/>
            <w:shd w:val="clear" w:color="auto" w:fill="auto"/>
            <w:vAlign w:val="center"/>
          </w:tcPr>
          <w:p w14:paraId="7DB63722" w14:textId="77777777" w:rsidR="006016B9" w:rsidRPr="0087752B" w:rsidRDefault="006016B9" w:rsidP="00107DF4">
            <w:pPr>
              <w:pStyle w:val="DETTableTextFinancial"/>
              <w:jc w:val="center"/>
            </w:pPr>
            <w:r w:rsidRPr="0087752B">
              <w:t>number</w:t>
            </w:r>
          </w:p>
        </w:tc>
        <w:tc>
          <w:tcPr>
            <w:tcW w:w="708" w:type="dxa"/>
            <w:shd w:val="clear" w:color="auto" w:fill="auto"/>
          </w:tcPr>
          <w:p w14:paraId="526E0A43" w14:textId="77777777" w:rsidR="006016B9" w:rsidRPr="0087752B" w:rsidRDefault="006016B9" w:rsidP="00107DF4">
            <w:pPr>
              <w:pStyle w:val="DETTableTextFinancial"/>
              <w:jc w:val="right"/>
            </w:pPr>
            <w:r w:rsidRPr="0087752B">
              <w:t>108,700</w:t>
            </w:r>
          </w:p>
        </w:tc>
        <w:tc>
          <w:tcPr>
            <w:tcW w:w="709" w:type="dxa"/>
            <w:shd w:val="clear" w:color="auto" w:fill="auto"/>
          </w:tcPr>
          <w:p w14:paraId="628C905E" w14:textId="77777777" w:rsidR="006016B9" w:rsidRPr="0087752B" w:rsidRDefault="006016B9" w:rsidP="00107DF4">
            <w:pPr>
              <w:pStyle w:val="DETTableTextFinancial"/>
              <w:jc w:val="right"/>
            </w:pPr>
            <w:r w:rsidRPr="0087752B">
              <w:t>120,500</w:t>
            </w:r>
          </w:p>
        </w:tc>
        <w:tc>
          <w:tcPr>
            <w:tcW w:w="709" w:type="dxa"/>
            <w:shd w:val="clear" w:color="auto" w:fill="auto"/>
          </w:tcPr>
          <w:p w14:paraId="458B52CB" w14:textId="77777777" w:rsidR="006016B9" w:rsidRPr="0087752B" w:rsidRDefault="006016B9" w:rsidP="00107DF4">
            <w:pPr>
              <w:pStyle w:val="DETTableTextFinancial"/>
              <w:jc w:val="right"/>
            </w:pPr>
            <w:r w:rsidRPr="0087752B">
              <w:t>104,600</w:t>
            </w:r>
          </w:p>
        </w:tc>
        <w:tc>
          <w:tcPr>
            <w:tcW w:w="709" w:type="dxa"/>
            <w:shd w:val="clear" w:color="auto" w:fill="auto"/>
          </w:tcPr>
          <w:p w14:paraId="0CF41E20" w14:textId="77777777" w:rsidR="006016B9" w:rsidRPr="0087752B" w:rsidRDefault="006016B9" w:rsidP="00107DF4">
            <w:pPr>
              <w:pStyle w:val="DETTableTextFinancial"/>
              <w:jc w:val="right"/>
            </w:pPr>
            <w:r w:rsidRPr="0087752B">
              <w:t>85,300</w:t>
            </w:r>
          </w:p>
        </w:tc>
        <w:tc>
          <w:tcPr>
            <w:tcW w:w="708" w:type="dxa"/>
          </w:tcPr>
          <w:p w14:paraId="0C346614" w14:textId="77777777" w:rsidR="006016B9" w:rsidRPr="0087752B" w:rsidRDefault="006016B9" w:rsidP="00107DF4">
            <w:pPr>
              <w:pStyle w:val="DETTableTextFinancial"/>
              <w:jc w:val="right"/>
            </w:pPr>
            <w:r w:rsidRPr="0087752B">
              <w:t>69,900</w:t>
            </w:r>
          </w:p>
        </w:tc>
      </w:tr>
      <w:tr w:rsidR="006016B9" w:rsidRPr="0087752B" w14:paraId="0785646D" w14:textId="77777777" w:rsidTr="00107DF4">
        <w:tc>
          <w:tcPr>
            <w:tcW w:w="3164" w:type="dxa"/>
            <w:shd w:val="clear" w:color="auto" w:fill="auto"/>
            <w:vAlign w:val="center"/>
          </w:tcPr>
          <w:p w14:paraId="239580DE" w14:textId="77777777" w:rsidR="006016B9" w:rsidRPr="0087752B" w:rsidRDefault="006016B9" w:rsidP="0014546F">
            <w:pPr>
              <w:pStyle w:val="DETTableTextFinancial"/>
            </w:pPr>
            <w:r w:rsidRPr="0087752B">
              <w:t>20–24 years</w:t>
            </w:r>
          </w:p>
        </w:tc>
        <w:tc>
          <w:tcPr>
            <w:tcW w:w="709" w:type="dxa"/>
            <w:shd w:val="clear" w:color="auto" w:fill="auto"/>
            <w:vAlign w:val="center"/>
          </w:tcPr>
          <w:p w14:paraId="397D97BF" w14:textId="77777777" w:rsidR="006016B9" w:rsidRPr="0087752B" w:rsidRDefault="006016B9" w:rsidP="00107DF4">
            <w:pPr>
              <w:pStyle w:val="DETTableTextFinancial"/>
              <w:jc w:val="center"/>
            </w:pPr>
            <w:r w:rsidRPr="0087752B">
              <w:t>number</w:t>
            </w:r>
          </w:p>
        </w:tc>
        <w:tc>
          <w:tcPr>
            <w:tcW w:w="708" w:type="dxa"/>
            <w:shd w:val="clear" w:color="auto" w:fill="auto"/>
          </w:tcPr>
          <w:p w14:paraId="22333EB9" w14:textId="77777777" w:rsidR="006016B9" w:rsidRPr="0087752B" w:rsidRDefault="006016B9" w:rsidP="00107DF4">
            <w:pPr>
              <w:pStyle w:val="DETTableTextFinancial"/>
              <w:jc w:val="right"/>
            </w:pPr>
            <w:r w:rsidRPr="0087752B">
              <w:t>87,800</w:t>
            </w:r>
          </w:p>
        </w:tc>
        <w:tc>
          <w:tcPr>
            <w:tcW w:w="709" w:type="dxa"/>
            <w:shd w:val="clear" w:color="auto" w:fill="auto"/>
          </w:tcPr>
          <w:p w14:paraId="22FA0BDC" w14:textId="77777777" w:rsidR="006016B9" w:rsidRPr="0087752B" w:rsidRDefault="006016B9" w:rsidP="00107DF4">
            <w:pPr>
              <w:pStyle w:val="DETTableTextFinancial"/>
              <w:jc w:val="right"/>
            </w:pPr>
            <w:r w:rsidRPr="0087752B">
              <w:t>100,900</w:t>
            </w:r>
          </w:p>
        </w:tc>
        <w:tc>
          <w:tcPr>
            <w:tcW w:w="709" w:type="dxa"/>
            <w:shd w:val="clear" w:color="auto" w:fill="auto"/>
          </w:tcPr>
          <w:p w14:paraId="6DA5C9CA" w14:textId="77777777" w:rsidR="006016B9" w:rsidRPr="0087752B" w:rsidRDefault="006016B9" w:rsidP="00107DF4">
            <w:pPr>
              <w:pStyle w:val="DETTableTextFinancial"/>
              <w:jc w:val="right"/>
            </w:pPr>
            <w:r w:rsidRPr="0087752B">
              <w:t>96,300</w:t>
            </w:r>
          </w:p>
        </w:tc>
        <w:tc>
          <w:tcPr>
            <w:tcW w:w="709" w:type="dxa"/>
            <w:shd w:val="clear" w:color="auto" w:fill="auto"/>
          </w:tcPr>
          <w:p w14:paraId="0C3B468B" w14:textId="77777777" w:rsidR="006016B9" w:rsidRPr="0087752B" w:rsidRDefault="006016B9" w:rsidP="00107DF4">
            <w:pPr>
              <w:pStyle w:val="DETTableTextFinancial"/>
              <w:jc w:val="right"/>
            </w:pPr>
            <w:r w:rsidRPr="0087752B">
              <w:t>93,100</w:t>
            </w:r>
          </w:p>
        </w:tc>
        <w:tc>
          <w:tcPr>
            <w:tcW w:w="708" w:type="dxa"/>
          </w:tcPr>
          <w:p w14:paraId="590DF539" w14:textId="77777777" w:rsidR="006016B9" w:rsidRPr="0087752B" w:rsidRDefault="006016B9" w:rsidP="00107DF4">
            <w:pPr>
              <w:pStyle w:val="DETTableTextFinancial"/>
              <w:jc w:val="right"/>
            </w:pPr>
            <w:r w:rsidRPr="0087752B">
              <w:t>80,200</w:t>
            </w:r>
          </w:p>
        </w:tc>
      </w:tr>
      <w:tr w:rsidR="006016B9" w:rsidRPr="0087752B" w14:paraId="0AD84A82" w14:textId="77777777" w:rsidTr="00107DF4">
        <w:tc>
          <w:tcPr>
            <w:tcW w:w="3164" w:type="dxa"/>
            <w:shd w:val="clear" w:color="auto" w:fill="auto"/>
            <w:vAlign w:val="center"/>
          </w:tcPr>
          <w:p w14:paraId="236A5F79" w14:textId="77777777" w:rsidR="006016B9" w:rsidRPr="0087752B" w:rsidRDefault="006016B9" w:rsidP="0014546F">
            <w:pPr>
              <w:pStyle w:val="DETTableTextFinancial"/>
            </w:pPr>
            <w:r w:rsidRPr="0087752B">
              <w:t>25–44 years</w:t>
            </w:r>
          </w:p>
        </w:tc>
        <w:tc>
          <w:tcPr>
            <w:tcW w:w="709" w:type="dxa"/>
            <w:shd w:val="clear" w:color="auto" w:fill="auto"/>
            <w:vAlign w:val="center"/>
          </w:tcPr>
          <w:p w14:paraId="42DD6F70" w14:textId="77777777" w:rsidR="006016B9" w:rsidRPr="0087752B" w:rsidRDefault="006016B9" w:rsidP="00107DF4">
            <w:pPr>
              <w:pStyle w:val="DETTableTextFinancial"/>
              <w:jc w:val="center"/>
            </w:pPr>
            <w:r w:rsidRPr="0087752B">
              <w:t>number</w:t>
            </w:r>
          </w:p>
        </w:tc>
        <w:tc>
          <w:tcPr>
            <w:tcW w:w="708" w:type="dxa"/>
            <w:shd w:val="clear" w:color="auto" w:fill="auto"/>
          </w:tcPr>
          <w:p w14:paraId="4408E44B" w14:textId="77777777" w:rsidR="006016B9" w:rsidRPr="0087752B" w:rsidRDefault="006016B9" w:rsidP="00107DF4">
            <w:pPr>
              <w:pStyle w:val="DETTableTextFinancial"/>
              <w:jc w:val="right"/>
            </w:pPr>
            <w:r w:rsidRPr="0087752B">
              <w:t>148,500</w:t>
            </w:r>
          </w:p>
        </w:tc>
        <w:tc>
          <w:tcPr>
            <w:tcW w:w="709" w:type="dxa"/>
            <w:shd w:val="clear" w:color="auto" w:fill="auto"/>
          </w:tcPr>
          <w:p w14:paraId="242AEB76" w14:textId="77777777" w:rsidR="006016B9" w:rsidRPr="0087752B" w:rsidRDefault="006016B9" w:rsidP="00107DF4">
            <w:pPr>
              <w:pStyle w:val="DETTableTextFinancial"/>
              <w:jc w:val="right"/>
            </w:pPr>
            <w:r w:rsidRPr="0087752B">
              <w:t>180,200</w:t>
            </w:r>
          </w:p>
        </w:tc>
        <w:tc>
          <w:tcPr>
            <w:tcW w:w="709" w:type="dxa"/>
            <w:shd w:val="clear" w:color="auto" w:fill="auto"/>
          </w:tcPr>
          <w:p w14:paraId="1D97DC05" w14:textId="77777777" w:rsidR="006016B9" w:rsidRPr="0087752B" w:rsidRDefault="006016B9" w:rsidP="00107DF4">
            <w:pPr>
              <w:pStyle w:val="DETTableTextFinancial"/>
              <w:jc w:val="right"/>
            </w:pPr>
            <w:r w:rsidRPr="0087752B">
              <w:t>178,900</w:t>
            </w:r>
          </w:p>
        </w:tc>
        <w:tc>
          <w:tcPr>
            <w:tcW w:w="709" w:type="dxa"/>
            <w:shd w:val="clear" w:color="auto" w:fill="auto"/>
          </w:tcPr>
          <w:p w14:paraId="65E07099" w14:textId="77777777" w:rsidR="006016B9" w:rsidRPr="0087752B" w:rsidRDefault="006016B9" w:rsidP="00107DF4">
            <w:pPr>
              <w:pStyle w:val="DETTableTextFinancial"/>
              <w:jc w:val="right"/>
            </w:pPr>
            <w:r w:rsidRPr="0087752B">
              <w:t>167,100</w:t>
            </w:r>
          </w:p>
        </w:tc>
        <w:tc>
          <w:tcPr>
            <w:tcW w:w="708" w:type="dxa"/>
          </w:tcPr>
          <w:p w14:paraId="6E4C940B" w14:textId="77777777" w:rsidR="006016B9" w:rsidRPr="0087752B" w:rsidRDefault="006016B9" w:rsidP="00107DF4">
            <w:pPr>
              <w:pStyle w:val="DETTableTextFinancial"/>
              <w:jc w:val="right"/>
            </w:pPr>
            <w:r w:rsidRPr="0087752B">
              <w:t>141,600</w:t>
            </w:r>
          </w:p>
        </w:tc>
      </w:tr>
      <w:tr w:rsidR="006016B9" w:rsidRPr="0087752B" w14:paraId="30FBE205" w14:textId="77777777" w:rsidTr="00107DF4">
        <w:tc>
          <w:tcPr>
            <w:tcW w:w="3164" w:type="dxa"/>
            <w:shd w:val="clear" w:color="auto" w:fill="auto"/>
            <w:vAlign w:val="center"/>
          </w:tcPr>
          <w:p w14:paraId="26AF0EE8" w14:textId="77777777" w:rsidR="006016B9" w:rsidRPr="0087752B" w:rsidRDefault="006016B9" w:rsidP="0014546F">
            <w:pPr>
              <w:pStyle w:val="DETTableTextFinancial"/>
            </w:pPr>
            <w:r w:rsidRPr="0087752B">
              <w:t>45–64 years</w:t>
            </w:r>
          </w:p>
        </w:tc>
        <w:tc>
          <w:tcPr>
            <w:tcW w:w="709" w:type="dxa"/>
            <w:shd w:val="clear" w:color="auto" w:fill="auto"/>
            <w:vAlign w:val="center"/>
          </w:tcPr>
          <w:p w14:paraId="24DB9E2B" w14:textId="77777777" w:rsidR="006016B9" w:rsidRPr="0087752B" w:rsidRDefault="006016B9" w:rsidP="00107DF4">
            <w:pPr>
              <w:pStyle w:val="DETTableTextFinancial"/>
              <w:jc w:val="center"/>
            </w:pPr>
            <w:r w:rsidRPr="0087752B">
              <w:t>number</w:t>
            </w:r>
          </w:p>
        </w:tc>
        <w:tc>
          <w:tcPr>
            <w:tcW w:w="708" w:type="dxa"/>
            <w:shd w:val="clear" w:color="auto" w:fill="auto"/>
          </w:tcPr>
          <w:p w14:paraId="184FA0D4" w14:textId="77777777" w:rsidR="006016B9" w:rsidRPr="0087752B" w:rsidRDefault="006016B9" w:rsidP="00107DF4">
            <w:pPr>
              <w:pStyle w:val="DETTableTextFinancial"/>
              <w:jc w:val="right"/>
            </w:pPr>
            <w:r w:rsidRPr="0087752B">
              <w:t>77,100</w:t>
            </w:r>
          </w:p>
        </w:tc>
        <w:tc>
          <w:tcPr>
            <w:tcW w:w="709" w:type="dxa"/>
            <w:shd w:val="clear" w:color="auto" w:fill="auto"/>
          </w:tcPr>
          <w:p w14:paraId="41D9AA40" w14:textId="77777777" w:rsidR="006016B9" w:rsidRPr="0087752B" w:rsidRDefault="006016B9" w:rsidP="00107DF4">
            <w:pPr>
              <w:pStyle w:val="DETTableTextFinancial"/>
              <w:jc w:val="right"/>
            </w:pPr>
            <w:r w:rsidRPr="0087752B">
              <w:t>96,400</w:t>
            </w:r>
          </w:p>
        </w:tc>
        <w:tc>
          <w:tcPr>
            <w:tcW w:w="709" w:type="dxa"/>
            <w:shd w:val="clear" w:color="auto" w:fill="auto"/>
          </w:tcPr>
          <w:p w14:paraId="56652CCB" w14:textId="77777777" w:rsidR="006016B9" w:rsidRPr="0087752B" w:rsidRDefault="006016B9" w:rsidP="00107DF4">
            <w:pPr>
              <w:pStyle w:val="DETTableTextFinancial"/>
              <w:jc w:val="right"/>
            </w:pPr>
            <w:r w:rsidRPr="0087752B">
              <w:t>93,100</w:t>
            </w:r>
          </w:p>
        </w:tc>
        <w:tc>
          <w:tcPr>
            <w:tcW w:w="709" w:type="dxa"/>
            <w:shd w:val="clear" w:color="auto" w:fill="auto"/>
          </w:tcPr>
          <w:p w14:paraId="027455E5" w14:textId="77777777" w:rsidR="006016B9" w:rsidRPr="0087752B" w:rsidRDefault="006016B9" w:rsidP="00107DF4">
            <w:pPr>
              <w:pStyle w:val="DETTableTextFinancial"/>
              <w:jc w:val="right"/>
            </w:pPr>
            <w:r w:rsidRPr="0087752B">
              <w:t>87,400</w:t>
            </w:r>
          </w:p>
        </w:tc>
        <w:tc>
          <w:tcPr>
            <w:tcW w:w="708" w:type="dxa"/>
          </w:tcPr>
          <w:p w14:paraId="440FE61E" w14:textId="77777777" w:rsidR="006016B9" w:rsidRPr="0087752B" w:rsidRDefault="006016B9" w:rsidP="00107DF4">
            <w:pPr>
              <w:pStyle w:val="DETTableTextFinancial"/>
              <w:jc w:val="right"/>
            </w:pPr>
            <w:r w:rsidRPr="0087752B">
              <w:t>75,100</w:t>
            </w:r>
          </w:p>
        </w:tc>
      </w:tr>
      <w:tr w:rsidR="006016B9" w:rsidRPr="0087752B" w14:paraId="66CB2B6A" w14:textId="77777777" w:rsidTr="00107DF4">
        <w:tc>
          <w:tcPr>
            <w:tcW w:w="3164" w:type="dxa"/>
            <w:shd w:val="clear" w:color="auto" w:fill="auto"/>
            <w:vAlign w:val="center"/>
          </w:tcPr>
          <w:p w14:paraId="4A1AB17B" w14:textId="77777777" w:rsidR="006016B9" w:rsidRPr="0087752B" w:rsidRDefault="006016B9" w:rsidP="0014546F">
            <w:pPr>
              <w:pStyle w:val="DETTableTextFinancial"/>
            </w:pPr>
            <w:r w:rsidRPr="0087752B">
              <w:t>Under 15, over 64 and not stated</w:t>
            </w:r>
          </w:p>
        </w:tc>
        <w:tc>
          <w:tcPr>
            <w:tcW w:w="709" w:type="dxa"/>
            <w:shd w:val="clear" w:color="auto" w:fill="auto"/>
            <w:vAlign w:val="center"/>
          </w:tcPr>
          <w:p w14:paraId="7D17A973" w14:textId="77777777" w:rsidR="006016B9" w:rsidRPr="0087752B" w:rsidRDefault="006016B9" w:rsidP="00107DF4">
            <w:pPr>
              <w:pStyle w:val="DETTableTextFinancial"/>
              <w:jc w:val="center"/>
            </w:pPr>
            <w:r w:rsidRPr="0087752B">
              <w:t>number</w:t>
            </w:r>
          </w:p>
        </w:tc>
        <w:tc>
          <w:tcPr>
            <w:tcW w:w="708" w:type="dxa"/>
            <w:shd w:val="clear" w:color="auto" w:fill="auto"/>
          </w:tcPr>
          <w:p w14:paraId="0FCCA4F4" w14:textId="77777777" w:rsidR="006016B9" w:rsidRPr="0087752B" w:rsidRDefault="006016B9" w:rsidP="00107DF4">
            <w:pPr>
              <w:pStyle w:val="DETTableTextFinancial"/>
              <w:jc w:val="right"/>
            </w:pPr>
            <w:r w:rsidRPr="0087752B">
              <w:t>8100</w:t>
            </w:r>
          </w:p>
        </w:tc>
        <w:tc>
          <w:tcPr>
            <w:tcW w:w="709" w:type="dxa"/>
            <w:shd w:val="clear" w:color="auto" w:fill="auto"/>
          </w:tcPr>
          <w:p w14:paraId="38E0E800" w14:textId="77777777" w:rsidR="006016B9" w:rsidRPr="0087752B" w:rsidRDefault="006016B9" w:rsidP="00107DF4">
            <w:pPr>
              <w:pStyle w:val="DETTableTextFinancial"/>
              <w:jc w:val="right"/>
            </w:pPr>
            <w:r w:rsidRPr="0087752B">
              <w:t>11,800</w:t>
            </w:r>
          </w:p>
        </w:tc>
        <w:tc>
          <w:tcPr>
            <w:tcW w:w="709" w:type="dxa"/>
            <w:shd w:val="clear" w:color="auto" w:fill="auto"/>
          </w:tcPr>
          <w:p w14:paraId="27312D28" w14:textId="77777777" w:rsidR="006016B9" w:rsidRPr="0087752B" w:rsidRDefault="006016B9" w:rsidP="00107DF4">
            <w:pPr>
              <w:pStyle w:val="DETTableTextFinancial"/>
              <w:jc w:val="right"/>
            </w:pPr>
            <w:r w:rsidRPr="0087752B">
              <w:t>11,900</w:t>
            </w:r>
          </w:p>
        </w:tc>
        <w:tc>
          <w:tcPr>
            <w:tcW w:w="709" w:type="dxa"/>
            <w:shd w:val="clear" w:color="auto" w:fill="auto"/>
          </w:tcPr>
          <w:p w14:paraId="249E1340" w14:textId="77777777" w:rsidR="006016B9" w:rsidRPr="0087752B" w:rsidRDefault="006016B9" w:rsidP="00107DF4">
            <w:pPr>
              <w:pStyle w:val="DETTableTextFinancial"/>
              <w:jc w:val="right"/>
            </w:pPr>
            <w:r w:rsidRPr="0087752B">
              <w:t>10,700</w:t>
            </w:r>
          </w:p>
        </w:tc>
        <w:tc>
          <w:tcPr>
            <w:tcW w:w="708" w:type="dxa"/>
          </w:tcPr>
          <w:p w14:paraId="5F554F2C" w14:textId="77777777" w:rsidR="006016B9" w:rsidRPr="0087752B" w:rsidRDefault="006016B9" w:rsidP="00107DF4">
            <w:pPr>
              <w:pStyle w:val="DETTableTextFinancial"/>
              <w:jc w:val="right"/>
            </w:pPr>
            <w:r w:rsidRPr="0087752B">
              <w:t>11,000</w:t>
            </w:r>
          </w:p>
        </w:tc>
      </w:tr>
      <w:tr w:rsidR="006016B9" w:rsidRPr="0087752B" w14:paraId="38754389" w14:textId="77777777" w:rsidTr="00107DF4">
        <w:tc>
          <w:tcPr>
            <w:tcW w:w="3164" w:type="dxa"/>
            <w:shd w:val="clear" w:color="auto" w:fill="auto"/>
            <w:vAlign w:val="center"/>
          </w:tcPr>
          <w:p w14:paraId="1B4D78F2" w14:textId="77777777" w:rsidR="006016B9" w:rsidRPr="0087752B" w:rsidRDefault="006016B9" w:rsidP="0014546F">
            <w:pPr>
              <w:pStyle w:val="DETTableTextFinancial"/>
            </w:pPr>
            <w:r w:rsidRPr="0087752B">
              <w:t>Female</w:t>
            </w:r>
          </w:p>
        </w:tc>
        <w:tc>
          <w:tcPr>
            <w:tcW w:w="709" w:type="dxa"/>
            <w:shd w:val="clear" w:color="auto" w:fill="auto"/>
            <w:vAlign w:val="center"/>
          </w:tcPr>
          <w:p w14:paraId="0625A3ED" w14:textId="77777777" w:rsidR="006016B9" w:rsidRPr="0087752B" w:rsidRDefault="006016B9" w:rsidP="00107DF4">
            <w:pPr>
              <w:pStyle w:val="DETTableTextFinancial"/>
              <w:jc w:val="center"/>
            </w:pPr>
            <w:r w:rsidRPr="0087752B">
              <w:t>number</w:t>
            </w:r>
          </w:p>
        </w:tc>
        <w:tc>
          <w:tcPr>
            <w:tcW w:w="708" w:type="dxa"/>
            <w:shd w:val="clear" w:color="auto" w:fill="auto"/>
          </w:tcPr>
          <w:p w14:paraId="6D0E5D90" w14:textId="77777777" w:rsidR="006016B9" w:rsidRPr="0087752B" w:rsidRDefault="006016B9" w:rsidP="00107DF4">
            <w:pPr>
              <w:pStyle w:val="DETTableTextFinancial"/>
              <w:jc w:val="right"/>
            </w:pPr>
            <w:r w:rsidRPr="0087752B">
              <w:t>208,500</w:t>
            </w:r>
          </w:p>
        </w:tc>
        <w:tc>
          <w:tcPr>
            <w:tcW w:w="709" w:type="dxa"/>
            <w:shd w:val="clear" w:color="auto" w:fill="auto"/>
          </w:tcPr>
          <w:p w14:paraId="5B284C6E" w14:textId="77777777" w:rsidR="006016B9" w:rsidRPr="0087752B" w:rsidRDefault="006016B9" w:rsidP="00107DF4">
            <w:pPr>
              <w:pStyle w:val="DETTableTextFinancial"/>
              <w:jc w:val="right"/>
            </w:pPr>
            <w:r w:rsidRPr="0087752B">
              <w:t>251,900</w:t>
            </w:r>
          </w:p>
        </w:tc>
        <w:tc>
          <w:tcPr>
            <w:tcW w:w="709" w:type="dxa"/>
            <w:shd w:val="clear" w:color="auto" w:fill="auto"/>
          </w:tcPr>
          <w:p w14:paraId="34090030" w14:textId="77777777" w:rsidR="006016B9" w:rsidRPr="0087752B" w:rsidRDefault="006016B9" w:rsidP="00107DF4">
            <w:pPr>
              <w:pStyle w:val="DETTableTextFinancial"/>
              <w:jc w:val="right"/>
            </w:pPr>
            <w:r w:rsidRPr="0087752B">
              <w:t>226,600</w:t>
            </w:r>
          </w:p>
        </w:tc>
        <w:tc>
          <w:tcPr>
            <w:tcW w:w="709" w:type="dxa"/>
            <w:shd w:val="clear" w:color="auto" w:fill="auto"/>
          </w:tcPr>
          <w:p w14:paraId="5858FE50" w14:textId="77777777" w:rsidR="006016B9" w:rsidRPr="0087752B" w:rsidRDefault="006016B9" w:rsidP="00107DF4">
            <w:pPr>
              <w:pStyle w:val="DETTableTextFinancial"/>
              <w:jc w:val="right"/>
            </w:pPr>
            <w:r w:rsidRPr="0087752B">
              <w:t>208,100</w:t>
            </w:r>
          </w:p>
        </w:tc>
        <w:tc>
          <w:tcPr>
            <w:tcW w:w="708" w:type="dxa"/>
          </w:tcPr>
          <w:p w14:paraId="69212AD6" w14:textId="77777777" w:rsidR="006016B9" w:rsidRPr="0087752B" w:rsidRDefault="006016B9" w:rsidP="00107DF4">
            <w:pPr>
              <w:pStyle w:val="DETTableTextFinancial"/>
              <w:jc w:val="right"/>
            </w:pPr>
            <w:r w:rsidRPr="0087752B">
              <w:t>177,100</w:t>
            </w:r>
          </w:p>
        </w:tc>
      </w:tr>
      <w:tr w:rsidR="006016B9" w:rsidRPr="0087752B" w14:paraId="145229E6" w14:textId="77777777" w:rsidTr="00107DF4">
        <w:tc>
          <w:tcPr>
            <w:tcW w:w="3164" w:type="dxa"/>
            <w:shd w:val="clear" w:color="auto" w:fill="auto"/>
            <w:vAlign w:val="center"/>
          </w:tcPr>
          <w:p w14:paraId="05ACB8EA" w14:textId="77777777" w:rsidR="006016B9" w:rsidRPr="0087752B" w:rsidRDefault="006016B9" w:rsidP="0014546F">
            <w:pPr>
              <w:pStyle w:val="DETTableTextFinancial"/>
            </w:pPr>
            <w:r w:rsidRPr="0087752B">
              <w:t>Male</w:t>
            </w:r>
          </w:p>
        </w:tc>
        <w:tc>
          <w:tcPr>
            <w:tcW w:w="709" w:type="dxa"/>
            <w:shd w:val="clear" w:color="auto" w:fill="auto"/>
            <w:vAlign w:val="center"/>
          </w:tcPr>
          <w:p w14:paraId="4E3E89D3" w14:textId="77777777" w:rsidR="006016B9" w:rsidRPr="0087752B" w:rsidRDefault="006016B9" w:rsidP="00107DF4">
            <w:pPr>
              <w:pStyle w:val="DETTableTextFinancial"/>
              <w:jc w:val="center"/>
            </w:pPr>
            <w:r w:rsidRPr="0087752B">
              <w:t>number</w:t>
            </w:r>
          </w:p>
        </w:tc>
        <w:tc>
          <w:tcPr>
            <w:tcW w:w="708" w:type="dxa"/>
            <w:shd w:val="clear" w:color="auto" w:fill="auto"/>
          </w:tcPr>
          <w:p w14:paraId="503A52EC" w14:textId="77777777" w:rsidR="006016B9" w:rsidRPr="0087752B" w:rsidRDefault="006016B9" w:rsidP="00107DF4">
            <w:pPr>
              <w:pStyle w:val="DETTableTextFinancial"/>
              <w:jc w:val="right"/>
            </w:pPr>
            <w:r w:rsidRPr="0087752B">
              <w:t>220,700</w:t>
            </w:r>
          </w:p>
        </w:tc>
        <w:tc>
          <w:tcPr>
            <w:tcW w:w="709" w:type="dxa"/>
            <w:shd w:val="clear" w:color="auto" w:fill="auto"/>
          </w:tcPr>
          <w:p w14:paraId="688BF775" w14:textId="77777777" w:rsidR="006016B9" w:rsidRPr="0087752B" w:rsidRDefault="006016B9" w:rsidP="00107DF4">
            <w:pPr>
              <w:pStyle w:val="DETTableTextFinancial"/>
              <w:jc w:val="right"/>
            </w:pPr>
            <w:r w:rsidRPr="0087752B">
              <w:t>257,200</w:t>
            </w:r>
          </w:p>
        </w:tc>
        <w:tc>
          <w:tcPr>
            <w:tcW w:w="709" w:type="dxa"/>
            <w:shd w:val="clear" w:color="auto" w:fill="auto"/>
          </w:tcPr>
          <w:p w14:paraId="5CA12788" w14:textId="77777777" w:rsidR="006016B9" w:rsidRPr="0087752B" w:rsidRDefault="006016B9" w:rsidP="00107DF4">
            <w:pPr>
              <w:pStyle w:val="DETTableTextFinancial"/>
              <w:jc w:val="right"/>
            </w:pPr>
            <w:r w:rsidRPr="0087752B">
              <w:t>257,600</w:t>
            </w:r>
          </w:p>
        </w:tc>
        <w:tc>
          <w:tcPr>
            <w:tcW w:w="709" w:type="dxa"/>
            <w:shd w:val="clear" w:color="auto" w:fill="auto"/>
          </w:tcPr>
          <w:p w14:paraId="2D76790E" w14:textId="77777777" w:rsidR="006016B9" w:rsidRPr="0087752B" w:rsidRDefault="006016B9" w:rsidP="00107DF4">
            <w:pPr>
              <w:pStyle w:val="DETTableTextFinancial"/>
              <w:jc w:val="right"/>
            </w:pPr>
            <w:r w:rsidRPr="0087752B">
              <w:t>234,900</w:t>
            </w:r>
          </w:p>
        </w:tc>
        <w:tc>
          <w:tcPr>
            <w:tcW w:w="708" w:type="dxa"/>
          </w:tcPr>
          <w:p w14:paraId="350ED019" w14:textId="77777777" w:rsidR="006016B9" w:rsidRPr="0087752B" w:rsidRDefault="006016B9" w:rsidP="00107DF4">
            <w:pPr>
              <w:pStyle w:val="DETTableTextFinancial"/>
              <w:jc w:val="right"/>
            </w:pPr>
            <w:r w:rsidRPr="0087752B">
              <w:t>199,600</w:t>
            </w:r>
          </w:p>
        </w:tc>
      </w:tr>
      <w:tr w:rsidR="006016B9" w:rsidRPr="0087752B" w14:paraId="30344AC0" w14:textId="77777777" w:rsidTr="00107DF4">
        <w:tc>
          <w:tcPr>
            <w:tcW w:w="7416" w:type="dxa"/>
            <w:gridSpan w:val="7"/>
            <w:shd w:val="clear" w:color="auto" w:fill="auto"/>
            <w:vAlign w:val="center"/>
          </w:tcPr>
          <w:p w14:paraId="2F1E15BA" w14:textId="77777777" w:rsidR="006016B9" w:rsidRPr="0087752B" w:rsidRDefault="006016B9" w:rsidP="0014546F">
            <w:pPr>
              <w:pStyle w:val="DETTableTextFinancial"/>
              <w:rPr>
                <w:b/>
              </w:rPr>
            </w:pPr>
            <w:r w:rsidRPr="0087752B">
              <w:rPr>
                <w:b/>
              </w:rPr>
              <w:t>VET enrolments by administrative region</w:t>
            </w:r>
          </w:p>
        </w:tc>
      </w:tr>
      <w:tr w:rsidR="006016B9" w:rsidRPr="0087752B" w14:paraId="21CB86E2" w14:textId="77777777" w:rsidTr="00107DF4">
        <w:tc>
          <w:tcPr>
            <w:tcW w:w="3164" w:type="dxa"/>
            <w:shd w:val="clear" w:color="auto" w:fill="auto"/>
            <w:vAlign w:val="center"/>
          </w:tcPr>
          <w:p w14:paraId="61247AD8" w14:textId="77777777" w:rsidR="006016B9" w:rsidRPr="0087752B" w:rsidRDefault="006016B9" w:rsidP="0014546F">
            <w:pPr>
              <w:pStyle w:val="DETTableTextFinancial"/>
            </w:pPr>
            <w:r w:rsidRPr="0087752B">
              <w:t>South Western</w:t>
            </w:r>
          </w:p>
        </w:tc>
        <w:tc>
          <w:tcPr>
            <w:tcW w:w="709" w:type="dxa"/>
            <w:shd w:val="clear" w:color="auto" w:fill="auto"/>
            <w:vAlign w:val="center"/>
          </w:tcPr>
          <w:p w14:paraId="4F899B2A" w14:textId="77777777" w:rsidR="006016B9" w:rsidRPr="0087752B" w:rsidRDefault="006016B9" w:rsidP="00107DF4">
            <w:pPr>
              <w:pStyle w:val="DETTableTextFinancial"/>
              <w:jc w:val="center"/>
            </w:pPr>
            <w:r w:rsidRPr="0087752B">
              <w:t>number</w:t>
            </w:r>
          </w:p>
        </w:tc>
        <w:tc>
          <w:tcPr>
            <w:tcW w:w="708" w:type="dxa"/>
            <w:shd w:val="clear" w:color="auto" w:fill="auto"/>
          </w:tcPr>
          <w:p w14:paraId="6D128D45" w14:textId="77777777" w:rsidR="006016B9" w:rsidRPr="0087752B" w:rsidRDefault="006016B9" w:rsidP="00107DF4">
            <w:pPr>
              <w:pStyle w:val="DETTableTextFinancial"/>
              <w:jc w:val="right"/>
            </w:pPr>
            <w:r w:rsidRPr="0087752B">
              <w:t>202,900</w:t>
            </w:r>
          </w:p>
        </w:tc>
        <w:tc>
          <w:tcPr>
            <w:tcW w:w="709" w:type="dxa"/>
            <w:shd w:val="clear" w:color="auto" w:fill="auto"/>
          </w:tcPr>
          <w:p w14:paraId="7BC2894C" w14:textId="77777777" w:rsidR="006016B9" w:rsidRPr="0087752B" w:rsidRDefault="006016B9" w:rsidP="00107DF4">
            <w:pPr>
              <w:pStyle w:val="DETTableTextFinancial"/>
              <w:jc w:val="right"/>
            </w:pPr>
            <w:r w:rsidRPr="0087752B">
              <w:t>264,000</w:t>
            </w:r>
          </w:p>
        </w:tc>
        <w:tc>
          <w:tcPr>
            <w:tcW w:w="709" w:type="dxa"/>
            <w:shd w:val="clear" w:color="auto" w:fill="auto"/>
          </w:tcPr>
          <w:p w14:paraId="711A24EA" w14:textId="77777777" w:rsidR="006016B9" w:rsidRPr="0087752B" w:rsidRDefault="006016B9" w:rsidP="00107DF4">
            <w:pPr>
              <w:pStyle w:val="DETTableTextFinancial"/>
              <w:jc w:val="right"/>
            </w:pPr>
            <w:r w:rsidRPr="0087752B">
              <w:t>251,100</w:t>
            </w:r>
          </w:p>
        </w:tc>
        <w:tc>
          <w:tcPr>
            <w:tcW w:w="709" w:type="dxa"/>
            <w:shd w:val="clear" w:color="auto" w:fill="auto"/>
          </w:tcPr>
          <w:p w14:paraId="13070C0A" w14:textId="77777777" w:rsidR="006016B9" w:rsidRPr="0087752B" w:rsidRDefault="006016B9" w:rsidP="00107DF4">
            <w:pPr>
              <w:pStyle w:val="DETTableTextFinancial"/>
              <w:jc w:val="right"/>
            </w:pPr>
            <w:r w:rsidRPr="0087752B">
              <w:t>230,500</w:t>
            </w:r>
          </w:p>
        </w:tc>
        <w:tc>
          <w:tcPr>
            <w:tcW w:w="708" w:type="dxa"/>
          </w:tcPr>
          <w:p w14:paraId="106585D2" w14:textId="77777777" w:rsidR="006016B9" w:rsidRPr="0087752B" w:rsidRDefault="006016B9" w:rsidP="00107DF4">
            <w:pPr>
              <w:pStyle w:val="DETTableTextFinancial"/>
              <w:jc w:val="right"/>
            </w:pPr>
            <w:r w:rsidRPr="0087752B">
              <w:t>178,600</w:t>
            </w:r>
          </w:p>
        </w:tc>
      </w:tr>
      <w:tr w:rsidR="006016B9" w:rsidRPr="0087752B" w14:paraId="43B1344A" w14:textId="77777777" w:rsidTr="00107DF4">
        <w:tc>
          <w:tcPr>
            <w:tcW w:w="3164" w:type="dxa"/>
            <w:shd w:val="clear" w:color="auto" w:fill="auto"/>
            <w:vAlign w:val="center"/>
          </w:tcPr>
          <w:p w14:paraId="18024B6B" w14:textId="77777777" w:rsidR="006016B9" w:rsidRPr="0087752B" w:rsidRDefault="006016B9" w:rsidP="0014546F">
            <w:pPr>
              <w:pStyle w:val="DETTableTextFinancial"/>
            </w:pPr>
            <w:r w:rsidRPr="0087752B">
              <w:t>North Western</w:t>
            </w:r>
          </w:p>
        </w:tc>
        <w:tc>
          <w:tcPr>
            <w:tcW w:w="709" w:type="dxa"/>
            <w:shd w:val="clear" w:color="auto" w:fill="auto"/>
            <w:vAlign w:val="center"/>
          </w:tcPr>
          <w:p w14:paraId="2B140E01" w14:textId="77777777" w:rsidR="006016B9" w:rsidRPr="0087752B" w:rsidRDefault="006016B9" w:rsidP="00107DF4">
            <w:pPr>
              <w:pStyle w:val="DETTableTextFinancial"/>
              <w:jc w:val="center"/>
            </w:pPr>
            <w:r w:rsidRPr="0087752B">
              <w:t>number</w:t>
            </w:r>
          </w:p>
        </w:tc>
        <w:tc>
          <w:tcPr>
            <w:tcW w:w="708" w:type="dxa"/>
            <w:shd w:val="clear" w:color="auto" w:fill="auto"/>
          </w:tcPr>
          <w:p w14:paraId="3B6A16CD" w14:textId="77777777" w:rsidR="006016B9" w:rsidRPr="0087752B" w:rsidRDefault="006016B9" w:rsidP="00107DF4">
            <w:pPr>
              <w:pStyle w:val="DETTableTextFinancial"/>
              <w:jc w:val="right"/>
            </w:pPr>
            <w:r w:rsidRPr="0087752B">
              <w:t>101,400</w:t>
            </w:r>
          </w:p>
        </w:tc>
        <w:tc>
          <w:tcPr>
            <w:tcW w:w="709" w:type="dxa"/>
            <w:shd w:val="clear" w:color="auto" w:fill="auto"/>
          </w:tcPr>
          <w:p w14:paraId="6FF99986" w14:textId="77777777" w:rsidR="006016B9" w:rsidRPr="0087752B" w:rsidRDefault="006016B9" w:rsidP="00107DF4">
            <w:pPr>
              <w:pStyle w:val="DETTableTextFinancial"/>
              <w:jc w:val="right"/>
            </w:pPr>
            <w:r w:rsidRPr="0087752B">
              <w:t>124,300</w:t>
            </w:r>
          </w:p>
        </w:tc>
        <w:tc>
          <w:tcPr>
            <w:tcW w:w="709" w:type="dxa"/>
            <w:shd w:val="clear" w:color="auto" w:fill="auto"/>
          </w:tcPr>
          <w:p w14:paraId="5583AED4" w14:textId="77777777" w:rsidR="006016B9" w:rsidRPr="0087752B" w:rsidRDefault="006016B9" w:rsidP="00107DF4">
            <w:pPr>
              <w:pStyle w:val="DETTableTextFinancial"/>
              <w:jc w:val="right"/>
            </w:pPr>
            <w:r w:rsidRPr="0087752B">
              <w:t>116,200</w:t>
            </w:r>
          </w:p>
        </w:tc>
        <w:tc>
          <w:tcPr>
            <w:tcW w:w="709" w:type="dxa"/>
            <w:shd w:val="clear" w:color="auto" w:fill="auto"/>
          </w:tcPr>
          <w:p w14:paraId="37D6CC50" w14:textId="77777777" w:rsidR="006016B9" w:rsidRPr="0087752B" w:rsidRDefault="006016B9" w:rsidP="00107DF4">
            <w:pPr>
              <w:pStyle w:val="DETTableTextFinancial"/>
              <w:jc w:val="right"/>
            </w:pPr>
            <w:r w:rsidRPr="0087752B">
              <w:t>105,400</w:t>
            </w:r>
          </w:p>
        </w:tc>
        <w:tc>
          <w:tcPr>
            <w:tcW w:w="708" w:type="dxa"/>
          </w:tcPr>
          <w:p w14:paraId="4668F5F9" w14:textId="77777777" w:rsidR="006016B9" w:rsidRPr="0087752B" w:rsidRDefault="006016B9" w:rsidP="00107DF4">
            <w:pPr>
              <w:pStyle w:val="DETTableTextFinancial"/>
              <w:jc w:val="right"/>
            </w:pPr>
            <w:r w:rsidRPr="0087752B">
              <w:t>97,900</w:t>
            </w:r>
          </w:p>
        </w:tc>
      </w:tr>
      <w:tr w:rsidR="006016B9" w:rsidRPr="0087752B" w14:paraId="7F253196" w14:textId="77777777" w:rsidTr="00107DF4">
        <w:tc>
          <w:tcPr>
            <w:tcW w:w="3164" w:type="dxa"/>
            <w:shd w:val="clear" w:color="auto" w:fill="auto"/>
            <w:vAlign w:val="center"/>
          </w:tcPr>
          <w:p w14:paraId="002FC4C4" w14:textId="77777777" w:rsidR="006016B9" w:rsidRPr="0087752B" w:rsidRDefault="006016B9" w:rsidP="0014546F">
            <w:pPr>
              <w:pStyle w:val="DETTableTextFinancial"/>
            </w:pPr>
            <w:r w:rsidRPr="0087752B">
              <w:t>North Eastern</w:t>
            </w:r>
          </w:p>
        </w:tc>
        <w:tc>
          <w:tcPr>
            <w:tcW w:w="709" w:type="dxa"/>
            <w:shd w:val="clear" w:color="auto" w:fill="auto"/>
            <w:vAlign w:val="center"/>
          </w:tcPr>
          <w:p w14:paraId="439C4A6D" w14:textId="77777777" w:rsidR="006016B9" w:rsidRPr="0087752B" w:rsidRDefault="006016B9" w:rsidP="00107DF4">
            <w:pPr>
              <w:pStyle w:val="DETTableTextFinancial"/>
              <w:jc w:val="center"/>
            </w:pPr>
            <w:r w:rsidRPr="0087752B">
              <w:t>number</w:t>
            </w:r>
          </w:p>
        </w:tc>
        <w:tc>
          <w:tcPr>
            <w:tcW w:w="708" w:type="dxa"/>
            <w:shd w:val="clear" w:color="auto" w:fill="auto"/>
          </w:tcPr>
          <w:p w14:paraId="5DE00C6B" w14:textId="77777777" w:rsidR="006016B9" w:rsidRPr="0087752B" w:rsidRDefault="006016B9" w:rsidP="00107DF4">
            <w:pPr>
              <w:pStyle w:val="DETTableTextFinancial"/>
              <w:jc w:val="right"/>
            </w:pPr>
            <w:r w:rsidRPr="0087752B">
              <w:t>100,800</w:t>
            </w:r>
          </w:p>
        </w:tc>
        <w:tc>
          <w:tcPr>
            <w:tcW w:w="709" w:type="dxa"/>
            <w:shd w:val="clear" w:color="auto" w:fill="auto"/>
          </w:tcPr>
          <w:p w14:paraId="77493E68" w14:textId="77777777" w:rsidR="006016B9" w:rsidRPr="0087752B" w:rsidRDefault="006016B9" w:rsidP="00107DF4">
            <w:pPr>
              <w:pStyle w:val="DETTableTextFinancial"/>
              <w:jc w:val="right"/>
            </w:pPr>
            <w:r w:rsidRPr="0087752B">
              <w:t>110,200</w:t>
            </w:r>
          </w:p>
        </w:tc>
        <w:tc>
          <w:tcPr>
            <w:tcW w:w="709" w:type="dxa"/>
            <w:shd w:val="clear" w:color="auto" w:fill="auto"/>
          </w:tcPr>
          <w:p w14:paraId="4FEC1E4E" w14:textId="77777777" w:rsidR="006016B9" w:rsidRPr="0087752B" w:rsidRDefault="006016B9" w:rsidP="00107DF4">
            <w:pPr>
              <w:pStyle w:val="DETTableTextFinancial"/>
              <w:jc w:val="right"/>
            </w:pPr>
            <w:r w:rsidRPr="0087752B">
              <w:t>114,300</w:t>
            </w:r>
          </w:p>
        </w:tc>
        <w:tc>
          <w:tcPr>
            <w:tcW w:w="709" w:type="dxa"/>
            <w:shd w:val="clear" w:color="auto" w:fill="auto"/>
          </w:tcPr>
          <w:p w14:paraId="3053805C" w14:textId="77777777" w:rsidR="006016B9" w:rsidRPr="0087752B" w:rsidRDefault="006016B9" w:rsidP="00107DF4">
            <w:pPr>
              <w:pStyle w:val="DETTableTextFinancial"/>
              <w:jc w:val="right"/>
            </w:pPr>
            <w:r w:rsidRPr="0087752B">
              <w:t>86,100</w:t>
            </w:r>
          </w:p>
        </w:tc>
        <w:tc>
          <w:tcPr>
            <w:tcW w:w="708" w:type="dxa"/>
          </w:tcPr>
          <w:p w14:paraId="0E702417" w14:textId="77777777" w:rsidR="006016B9" w:rsidRPr="0087752B" w:rsidRDefault="006016B9" w:rsidP="00107DF4">
            <w:pPr>
              <w:pStyle w:val="DETTableTextFinancial"/>
              <w:jc w:val="right"/>
            </w:pPr>
            <w:r w:rsidRPr="0087752B">
              <w:t>70,800</w:t>
            </w:r>
          </w:p>
        </w:tc>
      </w:tr>
      <w:tr w:rsidR="006016B9" w:rsidRPr="0087752B" w14:paraId="3B621D9F" w14:textId="77777777" w:rsidTr="00107DF4">
        <w:tc>
          <w:tcPr>
            <w:tcW w:w="3164" w:type="dxa"/>
            <w:shd w:val="clear" w:color="auto" w:fill="auto"/>
            <w:vAlign w:val="center"/>
          </w:tcPr>
          <w:p w14:paraId="50EC4047" w14:textId="77777777" w:rsidR="006016B9" w:rsidRPr="0087752B" w:rsidRDefault="006016B9" w:rsidP="0014546F">
            <w:pPr>
              <w:pStyle w:val="DETTableTextFinancial"/>
            </w:pPr>
            <w:r w:rsidRPr="0087752B">
              <w:t>South Eastern</w:t>
            </w:r>
          </w:p>
        </w:tc>
        <w:tc>
          <w:tcPr>
            <w:tcW w:w="709" w:type="dxa"/>
            <w:shd w:val="clear" w:color="auto" w:fill="auto"/>
            <w:vAlign w:val="center"/>
          </w:tcPr>
          <w:p w14:paraId="126AB624" w14:textId="77777777" w:rsidR="006016B9" w:rsidRPr="0087752B" w:rsidRDefault="006016B9" w:rsidP="00107DF4">
            <w:pPr>
              <w:pStyle w:val="DETTableTextFinancial"/>
              <w:jc w:val="center"/>
            </w:pPr>
            <w:r w:rsidRPr="0087752B">
              <w:t>number</w:t>
            </w:r>
          </w:p>
        </w:tc>
        <w:tc>
          <w:tcPr>
            <w:tcW w:w="708" w:type="dxa"/>
            <w:shd w:val="clear" w:color="auto" w:fill="auto"/>
          </w:tcPr>
          <w:p w14:paraId="22DA4E75" w14:textId="77777777" w:rsidR="006016B9" w:rsidRPr="0087752B" w:rsidRDefault="006016B9" w:rsidP="00107DF4">
            <w:pPr>
              <w:pStyle w:val="DETTableTextFinancial"/>
              <w:jc w:val="right"/>
            </w:pPr>
            <w:r w:rsidRPr="0087752B">
              <w:t>127,900</w:t>
            </w:r>
          </w:p>
        </w:tc>
        <w:tc>
          <w:tcPr>
            <w:tcW w:w="709" w:type="dxa"/>
            <w:shd w:val="clear" w:color="auto" w:fill="auto"/>
          </w:tcPr>
          <w:p w14:paraId="2C00AE01" w14:textId="77777777" w:rsidR="006016B9" w:rsidRPr="0087752B" w:rsidRDefault="006016B9" w:rsidP="00107DF4">
            <w:pPr>
              <w:pStyle w:val="DETTableTextFinancial"/>
              <w:jc w:val="right"/>
            </w:pPr>
            <w:r w:rsidRPr="0087752B">
              <w:t>159,500</w:t>
            </w:r>
          </w:p>
        </w:tc>
        <w:tc>
          <w:tcPr>
            <w:tcW w:w="709" w:type="dxa"/>
            <w:shd w:val="clear" w:color="auto" w:fill="auto"/>
          </w:tcPr>
          <w:p w14:paraId="31202B7D" w14:textId="77777777" w:rsidR="006016B9" w:rsidRPr="0087752B" w:rsidRDefault="006016B9" w:rsidP="00107DF4">
            <w:pPr>
              <w:pStyle w:val="DETTableTextFinancial"/>
              <w:jc w:val="right"/>
            </w:pPr>
            <w:r w:rsidRPr="0087752B">
              <w:t>153,200</w:t>
            </w:r>
          </w:p>
        </w:tc>
        <w:tc>
          <w:tcPr>
            <w:tcW w:w="709" w:type="dxa"/>
            <w:shd w:val="clear" w:color="auto" w:fill="auto"/>
          </w:tcPr>
          <w:p w14:paraId="3A312D0F" w14:textId="77777777" w:rsidR="006016B9" w:rsidRPr="0087752B" w:rsidRDefault="006016B9" w:rsidP="00107DF4">
            <w:pPr>
              <w:pStyle w:val="DETTableTextFinancial"/>
              <w:jc w:val="right"/>
            </w:pPr>
            <w:r w:rsidRPr="0087752B">
              <w:t>130,900</w:t>
            </w:r>
          </w:p>
        </w:tc>
        <w:tc>
          <w:tcPr>
            <w:tcW w:w="708" w:type="dxa"/>
          </w:tcPr>
          <w:p w14:paraId="0B9A5957" w14:textId="77777777" w:rsidR="006016B9" w:rsidRPr="0087752B" w:rsidRDefault="006016B9" w:rsidP="00107DF4">
            <w:pPr>
              <w:pStyle w:val="DETTableTextFinancial"/>
              <w:jc w:val="right"/>
            </w:pPr>
            <w:r w:rsidRPr="0087752B">
              <w:t>116,300</w:t>
            </w:r>
          </w:p>
        </w:tc>
      </w:tr>
      <w:tr w:rsidR="006016B9" w:rsidRPr="0087752B" w14:paraId="1A34F387" w14:textId="77777777" w:rsidTr="00107DF4">
        <w:tc>
          <w:tcPr>
            <w:tcW w:w="7416" w:type="dxa"/>
            <w:gridSpan w:val="7"/>
            <w:shd w:val="clear" w:color="auto" w:fill="auto"/>
            <w:vAlign w:val="center"/>
          </w:tcPr>
          <w:p w14:paraId="3E172D63" w14:textId="77777777" w:rsidR="006016B9" w:rsidRPr="0087752B" w:rsidRDefault="006016B9" w:rsidP="0014546F">
            <w:pPr>
              <w:pStyle w:val="DETTableTextFinancial"/>
              <w:rPr>
                <w:b/>
              </w:rPr>
            </w:pPr>
            <w:r w:rsidRPr="0087752B">
              <w:rPr>
                <w:b/>
              </w:rPr>
              <w:t>VET enrolments by courses in areas of skill demand</w:t>
            </w:r>
          </w:p>
        </w:tc>
      </w:tr>
      <w:tr w:rsidR="006016B9" w:rsidRPr="0087752B" w14:paraId="6BCE320B" w14:textId="77777777" w:rsidTr="00107DF4">
        <w:tc>
          <w:tcPr>
            <w:tcW w:w="3164" w:type="dxa"/>
            <w:shd w:val="clear" w:color="auto" w:fill="auto"/>
            <w:vAlign w:val="center"/>
          </w:tcPr>
          <w:p w14:paraId="7C6F3D3C" w14:textId="77777777" w:rsidR="006016B9" w:rsidRPr="0087752B" w:rsidRDefault="006016B9" w:rsidP="0014546F">
            <w:pPr>
              <w:pStyle w:val="DETTableTextFinancial"/>
            </w:pPr>
            <w:r w:rsidRPr="0087752B">
              <w:t>Government-subsidised enrolments in skill demand occupations</w:t>
            </w:r>
          </w:p>
        </w:tc>
        <w:tc>
          <w:tcPr>
            <w:tcW w:w="709" w:type="dxa"/>
            <w:shd w:val="clear" w:color="auto" w:fill="auto"/>
            <w:vAlign w:val="center"/>
          </w:tcPr>
          <w:p w14:paraId="528D13AB" w14:textId="77777777" w:rsidR="006016B9" w:rsidRPr="0087752B" w:rsidRDefault="006016B9" w:rsidP="00107DF4">
            <w:pPr>
              <w:pStyle w:val="DETTableTextFinancial"/>
              <w:jc w:val="center"/>
            </w:pPr>
            <w:r w:rsidRPr="0087752B">
              <w:t>number</w:t>
            </w:r>
          </w:p>
        </w:tc>
        <w:tc>
          <w:tcPr>
            <w:tcW w:w="708" w:type="dxa"/>
            <w:shd w:val="clear" w:color="auto" w:fill="auto"/>
            <w:vAlign w:val="center"/>
          </w:tcPr>
          <w:p w14:paraId="09385E1E" w14:textId="77777777" w:rsidR="006016B9" w:rsidRPr="0087752B" w:rsidRDefault="006016B9" w:rsidP="00107DF4">
            <w:pPr>
              <w:pStyle w:val="DETTableTextFinancial"/>
              <w:jc w:val="right"/>
            </w:pPr>
            <w:r w:rsidRPr="0087752B">
              <w:t>127,400</w:t>
            </w:r>
          </w:p>
        </w:tc>
        <w:tc>
          <w:tcPr>
            <w:tcW w:w="709" w:type="dxa"/>
            <w:shd w:val="clear" w:color="auto" w:fill="auto"/>
            <w:vAlign w:val="center"/>
          </w:tcPr>
          <w:p w14:paraId="527F53F4" w14:textId="77777777" w:rsidR="006016B9" w:rsidRPr="0087752B" w:rsidRDefault="006016B9" w:rsidP="00107DF4">
            <w:pPr>
              <w:pStyle w:val="DETTableTextFinancial"/>
              <w:jc w:val="right"/>
            </w:pPr>
            <w:r w:rsidRPr="0087752B">
              <w:t>151,500</w:t>
            </w:r>
          </w:p>
        </w:tc>
        <w:tc>
          <w:tcPr>
            <w:tcW w:w="709" w:type="dxa"/>
            <w:shd w:val="clear" w:color="auto" w:fill="auto"/>
            <w:vAlign w:val="center"/>
          </w:tcPr>
          <w:p w14:paraId="79C4942D" w14:textId="77777777" w:rsidR="006016B9" w:rsidRPr="0087752B" w:rsidRDefault="006016B9" w:rsidP="00107DF4">
            <w:pPr>
              <w:pStyle w:val="DETTableTextFinancial"/>
              <w:jc w:val="right"/>
            </w:pPr>
            <w:r w:rsidRPr="0087752B">
              <w:t>153,000</w:t>
            </w:r>
          </w:p>
        </w:tc>
        <w:tc>
          <w:tcPr>
            <w:tcW w:w="709" w:type="dxa"/>
            <w:shd w:val="clear" w:color="auto" w:fill="auto"/>
            <w:vAlign w:val="center"/>
          </w:tcPr>
          <w:p w14:paraId="057568B4" w14:textId="77777777" w:rsidR="006016B9" w:rsidRPr="0087752B" w:rsidRDefault="006016B9" w:rsidP="00107DF4">
            <w:pPr>
              <w:pStyle w:val="DETTableTextFinancial"/>
              <w:jc w:val="right"/>
            </w:pPr>
            <w:r w:rsidRPr="0087752B">
              <w:t>166,600</w:t>
            </w:r>
          </w:p>
        </w:tc>
        <w:tc>
          <w:tcPr>
            <w:tcW w:w="708" w:type="dxa"/>
            <w:vAlign w:val="center"/>
          </w:tcPr>
          <w:p w14:paraId="043E79AA" w14:textId="77777777" w:rsidR="006016B9" w:rsidRPr="0087752B" w:rsidRDefault="006016B9" w:rsidP="00107DF4">
            <w:pPr>
              <w:pStyle w:val="DETTableTextFinancial"/>
              <w:jc w:val="right"/>
            </w:pPr>
            <w:r w:rsidRPr="0087752B">
              <w:t>148,100</w:t>
            </w:r>
          </w:p>
        </w:tc>
      </w:tr>
      <w:tr w:rsidR="006016B9" w:rsidRPr="0087752B" w14:paraId="44C100FD" w14:textId="77777777" w:rsidTr="00107DF4">
        <w:tc>
          <w:tcPr>
            <w:tcW w:w="7416" w:type="dxa"/>
            <w:gridSpan w:val="7"/>
            <w:shd w:val="clear" w:color="auto" w:fill="auto"/>
            <w:vAlign w:val="center"/>
          </w:tcPr>
          <w:p w14:paraId="6062AE2E" w14:textId="77777777" w:rsidR="006016B9" w:rsidRPr="0087752B" w:rsidRDefault="006016B9" w:rsidP="0014546F">
            <w:pPr>
              <w:pStyle w:val="DETTableTextFinancial"/>
              <w:rPr>
                <w:b/>
              </w:rPr>
            </w:pPr>
            <w:r w:rsidRPr="0087752B">
              <w:rPr>
                <w:b/>
              </w:rPr>
              <w:t>VET enrolments by specialised category courses</w:t>
            </w:r>
          </w:p>
        </w:tc>
      </w:tr>
      <w:tr w:rsidR="006016B9" w:rsidRPr="0087752B" w14:paraId="6B3F3A46" w14:textId="77777777" w:rsidTr="00107DF4">
        <w:tc>
          <w:tcPr>
            <w:tcW w:w="3164" w:type="dxa"/>
            <w:shd w:val="clear" w:color="auto" w:fill="auto"/>
            <w:vAlign w:val="center"/>
          </w:tcPr>
          <w:p w14:paraId="3B4FC16D" w14:textId="77777777" w:rsidR="006016B9" w:rsidRPr="005C767D" w:rsidRDefault="006016B9" w:rsidP="0014546F">
            <w:pPr>
              <w:pStyle w:val="DETTableTextFinancial"/>
            </w:pPr>
            <w:r w:rsidRPr="0087752B">
              <w:t>Government-subsidised enrolments in specialist occupations</w:t>
            </w:r>
            <w:r w:rsidRPr="005C767D">
              <w:rPr>
                <w:rStyle w:val="FootnoteReference"/>
              </w:rPr>
              <w:footnoteReference w:id="24"/>
            </w:r>
          </w:p>
        </w:tc>
        <w:tc>
          <w:tcPr>
            <w:tcW w:w="709" w:type="dxa"/>
            <w:shd w:val="clear" w:color="auto" w:fill="auto"/>
            <w:vAlign w:val="center"/>
          </w:tcPr>
          <w:p w14:paraId="7DBC526D" w14:textId="77777777" w:rsidR="006016B9" w:rsidRPr="0087752B" w:rsidRDefault="006016B9" w:rsidP="00107DF4">
            <w:pPr>
              <w:pStyle w:val="DETTableTextFinancial"/>
              <w:jc w:val="center"/>
            </w:pPr>
            <w:r w:rsidRPr="0087752B">
              <w:t>number</w:t>
            </w:r>
          </w:p>
        </w:tc>
        <w:tc>
          <w:tcPr>
            <w:tcW w:w="708" w:type="dxa"/>
            <w:shd w:val="clear" w:color="auto" w:fill="auto"/>
            <w:vAlign w:val="center"/>
          </w:tcPr>
          <w:p w14:paraId="3CB32C04" w14:textId="77777777" w:rsidR="006016B9" w:rsidRPr="0087752B" w:rsidRDefault="006016B9" w:rsidP="00107DF4">
            <w:pPr>
              <w:pStyle w:val="DETTableTextFinancial"/>
              <w:jc w:val="right"/>
            </w:pPr>
            <w:r w:rsidRPr="0087752B">
              <w:t>71,000</w:t>
            </w:r>
          </w:p>
        </w:tc>
        <w:tc>
          <w:tcPr>
            <w:tcW w:w="709" w:type="dxa"/>
            <w:shd w:val="clear" w:color="auto" w:fill="auto"/>
            <w:vAlign w:val="center"/>
          </w:tcPr>
          <w:p w14:paraId="40AC5837" w14:textId="77777777" w:rsidR="006016B9" w:rsidRPr="0087752B" w:rsidRDefault="006016B9" w:rsidP="00107DF4">
            <w:pPr>
              <w:pStyle w:val="DETTableTextFinancial"/>
              <w:jc w:val="right"/>
            </w:pPr>
            <w:r w:rsidRPr="0087752B">
              <w:t>79,300</w:t>
            </w:r>
          </w:p>
        </w:tc>
        <w:tc>
          <w:tcPr>
            <w:tcW w:w="709" w:type="dxa"/>
            <w:shd w:val="clear" w:color="auto" w:fill="auto"/>
            <w:vAlign w:val="center"/>
          </w:tcPr>
          <w:p w14:paraId="2EC109C0" w14:textId="77777777" w:rsidR="006016B9" w:rsidRPr="0087752B" w:rsidRDefault="006016B9" w:rsidP="00107DF4">
            <w:pPr>
              <w:pStyle w:val="DETTableTextFinancial"/>
              <w:jc w:val="right"/>
            </w:pPr>
            <w:r w:rsidRPr="0087752B">
              <w:t>89,600</w:t>
            </w:r>
          </w:p>
        </w:tc>
        <w:tc>
          <w:tcPr>
            <w:tcW w:w="709" w:type="dxa"/>
            <w:shd w:val="clear" w:color="auto" w:fill="auto"/>
            <w:vAlign w:val="center"/>
          </w:tcPr>
          <w:p w14:paraId="3E9FE770" w14:textId="77777777" w:rsidR="006016B9" w:rsidRPr="0087752B" w:rsidRDefault="006016B9" w:rsidP="00107DF4">
            <w:pPr>
              <w:pStyle w:val="DETTableTextFinancial"/>
              <w:jc w:val="right"/>
            </w:pPr>
            <w:r w:rsidRPr="0087752B">
              <w:t>88,900</w:t>
            </w:r>
          </w:p>
        </w:tc>
        <w:tc>
          <w:tcPr>
            <w:tcW w:w="708" w:type="dxa"/>
            <w:vAlign w:val="center"/>
          </w:tcPr>
          <w:p w14:paraId="177E819E" w14:textId="77777777" w:rsidR="006016B9" w:rsidRPr="0087752B" w:rsidRDefault="006016B9" w:rsidP="00107DF4">
            <w:pPr>
              <w:pStyle w:val="DETTableTextFinancial"/>
              <w:jc w:val="right"/>
            </w:pPr>
            <w:r w:rsidRPr="0087752B">
              <w:t>83,800</w:t>
            </w:r>
          </w:p>
        </w:tc>
      </w:tr>
      <w:tr w:rsidR="006016B9" w:rsidRPr="0087752B" w14:paraId="1816A726" w14:textId="77777777" w:rsidTr="00107DF4">
        <w:tc>
          <w:tcPr>
            <w:tcW w:w="7416" w:type="dxa"/>
            <w:gridSpan w:val="7"/>
            <w:shd w:val="clear" w:color="auto" w:fill="auto"/>
            <w:vAlign w:val="center"/>
          </w:tcPr>
          <w:p w14:paraId="73AB9240" w14:textId="77777777" w:rsidR="006016B9" w:rsidRPr="0087752B" w:rsidRDefault="006016B9" w:rsidP="0014546F">
            <w:pPr>
              <w:pStyle w:val="DETTableTextFinancial"/>
              <w:rPr>
                <w:b/>
              </w:rPr>
            </w:pPr>
            <w:r w:rsidRPr="0087752B">
              <w:rPr>
                <w:b/>
              </w:rPr>
              <w:t>VET participation by learners facing barriers</w:t>
            </w:r>
          </w:p>
        </w:tc>
      </w:tr>
      <w:tr w:rsidR="006016B9" w:rsidRPr="0087752B" w14:paraId="671BCB3F" w14:textId="77777777" w:rsidTr="00107DF4">
        <w:tc>
          <w:tcPr>
            <w:tcW w:w="3164" w:type="dxa"/>
            <w:tcBorders>
              <w:bottom w:val="single" w:sz="4" w:space="0" w:color="auto"/>
            </w:tcBorders>
            <w:shd w:val="clear" w:color="auto" w:fill="auto"/>
            <w:vAlign w:val="center"/>
          </w:tcPr>
          <w:p w14:paraId="3817270F" w14:textId="77777777" w:rsidR="006016B9" w:rsidRPr="0087752B" w:rsidRDefault="006016B9" w:rsidP="0014546F">
            <w:pPr>
              <w:pStyle w:val="DETTableTextFinancial"/>
            </w:pPr>
            <w:r w:rsidRPr="0087752B">
              <w:t>VET participation by unemployed learners</w:t>
            </w:r>
          </w:p>
        </w:tc>
        <w:tc>
          <w:tcPr>
            <w:tcW w:w="709" w:type="dxa"/>
            <w:tcBorders>
              <w:bottom w:val="single" w:sz="4" w:space="0" w:color="auto"/>
            </w:tcBorders>
            <w:shd w:val="clear" w:color="auto" w:fill="auto"/>
          </w:tcPr>
          <w:p w14:paraId="6B424483" w14:textId="77777777" w:rsidR="006016B9" w:rsidRPr="0087752B" w:rsidRDefault="006016B9" w:rsidP="00107DF4">
            <w:pPr>
              <w:pStyle w:val="DETTableTextFinancial"/>
              <w:jc w:val="center"/>
            </w:pPr>
            <w:r w:rsidRPr="0087752B">
              <w:t>number</w:t>
            </w:r>
          </w:p>
        </w:tc>
        <w:tc>
          <w:tcPr>
            <w:tcW w:w="708" w:type="dxa"/>
            <w:tcBorders>
              <w:bottom w:val="single" w:sz="4" w:space="0" w:color="auto"/>
            </w:tcBorders>
            <w:shd w:val="clear" w:color="auto" w:fill="auto"/>
            <w:vAlign w:val="center"/>
          </w:tcPr>
          <w:p w14:paraId="684B3C2A" w14:textId="77777777" w:rsidR="006016B9" w:rsidRPr="0087752B" w:rsidRDefault="006016B9" w:rsidP="00107DF4">
            <w:pPr>
              <w:pStyle w:val="DETTableTextFinancial"/>
              <w:jc w:val="right"/>
            </w:pPr>
            <w:r w:rsidRPr="0087752B">
              <w:t>89,300</w:t>
            </w:r>
          </w:p>
        </w:tc>
        <w:tc>
          <w:tcPr>
            <w:tcW w:w="709" w:type="dxa"/>
            <w:tcBorders>
              <w:bottom w:val="single" w:sz="4" w:space="0" w:color="auto"/>
            </w:tcBorders>
            <w:shd w:val="clear" w:color="auto" w:fill="auto"/>
            <w:vAlign w:val="center"/>
          </w:tcPr>
          <w:p w14:paraId="29500AB9" w14:textId="77777777" w:rsidR="006016B9" w:rsidRPr="0087752B" w:rsidRDefault="006016B9" w:rsidP="00107DF4">
            <w:pPr>
              <w:pStyle w:val="DETTableTextFinancial"/>
              <w:jc w:val="right"/>
            </w:pPr>
            <w:r w:rsidRPr="0087752B">
              <w:t>118,500</w:t>
            </w:r>
          </w:p>
        </w:tc>
        <w:tc>
          <w:tcPr>
            <w:tcW w:w="709" w:type="dxa"/>
            <w:tcBorders>
              <w:bottom w:val="single" w:sz="4" w:space="0" w:color="auto"/>
            </w:tcBorders>
            <w:shd w:val="clear" w:color="auto" w:fill="auto"/>
            <w:vAlign w:val="center"/>
          </w:tcPr>
          <w:p w14:paraId="7EB83185" w14:textId="77777777" w:rsidR="006016B9" w:rsidRPr="0087752B" w:rsidRDefault="006016B9" w:rsidP="00107DF4">
            <w:pPr>
              <w:pStyle w:val="DETTableTextFinancial"/>
              <w:jc w:val="right"/>
            </w:pPr>
            <w:r w:rsidRPr="0087752B">
              <w:t>135,000</w:t>
            </w:r>
          </w:p>
        </w:tc>
        <w:tc>
          <w:tcPr>
            <w:tcW w:w="709" w:type="dxa"/>
            <w:tcBorders>
              <w:bottom w:val="single" w:sz="4" w:space="0" w:color="auto"/>
            </w:tcBorders>
            <w:shd w:val="clear" w:color="auto" w:fill="auto"/>
            <w:vAlign w:val="center"/>
          </w:tcPr>
          <w:p w14:paraId="7B50C51B" w14:textId="77777777" w:rsidR="006016B9" w:rsidRPr="0087752B" w:rsidRDefault="006016B9" w:rsidP="00107DF4">
            <w:pPr>
              <w:pStyle w:val="DETTableTextFinancial"/>
              <w:jc w:val="right"/>
            </w:pPr>
            <w:r w:rsidRPr="0087752B">
              <w:t>135,900</w:t>
            </w:r>
          </w:p>
        </w:tc>
        <w:tc>
          <w:tcPr>
            <w:tcW w:w="708" w:type="dxa"/>
            <w:tcBorders>
              <w:bottom w:val="single" w:sz="4" w:space="0" w:color="auto"/>
            </w:tcBorders>
            <w:vAlign w:val="center"/>
          </w:tcPr>
          <w:p w14:paraId="64A69E82" w14:textId="77777777" w:rsidR="006016B9" w:rsidRPr="0087752B" w:rsidRDefault="006016B9" w:rsidP="00107DF4">
            <w:pPr>
              <w:pStyle w:val="DETTableTextFinancial"/>
              <w:jc w:val="right"/>
            </w:pPr>
            <w:r w:rsidRPr="0087752B">
              <w:t>113,200</w:t>
            </w:r>
          </w:p>
        </w:tc>
      </w:tr>
    </w:tbl>
    <w:p w14:paraId="305130EA" w14:textId="77777777" w:rsidR="006016B9" w:rsidRPr="0087752B" w:rsidRDefault="006016B9" w:rsidP="006016B9">
      <w:pPr>
        <w:sectPr w:rsidR="006016B9" w:rsidRPr="0087752B" w:rsidSect="006016B9">
          <w:footnotePr>
            <w:numRestart w:val="eachSect"/>
          </w:footnotePr>
          <w:pgSz w:w="11906" w:h="16838" w:code="9"/>
          <w:pgMar w:top="1440" w:right="1701" w:bottom="1440" w:left="2835" w:header="851" w:footer="567" w:gutter="0"/>
          <w:cols w:space="567"/>
          <w:docGrid w:linePitch="360"/>
        </w:sectPr>
      </w:pPr>
    </w:p>
    <w:p w14:paraId="35CE529B" w14:textId="77777777" w:rsidR="006016B9" w:rsidRPr="0087752B" w:rsidRDefault="006016B9" w:rsidP="003447A9">
      <w:pPr>
        <w:pStyle w:val="Heading3"/>
      </w:pPr>
      <w:r w:rsidRPr="0087752B">
        <w:lastRenderedPageBreak/>
        <w:t>Wellbeing</w:t>
      </w:r>
    </w:p>
    <w:p w14:paraId="4743D6BB" w14:textId="7DA04554" w:rsidR="006016B9" w:rsidRPr="00127B23" w:rsidRDefault="006016B9" w:rsidP="006016B9">
      <w:pPr>
        <w:rPr>
          <w:rStyle w:val="SubtleEmphasis"/>
        </w:rPr>
      </w:pPr>
      <w:r w:rsidRPr="00127B23">
        <w:rPr>
          <w:rStyle w:val="SubtleEmphasis"/>
        </w:rPr>
        <w:t>Increase the contribution that education, development and child health services make to Victorians’ good health and quality of life</w:t>
      </w:r>
      <w:r w:rsidR="006229D5" w:rsidRPr="005C767D">
        <w:rPr>
          <w:rStyle w:val="SubtleEmphasis"/>
        </w:rPr>
        <w:t>,</w:t>
      </w:r>
      <w:r w:rsidRPr="00127B23">
        <w:rPr>
          <w:rStyle w:val="SubtleEmphasis"/>
        </w:rPr>
        <w:t xml:space="preserve"> particularly children and young people.</w:t>
      </w:r>
    </w:p>
    <w:tbl>
      <w:tblPr>
        <w:tblW w:w="5000" w:type="pct"/>
        <w:tblCellMar>
          <w:left w:w="45" w:type="dxa"/>
          <w:right w:w="45" w:type="dxa"/>
        </w:tblCellMar>
        <w:tblLook w:val="0000" w:firstRow="0" w:lastRow="0" w:firstColumn="0" w:lastColumn="0" w:noHBand="0" w:noVBand="0"/>
      </w:tblPr>
      <w:tblGrid>
        <w:gridCol w:w="3873"/>
        <w:gridCol w:w="797"/>
        <w:gridCol w:w="558"/>
        <w:gridCol w:w="558"/>
        <w:gridCol w:w="558"/>
        <w:gridCol w:w="558"/>
        <w:gridCol w:w="558"/>
      </w:tblGrid>
      <w:tr w:rsidR="006016B9" w:rsidRPr="0087752B" w14:paraId="09969A5F" w14:textId="77777777" w:rsidTr="003447A9">
        <w:tc>
          <w:tcPr>
            <w:tcW w:w="2596" w:type="pct"/>
            <w:shd w:val="clear" w:color="auto" w:fill="A6A6A6" w:themeFill="background1" w:themeFillShade="A6"/>
          </w:tcPr>
          <w:p w14:paraId="3C3F1389" w14:textId="77777777" w:rsidR="006016B9" w:rsidRPr="005C767D" w:rsidRDefault="006016B9" w:rsidP="003447A9">
            <w:pPr>
              <w:pStyle w:val="DETTablecolumnheading"/>
              <w:jc w:val="left"/>
            </w:pPr>
            <w:r w:rsidRPr="005C767D">
              <w:t>Indicators</w:t>
            </w:r>
          </w:p>
        </w:tc>
        <w:tc>
          <w:tcPr>
            <w:tcW w:w="534" w:type="pct"/>
            <w:shd w:val="clear" w:color="auto" w:fill="A6A6A6" w:themeFill="background1" w:themeFillShade="A6"/>
          </w:tcPr>
          <w:p w14:paraId="5ADD3E44" w14:textId="77777777" w:rsidR="006016B9" w:rsidRPr="0087752B" w:rsidRDefault="006016B9" w:rsidP="003447A9">
            <w:pPr>
              <w:pStyle w:val="DETTablecolumnheading"/>
            </w:pPr>
            <w:r w:rsidRPr="0087752B">
              <w:t>Unit</w:t>
            </w:r>
          </w:p>
        </w:tc>
        <w:tc>
          <w:tcPr>
            <w:tcW w:w="374" w:type="pct"/>
            <w:shd w:val="clear" w:color="auto" w:fill="A6A6A6" w:themeFill="background1" w:themeFillShade="A6"/>
          </w:tcPr>
          <w:p w14:paraId="74AAAC30" w14:textId="77777777" w:rsidR="006016B9" w:rsidRPr="0087752B" w:rsidRDefault="006016B9" w:rsidP="003447A9">
            <w:pPr>
              <w:pStyle w:val="DETTablecolumnheading"/>
            </w:pPr>
            <w:r w:rsidRPr="0087752B">
              <w:t>2011</w:t>
            </w:r>
          </w:p>
        </w:tc>
        <w:tc>
          <w:tcPr>
            <w:tcW w:w="374" w:type="pct"/>
            <w:shd w:val="clear" w:color="auto" w:fill="A6A6A6" w:themeFill="background1" w:themeFillShade="A6"/>
          </w:tcPr>
          <w:p w14:paraId="529CA672" w14:textId="77777777" w:rsidR="006016B9" w:rsidRPr="0087752B" w:rsidRDefault="006016B9" w:rsidP="003447A9">
            <w:pPr>
              <w:pStyle w:val="DETTablecolumnheading"/>
            </w:pPr>
            <w:r w:rsidRPr="0087752B">
              <w:t>2012</w:t>
            </w:r>
          </w:p>
        </w:tc>
        <w:tc>
          <w:tcPr>
            <w:tcW w:w="374" w:type="pct"/>
            <w:shd w:val="clear" w:color="auto" w:fill="A6A6A6" w:themeFill="background1" w:themeFillShade="A6"/>
          </w:tcPr>
          <w:p w14:paraId="5EAA4ABD" w14:textId="77777777" w:rsidR="006016B9" w:rsidRPr="0087752B" w:rsidRDefault="006016B9" w:rsidP="003447A9">
            <w:pPr>
              <w:pStyle w:val="DETTablecolumnheading"/>
            </w:pPr>
            <w:r w:rsidRPr="0087752B">
              <w:t>2013</w:t>
            </w:r>
          </w:p>
        </w:tc>
        <w:tc>
          <w:tcPr>
            <w:tcW w:w="374" w:type="pct"/>
            <w:shd w:val="clear" w:color="auto" w:fill="A6A6A6" w:themeFill="background1" w:themeFillShade="A6"/>
          </w:tcPr>
          <w:p w14:paraId="46022102" w14:textId="77777777" w:rsidR="006016B9" w:rsidRPr="0087752B" w:rsidRDefault="006016B9" w:rsidP="003447A9">
            <w:pPr>
              <w:pStyle w:val="DETTablecolumnheading"/>
            </w:pPr>
            <w:r w:rsidRPr="0087752B">
              <w:t>2014</w:t>
            </w:r>
          </w:p>
        </w:tc>
        <w:tc>
          <w:tcPr>
            <w:tcW w:w="374" w:type="pct"/>
            <w:shd w:val="clear" w:color="auto" w:fill="A6A6A6" w:themeFill="background1" w:themeFillShade="A6"/>
          </w:tcPr>
          <w:p w14:paraId="5AB9163A" w14:textId="77777777" w:rsidR="006016B9" w:rsidRPr="0087752B" w:rsidRDefault="006016B9" w:rsidP="003447A9">
            <w:pPr>
              <w:pStyle w:val="DETTablecolumnheading"/>
            </w:pPr>
            <w:r w:rsidRPr="0087752B">
              <w:t>2015</w:t>
            </w:r>
          </w:p>
        </w:tc>
      </w:tr>
      <w:tr w:rsidR="006016B9" w:rsidRPr="0087752B" w14:paraId="11077158" w14:textId="77777777" w:rsidTr="003447A9">
        <w:tc>
          <w:tcPr>
            <w:tcW w:w="5000" w:type="pct"/>
            <w:gridSpan w:val="7"/>
            <w:shd w:val="clear" w:color="auto" w:fill="7F7F7F" w:themeFill="text1" w:themeFillTint="80"/>
          </w:tcPr>
          <w:p w14:paraId="71ACE62E" w14:textId="77777777" w:rsidR="006016B9" w:rsidRPr="0087752B" w:rsidRDefault="006016B9" w:rsidP="003447A9">
            <w:pPr>
              <w:pStyle w:val="DETTablecolumnheading"/>
              <w:jc w:val="left"/>
            </w:pPr>
            <w:r w:rsidRPr="0087752B">
              <w:t>Early childhood development</w:t>
            </w:r>
          </w:p>
        </w:tc>
      </w:tr>
      <w:tr w:rsidR="006016B9" w:rsidRPr="0087752B" w14:paraId="775998A2" w14:textId="77777777" w:rsidTr="006016B9">
        <w:tc>
          <w:tcPr>
            <w:tcW w:w="5000" w:type="pct"/>
            <w:gridSpan w:val="7"/>
            <w:shd w:val="clear" w:color="auto" w:fill="auto"/>
          </w:tcPr>
          <w:p w14:paraId="6593EF8B" w14:textId="77777777" w:rsidR="006016B9" w:rsidRPr="005C767D" w:rsidRDefault="006016B9" w:rsidP="003447A9">
            <w:pPr>
              <w:pStyle w:val="DETTableTextFinancial"/>
              <w:rPr>
                <w:b/>
              </w:rPr>
            </w:pPr>
            <w:r w:rsidRPr="0087752B">
              <w:rPr>
                <w:b/>
              </w:rPr>
              <w:t>Proportion of Infants fully or partially breastfed at 3 and 6 months</w:t>
            </w:r>
            <w:r w:rsidRPr="005C767D">
              <w:rPr>
                <w:rStyle w:val="FootnoteReference"/>
              </w:rPr>
              <w:footnoteReference w:id="25"/>
            </w:r>
          </w:p>
        </w:tc>
      </w:tr>
      <w:tr w:rsidR="004D1C46" w:rsidRPr="0087752B" w14:paraId="53D86A92" w14:textId="77777777" w:rsidTr="006016B9">
        <w:tc>
          <w:tcPr>
            <w:tcW w:w="2596" w:type="pct"/>
            <w:shd w:val="clear" w:color="auto" w:fill="auto"/>
          </w:tcPr>
          <w:p w14:paraId="434189B2" w14:textId="77777777" w:rsidR="004D1C46" w:rsidRPr="0087752B" w:rsidRDefault="004D1C46" w:rsidP="004D1C46">
            <w:pPr>
              <w:pStyle w:val="DETTableTextFinancial"/>
            </w:pPr>
            <w:r w:rsidRPr="0087752B">
              <w:t>Infants fully breastfed at 3 months</w:t>
            </w:r>
          </w:p>
        </w:tc>
        <w:tc>
          <w:tcPr>
            <w:tcW w:w="534" w:type="pct"/>
            <w:shd w:val="clear" w:color="auto" w:fill="auto"/>
          </w:tcPr>
          <w:p w14:paraId="444C3B78" w14:textId="77777777" w:rsidR="004D1C46" w:rsidRPr="0087752B" w:rsidRDefault="004D1C46" w:rsidP="004D1C46">
            <w:pPr>
              <w:pStyle w:val="DETTableTextFinancial"/>
            </w:pPr>
            <w:r w:rsidRPr="0087752B">
              <w:t>per cent</w:t>
            </w:r>
          </w:p>
        </w:tc>
        <w:tc>
          <w:tcPr>
            <w:tcW w:w="374" w:type="pct"/>
            <w:shd w:val="clear" w:color="auto" w:fill="auto"/>
          </w:tcPr>
          <w:p w14:paraId="3B924136" w14:textId="77777777" w:rsidR="004D1C46" w:rsidRPr="0087752B" w:rsidRDefault="004D1C46" w:rsidP="004D1C46">
            <w:pPr>
              <w:pStyle w:val="DETTableTextFinancial"/>
              <w:jc w:val="right"/>
            </w:pPr>
            <w:r w:rsidRPr="0087752B">
              <w:t>51.7</w:t>
            </w:r>
          </w:p>
        </w:tc>
        <w:tc>
          <w:tcPr>
            <w:tcW w:w="374" w:type="pct"/>
            <w:shd w:val="clear" w:color="auto" w:fill="auto"/>
          </w:tcPr>
          <w:p w14:paraId="74DC8D8E" w14:textId="77777777" w:rsidR="004D1C46" w:rsidRPr="0087752B" w:rsidRDefault="004D1C46" w:rsidP="004D1C46">
            <w:pPr>
              <w:pStyle w:val="DETTableTextFinancial"/>
              <w:jc w:val="right"/>
            </w:pPr>
            <w:r w:rsidRPr="0087752B">
              <w:t>51.0</w:t>
            </w:r>
          </w:p>
        </w:tc>
        <w:tc>
          <w:tcPr>
            <w:tcW w:w="374" w:type="pct"/>
            <w:shd w:val="clear" w:color="auto" w:fill="auto"/>
          </w:tcPr>
          <w:p w14:paraId="4C2F71BA" w14:textId="77777777" w:rsidR="004D1C46" w:rsidRPr="0087752B" w:rsidRDefault="004D1C46" w:rsidP="004D1C46">
            <w:pPr>
              <w:pStyle w:val="DETTableTextFinancial"/>
              <w:jc w:val="right"/>
            </w:pPr>
            <w:r w:rsidRPr="0087752B">
              <w:t>50.6</w:t>
            </w:r>
          </w:p>
        </w:tc>
        <w:tc>
          <w:tcPr>
            <w:tcW w:w="374" w:type="pct"/>
            <w:shd w:val="clear" w:color="auto" w:fill="auto"/>
          </w:tcPr>
          <w:p w14:paraId="532AD133" w14:textId="77777777" w:rsidR="004D1C46" w:rsidRPr="0087752B" w:rsidRDefault="004D1C46" w:rsidP="004D1C46">
            <w:pPr>
              <w:pStyle w:val="DETTableTextFinancial"/>
              <w:jc w:val="right"/>
            </w:pPr>
            <w:r w:rsidRPr="0087752B">
              <w:t>51.4</w:t>
            </w:r>
          </w:p>
        </w:tc>
        <w:tc>
          <w:tcPr>
            <w:tcW w:w="374" w:type="pct"/>
          </w:tcPr>
          <w:p w14:paraId="2CA86932" w14:textId="0582F296" w:rsidR="004D1C46" w:rsidRPr="0087752B" w:rsidRDefault="004D1C46" w:rsidP="004D1C46">
            <w:pPr>
              <w:pStyle w:val="DETTableTextFinancial"/>
              <w:jc w:val="right"/>
            </w:pPr>
            <w:r w:rsidRPr="002C0E80">
              <w:t>–</w:t>
            </w:r>
          </w:p>
        </w:tc>
      </w:tr>
      <w:tr w:rsidR="004D1C46" w:rsidRPr="0087752B" w14:paraId="7DBE67C9" w14:textId="77777777" w:rsidTr="006016B9">
        <w:tc>
          <w:tcPr>
            <w:tcW w:w="2596" w:type="pct"/>
            <w:shd w:val="clear" w:color="auto" w:fill="auto"/>
          </w:tcPr>
          <w:p w14:paraId="307D40DA" w14:textId="77777777" w:rsidR="004D1C46" w:rsidRPr="0087752B" w:rsidRDefault="004D1C46" w:rsidP="004D1C46">
            <w:pPr>
              <w:pStyle w:val="DETTableTextFinancial"/>
            </w:pPr>
            <w:r w:rsidRPr="0087752B">
              <w:t>Infants partly breastfed at 3 months</w:t>
            </w:r>
          </w:p>
        </w:tc>
        <w:tc>
          <w:tcPr>
            <w:tcW w:w="534" w:type="pct"/>
            <w:shd w:val="clear" w:color="auto" w:fill="auto"/>
          </w:tcPr>
          <w:p w14:paraId="502DAE8E" w14:textId="77777777" w:rsidR="004D1C46" w:rsidRPr="0087752B" w:rsidRDefault="004D1C46" w:rsidP="004D1C46">
            <w:pPr>
              <w:pStyle w:val="DETTableTextFinancial"/>
            </w:pPr>
            <w:r w:rsidRPr="0087752B">
              <w:t>per cent</w:t>
            </w:r>
          </w:p>
        </w:tc>
        <w:tc>
          <w:tcPr>
            <w:tcW w:w="374" w:type="pct"/>
            <w:shd w:val="clear" w:color="auto" w:fill="auto"/>
          </w:tcPr>
          <w:p w14:paraId="038E62BE" w14:textId="77777777" w:rsidR="004D1C46" w:rsidRPr="0087752B" w:rsidRDefault="004D1C46" w:rsidP="004D1C46">
            <w:pPr>
              <w:pStyle w:val="DETTableTextFinancial"/>
              <w:jc w:val="right"/>
            </w:pPr>
            <w:r w:rsidRPr="0087752B">
              <w:t>11.4</w:t>
            </w:r>
          </w:p>
        </w:tc>
        <w:tc>
          <w:tcPr>
            <w:tcW w:w="374" w:type="pct"/>
            <w:shd w:val="clear" w:color="auto" w:fill="auto"/>
          </w:tcPr>
          <w:p w14:paraId="086ECEBF" w14:textId="77777777" w:rsidR="004D1C46" w:rsidRPr="0087752B" w:rsidRDefault="004D1C46" w:rsidP="004D1C46">
            <w:pPr>
              <w:pStyle w:val="DETTableTextFinancial"/>
              <w:jc w:val="right"/>
            </w:pPr>
            <w:r w:rsidRPr="0087752B">
              <w:t>12.1</w:t>
            </w:r>
          </w:p>
        </w:tc>
        <w:tc>
          <w:tcPr>
            <w:tcW w:w="374" w:type="pct"/>
            <w:shd w:val="clear" w:color="auto" w:fill="auto"/>
          </w:tcPr>
          <w:p w14:paraId="1DFE1FF3" w14:textId="77777777" w:rsidR="004D1C46" w:rsidRPr="0087752B" w:rsidRDefault="004D1C46" w:rsidP="004D1C46">
            <w:pPr>
              <w:pStyle w:val="DETTableTextFinancial"/>
              <w:jc w:val="right"/>
            </w:pPr>
            <w:r w:rsidRPr="0087752B">
              <w:t>12.7</w:t>
            </w:r>
          </w:p>
        </w:tc>
        <w:tc>
          <w:tcPr>
            <w:tcW w:w="374" w:type="pct"/>
            <w:shd w:val="clear" w:color="auto" w:fill="auto"/>
          </w:tcPr>
          <w:p w14:paraId="391C6759" w14:textId="77777777" w:rsidR="004D1C46" w:rsidRPr="0087752B" w:rsidRDefault="004D1C46" w:rsidP="004D1C46">
            <w:pPr>
              <w:pStyle w:val="DETTableTextFinancial"/>
              <w:jc w:val="right"/>
            </w:pPr>
            <w:r w:rsidRPr="0087752B">
              <w:t>13.1</w:t>
            </w:r>
          </w:p>
        </w:tc>
        <w:tc>
          <w:tcPr>
            <w:tcW w:w="374" w:type="pct"/>
          </w:tcPr>
          <w:p w14:paraId="11B59268" w14:textId="0BA12502" w:rsidR="004D1C46" w:rsidRPr="0087752B" w:rsidRDefault="004D1C46" w:rsidP="004D1C46">
            <w:pPr>
              <w:pStyle w:val="DETTableTextFinancial"/>
              <w:jc w:val="right"/>
            </w:pPr>
            <w:r w:rsidRPr="002C0E80">
              <w:t>–</w:t>
            </w:r>
          </w:p>
        </w:tc>
      </w:tr>
      <w:tr w:rsidR="004D1C46" w:rsidRPr="0087752B" w14:paraId="1C5CC58A" w14:textId="77777777" w:rsidTr="006016B9">
        <w:tc>
          <w:tcPr>
            <w:tcW w:w="2596" w:type="pct"/>
            <w:shd w:val="clear" w:color="auto" w:fill="auto"/>
          </w:tcPr>
          <w:p w14:paraId="0CA07937" w14:textId="77777777" w:rsidR="004D1C46" w:rsidRPr="0087752B" w:rsidRDefault="004D1C46" w:rsidP="004D1C46">
            <w:pPr>
              <w:pStyle w:val="DETTableTextFinancial"/>
            </w:pPr>
            <w:r w:rsidRPr="0087752B">
              <w:t>Infants fully breastfed at 6 months</w:t>
            </w:r>
          </w:p>
        </w:tc>
        <w:tc>
          <w:tcPr>
            <w:tcW w:w="534" w:type="pct"/>
            <w:shd w:val="clear" w:color="auto" w:fill="auto"/>
          </w:tcPr>
          <w:p w14:paraId="0356FBBD" w14:textId="77777777" w:rsidR="004D1C46" w:rsidRPr="0087752B" w:rsidRDefault="004D1C46" w:rsidP="004D1C46">
            <w:pPr>
              <w:pStyle w:val="DETTableTextFinancial"/>
            </w:pPr>
            <w:r w:rsidRPr="0087752B">
              <w:t>per cent</w:t>
            </w:r>
          </w:p>
        </w:tc>
        <w:tc>
          <w:tcPr>
            <w:tcW w:w="374" w:type="pct"/>
            <w:shd w:val="clear" w:color="auto" w:fill="auto"/>
          </w:tcPr>
          <w:p w14:paraId="3B044373" w14:textId="77777777" w:rsidR="004D1C46" w:rsidRPr="0087752B" w:rsidRDefault="004D1C46" w:rsidP="004D1C46">
            <w:pPr>
              <w:pStyle w:val="DETTableTextFinancial"/>
              <w:jc w:val="right"/>
            </w:pPr>
            <w:r w:rsidRPr="0087752B">
              <w:t>34.8</w:t>
            </w:r>
          </w:p>
        </w:tc>
        <w:tc>
          <w:tcPr>
            <w:tcW w:w="374" w:type="pct"/>
            <w:shd w:val="clear" w:color="auto" w:fill="auto"/>
          </w:tcPr>
          <w:p w14:paraId="2D9C58B0" w14:textId="77777777" w:rsidR="004D1C46" w:rsidRPr="0087752B" w:rsidRDefault="004D1C46" w:rsidP="004D1C46">
            <w:pPr>
              <w:pStyle w:val="DETTableTextFinancial"/>
              <w:jc w:val="right"/>
            </w:pPr>
            <w:r w:rsidRPr="0087752B">
              <w:t>33.8</w:t>
            </w:r>
          </w:p>
        </w:tc>
        <w:tc>
          <w:tcPr>
            <w:tcW w:w="374" w:type="pct"/>
            <w:shd w:val="clear" w:color="auto" w:fill="auto"/>
          </w:tcPr>
          <w:p w14:paraId="62031D78" w14:textId="77777777" w:rsidR="004D1C46" w:rsidRPr="0087752B" w:rsidRDefault="004D1C46" w:rsidP="004D1C46">
            <w:pPr>
              <w:pStyle w:val="DETTableTextFinancial"/>
              <w:jc w:val="right"/>
            </w:pPr>
            <w:r w:rsidRPr="0087752B">
              <w:t>33.9</w:t>
            </w:r>
          </w:p>
        </w:tc>
        <w:tc>
          <w:tcPr>
            <w:tcW w:w="374" w:type="pct"/>
            <w:shd w:val="clear" w:color="auto" w:fill="auto"/>
          </w:tcPr>
          <w:p w14:paraId="2C8E7403" w14:textId="77777777" w:rsidR="004D1C46" w:rsidRPr="0087752B" w:rsidRDefault="004D1C46" w:rsidP="004D1C46">
            <w:pPr>
              <w:pStyle w:val="DETTableTextFinancial"/>
              <w:jc w:val="right"/>
            </w:pPr>
            <w:r w:rsidRPr="0087752B">
              <w:t>34.0</w:t>
            </w:r>
          </w:p>
        </w:tc>
        <w:tc>
          <w:tcPr>
            <w:tcW w:w="374" w:type="pct"/>
          </w:tcPr>
          <w:p w14:paraId="700574BF" w14:textId="40158043" w:rsidR="004D1C46" w:rsidRPr="0087752B" w:rsidRDefault="004D1C46" w:rsidP="004D1C46">
            <w:pPr>
              <w:pStyle w:val="DETTableTextFinancial"/>
              <w:jc w:val="right"/>
            </w:pPr>
            <w:r w:rsidRPr="002C0E80">
              <w:t>–</w:t>
            </w:r>
          </w:p>
        </w:tc>
      </w:tr>
      <w:tr w:rsidR="004D1C46" w:rsidRPr="0087752B" w14:paraId="1667320F" w14:textId="77777777" w:rsidTr="006016B9">
        <w:tc>
          <w:tcPr>
            <w:tcW w:w="2596" w:type="pct"/>
            <w:shd w:val="clear" w:color="auto" w:fill="auto"/>
          </w:tcPr>
          <w:p w14:paraId="2E13063E" w14:textId="77777777" w:rsidR="004D1C46" w:rsidRPr="0087752B" w:rsidRDefault="004D1C46" w:rsidP="004D1C46">
            <w:pPr>
              <w:pStyle w:val="DETTableTextFinancial"/>
            </w:pPr>
            <w:r w:rsidRPr="0087752B">
              <w:t>Infants partly breastfed at 6 months</w:t>
            </w:r>
          </w:p>
        </w:tc>
        <w:tc>
          <w:tcPr>
            <w:tcW w:w="534" w:type="pct"/>
            <w:shd w:val="clear" w:color="auto" w:fill="auto"/>
          </w:tcPr>
          <w:p w14:paraId="2AE33A76" w14:textId="77777777" w:rsidR="004D1C46" w:rsidRPr="0087752B" w:rsidRDefault="004D1C46" w:rsidP="004D1C46">
            <w:pPr>
              <w:pStyle w:val="DETTableTextFinancial"/>
            </w:pPr>
            <w:r w:rsidRPr="0087752B">
              <w:t>per cent</w:t>
            </w:r>
          </w:p>
        </w:tc>
        <w:tc>
          <w:tcPr>
            <w:tcW w:w="374" w:type="pct"/>
            <w:shd w:val="clear" w:color="auto" w:fill="auto"/>
          </w:tcPr>
          <w:p w14:paraId="6A4694B6" w14:textId="77777777" w:rsidR="004D1C46" w:rsidRPr="0087752B" w:rsidRDefault="004D1C46" w:rsidP="004D1C46">
            <w:pPr>
              <w:pStyle w:val="DETTableTextFinancial"/>
              <w:jc w:val="right"/>
            </w:pPr>
            <w:r w:rsidRPr="0087752B">
              <w:t>13.0</w:t>
            </w:r>
          </w:p>
        </w:tc>
        <w:tc>
          <w:tcPr>
            <w:tcW w:w="374" w:type="pct"/>
            <w:shd w:val="clear" w:color="auto" w:fill="auto"/>
          </w:tcPr>
          <w:p w14:paraId="30C3EDC6" w14:textId="77777777" w:rsidR="004D1C46" w:rsidRPr="0087752B" w:rsidRDefault="004D1C46" w:rsidP="004D1C46">
            <w:pPr>
              <w:pStyle w:val="DETTableTextFinancial"/>
              <w:jc w:val="right"/>
            </w:pPr>
            <w:r w:rsidRPr="0087752B">
              <w:t>14.2</w:t>
            </w:r>
          </w:p>
        </w:tc>
        <w:tc>
          <w:tcPr>
            <w:tcW w:w="374" w:type="pct"/>
            <w:shd w:val="clear" w:color="auto" w:fill="auto"/>
          </w:tcPr>
          <w:p w14:paraId="67858EBB" w14:textId="77777777" w:rsidR="004D1C46" w:rsidRPr="0087752B" w:rsidRDefault="004D1C46" w:rsidP="004D1C46">
            <w:pPr>
              <w:pStyle w:val="DETTableTextFinancial"/>
              <w:jc w:val="right"/>
            </w:pPr>
            <w:r w:rsidRPr="0087752B">
              <w:t>14.6</w:t>
            </w:r>
          </w:p>
        </w:tc>
        <w:tc>
          <w:tcPr>
            <w:tcW w:w="374" w:type="pct"/>
            <w:shd w:val="clear" w:color="auto" w:fill="auto"/>
          </w:tcPr>
          <w:p w14:paraId="09C198EB" w14:textId="77777777" w:rsidR="004D1C46" w:rsidRPr="0087752B" w:rsidRDefault="004D1C46" w:rsidP="004D1C46">
            <w:pPr>
              <w:pStyle w:val="DETTableTextFinancial"/>
              <w:jc w:val="right"/>
            </w:pPr>
            <w:r w:rsidRPr="0087752B">
              <w:t>15.6</w:t>
            </w:r>
          </w:p>
        </w:tc>
        <w:tc>
          <w:tcPr>
            <w:tcW w:w="374" w:type="pct"/>
          </w:tcPr>
          <w:p w14:paraId="631421F2" w14:textId="13E66F92" w:rsidR="004D1C46" w:rsidRPr="0087752B" w:rsidRDefault="004D1C46" w:rsidP="004D1C46">
            <w:pPr>
              <w:pStyle w:val="DETTableTextFinancial"/>
              <w:jc w:val="right"/>
            </w:pPr>
            <w:r w:rsidRPr="002C0E80">
              <w:t>–</w:t>
            </w:r>
          </w:p>
        </w:tc>
      </w:tr>
      <w:tr w:rsidR="006016B9" w:rsidRPr="0087752B" w14:paraId="3E12AF68" w14:textId="77777777" w:rsidTr="006016B9">
        <w:tc>
          <w:tcPr>
            <w:tcW w:w="5000" w:type="pct"/>
            <w:gridSpan w:val="7"/>
            <w:shd w:val="clear" w:color="auto" w:fill="auto"/>
          </w:tcPr>
          <w:p w14:paraId="0FF82791" w14:textId="77777777" w:rsidR="006016B9" w:rsidRPr="005C767D" w:rsidRDefault="006016B9" w:rsidP="003447A9">
            <w:pPr>
              <w:pStyle w:val="DETTableTextFinancial"/>
              <w:rPr>
                <w:b/>
              </w:rPr>
            </w:pPr>
            <w:r w:rsidRPr="0087752B">
              <w:rPr>
                <w:b/>
              </w:rPr>
              <w:t>Children who have no development or behavioural issues on entry into Prep</w:t>
            </w:r>
            <w:r w:rsidRPr="005C767D">
              <w:rPr>
                <w:rStyle w:val="FootnoteReference"/>
              </w:rPr>
              <w:footnoteReference w:id="26"/>
            </w:r>
          </w:p>
        </w:tc>
      </w:tr>
      <w:tr w:rsidR="006016B9" w:rsidRPr="0087752B" w14:paraId="7BB0BE1F" w14:textId="77777777" w:rsidTr="006016B9">
        <w:tc>
          <w:tcPr>
            <w:tcW w:w="2596" w:type="pct"/>
            <w:shd w:val="clear" w:color="auto" w:fill="auto"/>
          </w:tcPr>
          <w:p w14:paraId="6DDFF86D" w14:textId="77777777" w:rsidR="006016B9" w:rsidRPr="0087752B" w:rsidRDefault="006016B9" w:rsidP="003447A9">
            <w:pPr>
              <w:pStyle w:val="DETTableTextFinancial"/>
            </w:pPr>
            <w:r w:rsidRPr="0087752B">
              <w:t>Proportion of children who have no behavioural issues on entry into Prep</w:t>
            </w:r>
          </w:p>
        </w:tc>
        <w:tc>
          <w:tcPr>
            <w:tcW w:w="534" w:type="pct"/>
            <w:shd w:val="clear" w:color="auto" w:fill="auto"/>
          </w:tcPr>
          <w:p w14:paraId="444A7106" w14:textId="77777777" w:rsidR="006016B9" w:rsidRPr="0087752B" w:rsidRDefault="006016B9" w:rsidP="003447A9">
            <w:pPr>
              <w:pStyle w:val="DETTableTextFinancial"/>
            </w:pPr>
            <w:r w:rsidRPr="0087752B">
              <w:t>per cent</w:t>
            </w:r>
          </w:p>
        </w:tc>
        <w:tc>
          <w:tcPr>
            <w:tcW w:w="374" w:type="pct"/>
            <w:shd w:val="clear" w:color="auto" w:fill="auto"/>
          </w:tcPr>
          <w:p w14:paraId="76DEBDBB" w14:textId="77777777" w:rsidR="006016B9" w:rsidRPr="0087752B" w:rsidRDefault="006016B9" w:rsidP="003447A9">
            <w:pPr>
              <w:pStyle w:val="DETTableTextFinancial"/>
              <w:jc w:val="right"/>
            </w:pPr>
            <w:r w:rsidRPr="0087752B">
              <w:t>87.9</w:t>
            </w:r>
          </w:p>
        </w:tc>
        <w:tc>
          <w:tcPr>
            <w:tcW w:w="374" w:type="pct"/>
            <w:shd w:val="clear" w:color="auto" w:fill="auto"/>
          </w:tcPr>
          <w:p w14:paraId="5A21A4DF" w14:textId="77777777" w:rsidR="006016B9" w:rsidRPr="0087752B" w:rsidRDefault="006016B9" w:rsidP="003447A9">
            <w:pPr>
              <w:pStyle w:val="DETTableTextFinancial"/>
              <w:jc w:val="right"/>
            </w:pPr>
            <w:r w:rsidRPr="0087752B">
              <w:t>87.3</w:t>
            </w:r>
          </w:p>
        </w:tc>
        <w:tc>
          <w:tcPr>
            <w:tcW w:w="374" w:type="pct"/>
            <w:shd w:val="clear" w:color="auto" w:fill="auto"/>
          </w:tcPr>
          <w:p w14:paraId="57BED541" w14:textId="77777777" w:rsidR="006016B9" w:rsidRPr="0087752B" w:rsidRDefault="006016B9" w:rsidP="003447A9">
            <w:pPr>
              <w:pStyle w:val="DETTableTextFinancial"/>
              <w:jc w:val="right"/>
            </w:pPr>
            <w:r w:rsidRPr="0087752B">
              <w:t>86.5</w:t>
            </w:r>
          </w:p>
        </w:tc>
        <w:tc>
          <w:tcPr>
            <w:tcW w:w="374" w:type="pct"/>
            <w:shd w:val="clear" w:color="auto" w:fill="auto"/>
          </w:tcPr>
          <w:p w14:paraId="4F07FB13" w14:textId="77777777" w:rsidR="006016B9" w:rsidRPr="0087752B" w:rsidRDefault="006016B9" w:rsidP="003447A9">
            <w:pPr>
              <w:pStyle w:val="DETTableTextFinancial"/>
              <w:jc w:val="right"/>
            </w:pPr>
            <w:r w:rsidRPr="0087752B">
              <w:t>86.1</w:t>
            </w:r>
          </w:p>
        </w:tc>
        <w:tc>
          <w:tcPr>
            <w:tcW w:w="374" w:type="pct"/>
          </w:tcPr>
          <w:p w14:paraId="0037E74A" w14:textId="77777777" w:rsidR="006016B9" w:rsidRPr="0087752B" w:rsidRDefault="006016B9" w:rsidP="003447A9">
            <w:pPr>
              <w:pStyle w:val="DETTableTextFinancial"/>
              <w:jc w:val="right"/>
            </w:pPr>
            <w:r w:rsidRPr="0087752B">
              <w:t>83.9</w:t>
            </w:r>
          </w:p>
        </w:tc>
      </w:tr>
      <w:tr w:rsidR="006016B9" w:rsidRPr="0087752B" w14:paraId="7C8A062D" w14:textId="77777777" w:rsidTr="006016B9">
        <w:tc>
          <w:tcPr>
            <w:tcW w:w="2596" w:type="pct"/>
            <w:shd w:val="clear" w:color="auto" w:fill="auto"/>
          </w:tcPr>
          <w:p w14:paraId="467AACF7" w14:textId="77777777" w:rsidR="006016B9" w:rsidRPr="0087752B" w:rsidRDefault="006016B9" w:rsidP="003447A9">
            <w:pPr>
              <w:pStyle w:val="DETTableTextFinancial"/>
            </w:pPr>
            <w:r w:rsidRPr="0087752B">
              <w:t>Proportion of children who have no general developmental issues identified by parents on entry into Prep</w:t>
            </w:r>
          </w:p>
        </w:tc>
        <w:tc>
          <w:tcPr>
            <w:tcW w:w="534" w:type="pct"/>
            <w:shd w:val="clear" w:color="auto" w:fill="auto"/>
          </w:tcPr>
          <w:p w14:paraId="6B4A51C6" w14:textId="77777777" w:rsidR="006016B9" w:rsidRPr="0087752B" w:rsidRDefault="006016B9" w:rsidP="003447A9">
            <w:pPr>
              <w:pStyle w:val="DETTableTextFinancial"/>
            </w:pPr>
            <w:r w:rsidRPr="0087752B">
              <w:t>per cent</w:t>
            </w:r>
          </w:p>
        </w:tc>
        <w:tc>
          <w:tcPr>
            <w:tcW w:w="374" w:type="pct"/>
            <w:shd w:val="clear" w:color="auto" w:fill="auto"/>
          </w:tcPr>
          <w:p w14:paraId="1D30152A" w14:textId="77777777" w:rsidR="006016B9" w:rsidRPr="0087752B" w:rsidRDefault="006016B9" w:rsidP="003447A9">
            <w:pPr>
              <w:pStyle w:val="DETTableTextFinancial"/>
              <w:jc w:val="right"/>
            </w:pPr>
            <w:r w:rsidRPr="0087752B">
              <w:t>57.6</w:t>
            </w:r>
          </w:p>
        </w:tc>
        <w:tc>
          <w:tcPr>
            <w:tcW w:w="374" w:type="pct"/>
            <w:shd w:val="clear" w:color="auto" w:fill="auto"/>
          </w:tcPr>
          <w:p w14:paraId="58A8A607" w14:textId="77777777" w:rsidR="006016B9" w:rsidRPr="0087752B" w:rsidRDefault="006016B9" w:rsidP="003447A9">
            <w:pPr>
              <w:pStyle w:val="DETTableTextFinancial"/>
              <w:jc w:val="right"/>
            </w:pPr>
            <w:r w:rsidRPr="0087752B">
              <w:t>52.0</w:t>
            </w:r>
          </w:p>
        </w:tc>
        <w:tc>
          <w:tcPr>
            <w:tcW w:w="374" w:type="pct"/>
            <w:shd w:val="clear" w:color="auto" w:fill="auto"/>
          </w:tcPr>
          <w:p w14:paraId="58F6361B" w14:textId="77777777" w:rsidR="006016B9" w:rsidRPr="0087752B" w:rsidRDefault="006016B9" w:rsidP="003447A9">
            <w:pPr>
              <w:pStyle w:val="DETTableTextFinancial"/>
              <w:jc w:val="right"/>
            </w:pPr>
            <w:r w:rsidRPr="0087752B">
              <w:t>49.8</w:t>
            </w:r>
          </w:p>
        </w:tc>
        <w:tc>
          <w:tcPr>
            <w:tcW w:w="374" w:type="pct"/>
            <w:shd w:val="clear" w:color="auto" w:fill="auto"/>
          </w:tcPr>
          <w:p w14:paraId="7886824C" w14:textId="77777777" w:rsidR="006016B9" w:rsidRPr="0087752B" w:rsidRDefault="006016B9" w:rsidP="003447A9">
            <w:pPr>
              <w:pStyle w:val="DETTableTextFinancial"/>
              <w:jc w:val="right"/>
            </w:pPr>
            <w:r w:rsidRPr="0087752B">
              <w:t>48.2</w:t>
            </w:r>
          </w:p>
        </w:tc>
        <w:tc>
          <w:tcPr>
            <w:tcW w:w="374" w:type="pct"/>
          </w:tcPr>
          <w:p w14:paraId="5B418B4E" w14:textId="77777777" w:rsidR="006016B9" w:rsidRPr="0087752B" w:rsidRDefault="006016B9" w:rsidP="003447A9">
            <w:pPr>
              <w:pStyle w:val="DETTableTextFinancial"/>
              <w:jc w:val="right"/>
            </w:pPr>
            <w:r w:rsidRPr="0087752B">
              <w:t>46.9</w:t>
            </w:r>
          </w:p>
        </w:tc>
      </w:tr>
      <w:tr w:rsidR="006016B9" w:rsidRPr="0087752B" w14:paraId="058E6EBC" w14:textId="77777777" w:rsidTr="006016B9">
        <w:tc>
          <w:tcPr>
            <w:tcW w:w="5000" w:type="pct"/>
            <w:gridSpan w:val="7"/>
            <w:shd w:val="clear" w:color="auto" w:fill="auto"/>
          </w:tcPr>
          <w:p w14:paraId="561BDA31" w14:textId="77777777" w:rsidR="006016B9" w:rsidRPr="005C767D" w:rsidRDefault="006016B9" w:rsidP="003447A9">
            <w:pPr>
              <w:pStyle w:val="DETTableTextFinancial"/>
              <w:rPr>
                <w:b/>
              </w:rPr>
            </w:pPr>
            <w:r w:rsidRPr="0087752B">
              <w:rPr>
                <w:b/>
              </w:rPr>
              <w:t>Children developmentally ‘on track’ on the Australian Early Development Census social competence and emotional maturity domains</w:t>
            </w:r>
            <w:r w:rsidRPr="005C767D">
              <w:rPr>
                <w:rStyle w:val="FootnoteReference"/>
              </w:rPr>
              <w:footnoteReference w:id="27"/>
            </w:r>
          </w:p>
        </w:tc>
      </w:tr>
      <w:tr w:rsidR="004D1C46" w:rsidRPr="0087752B" w14:paraId="02EF7C6E" w14:textId="77777777" w:rsidTr="006016B9">
        <w:tc>
          <w:tcPr>
            <w:tcW w:w="2596" w:type="pct"/>
            <w:shd w:val="clear" w:color="auto" w:fill="auto"/>
          </w:tcPr>
          <w:p w14:paraId="443AC91C" w14:textId="77777777" w:rsidR="004D1C46" w:rsidRPr="0087752B" w:rsidRDefault="004D1C46" w:rsidP="004D1C46">
            <w:pPr>
              <w:pStyle w:val="DETTableTextFinancial"/>
            </w:pPr>
            <w:r w:rsidRPr="0087752B">
              <w:t>Social competence domain</w:t>
            </w:r>
          </w:p>
        </w:tc>
        <w:tc>
          <w:tcPr>
            <w:tcW w:w="534" w:type="pct"/>
            <w:shd w:val="clear" w:color="auto" w:fill="auto"/>
          </w:tcPr>
          <w:p w14:paraId="1E421476" w14:textId="77777777" w:rsidR="004D1C46" w:rsidRPr="0087752B" w:rsidRDefault="004D1C46" w:rsidP="004D1C46">
            <w:pPr>
              <w:pStyle w:val="DETTableTextFinancial"/>
            </w:pPr>
            <w:r w:rsidRPr="0087752B">
              <w:t>per cent</w:t>
            </w:r>
          </w:p>
        </w:tc>
        <w:tc>
          <w:tcPr>
            <w:tcW w:w="374" w:type="pct"/>
            <w:shd w:val="clear" w:color="auto" w:fill="auto"/>
          </w:tcPr>
          <w:p w14:paraId="6817ABD0" w14:textId="660B87CC" w:rsidR="004D1C46" w:rsidRPr="0087752B" w:rsidRDefault="004D1C46" w:rsidP="004D1C46">
            <w:pPr>
              <w:pStyle w:val="DETTableTextFinancial"/>
              <w:jc w:val="right"/>
            </w:pPr>
            <w:r w:rsidRPr="00D556F1">
              <w:t>–</w:t>
            </w:r>
          </w:p>
        </w:tc>
        <w:tc>
          <w:tcPr>
            <w:tcW w:w="374" w:type="pct"/>
            <w:shd w:val="clear" w:color="auto" w:fill="auto"/>
          </w:tcPr>
          <w:p w14:paraId="6F272632" w14:textId="77777777" w:rsidR="004D1C46" w:rsidRPr="0087752B" w:rsidRDefault="004D1C46" w:rsidP="004D1C46">
            <w:pPr>
              <w:pStyle w:val="DETTableTextFinancial"/>
              <w:jc w:val="right"/>
            </w:pPr>
            <w:r w:rsidRPr="0087752B">
              <w:t>78.6</w:t>
            </w:r>
          </w:p>
        </w:tc>
        <w:tc>
          <w:tcPr>
            <w:tcW w:w="374" w:type="pct"/>
            <w:shd w:val="clear" w:color="auto" w:fill="auto"/>
          </w:tcPr>
          <w:p w14:paraId="4BF151FC" w14:textId="636591D9" w:rsidR="004D1C46" w:rsidRPr="0087752B" w:rsidRDefault="004D1C46" w:rsidP="004D1C46">
            <w:pPr>
              <w:pStyle w:val="DETTableTextFinancial"/>
              <w:jc w:val="right"/>
            </w:pPr>
            <w:r w:rsidRPr="00994ECB">
              <w:t>–</w:t>
            </w:r>
          </w:p>
        </w:tc>
        <w:tc>
          <w:tcPr>
            <w:tcW w:w="374" w:type="pct"/>
            <w:shd w:val="clear" w:color="auto" w:fill="auto"/>
          </w:tcPr>
          <w:p w14:paraId="03E31A46" w14:textId="4A990B85" w:rsidR="004D1C46" w:rsidRPr="0087752B" w:rsidRDefault="004D1C46" w:rsidP="004D1C46">
            <w:pPr>
              <w:pStyle w:val="DETTableTextFinancial"/>
              <w:jc w:val="right"/>
            </w:pPr>
            <w:r w:rsidRPr="00994ECB">
              <w:t>–</w:t>
            </w:r>
          </w:p>
        </w:tc>
        <w:tc>
          <w:tcPr>
            <w:tcW w:w="374" w:type="pct"/>
          </w:tcPr>
          <w:p w14:paraId="3A73AE38" w14:textId="77777777" w:rsidR="004D1C46" w:rsidRPr="0087752B" w:rsidRDefault="004D1C46" w:rsidP="004D1C46">
            <w:pPr>
              <w:pStyle w:val="DETTableTextFinancial"/>
              <w:jc w:val="right"/>
            </w:pPr>
            <w:r w:rsidRPr="0087752B">
              <w:t>77.2</w:t>
            </w:r>
          </w:p>
        </w:tc>
      </w:tr>
      <w:tr w:rsidR="004D1C46" w:rsidRPr="0087752B" w14:paraId="308E7806" w14:textId="77777777" w:rsidTr="006016B9">
        <w:tc>
          <w:tcPr>
            <w:tcW w:w="2596" w:type="pct"/>
            <w:shd w:val="clear" w:color="auto" w:fill="auto"/>
          </w:tcPr>
          <w:p w14:paraId="38853285" w14:textId="77777777" w:rsidR="004D1C46" w:rsidRPr="0087752B" w:rsidRDefault="004D1C46" w:rsidP="004D1C46">
            <w:pPr>
              <w:pStyle w:val="DETTableTextFinancial"/>
            </w:pPr>
            <w:r w:rsidRPr="0087752B">
              <w:t>Emotional maturity domain</w:t>
            </w:r>
          </w:p>
        </w:tc>
        <w:tc>
          <w:tcPr>
            <w:tcW w:w="534" w:type="pct"/>
            <w:shd w:val="clear" w:color="auto" w:fill="auto"/>
          </w:tcPr>
          <w:p w14:paraId="68EFF8C0" w14:textId="77777777" w:rsidR="004D1C46" w:rsidRPr="0087752B" w:rsidRDefault="004D1C46" w:rsidP="004D1C46">
            <w:pPr>
              <w:pStyle w:val="DETTableTextFinancial"/>
            </w:pPr>
            <w:r w:rsidRPr="0087752B">
              <w:t>per cent</w:t>
            </w:r>
          </w:p>
        </w:tc>
        <w:tc>
          <w:tcPr>
            <w:tcW w:w="374" w:type="pct"/>
            <w:shd w:val="clear" w:color="auto" w:fill="auto"/>
          </w:tcPr>
          <w:p w14:paraId="5926C5D3" w14:textId="6C5BD76A" w:rsidR="004D1C46" w:rsidRPr="0087752B" w:rsidRDefault="004D1C46" w:rsidP="004D1C46">
            <w:pPr>
              <w:pStyle w:val="DETTableTextFinancial"/>
              <w:jc w:val="right"/>
            </w:pPr>
            <w:r w:rsidRPr="00D556F1">
              <w:t>–</w:t>
            </w:r>
          </w:p>
        </w:tc>
        <w:tc>
          <w:tcPr>
            <w:tcW w:w="374" w:type="pct"/>
            <w:shd w:val="clear" w:color="auto" w:fill="auto"/>
          </w:tcPr>
          <w:p w14:paraId="3F8014F5" w14:textId="77777777" w:rsidR="004D1C46" w:rsidRPr="0087752B" w:rsidRDefault="004D1C46" w:rsidP="004D1C46">
            <w:pPr>
              <w:pStyle w:val="DETTableTextFinancial"/>
              <w:jc w:val="right"/>
            </w:pPr>
            <w:r w:rsidRPr="0087752B">
              <w:t>79.3</w:t>
            </w:r>
          </w:p>
        </w:tc>
        <w:tc>
          <w:tcPr>
            <w:tcW w:w="374" w:type="pct"/>
            <w:shd w:val="clear" w:color="auto" w:fill="auto"/>
          </w:tcPr>
          <w:p w14:paraId="2FB0C4A9" w14:textId="1A63DF24" w:rsidR="004D1C46" w:rsidRPr="0087752B" w:rsidRDefault="004D1C46" w:rsidP="004D1C46">
            <w:pPr>
              <w:pStyle w:val="DETTableTextFinancial"/>
              <w:jc w:val="right"/>
            </w:pPr>
            <w:r w:rsidRPr="00994ECB">
              <w:t>–</w:t>
            </w:r>
          </w:p>
        </w:tc>
        <w:tc>
          <w:tcPr>
            <w:tcW w:w="374" w:type="pct"/>
            <w:shd w:val="clear" w:color="auto" w:fill="auto"/>
          </w:tcPr>
          <w:p w14:paraId="2B755014" w14:textId="047435A2" w:rsidR="004D1C46" w:rsidRPr="0087752B" w:rsidRDefault="004D1C46" w:rsidP="004D1C46">
            <w:pPr>
              <w:pStyle w:val="DETTableTextFinancial"/>
              <w:jc w:val="right"/>
            </w:pPr>
            <w:r w:rsidRPr="00994ECB">
              <w:t>–</w:t>
            </w:r>
          </w:p>
        </w:tc>
        <w:tc>
          <w:tcPr>
            <w:tcW w:w="374" w:type="pct"/>
          </w:tcPr>
          <w:p w14:paraId="4E8DCA15" w14:textId="77777777" w:rsidR="004D1C46" w:rsidRPr="0087752B" w:rsidRDefault="004D1C46" w:rsidP="004D1C46">
            <w:pPr>
              <w:pStyle w:val="DETTableTextFinancial"/>
              <w:jc w:val="right"/>
            </w:pPr>
            <w:r w:rsidRPr="0087752B">
              <w:t>77.5</w:t>
            </w:r>
          </w:p>
        </w:tc>
      </w:tr>
      <w:tr w:rsidR="006016B9" w:rsidRPr="0087752B" w14:paraId="4CE72D2F" w14:textId="77777777" w:rsidTr="003447A9">
        <w:tc>
          <w:tcPr>
            <w:tcW w:w="5000" w:type="pct"/>
            <w:gridSpan w:val="7"/>
            <w:shd w:val="clear" w:color="auto" w:fill="7F7F7F" w:themeFill="text1" w:themeFillTint="80"/>
          </w:tcPr>
          <w:p w14:paraId="649F4356" w14:textId="77777777" w:rsidR="006016B9" w:rsidRPr="005C767D" w:rsidRDefault="006016B9" w:rsidP="003447A9">
            <w:pPr>
              <w:pStyle w:val="DETTablecolumnheading"/>
              <w:jc w:val="left"/>
            </w:pPr>
            <w:r w:rsidRPr="0087752B">
              <w:t>School education</w:t>
            </w:r>
            <w:bookmarkStart w:id="56" w:name="_Ref393892475"/>
            <w:r w:rsidRPr="005C767D">
              <w:rPr>
                <w:rStyle w:val="FootnoteReference"/>
              </w:rPr>
              <w:footnoteReference w:id="28"/>
            </w:r>
            <w:bookmarkEnd w:id="56"/>
          </w:p>
        </w:tc>
      </w:tr>
      <w:tr w:rsidR="006016B9" w:rsidRPr="0087752B" w14:paraId="03E663BD" w14:textId="77777777" w:rsidTr="006016B9">
        <w:tc>
          <w:tcPr>
            <w:tcW w:w="5000" w:type="pct"/>
            <w:gridSpan w:val="7"/>
            <w:shd w:val="clear" w:color="auto" w:fill="auto"/>
          </w:tcPr>
          <w:p w14:paraId="5BBD2FFA" w14:textId="77777777" w:rsidR="006016B9" w:rsidRPr="0087752B" w:rsidRDefault="006016B9" w:rsidP="003447A9">
            <w:pPr>
              <w:pStyle w:val="DETTableTextFinancial"/>
              <w:rPr>
                <w:b/>
              </w:rPr>
            </w:pPr>
            <w:r w:rsidRPr="0087752B">
              <w:rPr>
                <w:b/>
              </w:rPr>
              <w:t>Students feeling connected to their school</w:t>
            </w:r>
          </w:p>
        </w:tc>
      </w:tr>
      <w:tr w:rsidR="006016B9" w:rsidRPr="0087752B" w14:paraId="13A9FB75" w14:textId="77777777" w:rsidTr="006016B9">
        <w:tc>
          <w:tcPr>
            <w:tcW w:w="5000" w:type="pct"/>
            <w:gridSpan w:val="7"/>
            <w:shd w:val="clear" w:color="auto" w:fill="auto"/>
          </w:tcPr>
          <w:p w14:paraId="388CFBF0" w14:textId="77777777" w:rsidR="006016B9" w:rsidRPr="0087752B" w:rsidRDefault="006016B9" w:rsidP="003447A9">
            <w:pPr>
              <w:pStyle w:val="DETTableTextFinancial"/>
            </w:pPr>
            <w:r w:rsidRPr="0087752B">
              <w:t>Proportion of students who agree or strongly agree that they feel connected to their school:</w:t>
            </w:r>
          </w:p>
        </w:tc>
      </w:tr>
      <w:tr w:rsidR="006016B9" w:rsidRPr="0087752B" w14:paraId="4946EF3C" w14:textId="77777777" w:rsidTr="006016B9">
        <w:tc>
          <w:tcPr>
            <w:tcW w:w="2596" w:type="pct"/>
            <w:shd w:val="clear" w:color="auto" w:fill="auto"/>
          </w:tcPr>
          <w:p w14:paraId="7B20861A" w14:textId="77777777" w:rsidR="006016B9" w:rsidRPr="0087752B" w:rsidRDefault="006016B9" w:rsidP="003447A9">
            <w:pPr>
              <w:pStyle w:val="DETTableTextFinancial"/>
            </w:pPr>
            <w:r w:rsidRPr="0087752B">
              <w:tab/>
              <w:t>Years 5–6</w:t>
            </w:r>
          </w:p>
        </w:tc>
        <w:tc>
          <w:tcPr>
            <w:tcW w:w="534" w:type="pct"/>
            <w:shd w:val="clear" w:color="auto" w:fill="auto"/>
          </w:tcPr>
          <w:p w14:paraId="29C5820B" w14:textId="77777777" w:rsidR="006016B9" w:rsidRPr="0087752B" w:rsidRDefault="006016B9" w:rsidP="003447A9">
            <w:pPr>
              <w:pStyle w:val="DETTableTextFinancial"/>
            </w:pPr>
            <w:r w:rsidRPr="0087752B">
              <w:t>per cent</w:t>
            </w:r>
          </w:p>
        </w:tc>
        <w:tc>
          <w:tcPr>
            <w:tcW w:w="374" w:type="pct"/>
            <w:shd w:val="clear" w:color="auto" w:fill="auto"/>
          </w:tcPr>
          <w:p w14:paraId="191A975F" w14:textId="77777777" w:rsidR="006016B9" w:rsidRPr="0087752B" w:rsidRDefault="006016B9" w:rsidP="003447A9">
            <w:pPr>
              <w:pStyle w:val="DETTableTextFinancial"/>
              <w:jc w:val="right"/>
            </w:pPr>
            <w:r w:rsidRPr="0087752B">
              <w:t>64.9</w:t>
            </w:r>
          </w:p>
        </w:tc>
        <w:tc>
          <w:tcPr>
            <w:tcW w:w="374" w:type="pct"/>
            <w:shd w:val="clear" w:color="auto" w:fill="auto"/>
          </w:tcPr>
          <w:p w14:paraId="2C2DD3E8" w14:textId="77777777" w:rsidR="006016B9" w:rsidRPr="0087752B" w:rsidRDefault="006016B9" w:rsidP="003447A9">
            <w:pPr>
              <w:pStyle w:val="DETTableTextFinancial"/>
              <w:jc w:val="right"/>
            </w:pPr>
            <w:r w:rsidRPr="0087752B">
              <w:t>66.1</w:t>
            </w:r>
          </w:p>
        </w:tc>
        <w:tc>
          <w:tcPr>
            <w:tcW w:w="374" w:type="pct"/>
            <w:shd w:val="clear" w:color="auto" w:fill="auto"/>
          </w:tcPr>
          <w:p w14:paraId="75272E30" w14:textId="77777777" w:rsidR="006016B9" w:rsidRPr="0087752B" w:rsidRDefault="006016B9" w:rsidP="003447A9">
            <w:pPr>
              <w:pStyle w:val="DETTableTextFinancial"/>
              <w:jc w:val="right"/>
            </w:pPr>
            <w:r w:rsidRPr="0087752B">
              <w:t>66.6</w:t>
            </w:r>
          </w:p>
        </w:tc>
        <w:tc>
          <w:tcPr>
            <w:tcW w:w="374" w:type="pct"/>
            <w:shd w:val="clear" w:color="auto" w:fill="auto"/>
          </w:tcPr>
          <w:p w14:paraId="7B23EF81" w14:textId="77777777" w:rsidR="006016B9" w:rsidRPr="0087752B" w:rsidRDefault="006016B9" w:rsidP="003447A9">
            <w:pPr>
              <w:pStyle w:val="DETTableTextFinancial"/>
              <w:jc w:val="right"/>
            </w:pPr>
            <w:r w:rsidRPr="0087752B">
              <w:t>66.6</w:t>
            </w:r>
          </w:p>
        </w:tc>
        <w:tc>
          <w:tcPr>
            <w:tcW w:w="374" w:type="pct"/>
          </w:tcPr>
          <w:p w14:paraId="2CA822AC" w14:textId="77777777" w:rsidR="006016B9" w:rsidRPr="0087752B" w:rsidRDefault="006016B9" w:rsidP="003447A9">
            <w:pPr>
              <w:pStyle w:val="DETTableTextFinancial"/>
              <w:jc w:val="right"/>
            </w:pPr>
            <w:r w:rsidRPr="0087752B">
              <w:t>65.8</w:t>
            </w:r>
          </w:p>
        </w:tc>
      </w:tr>
      <w:tr w:rsidR="006016B9" w:rsidRPr="0087752B" w14:paraId="650A608B" w14:textId="77777777" w:rsidTr="006016B9">
        <w:tc>
          <w:tcPr>
            <w:tcW w:w="2596" w:type="pct"/>
            <w:shd w:val="clear" w:color="auto" w:fill="auto"/>
          </w:tcPr>
          <w:p w14:paraId="4154A6F7" w14:textId="77777777" w:rsidR="006016B9" w:rsidRPr="0087752B" w:rsidRDefault="006016B9" w:rsidP="003447A9">
            <w:pPr>
              <w:pStyle w:val="DETTableTextFinancial"/>
            </w:pPr>
            <w:r w:rsidRPr="0087752B">
              <w:tab/>
              <w:t>Years 7–10</w:t>
            </w:r>
          </w:p>
        </w:tc>
        <w:tc>
          <w:tcPr>
            <w:tcW w:w="534" w:type="pct"/>
            <w:shd w:val="clear" w:color="auto" w:fill="auto"/>
          </w:tcPr>
          <w:p w14:paraId="67962739" w14:textId="77777777" w:rsidR="006016B9" w:rsidRPr="0087752B" w:rsidRDefault="006016B9" w:rsidP="003447A9">
            <w:pPr>
              <w:pStyle w:val="DETTableTextFinancial"/>
            </w:pPr>
            <w:r w:rsidRPr="0087752B">
              <w:t>per cent</w:t>
            </w:r>
          </w:p>
        </w:tc>
        <w:tc>
          <w:tcPr>
            <w:tcW w:w="374" w:type="pct"/>
            <w:shd w:val="clear" w:color="auto" w:fill="auto"/>
          </w:tcPr>
          <w:p w14:paraId="066B9937" w14:textId="77777777" w:rsidR="006016B9" w:rsidRPr="0087752B" w:rsidRDefault="006016B9" w:rsidP="003447A9">
            <w:pPr>
              <w:pStyle w:val="DETTableTextFinancial"/>
              <w:jc w:val="right"/>
            </w:pPr>
            <w:r w:rsidRPr="0087752B">
              <w:t>31.2</w:t>
            </w:r>
          </w:p>
        </w:tc>
        <w:tc>
          <w:tcPr>
            <w:tcW w:w="374" w:type="pct"/>
            <w:shd w:val="clear" w:color="auto" w:fill="auto"/>
          </w:tcPr>
          <w:p w14:paraId="68E18ED9" w14:textId="77777777" w:rsidR="006016B9" w:rsidRPr="0087752B" w:rsidRDefault="006016B9" w:rsidP="003447A9">
            <w:pPr>
              <w:pStyle w:val="DETTableTextFinancial"/>
              <w:jc w:val="right"/>
            </w:pPr>
            <w:r w:rsidRPr="0087752B">
              <w:t>33.8</w:t>
            </w:r>
          </w:p>
        </w:tc>
        <w:tc>
          <w:tcPr>
            <w:tcW w:w="374" w:type="pct"/>
            <w:shd w:val="clear" w:color="auto" w:fill="auto"/>
          </w:tcPr>
          <w:p w14:paraId="3031F9B1" w14:textId="77777777" w:rsidR="006016B9" w:rsidRPr="0087752B" w:rsidRDefault="006016B9" w:rsidP="003447A9">
            <w:pPr>
              <w:pStyle w:val="DETTableTextFinancial"/>
              <w:jc w:val="right"/>
            </w:pPr>
            <w:r w:rsidRPr="0087752B">
              <w:t>33.6</w:t>
            </w:r>
          </w:p>
        </w:tc>
        <w:tc>
          <w:tcPr>
            <w:tcW w:w="374" w:type="pct"/>
            <w:shd w:val="clear" w:color="auto" w:fill="auto"/>
          </w:tcPr>
          <w:p w14:paraId="0844D37F" w14:textId="77777777" w:rsidR="006016B9" w:rsidRPr="0087752B" w:rsidRDefault="006016B9" w:rsidP="003447A9">
            <w:pPr>
              <w:pStyle w:val="DETTableTextFinancial"/>
              <w:jc w:val="right"/>
            </w:pPr>
            <w:r w:rsidRPr="0087752B">
              <w:t>33.4</w:t>
            </w:r>
          </w:p>
        </w:tc>
        <w:tc>
          <w:tcPr>
            <w:tcW w:w="374" w:type="pct"/>
          </w:tcPr>
          <w:p w14:paraId="53725A98" w14:textId="77777777" w:rsidR="006016B9" w:rsidRPr="0087752B" w:rsidRDefault="006016B9" w:rsidP="003447A9">
            <w:pPr>
              <w:pStyle w:val="DETTableTextFinancial"/>
              <w:jc w:val="right"/>
            </w:pPr>
            <w:r w:rsidRPr="0087752B">
              <w:t>34.0</w:t>
            </w:r>
          </w:p>
        </w:tc>
      </w:tr>
      <w:tr w:rsidR="006016B9" w:rsidRPr="0087752B" w14:paraId="02263C79" w14:textId="77777777" w:rsidTr="006016B9">
        <w:tc>
          <w:tcPr>
            <w:tcW w:w="2596" w:type="pct"/>
            <w:shd w:val="clear" w:color="auto" w:fill="auto"/>
          </w:tcPr>
          <w:p w14:paraId="5A26A0D7" w14:textId="77777777" w:rsidR="006016B9" w:rsidRPr="0087752B" w:rsidRDefault="006016B9" w:rsidP="003447A9">
            <w:pPr>
              <w:pStyle w:val="DETTableTextFinancial"/>
            </w:pPr>
            <w:r w:rsidRPr="0087752B">
              <w:tab/>
              <w:t>Years 11–12</w:t>
            </w:r>
          </w:p>
        </w:tc>
        <w:tc>
          <w:tcPr>
            <w:tcW w:w="534" w:type="pct"/>
            <w:shd w:val="clear" w:color="auto" w:fill="auto"/>
          </w:tcPr>
          <w:p w14:paraId="16F54AF9" w14:textId="77777777" w:rsidR="006016B9" w:rsidRPr="0087752B" w:rsidRDefault="006016B9" w:rsidP="003447A9">
            <w:pPr>
              <w:pStyle w:val="DETTableTextFinancial"/>
            </w:pPr>
            <w:r w:rsidRPr="0087752B">
              <w:t>per cent</w:t>
            </w:r>
          </w:p>
        </w:tc>
        <w:tc>
          <w:tcPr>
            <w:tcW w:w="374" w:type="pct"/>
            <w:shd w:val="clear" w:color="auto" w:fill="auto"/>
          </w:tcPr>
          <w:p w14:paraId="5B49F764" w14:textId="77777777" w:rsidR="006016B9" w:rsidRPr="0087752B" w:rsidRDefault="006016B9" w:rsidP="003447A9">
            <w:pPr>
              <w:pStyle w:val="DETTableTextFinancial"/>
              <w:jc w:val="right"/>
            </w:pPr>
            <w:r w:rsidRPr="0087752B">
              <w:t>24.8</w:t>
            </w:r>
          </w:p>
        </w:tc>
        <w:tc>
          <w:tcPr>
            <w:tcW w:w="374" w:type="pct"/>
            <w:shd w:val="clear" w:color="auto" w:fill="auto"/>
          </w:tcPr>
          <w:p w14:paraId="3FA4955D" w14:textId="77777777" w:rsidR="006016B9" w:rsidRPr="0087752B" w:rsidRDefault="006016B9" w:rsidP="003447A9">
            <w:pPr>
              <w:pStyle w:val="DETTableTextFinancial"/>
              <w:jc w:val="right"/>
            </w:pPr>
            <w:r w:rsidRPr="0087752B">
              <w:t>27.2</w:t>
            </w:r>
          </w:p>
        </w:tc>
        <w:tc>
          <w:tcPr>
            <w:tcW w:w="374" w:type="pct"/>
            <w:shd w:val="clear" w:color="auto" w:fill="auto"/>
          </w:tcPr>
          <w:p w14:paraId="2802E90D" w14:textId="77777777" w:rsidR="006016B9" w:rsidRPr="0087752B" w:rsidRDefault="006016B9" w:rsidP="003447A9">
            <w:pPr>
              <w:pStyle w:val="DETTableTextFinancial"/>
              <w:jc w:val="right"/>
            </w:pPr>
            <w:r w:rsidRPr="0087752B">
              <w:t>27.8</w:t>
            </w:r>
          </w:p>
        </w:tc>
        <w:tc>
          <w:tcPr>
            <w:tcW w:w="374" w:type="pct"/>
            <w:shd w:val="clear" w:color="auto" w:fill="auto"/>
          </w:tcPr>
          <w:p w14:paraId="12B37084" w14:textId="77777777" w:rsidR="006016B9" w:rsidRPr="0087752B" w:rsidRDefault="006016B9" w:rsidP="003447A9">
            <w:pPr>
              <w:pStyle w:val="DETTableTextFinancial"/>
              <w:jc w:val="right"/>
            </w:pPr>
            <w:r w:rsidRPr="0087752B">
              <w:t>26.0</w:t>
            </w:r>
          </w:p>
        </w:tc>
        <w:tc>
          <w:tcPr>
            <w:tcW w:w="374" w:type="pct"/>
          </w:tcPr>
          <w:p w14:paraId="08F034CC" w14:textId="77777777" w:rsidR="006016B9" w:rsidRPr="0087752B" w:rsidRDefault="006016B9" w:rsidP="003447A9">
            <w:pPr>
              <w:pStyle w:val="DETTableTextFinancial"/>
              <w:jc w:val="right"/>
            </w:pPr>
            <w:r w:rsidRPr="0087752B">
              <w:t>25.4</w:t>
            </w:r>
          </w:p>
        </w:tc>
      </w:tr>
      <w:tr w:rsidR="006016B9" w:rsidRPr="0087752B" w14:paraId="34B92E19" w14:textId="77777777" w:rsidTr="006016B9">
        <w:tc>
          <w:tcPr>
            <w:tcW w:w="5000" w:type="pct"/>
            <w:gridSpan w:val="7"/>
            <w:shd w:val="clear" w:color="auto" w:fill="auto"/>
          </w:tcPr>
          <w:p w14:paraId="0FEA9094" w14:textId="77777777" w:rsidR="006016B9" w:rsidRPr="0087752B" w:rsidRDefault="006016B9" w:rsidP="003447A9">
            <w:pPr>
              <w:pStyle w:val="DETTableTextFinancial"/>
              <w:rPr>
                <w:b/>
              </w:rPr>
            </w:pPr>
            <w:r w:rsidRPr="0087752B">
              <w:rPr>
                <w:b/>
              </w:rPr>
              <w:t>Students with a positive opinion about their school providing a safe and orderly environment for learning</w:t>
            </w:r>
          </w:p>
        </w:tc>
      </w:tr>
      <w:tr w:rsidR="006016B9" w:rsidRPr="0087752B" w14:paraId="53BE1571" w14:textId="77777777" w:rsidTr="006016B9">
        <w:tc>
          <w:tcPr>
            <w:tcW w:w="5000" w:type="pct"/>
            <w:gridSpan w:val="7"/>
            <w:shd w:val="clear" w:color="auto" w:fill="auto"/>
          </w:tcPr>
          <w:p w14:paraId="3F2A45A1" w14:textId="77777777" w:rsidR="006016B9" w:rsidRPr="0087752B" w:rsidRDefault="006016B9" w:rsidP="003447A9">
            <w:pPr>
              <w:pStyle w:val="DETTableTextFinancial"/>
            </w:pPr>
            <w:r w:rsidRPr="0087752B">
              <w:t>Proportion of students who agree or strongly agree that their school is ‘safe’:</w:t>
            </w:r>
          </w:p>
        </w:tc>
      </w:tr>
      <w:tr w:rsidR="006016B9" w:rsidRPr="0087752B" w14:paraId="6DE89370" w14:textId="77777777" w:rsidTr="006016B9">
        <w:tc>
          <w:tcPr>
            <w:tcW w:w="2596" w:type="pct"/>
            <w:shd w:val="clear" w:color="auto" w:fill="auto"/>
          </w:tcPr>
          <w:p w14:paraId="3E4975BB" w14:textId="77777777" w:rsidR="006016B9" w:rsidRPr="0087752B" w:rsidRDefault="006016B9" w:rsidP="003447A9">
            <w:pPr>
              <w:pStyle w:val="DETTableTextFinancial"/>
            </w:pPr>
            <w:r w:rsidRPr="0087752B">
              <w:tab/>
              <w:t>Years 5–6</w:t>
            </w:r>
          </w:p>
        </w:tc>
        <w:tc>
          <w:tcPr>
            <w:tcW w:w="534" w:type="pct"/>
            <w:shd w:val="clear" w:color="auto" w:fill="auto"/>
          </w:tcPr>
          <w:p w14:paraId="23364D12" w14:textId="77777777" w:rsidR="006016B9" w:rsidRPr="0087752B" w:rsidRDefault="006016B9" w:rsidP="003447A9">
            <w:pPr>
              <w:pStyle w:val="DETTableTextFinancial"/>
            </w:pPr>
            <w:r w:rsidRPr="0087752B">
              <w:t>per cent</w:t>
            </w:r>
          </w:p>
        </w:tc>
        <w:tc>
          <w:tcPr>
            <w:tcW w:w="374" w:type="pct"/>
            <w:shd w:val="clear" w:color="auto" w:fill="auto"/>
          </w:tcPr>
          <w:p w14:paraId="75375F9C" w14:textId="77777777" w:rsidR="006016B9" w:rsidRPr="0087752B" w:rsidRDefault="006016B9" w:rsidP="003447A9">
            <w:pPr>
              <w:pStyle w:val="DETTableTextFinancial"/>
              <w:jc w:val="right"/>
            </w:pPr>
            <w:r w:rsidRPr="0087752B">
              <w:t>63.9</w:t>
            </w:r>
          </w:p>
        </w:tc>
        <w:tc>
          <w:tcPr>
            <w:tcW w:w="374" w:type="pct"/>
            <w:shd w:val="clear" w:color="auto" w:fill="auto"/>
          </w:tcPr>
          <w:p w14:paraId="685BED17" w14:textId="77777777" w:rsidR="006016B9" w:rsidRPr="0087752B" w:rsidRDefault="006016B9" w:rsidP="003447A9">
            <w:pPr>
              <w:pStyle w:val="DETTableTextFinancial"/>
              <w:jc w:val="right"/>
            </w:pPr>
            <w:r w:rsidRPr="0087752B">
              <w:t>63.8</w:t>
            </w:r>
          </w:p>
        </w:tc>
        <w:tc>
          <w:tcPr>
            <w:tcW w:w="374" w:type="pct"/>
            <w:shd w:val="clear" w:color="auto" w:fill="auto"/>
          </w:tcPr>
          <w:p w14:paraId="29A36A4B" w14:textId="77777777" w:rsidR="006016B9" w:rsidRPr="0087752B" w:rsidRDefault="006016B9" w:rsidP="003447A9">
            <w:pPr>
              <w:pStyle w:val="DETTableTextFinancial"/>
              <w:jc w:val="right"/>
            </w:pPr>
            <w:r w:rsidRPr="0087752B">
              <w:t>63.6</w:t>
            </w:r>
          </w:p>
        </w:tc>
        <w:tc>
          <w:tcPr>
            <w:tcW w:w="374" w:type="pct"/>
            <w:shd w:val="clear" w:color="auto" w:fill="auto"/>
          </w:tcPr>
          <w:p w14:paraId="7D31780A" w14:textId="77777777" w:rsidR="006016B9" w:rsidRPr="0087752B" w:rsidRDefault="006016B9" w:rsidP="003447A9">
            <w:pPr>
              <w:pStyle w:val="DETTableTextFinancial"/>
              <w:jc w:val="right"/>
            </w:pPr>
            <w:r w:rsidRPr="0087752B">
              <w:t>64.1</w:t>
            </w:r>
          </w:p>
        </w:tc>
        <w:tc>
          <w:tcPr>
            <w:tcW w:w="374" w:type="pct"/>
          </w:tcPr>
          <w:p w14:paraId="6DD70BB2" w14:textId="77777777" w:rsidR="006016B9" w:rsidRPr="0087752B" w:rsidRDefault="006016B9" w:rsidP="003447A9">
            <w:pPr>
              <w:pStyle w:val="DETTableTextFinancial"/>
              <w:jc w:val="right"/>
            </w:pPr>
            <w:r w:rsidRPr="0087752B">
              <w:t>60.3</w:t>
            </w:r>
          </w:p>
        </w:tc>
      </w:tr>
      <w:tr w:rsidR="006016B9" w:rsidRPr="0087752B" w14:paraId="40680D08" w14:textId="77777777" w:rsidTr="006016B9">
        <w:tc>
          <w:tcPr>
            <w:tcW w:w="2596" w:type="pct"/>
            <w:shd w:val="clear" w:color="auto" w:fill="auto"/>
          </w:tcPr>
          <w:p w14:paraId="0E6D1F8F" w14:textId="77777777" w:rsidR="006016B9" w:rsidRPr="0087752B" w:rsidRDefault="006016B9" w:rsidP="003447A9">
            <w:pPr>
              <w:pStyle w:val="DETTableTextFinancial"/>
            </w:pPr>
            <w:r w:rsidRPr="0087752B">
              <w:tab/>
              <w:t>Years 7–10</w:t>
            </w:r>
          </w:p>
        </w:tc>
        <w:tc>
          <w:tcPr>
            <w:tcW w:w="534" w:type="pct"/>
            <w:shd w:val="clear" w:color="auto" w:fill="auto"/>
          </w:tcPr>
          <w:p w14:paraId="0B606BC5" w14:textId="77777777" w:rsidR="006016B9" w:rsidRPr="0087752B" w:rsidRDefault="006016B9" w:rsidP="003447A9">
            <w:pPr>
              <w:pStyle w:val="DETTableTextFinancial"/>
            </w:pPr>
            <w:r w:rsidRPr="0087752B">
              <w:t>per cent</w:t>
            </w:r>
          </w:p>
        </w:tc>
        <w:tc>
          <w:tcPr>
            <w:tcW w:w="374" w:type="pct"/>
            <w:shd w:val="clear" w:color="auto" w:fill="auto"/>
          </w:tcPr>
          <w:p w14:paraId="0D132E99" w14:textId="77777777" w:rsidR="006016B9" w:rsidRPr="0087752B" w:rsidRDefault="006016B9" w:rsidP="003447A9">
            <w:pPr>
              <w:pStyle w:val="DETTableTextFinancial"/>
              <w:jc w:val="right"/>
            </w:pPr>
            <w:r w:rsidRPr="0087752B">
              <w:t>58.1</w:t>
            </w:r>
          </w:p>
        </w:tc>
        <w:tc>
          <w:tcPr>
            <w:tcW w:w="374" w:type="pct"/>
            <w:shd w:val="clear" w:color="auto" w:fill="auto"/>
          </w:tcPr>
          <w:p w14:paraId="33EF68BE" w14:textId="77777777" w:rsidR="006016B9" w:rsidRPr="0087752B" w:rsidRDefault="006016B9" w:rsidP="003447A9">
            <w:pPr>
              <w:pStyle w:val="DETTableTextFinancial"/>
              <w:jc w:val="right"/>
            </w:pPr>
            <w:r w:rsidRPr="0087752B">
              <w:t>59.1</w:t>
            </w:r>
          </w:p>
        </w:tc>
        <w:tc>
          <w:tcPr>
            <w:tcW w:w="374" w:type="pct"/>
            <w:shd w:val="clear" w:color="auto" w:fill="auto"/>
          </w:tcPr>
          <w:p w14:paraId="02920D9B" w14:textId="77777777" w:rsidR="006016B9" w:rsidRPr="0087752B" w:rsidRDefault="006016B9" w:rsidP="003447A9">
            <w:pPr>
              <w:pStyle w:val="DETTableTextFinancial"/>
              <w:jc w:val="right"/>
            </w:pPr>
            <w:r w:rsidRPr="0087752B">
              <w:t>58.8</w:t>
            </w:r>
          </w:p>
        </w:tc>
        <w:tc>
          <w:tcPr>
            <w:tcW w:w="374" w:type="pct"/>
            <w:shd w:val="clear" w:color="auto" w:fill="auto"/>
          </w:tcPr>
          <w:p w14:paraId="382098D9" w14:textId="77777777" w:rsidR="006016B9" w:rsidRPr="0087752B" w:rsidRDefault="006016B9" w:rsidP="003447A9">
            <w:pPr>
              <w:pStyle w:val="DETTableTextFinancial"/>
              <w:jc w:val="right"/>
            </w:pPr>
            <w:r w:rsidRPr="0087752B">
              <w:t>60.0</w:t>
            </w:r>
          </w:p>
        </w:tc>
        <w:tc>
          <w:tcPr>
            <w:tcW w:w="374" w:type="pct"/>
          </w:tcPr>
          <w:p w14:paraId="559496BF" w14:textId="77777777" w:rsidR="006016B9" w:rsidRPr="0087752B" w:rsidRDefault="006016B9" w:rsidP="003447A9">
            <w:pPr>
              <w:pStyle w:val="DETTableTextFinancial"/>
              <w:jc w:val="right"/>
            </w:pPr>
            <w:r w:rsidRPr="0087752B">
              <w:t>58.7</w:t>
            </w:r>
          </w:p>
        </w:tc>
      </w:tr>
      <w:tr w:rsidR="006016B9" w:rsidRPr="0087752B" w14:paraId="52C96712" w14:textId="77777777" w:rsidTr="006016B9">
        <w:tc>
          <w:tcPr>
            <w:tcW w:w="2596" w:type="pct"/>
            <w:shd w:val="clear" w:color="auto" w:fill="auto"/>
          </w:tcPr>
          <w:p w14:paraId="72C8B81B" w14:textId="77777777" w:rsidR="006016B9" w:rsidRPr="0087752B" w:rsidRDefault="006016B9" w:rsidP="003447A9">
            <w:pPr>
              <w:pStyle w:val="DETTableTextFinancial"/>
            </w:pPr>
            <w:r w:rsidRPr="0087752B">
              <w:tab/>
              <w:t>Years 11–12</w:t>
            </w:r>
          </w:p>
        </w:tc>
        <w:tc>
          <w:tcPr>
            <w:tcW w:w="534" w:type="pct"/>
            <w:shd w:val="clear" w:color="auto" w:fill="auto"/>
          </w:tcPr>
          <w:p w14:paraId="194BD999" w14:textId="77777777" w:rsidR="006016B9" w:rsidRPr="0087752B" w:rsidRDefault="006016B9" w:rsidP="003447A9">
            <w:pPr>
              <w:pStyle w:val="DETTableTextFinancial"/>
            </w:pPr>
            <w:r w:rsidRPr="0087752B">
              <w:t>per cent</w:t>
            </w:r>
          </w:p>
        </w:tc>
        <w:tc>
          <w:tcPr>
            <w:tcW w:w="374" w:type="pct"/>
            <w:shd w:val="clear" w:color="auto" w:fill="auto"/>
          </w:tcPr>
          <w:p w14:paraId="0DE78ABE" w14:textId="77777777" w:rsidR="006016B9" w:rsidRPr="0087752B" w:rsidRDefault="006016B9" w:rsidP="003447A9">
            <w:pPr>
              <w:pStyle w:val="DETTableTextFinancial"/>
              <w:jc w:val="right"/>
            </w:pPr>
            <w:r w:rsidRPr="0087752B">
              <w:t>63.9</w:t>
            </w:r>
          </w:p>
        </w:tc>
        <w:tc>
          <w:tcPr>
            <w:tcW w:w="374" w:type="pct"/>
            <w:shd w:val="clear" w:color="auto" w:fill="auto"/>
          </w:tcPr>
          <w:p w14:paraId="06C24B6E" w14:textId="77777777" w:rsidR="006016B9" w:rsidRPr="0087752B" w:rsidRDefault="006016B9" w:rsidP="003447A9">
            <w:pPr>
              <w:pStyle w:val="DETTableTextFinancial"/>
              <w:jc w:val="right"/>
            </w:pPr>
            <w:r w:rsidRPr="0087752B">
              <w:t>65.5</w:t>
            </w:r>
          </w:p>
        </w:tc>
        <w:tc>
          <w:tcPr>
            <w:tcW w:w="374" w:type="pct"/>
            <w:shd w:val="clear" w:color="auto" w:fill="auto"/>
          </w:tcPr>
          <w:p w14:paraId="66D47B79" w14:textId="77777777" w:rsidR="006016B9" w:rsidRPr="0087752B" w:rsidRDefault="006016B9" w:rsidP="003447A9">
            <w:pPr>
              <w:pStyle w:val="DETTableTextFinancial"/>
              <w:jc w:val="right"/>
            </w:pPr>
            <w:r w:rsidRPr="0087752B">
              <w:t>65.7</w:t>
            </w:r>
          </w:p>
        </w:tc>
        <w:tc>
          <w:tcPr>
            <w:tcW w:w="374" w:type="pct"/>
            <w:shd w:val="clear" w:color="auto" w:fill="auto"/>
          </w:tcPr>
          <w:p w14:paraId="0091B9DC" w14:textId="77777777" w:rsidR="006016B9" w:rsidRPr="0087752B" w:rsidRDefault="006016B9" w:rsidP="003447A9">
            <w:pPr>
              <w:pStyle w:val="DETTableTextFinancial"/>
              <w:jc w:val="right"/>
            </w:pPr>
            <w:r w:rsidRPr="0087752B">
              <w:t>66.3</w:t>
            </w:r>
          </w:p>
        </w:tc>
        <w:tc>
          <w:tcPr>
            <w:tcW w:w="374" w:type="pct"/>
          </w:tcPr>
          <w:p w14:paraId="7193EBC9" w14:textId="77777777" w:rsidR="006016B9" w:rsidRPr="0087752B" w:rsidRDefault="006016B9" w:rsidP="003447A9">
            <w:pPr>
              <w:pStyle w:val="DETTableTextFinancial"/>
              <w:jc w:val="right"/>
            </w:pPr>
            <w:r w:rsidRPr="0087752B">
              <w:t>64.9</w:t>
            </w:r>
          </w:p>
        </w:tc>
      </w:tr>
      <w:tr w:rsidR="006016B9" w:rsidRPr="0087752B" w14:paraId="487C987F" w14:textId="77777777" w:rsidTr="006016B9">
        <w:tc>
          <w:tcPr>
            <w:tcW w:w="5000" w:type="pct"/>
            <w:gridSpan w:val="7"/>
            <w:shd w:val="clear" w:color="auto" w:fill="auto"/>
          </w:tcPr>
          <w:p w14:paraId="1383F5E2" w14:textId="77777777" w:rsidR="006016B9" w:rsidRPr="0087752B" w:rsidRDefault="006016B9" w:rsidP="003447A9">
            <w:pPr>
              <w:pStyle w:val="DETTableTextFinancial"/>
            </w:pPr>
            <w:r w:rsidRPr="0087752B">
              <w:t>Proportion of students who agree or strongly agree that other students are disruptive in class:</w:t>
            </w:r>
          </w:p>
        </w:tc>
      </w:tr>
      <w:tr w:rsidR="006016B9" w:rsidRPr="0087752B" w14:paraId="44E19253" w14:textId="77777777" w:rsidTr="006016B9">
        <w:tc>
          <w:tcPr>
            <w:tcW w:w="2596" w:type="pct"/>
            <w:shd w:val="clear" w:color="auto" w:fill="auto"/>
          </w:tcPr>
          <w:p w14:paraId="6EF31F38" w14:textId="77777777" w:rsidR="006016B9" w:rsidRPr="0087752B" w:rsidRDefault="006016B9" w:rsidP="003447A9">
            <w:pPr>
              <w:pStyle w:val="DETTableTextFinancial"/>
            </w:pPr>
            <w:r w:rsidRPr="0087752B">
              <w:tab/>
              <w:t>Years 5–6</w:t>
            </w:r>
          </w:p>
        </w:tc>
        <w:tc>
          <w:tcPr>
            <w:tcW w:w="534" w:type="pct"/>
            <w:shd w:val="clear" w:color="auto" w:fill="auto"/>
          </w:tcPr>
          <w:p w14:paraId="00019472" w14:textId="77777777" w:rsidR="006016B9" w:rsidRPr="0087752B" w:rsidRDefault="006016B9" w:rsidP="003447A9">
            <w:pPr>
              <w:pStyle w:val="DETTableTextFinancial"/>
            </w:pPr>
            <w:r w:rsidRPr="0087752B">
              <w:t>per cent</w:t>
            </w:r>
          </w:p>
        </w:tc>
        <w:tc>
          <w:tcPr>
            <w:tcW w:w="374" w:type="pct"/>
            <w:shd w:val="clear" w:color="auto" w:fill="auto"/>
          </w:tcPr>
          <w:p w14:paraId="57A87882" w14:textId="77777777" w:rsidR="006016B9" w:rsidRPr="0087752B" w:rsidRDefault="006016B9" w:rsidP="003447A9">
            <w:pPr>
              <w:pStyle w:val="DETTableTextFinancial"/>
              <w:jc w:val="right"/>
            </w:pPr>
            <w:r w:rsidRPr="0087752B">
              <w:t>13.5</w:t>
            </w:r>
          </w:p>
        </w:tc>
        <w:tc>
          <w:tcPr>
            <w:tcW w:w="374" w:type="pct"/>
            <w:shd w:val="clear" w:color="auto" w:fill="auto"/>
          </w:tcPr>
          <w:p w14:paraId="7523FBAD" w14:textId="77777777" w:rsidR="006016B9" w:rsidRPr="0087752B" w:rsidRDefault="006016B9" w:rsidP="003447A9">
            <w:pPr>
              <w:pStyle w:val="DETTableTextFinancial"/>
              <w:jc w:val="right"/>
            </w:pPr>
            <w:r w:rsidRPr="0087752B">
              <w:t>14.2</w:t>
            </w:r>
          </w:p>
        </w:tc>
        <w:tc>
          <w:tcPr>
            <w:tcW w:w="374" w:type="pct"/>
            <w:shd w:val="clear" w:color="auto" w:fill="auto"/>
          </w:tcPr>
          <w:p w14:paraId="007B0B7F" w14:textId="77777777" w:rsidR="006016B9" w:rsidRPr="0087752B" w:rsidRDefault="006016B9" w:rsidP="003447A9">
            <w:pPr>
              <w:pStyle w:val="DETTableTextFinancial"/>
              <w:jc w:val="right"/>
            </w:pPr>
            <w:r w:rsidRPr="0087752B">
              <w:t>14.4</w:t>
            </w:r>
          </w:p>
        </w:tc>
        <w:tc>
          <w:tcPr>
            <w:tcW w:w="374" w:type="pct"/>
            <w:shd w:val="clear" w:color="auto" w:fill="auto"/>
          </w:tcPr>
          <w:p w14:paraId="0B74AD21" w14:textId="77777777" w:rsidR="006016B9" w:rsidRPr="0087752B" w:rsidRDefault="006016B9" w:rsidP="003447A9">
            <w:pPr>
              <w:pStyle w:val="DETTableTextFinancial"/>
              <w:jc w:val="right"/>
            </w:pPr>
            <w:r w:rsidRPr="0087752B">
              <w:t>14.1</w:t>
            </w:r>
          </w:p>
        </w:tc>
        <w:tc>
          <w:tcPr>
            <w:tcW w:w="374" w:type="pct"/>
          </w:tcPr>
          <w:p w14:paraId="162281FD" w14:textId="77777777" w:rsidR="006016B9" w:rsidRPr="0087752B" w:rsidRDefault="006016B9" w:rsidP="003447A9">
            <w:pPr>
              <w:pStyle w:val="DETTableTextFinancial"/>
              <w:jc w:val="right"/>
            </w:pPr>
            <w:r w:rsidRPr="0087752B">
              <w:t>14.1</w:t>
            </w:r>
          </w:p>
        </w:tc>
      </w:tr>
      <w:tr w:rsidR="006016B9" w:rsidRPr="0087752B" w14:paraId="32EDB104" w14:textId="77777777" w:rsidTr="006016B9">
        <w:tc>
          <w:tcPr>
            <w:tcW w:w="2596" w:type="pct"/>
            <w:shd w:val="clear" w:color="auto" w:fill="auto"/>
          </w:tcPr>
          <w:p w14:paraId="1CB76052" w14:textId="77777777" w:rsidR="006016B9" w:rsidRPr="0087752B" w:rsidRDefault="006016B9" w:rsidP="003447A9">
            <w:pPr>
              <w:pStyle w:val="DETTableTextFinancial"/>
            </w:pPr>
            <w:r w:rsidRPr="0087752B">
              <w:tab/>
              <w:t>Years 7–10</w:t>
            </w:r>
          </w:p>
        </w:tc>
        <w:tc>
          <w:tcPr>
            <w:tcW w:w="534" w:type="pct"/>
            <w:shd w:val="clear" w:color="auto" w:fill="auto"/>
          </w:tcPr>
          <w:p w14:paraId="41F6E3A2" w14:textId="77777777" w:rsidR="006016B9" w:rsidRPr="0087752B" w:rsidRDefault="006016B9" w:rsidP="003447A9">
            <w:pPr>
              <w:pStyle w:val="DETTableTextFinancial"/>
            </w:pPr>
            <w:r w:rsidRPr="0087752B">
              <w:t>per cent</w:t>
            </w:r>
          </w:p>
        </w:tc>
        <w:tc>
          <w:tcPr>
            <w:tcW w:w="374" w:type="pct"/>
            <w:shd w:val="clear" w:color="auto" w:fill="auto"/>
          </w:tcPr>
          <w:p w14:paraId="3787A062" w14:textId="77777777" w:rsidR="006016B9" w:rsidRPr="0087752B" w:rsidRDefault="006016B9" w:rsidP="003447A9">
            <w:pPr>
              <w:pStyle w:val="DETTableTextFinancial"/>
              <w:jc w:val="right"/>
            </w:pPr>
            <w:r w:rsidRPr="0087752B">
              <w:t>26.2</w:t>
            </w:r>
          </w:p>
        </w:tc>
        <w:tc>
          <w:tcPr>
            <w:tcW w:w="374" w:type="pct"/>
            <w:shd w:val="clear" w:color="auto" w:fill="auto"/>
          </w:tcPr>
          <w:p w14:paraId="6920A3F8" w14:textId="77777777" w:rsidR="006016B9" w:rsidRPr="0087752B" w:rsidRDefault="006016B9" w:rsidP="003447A9">
            <w:pPr>
              <w:pStyle w:val="DETTableTextFinancial"/>
              <w:jc w:val="right"/>
            </w:pPr>
            <w:r w:rsidRPr="0087752B">
              <w:t>26.5</w:t>
            </w:r>
          </w:p>
        </w:tc>
        <w:tc>
          <w:tcPr>
            <w:tcW w:w="374" w:type="pct"/>
            <w:shd w:val="clear" w:color="auto" w:fill="auto"/>
          </w:tcPr>
          <w:p w14:paraId="243F4F2A" w14:textId="77777777" w:rsidR="006016B9" w:rsidRPr="0087752B" w:rsidRDefault="006016B9" w:rsidP="003447A9">
            <w:pPr>
              <w:pStyle w:val="DETTableTextFinancial"/>
              <w:jc w:val="right"/>
            </w:pPr>
            <w:r w:rsidRPr="0087752B">
              <w:t>26.5</w:t>
            </w:r>
          </w:p>
        </w:tc>
        <w:tc>
          <w:tcPr>
            <w:tcW w:w="374" w:type="pct"/>
            <w:shd w:val="clear" w:color="auto" w:fill="auto"/>
          </w:tcPr>
          <w:p w14:paraId="2BCCD194" w14:textId="77777777" w:rsidR="006016B9" w:rsidRPr="0087752B" w:rsidRDefault="006016B9" w:rsidP="003447A9">
            <w:pPr>
              <w:pStyle w:val="DETTableTextFinancial"/>
              <w:jc w:val="right"/>
            </w:pPr>
            <w:r w:rsidRPr="0087752B">
              <w:t>26.0</w:t>
            </w:r>
          </w:p>
        </w:tc>
        <w:tc>
          <w:tcPr>
            <w:tcW w:w="374" w:type="pct"/>
          </w:tcPr>
          <w:p w14:paraId="6B90F401" w14:textId="77777777" w:rsidR="006016B9" w:rsidRPr="0087752B" w:rsidRDefault="006016B9" w:rsidP="003447A9">
            <w:pPr>
              <w:pStyle w:val="DETTableTextFinancial"/>
              <w:jc w:val="right"/>
            </w:pPr>
            <w:r w:rsidRPr="0087752B">
              <w:t>24.7</w:t>
            </w:r>
          </w:p>
        </w:tc>
      </w:tr>
      <w:tr w:rsidR="006016B9" w:rsidRPr="0087752B" w14:paraId="3CEC99C6" w14:textId="77777777" w:rsidTr="006016B9">
        <w:tc>
          <w:tcPr>
            <w:tcW w:w="2596" w:type="pct"/>
            <w:shd w:val="clear" w:color="auto" w:fill="auto"/>
          </w:tcPr>
          <w:p w14:paraId="63ACBA99" w14:textId="77777777" w:rsidR="006016B9" w:rsidRPr="0087752B" w:rsidRDefault="006016B9" w:rsidP="003447A9">
            <w:pPr>
              <w:pStyle w:val="DETTableTextFinancial"/>
            </w:pPr>
            <w:r w:rsidRPr="0087752B">
              <w:tab/>
              <w:t>Years 11–12</w:t>
            </w:r>
          </w:p>
        </w:tc>
        <w:tc>
          <w:tcPr>
            <w:tcW w:w="534" w:type="pct"/>
            <w:shd w:val="clear" w:color="auto" w:fill="auto"/>
          </w:tcPr>
          <w:p w14:paraId="747F58BE" w14:textId="77777777" w:rsidR="006016B9" w:rsidRPr="0087752B" w:rsidRDefault="006016B9" w:rsidP="003447A9">
            <w:pPr>
              <w:pStyle w:val="DETTableTextFinancial"/>
            </w:pPr>
            <w:r w:rsidRPr="0087752B">
              <w:t>per cent</w:t>
            </w:r>
          </w:p>
        </w:tc>
        <w:tc>
          <w:tcPr>
            <w:tcW w:w="374" w:type="pct"/>
            <w:shd w:val="clear" w:color="auto" w:fill="auto"/>
          </w:tcPr>
          <w:p w14:paraId="547C7712" w14:textId="77777777" w:rsidR="006016B9" w:rsidRPr="0087752B" w:rsidRDefault="006016B9" w:rsidP="003447A9">
            <w:pPr>
              <w:pStyle w:val="DETTableTextFinancial"/>
              <w:jc w:val="right"/>
            </w:pPr>
            <w:r w:rsidRPr="0087752B">
              <w:t>18.8</w:t>
            </w:r>
          </w:p>
        </w:tc>
        <w:tc>
          <w:tcPr>
            <w:tcW w:w="374" w:type="pct"/>
            <w:shd w:val="clear" w:color="auto" w:fill="auto"/>
          </w:tcPr>
          <w:p w14:paraId="45F0C5BB" w14:textId="77777777" w:rsidR="006016B9" w:rsidRPr="0087752B" w:rsidRDefault="006016B9" w:rsidP="003447A9">
            <w:pPr>
              <w:pStyle w:val="DETTableTextFinancial"/>
              <w:jc w:val="right"/>
            </w:pPr>
            <w:r w:rsidRPr="0087752B">
              <w:t>18.7</w:t>
            </w:r>
          </w:p>
        </w:tc>
        <w:tc>
          <w:tcPr>
            <w:tcW w:w="374" w:type="pct"/>
            <w:shd w:val="clear" w:color="auto" w:fill="auto"/>
          </w:tcPr>
          <w:p w14:paraId="40DE68C1" w14:textId="77777777" w:rsidR="006016B9" w:rsidRPr="0087752B" w:rsidRDefault="006016B9" w:rsidP="003447A9">
            <w:pPr>
              <w:pStyle w:val="DETTableTextFinancial"/>
              <w:jc w:val="right"/>
            </w:pPr>
            <w:r w:rsidRPr="0087752B">
              <w:t>18.0</w:t>
            </w:r>
          </w:p>
        </w:tc>
        <w:tc>
          <w:tcPr>
            <w:tcW w:w="374" w:type="pct"/>
            <w:shd w:val="clear" w:color="auto" w:fill="auto"/>
          </w:tcPr>
          <w:p w14:paraId="2F659B71" w14:textId="77777777" w:rsidR="006016B9" w:rsidRPr="0087752B" w:rsidRDefault="006016B9" w:rsidP="003447A9">
            <w:pPr>
              <w:pStyle w:val="DETTableTextFinancial"/>
              <w:jc w:val="right"/>
            </w:pPr>
            <w:r w:rsidRPr="0087752B">
              <w:t>17.0</w:t>
            </w:r>
          </w:p>
        </w:tc>
        <w:tc>
          <w:tcPr>
            <w:tcW w:w="374" w:type="pct"/>
          </w:tcPr>
          <w:p w14:paraId="68090408" w14:textId="77777777" w:rsidR="006016B9" w:rsidRPr="0087752B" w:rsidRDefault="006016B9" w:rsidP="003447A9">
            <w:pPr>
              <w:pStyle w:val="DETTableTextFinancial"/>
              <w:jc w:val="right"/>
            </w:pPr>
            <w:r w:rsidRPr="0087752B">
              <w:t>16.1</w:t>
            </w:r>
          </w:p>
        </w:tc>
      </w:tr>
      <w:tr w:rsidR="006016B9" w:rsidRPr="0087752B" w14:paraId="6FF1CD51" w14:textId="77777777" w:rsidTr="003447A9">
        <w:tc>
          <w:tcPr>
            <w:tcW w:w="5000" w:type="pct"/>
            <w:gridSpan w:val="7"/>
            <w:shd w:val="clear" w:color="auto" w:fill="7F7F7F" w:themeFill="text1" w:themeFillTint="80"/>
          </w:tcPr>
          <w:p w14:paraId="5BD405DD" w14:textId="77777777" w:rsidR="006016B9" w:rsidRPr="0087752B" w:rsidRDefault="006016B9" w:rsidP="003447A9">
            <w:pPr>
              <w:pStyle w:val="DETTablecolumnheading"/>
              <w:jc w:val="left"/>
            </w:pPr>
            <w:r w:rsidRPr="0087752B">
              <w:t>Higher education and skills</w:t>
            </w:r>
          </w:p>
        </w:tc>
      </w:tr>
      <w:tr w:rsidR="006016B9" w:rsidRPr="0087752B" w14:paraId="0A6F4108" w14:textId="77777777" w:rsidTr="006016B9">
        <w:tc>
          <w:tcPr>
            <w:tcW w:w="5000" w:type="pct"/>
            <w:gridSpan w:val="7"/>
            <w:shd w:val="clear" w:color="auto" w:fill="auto"/>
          </w:tcPr>
          <w:p w14:paraId="2A5E9B0E" w14:textId="77777777" w:rsidR="006016B9" w:rsidRPr="003D2FDD" w:rsidRDefault="006016B9" w:rsidP="003447A9">
            <w:pPr>
              <w:pStyle w:val="DETTableTextFinancial"/>
              <w:rPr>
                <w:b/>
              </w:rPr>
            </w:pPr>
            <w:r w:rsidRPr="003D2FDD">
              <w:rPr>
                <w:b/>
              </w:rPr>
              <w:t>Level of student satisfaction with VET</w:t>
            </w:r>
          </w:p>
        </w:tc>
      </w:tr>
      <w:tr w:rsidR="006016B9" w:rsidRPr="0087752B" w14:paraId="57AD6CE6" w14:textId="77777777" w:rsidTr="006016B9">
        <w:tc>
          <w:tcPr>
            <w:tcW w:w="2596" w:type="pct"/>
            <w:tcBorders>
              <w:bottom w:val="single" w:sz="4" w:space="0" w:color="auto"/>
            </w:tcBorders>
            <w:shd w:val="clear" w:color="auto" w:fill="auto"/>
          </w:tcPr>
          <w:p w14:paraId="691E7452" w14:textId="77777777" w:rsidR="006016B9" w:rsidRPr="005C767D" w:rsidRDefault="006016B9" w:rsidP="003447A9">
            <w:pPr>
              <w:pStyle w:val="DETTableTextFinancial"/>
            </w:pPr>
            <w:r w:rsidRPr="0087752B">
              <w:t>Proportion of graduates satisfied with the overall quality of training</w:t>
            </w:r>
            <w:r w:rsidRPr="005C767D">
              <w:rPr>
                <w:rStyle w:val="FootnoteReference"/>
              </w:rPr>
              <w:footnoteReference w:id="29"/>
            </w:r>
          </w:p>
        </w:tc>
        <w:tc>
          <w:tcPr>
            <w:tcW w:w="534" w:type="pct"/>
            <w:tcBorders>
              <w:bottom w:val="single" w:sz="4" w:space="0" w:color="auto"/>
            </w:tcBorders>
            <w:shd w:val="clear" w:color="auto" w:fill="auto"/>
          </w:tcPr>
          <w:p w14:paraId="50615244" w14:textId="77777777" w:rsidR="006016B9" w:rsidRPr="0087752B" w:rsidRDefault="006016B9" w:rsidP="003447A9">
            <w:pPr>
              <w:pStyle w:val="DETTableTextFinancial"/>
            </w:pPr>
            <w:r w:rsidRPr="0087752B">
              <w:t>per cent</w:t>
            </w:r>
          </w:p>
        </w:tc>
        <w:tc>
          <w:tcPr>
            <w:tcW w:w="374" w:type="pct"/>
            <w:tcBorders>
              <w:bottom w:val="single" w:sz="4" w:space="0" w:color="auto"/>
            </w:tcBorders>
            <w:shd w:val="clear" w:color="auto" w:fill="auto"/>
          </w:tcPr>
          <w:p w14:paraId="409DEACC" w14:textId="77D4BF51" w:rsidR="006016B9" w:rsidRPr="0087752B" w:rsidRDefault="00B8123E" w:rsidP="003447A9">
            <w:pPr>
              <w:pStyle w:val="DETTableTextFinancial"/>
              <w:jc w:val="right"/>
            </w:pPr>
            <w:r>
              <w:t>87.7</w:t>
            </w:r>
          </w:p>
        </w:tc>
        <w:tc>
          <w:tcPr>
            <w:tcW w:w="374" w:type="pct"/>
            <w:tcBorders>
              <w:bottom w:val="single" w:sz="4" w:space="0" w:color="auto"/>
            </w:tcBorders>
            <w:shd w:val="clear" w:color="auto" w:fill="auto"/>
          </w:tcPr>
          <w:p w14:paraId="054563C3" w14:textId="77777777" w:rsidR="006016B9" w:rsidRPr="0087752B" w:rsidRDefault="006016B9" w:rsidP="003447A9">
            <w:pPr>
              <w:pStyle w:val="DETTableTextFinancial"/>
              <w:jc w:val="right"/>
            </w:pPr>
            <w:r w:rsidRPr="0087752B">
              <w:t>87.6</w:t>
            </w:r>
          </w:p>
        </w:tc>
        <w:tc>
          <w:tcPr>
            <w:tcW w:w="374" w:type="pct"/>
            <w:tcBorders>
              <w:bottom w:val="single" w:sz="4" w:space="0" w:color="auto"/>
            </w:tcBorders>
            <w:shd w:val="clear" w:color="auto" w:fill="auto"/>
          </w:tcPr>
          <w:p w14:paraId="5210E689" w14:textId="77777777" w:rsidR="006016B9" w:rsidRPr="0087752B" w:rsidRDefault="006016B9" w:rsidP="003447A9">
            <w:pPr>
              <w:pStyle w:val="DETTableTextFinancial"/>
              <w:jc w:val="right"/>
            </w:pPr>
            <w:r w:rsidRPr="0087752B">
              <w:t>85.4</w:t>
            </w:r>
          </w:p>
        </w:tc>
        <w:tc>
          <w:tcPr>
            <w:tcW w:w="374" w:type="pct"/>
            <w:tcBorders>
              <w:bottom w:val="single" w:sz="4" w:space="0" w:color="auto"/>
            </w:tcBorders>
            <w:shd w:val="clear" w:color="auto" w:fill="auto"/>
          </w:tcPr>
          <w:p w14:paraId="6D690689" w14:textId="5FDCDF8E" w:rsidR="006016B9" w:rsidRPr="0087752B" w:rsidRDefault="00B8123E" w:rsidP="003447A9">
            <w:pPr>
              <w:pStyle w:val="DETTableTextFinancial"/>
              <w:jc w:val="right"/>
            </w:pPr>
            <w:r>
              <w:t>84.5</w:t>
            </w:r>
          </w:p>
        </w:tc>
        <w:tc>
          <w:tcPr>
            <w:tcW w:w="374" w:type="pct"/>
            <w:tcBorders>
              <w:bottom w:val="single" w:sz="4" w:space="0" w:color="auto"/>
            </w:tcBorders>
          </w:tcPr>
          <w:p w14:paraId="712C9DC4" w14:textId="77777777" w:rsidR="006016B9" w:rsidRPr="0087752B" w:rsidRDefault="006016B9" w:rsidP="003447A9">
            <w:pPr>
              <w:pStyle w:val="DETTableTextFinancial"/>
              <w:jc w:val="right"/>
            </w:pPr>
            <w:r w:rsidRPr="0087752B">
              <w:t>84.0</w:t>
            </w:r>
          </w:p>
        </w:tc>
      </w:tr>
    </w:tbl>
    <w:p w14:paraId="3337A7C5" w14:textId="77777777" w:rsidR="006016B9" w:rsidRPr="0087752B" w:rsidRDefault="006016B9" w:rsidP="006016B9">
      <w:pPr>
        <w:sectPr w:rsidR="006016B9" w:rsidRPr="0087752B" w:rsidSect="006016B9">
          <w:footnotePr>
            <w:numRestart w:val="eachSect"/>
          </w:footnotePr>
          <w:pgSz w:w="11906" w:h="16838" w:code="9"/>
          <w:pgMar w:top="1440" w:right="1701" w:bottom="1440" w:left="2835" w:header="851" w:footer="567" w:gutter="0"/>
          <w:cols w:space="567"/>
          <w:docGrid w:linePitch="360"/>
        </w:sectPr>
      </w:pPr>
    </w:p>
    <w:p w14:paraId="792BFFD6" w14:textId="77777777" w:rsidR="006016B9" w:rsidRPr="0087752B" w:rsidRDefault="006016B9" w:rsidP="00414C2B">
      <w:pPr>
        <w:pStyle w:val="Heading3"/>
      </w:pPr>
      <w:r w:rsidRPr="0087752B">
        <w:lastRenderedPageBreak/>
        <w:t>Productivity</w:t>
      </w:r>
    </w:p>
    <w:p w14:paraId="2802BBB1" w14:textId="77777777" w:rsidR="006016B9" w:rsidRPr="00127B23" w:rsidRDefault="006016B9" w:rsidP="006016B9">
      <w:pPr>
        <w:rPr>
          <w:rStyle w:val="SubtleEmphasis"/>
        </w:rPr>
      </w:pPr>
      <w:r w:rsidRPr="00127B23">
        <w:rPr>
          <w:rStyle w:val="SubtleEmphasis"/>
        </w:rPr>
        <w:t>Increase the economic and social return on expenditure on the Department of Education and Training’s services.</w:t>
      </w:r>
    </w:p>
    <w:p w14:paraId="0BE72E06" w14:textId="77777777" w:rsidR="006016B9" w:rsidRPr="0087752B" w:rsidRDefault="006016B9" w:rsidP="006016B9">
      <w:r w:rsidRPr="005C767D">
        <w:t>The following table reports progress against the Productivity indic</w:t>
      </w:r>
      <w:r w:rsidRPr="0087752B">
        <w:t xml:space="preserve">ators in the 2015–16 State Budget Paper No. 3 Service Delivery. </w:t>
      </w:r>
    </w:p>
    <w:tbl>
      <w:tblPr>
        <w:tblW w:w="5001" w:type="pct"/>
        <w:tblLayout w:type="fixed"/>
        <w:tblCellMar>
          <w:left w:w="45" w:type="dxa"/>
          <w:right w:w="45" w:type="dxa"/>
        </w:tblCellMar>
        <w:tblLook w:val="0000" w:firstRow="0" w:lastRow="0" w:firstColumn="0" w:lastColumn="0" w:noHBand="0" w:noVBand="0"/>
      </w:tblPr>
      <w:tblGrid>
        <w:gridCol w:w="2739"/>
        <w:gridCol w:w="727"/>
        <w:gridCol w:w="759"/>
        <w:gridCol w:w="797"/>
        <w:gridCol w:w="956"/>
        <w:gridCol w:w="795"/>
        <w:gridCol w:w="688"/>
      </w:tblGrid>
      <w:tr w:rsidR="006229D5" w:rsidRPr="0087752B" w14:paraId="29B63E4C" w14:textId="77777777" w:rsidTr="006229D5">
        <w:tc>
          <w:tcPr>
            <w:tcW w:w="2739" w:type="dxa"/>
            <w:shd w:val="clear" w:color="auto" w:fill="A6A6A6" w:themeFill="background1" w:themeFillShade="A6"/>
          </w:tcPr>
          <w:p w14:paraId="4E287077" w14:textId="77777777" w:rsidR="006016B9" w:rsidRPr="0087752B" w:rsidRDefault="006016B9" w:rsidP="00414C2B">
            <w:pPr>
              <w:pStyle w:val="DETTablecolumnheading"/>
              <w:jc w:val="left"/>
            </w:pPr>
            <w:r w:rsidRPr="0087752B">
              <w:t>Indicators</w:t>
            </w:r>
          </w:p>
        </w:tc>
        <w:tc>
          <w:tcPr>
            <w:tcW w:w="727" w:type="dxa"/>
            <w:shd w:val="clear" w:color="auto" w:fill="A6A6A6" w:themeFill="background1" w:themeFillShade="A6"/>
          </w:tcPr>
          <w:p w14:paraId="006F6DAF" w14:textId="77777777" w:rsidR="006016B9" w:rsidRPr="0087752B" w:rsidRDefault="006016B9" w:rsidP="00414C2B">
            <w:pPr>
              <w:pStyle w:val="DETTablecolumnheading"/>
            </w:pPr>
            <w:r w:rsidRPr="0087752B">
              <w:t>Unit</w:t>
            </w:r>
          </w:p>
        </w:tc>
        <w:tc>
          <w:tcPr>
            <w:tcW w:w="759" w:type="dxa"/>
            <w:shd w:val="clear" w:color="auto" w:fill="A6A6A6" w:themeFill="background1" w:themeFillShade="A6"/>
          </w:tcPr>
          <w:p w14:paraId="4DCF8DFE" w14:textId="77777777" w:rsidR="006016B9" w:rsidRPr="0087752B" w:rsidRDefault="006016B9" w:rsidP="00414C2B">
            <w:pPr>
              <w:pStyle w:val="DETTablecolumnheading"/>
            </w:pPr>
            <w:r w:rsidRPr="0087752B">
              <w:t>2011</w:t>
            </w:r>
          </w:p>
        </w:tc>
        <w:tc>
          <w:tcPr>
            <w:tcW w:w="797" w:type="dxa"/>
            <w:shd w:val="clear" w:color="auto" w:fill="A6A6A6" w:themeFill="background1" w:themeFillShade="A6"/>
          </w:tcPr>
          <w:p w14:paraId="2E8724B0" w14:textId="77777777" w:rsidR="006016B9" w:rsidRPr="0087752B" w:rsidRDefault="006016B9" w:rsidP="00414C2B">
            <w:pPr>
              <w:pStyle w:val="DETTablecolumnheading"/>
            </w:pPr>
            <w:r w:rsidRPr="0087752B">
              <w:t>2012</w:t>
            </w:r>
          </w:p>
        </w:tc>
        <w:tc>
          <w:tcPr>
            <w:tcW w:w="956" w:type="dxa"/>
            <w:shd w:val="clear" w:color="auto" w:fill="A6A6A6" w:themeFill="background1" w:themeFillShade="A6"/>
          </w:tcPr>
          <w:p w14:paraId="119749F5" w14:textId="77777777" w:rsidR="006016B9" w:rsidRPr="0087752B" w:rsidRDefault="006016B9" w:rsidP="00414C2B">
            <w:pPr>
              <w:pStyle w:val="DETTablecolumnheading"/>
            </w:pPr>
            <w:r w:rsidRPr="0087752B">
              <w:t>2013</w:t>
            </w:r>
          </w:p>
        </w:tc>
        <w:tc>
          <w:tcPr>
            <w:tcW w:w="795" w:type="dxa"/>
            <w:shd w:val="clear" w:color="auto" w:fill="A6A6A6" w:themeFill="background1" w:themeFillShade="A6"/>
          </w:tcPr>
          <w:p w14:paraId="73FD038F" w14:textId="77777777" w:rsidR="006016B9" w:rsidRPr="0087752B" w:rsidRDefault="006016B9" w:rsidP="00414C2B">
            <w:pPr>
              <w:pStyle w:val="DETTablecolumnheading"/>
            </w:pPr>
            <w:r w:rsidRPr="0087752B">
              <w:t>2014</w:t>
            </w:r>
          </w:p>
        </w:tc>
        <w:tc>
          <w:tcPr>
            <w:tcW w:w="688" w:type="dxa"/>
            <w:shd w:val="clear" w:color="auto" w:fill="A6A6A6" w:themeFill="background1" w:themeFillShade="A6"/>
          </w:tcPr>
          <w:p w14:paraId="4C7E70B2" w14:textId="77777777" w:rsidR="006016B9" w:rsidRPr="0087752B" w:rsidRDefault="006016B9" w:rsidP="00414C2B">
            <w:pPr>
              <w:pStyle w:val="DETTablecolumnheading"/>
            </w:pPr>
            <w:r w:rsidRPr="0087752B">
              <w:t>2015</w:t>
            </w:r>
          </w:p>
        </w:tc>
      </w:tr>
      <w:tr w:rsidR="006016B9" w:rsidRPr="0087752B" w14:paraId="17FC99CA" w14:textId="77777777" w:rsidTr="00414C2B">
        <w:trPr>
          <w:cantSplit/>
        </w:trPr>
        <w:tc>
          <w:tcPr>
            <w:tcW w:w="7461" w:type="dxa"/>
            <w:gridSpan w:val="7"/>
            <w:shd w:val="clear" w:color="auto" w:fill="7F7F7F" w:themeFill="text1" w:themeFillTint="80"/>
          </w:tcPr>
          <w:p w14:paraId="4F80B716" w14:textId="77777777" w:rsidR="006016B9" w:rsidRPr="005C767D" w:rsidRDefault="006016B9" w:rsidP="00414C2B">
            <w:pPr>
              <w:pStyle w:val="DETTablecolumnheading"/>
              <w:jc w:val="left"/>
            </w:pPr>
            <w:r w:rsidRPr="0087752B">
              <w:t>Early childhood development</w:t>
            </w:r>
            <w:r w:rsidRPr="005C767D">
              <w:rPr>
                <w:rStyle w:val="FootnoteReference"/>
              </w:rPr>
              <w:footnoteReference w:id="30"/>
            </w:r>
          </w:p>
        </w:tc>
      </w:tr>
      <w:tr w:rsidR="006016B9" w:rsidRPr="0087752B" w14:paraId="57FC3363" w14:textId="77777777" w:rsidTr="006016B9">
        <w:trPr>
          <w:cantSplit/>
        </w:trPr>
        <w:tc>
          <w:tcPr>
            <w:tcW w:w="7461" w:type="dxa"/>
            <w:gridSpan w:val="7"/>
            <w:shd w:val="clear" w:color="auto" w:fill="auto"/>
          </w:tcPr>
          <w:p w14:paraId="50A4A935" w14:textId="77777777" w:rsidR="006016B9" w:rsidRPr="005C767D" w:rsidRDefault="006016B9" w:rsidP="00414C2B">
            <w:pPr>
              <w:pStyle w:val="DETTableTextFinancial"/>
              <w:rPr>
                <w:b/>
              </w:rPr>
            </w:pPr>
            <w:r w:rsidRPr="0087752B">
              <w:rPr>
                <w:b/>
              </w:rPr>
              <w:t>Dollar per child aged 0 to 3 years receiving a maternal and child health service per financial year</w:t>
            </w:r>
            <w:bookmarkStart w:id="57" w:name="_Ref400552340"/>
            <w:r w:rsidRPr="005C767D">
              <w:rPr>
                <w:rStyle w:val="FootnoteReference"/>
              </w:rPr>
              <w:footnoteReference w:id="31"/>
            </w:r>
            <w:bookmarkEnd w:id="57"/>
          </w:p>
        </w:tc>
      </w:tr>
      <w:tr w:rsidR="006229D5" w:rsidRPr="0087752B" w14:paraId="52A97A14" w14:textId="77777777" w:rsidTr="006229D5">
        <w:trPr>
          <w:cantSplit/>
        </w:trPr>
        <w:tc>
          <w:tcPr>
            <w:tcW w:w="2739" w:type="dxa"/>
            <w:shd w:val="clear" w:color="auto" w:fill="auto"/>
          </w:tcPr>
          <w:p w14:paraId="014C54B4" w14:textId="77777777" w:rsidR="006016B9" w:rsidRPr="005C767D" w:rsidRDefault="006016B9" w:rsidP="00414C2B">
            <w:pPr>
              <w:pStyle w:val="DETTableTextFinancial"/>
            </w:pPr>
            <w:r w:rsidRPr="0087752B">
              <w:t>Minimum funding available to every child (provides 6.75 hours of maternal and child health service for each child aged 0 to 3 years)</w:t>
            </w:r>
            <w:r w:rsidRPr="005C767D">
              <w:rPr>
                <w:rStyle w:val="FootnoteReference"/>
              </w:rPr>
              <w:footnoteReference w:id="32"/>
            </w:r>
          </w:p>
        </w:tc>
        <w:tc>
          <w:tcPr>
            <w:tcW w:w="727" w:type="dxa"/>
            <w:shd w:val="clear" w:color="auto" w:fill="auto"/>
          </w:tcPr>
          <w:p w14:paraId="685A3AE8" w14:textId="77777777" w:rsidR="006016B9" w:rsidRPr="0087752B" w:rsidRDefault="006016B9" w:rsidP="00414C2B">
            <w:pPr>
              <w:pStyle w:val="DETTableTextFinancial"/>
              <w:jc w:val="center"/>
            </w:pPr>
            <w:r w:rsidRPr="0087752B">
              <w:t>$ per child</w:t>
            </w:r>
          </w:p>
        </w:tc>
        <w:tc>
          <w:tcPr>
            <w:tcW w:w="759" w:type="dxa"/>
            <w:shd w:val="clear" w:color="auto" w:fill="auto"/>
          </w:tcPr>
          <w:p w14:paraId="6892B4FD" w14:textId="77777777" w:rsidR="006016B9" w:rsidRPr="0087752B" w:rsidRDefault="006016B9" w:rsidP="00414C2B">
            <w:pPr>
              <w:pStyle w:val="DETTableTextFinancial"/>
              <w:jc w:val="right"/>
            </w:pPr>
            <w:r w:rsidRPr="0087752B">
              <w:t>560.3</w:t>
            </w:r>
          </w:p>
        </w:tc>
        <w:tc>
          <w:tcPr>
            <w:tcW w:w="797" w:type="dxa"/>
            <w:shd w:val="clear" w:color="auto" w:fill="auto"/>
          </w:tcPr>
          <w:p w14:paraId="5F3649FD" w14:textId="77777777" w:rsidR="006016B9" w:rsidRPr="0087752B" w:rsidRDefault="006016B9" w:rsidP="00414C2B">
            <w:pPr>
              <w:pStyle w:val="DETTableTextFinancial"/>
              <w:jc w:val="right"/>
            </w:pPr>
            <w:r w:rsidRPr="0087752B">
              <w:t>605.9</w:t>
            </w:r>
          </w:p>
        </w:tc>
        <w:tc>
          <w:tcPr>
            <w:tcW w:w="956" w:type="dxa"/>
            <w:shd w:val="clear" w:color="auto" w:fill="auto"/>
          </w:tcPr>
          <w:p w14:paraId="40C16752" w14:textId="77777777" w:rsidR="006016B9" w:rsidRPr="0087752B" w:rsidRDefault="006016B9" w:rsidP="00414C2B">
            <w:pPr>
              <w:pStyle w:val="DETTableTextFinancial"/>
              <w:jc w:val="right"/>
            </w:pPr>
            <w:r w:rsidRPr="0087752B">
              <w:t>618.0</w:t>
            </w:r>
          </w:p>
        </w:tc>
        <w:tc>
          <w:tcPr>
            <w:tcW w:w="795" w:type="dxa"/>
            <w:shd w:val="clear" w:color="auto" w:fill="auto"/>
          </w:tcPr>
          <w:p w14:paraId="56A58AA8" w14:textId="77777777" w:rsidR="006016B9" w:rsidRPr="0087752B" w:rsidRDefault="006016B9" w:rsidP="00414C2B">
            <w:pPr>
              <w:pStyle w:val="DETTableTextFinancial"/>
              <w:jc w:val="right"/>
            </w:pPr>
            <w:r w:rsidRPr="0087752B">
              <w:t>630.4</w:t>
            </w:r>
          </w:p>
        </w:tc>
        <w:tc>
          <w:tcPr>
            <w:tcW w:w="688" w:type="dxa"/>
          </w:tcPr>
          <w:p w14:paraId="27C52F04" w14:textId="77777777" w:rsidR="006016B9" w:rsidRPr="0087752B" w:rsidRDefault="006016B9" w:rsidP="00414C2B">
            <w:pPr>
              <w:pStyle w:val="DETTableTextFinancial"/>
              <w:jc w:val="right"/>
            </w:pPr>
            <w:r w:rsidRPr="0087752B">
              <w:t>642.9</w:t>
            </w:r>
          </w:p>
        </w:tc>
      </w:tr>
      <w:tr w:rsidR="006016B9" w:rsidRPr="0087752B" w14:paraId="5733F095" w14:textId="77777777" w:rsidTr="006016B9">
        <w:trPr>
          <w:cantSplit/>
        </w:trPr>
        <w:tc>
          <w:tcPr>
            <w:tcW w:w="7461" w:type="dxa"/>
            <w:gridSpan w:val="7"/>
            <w:shd w:val="clear" w:color="auto" w:fill="auto"/>
          </w:tcPr>
          <w:p w14:paraId="4ABD31FF" w14:textId="77777777" w:rsidR="006016B9" w:rsidRPr="005C767D" w:rsidRDefault="006016B9" w:rsidP="00414C2B">
            <w:pPr>
              <w:pStyle w:val="DETTableTextFinancial"/>
              <w:rPr>
                <w:b/>
              </w:rPr>
            </w:pPr>
            <w:r w:rsidRPr="0087752B">
              <w:rPr>
                <w:b/>
              </w:rPr>
              <w:t>Dollar per kindergarten student per financial year</w:t>
            </w:r>
            <w:bookmarkStart w:id="58" w:name="_Ref393899612"/>
            <w:r w:rsidRPr="0087752B">
              <w:rPr>
                <w:b/>
              </w:rPr>
              <w:t xml:space="preserve"> in the year prior to school</w:t>
            </w:r>
            <w:r w:rsidRPr="001F07C0">
              <w:rPr>
                <w:rStyle w:val="FootnoteReference"/>
              </w:rPr>
              <w:fldChar w:fldCharType="begin"/>
            </w:r>
            <w:r w:rsidRPr="0087752B">
              <w:rPr>
                <w:rStyle w:val="FootnoteReference"/>
              </w:rPr>
              <w:instrText xml:space="preserve"> NOTEREF _Ref400552340 \h  \* MERGEFORMAT </w:instrText>
            </w:r>
            <w:r w:rsidRPr="001F07C0">
              <w:rPr>
                <w:rStyle w:val="FootnoteReference"/>
              </w:rPr>
            </w:r>
            <w:r w:rsidRPr="001F07C0">
              <w:rPr>
                <w:rStyle w:val="FootnoteReference"/>
              </w:rPr>
              <w:fldChar w:fldCharType="separate"/>
            </w:r>
            <w:r w:rsidR="00EF67CF">
              <w:rPr>
                <w:rStyle w:val="FootnoteReference"/>
              </w:rPr>
              <w:t>2</w:t>
            </w:r>
            <w:r w:rsidRPr="001F07C0">
              <w:rPr>
                <w:rStyle w:val="FootnoteReference"/>
              </w:rPr>
              <w:fldChar w:fldCharType="end"/>
            </w:r>
            <w:r w:rsidRPr="005C767D">
              <w:rPr>
                <w:rStyle w:val="FootnoteReference"/>
              </w:rPr>
              <w:t>,</w:t>
            </w:r>
            <w:r w:rsidRPr="005C767D">
              <w:rPr>
                <w:rStyle w:val="FootnoteReference"/>
              </w:rPr>
              <w:footnoteReference w:id="33"/>
            </w:r>
            <w:bookmarkEnd w:id="58"/>
          </w:p>
        </w:tc>
      </w:tr>
      <w:tr w:rsidR="006229D5" w:rsidRPr="0087752B" w14:paraId="127AE49A" w14:textId="77777777" w:rsidTr="006229D5">
        <w:trPr>
          <w:cantSplit/>
        </w:trPr>
        <w:tc>
          <w:tcPr>
            <w:tcW w:w="2739" w:type="dxa"/>
            <w:shd w:val="clear" w:color="auto" w:fill="auto"/>
          </w:tcPr>
          <w:p w14:paraId="7EA16203" w14:textId="77777777" w:rsidR="006016B9" w:rsidRPr="005C767D" w:rsidRDefault="006016B9" w:rsidP="00414C2B">
            <w:pPr>
              <w:pStyle w:val="DETTableTextFinancial"/>
              <w:rPr>
                <w:highlight w:val="yellow"/>
              </w:rPr>
            </w:pPr>
            <w:r w:rsidRPr="0087752B">
              <w:t>Minimum funding available to the majority of children (approximately 98 per cent in 2015) who access a kindergarten program in the year prior to school</w:t>
            </w:r>
            <w:r w:rsidRPr="005C767D">
              <w:rPr>
                <w:rStyle w:val="FootnoteReference"/>
              </w:rPr>
              <w:footnoteReference w:id="34"/>
            </w:r>
          </w:p>
        </w:tc>
        <w:tc>
          <w:tcPr>
            <w:tcW w:w="727" w:type="dxa"/>
            <w:shd w:val="clear" w:color="auto" w:fill="auto"/>
          </w:tcPr>
          <w:p w14:paraId="1039FDC9" w14:textId="77777777" w:rsidR="006016B9" w:rsidRPr="0087752B" w:rsidRDefault="006016B9" w:rsidP="00414C2B">
            <w:pPr>
              <w:pStyle w:val="DETTableTextFinancial"/>
              <w:jc w:val="center"/>
            </w:pPr>
            <w:r w:rsidRPr="0087752B">
              <w:t>$ per child</w:t>
            </w:r>
          </w:p>
        </w:tc>
        <w:tc>
          <w:tcPr>
            <w:tcW w:w="759" w:type="dxa"/>
            <w:shd w:val="clear" w:color="auto" w:fill="auto"/>
          </w:tcPr>
          <w:p w14:paraId="1BC9C2B1" w14:textId="5D9EF6AE" w:rsidR="006016B9" w:rsidRPr="0087752B" w:rsidRDefault="006016B9" w:rsidP="00414C2B">
            <w:pPr>
              <w:pStyle w:val="DETTableTextFinancial"/>
              <w:jc w:val="right"/>
            </w:pPr>
            <w:r w:rsidRPr="0087752B">
              <w:t>1</w:t>
            </w:r>
            <w:r w:rsidR="00F07E30" w:rsidRPr="0087752B">
              <w:t>,</w:t>
            </w:r>
            <w:r w:rsidRPr="0087752B">
              <w:t>883.0</w:t>
            </w:r>
          </w:p>
        </w:tc>
        <w:tc>
          <w:tcPr>
            <w:tcW w:w="797" w:type="dxa"/>
            <w:shd w:val="clear" w:color="auto" w:fill="auto"/>
          </w:tcPr>
          <w:p w14:paraId="263EBC65" w14:textId="2A94D403" w:rsidR="006016B9" w:rsidRPr="0087752B" w:rsidRDefault="006016B9" w:rsidP="00414C2B">
            <w:pPr>
              <w:pStyle w:val="DETTableTextFinancial"/>
              <w:jc w:val="right"/>
            </w:pPr>
            <w:r w:rsidRPr="0087752B">
              <w:t>2</w:t>
            </w:r>
            <w:r w:rsidR="00F07E30" w:rsidRPr="0087752B">
              <w:t>,</w:t>
            </w:r>
            <w:r w:rsidRPr="0087752B">
              <w:t>001.0</w:t>
            </w:r>
          </w:p>
        </w:tc>
        <w:tc>
          <w:tcPr>
            <w:tcW w:w="956" w:type="dxa"/>
            <w:shd w:val="clear" w:color="auto" w:fill="auto"/>
          </w:tcPr>
          <w:p w14:paraId="4FCE3C17" w14:textId="2A14FB49" w:rsidR="006016B9" w:rsidRPr="0087752B" w:rsidRDefault="006016B9" w:rsidP="00414C2B">
            <w:pPr>
              <w:pStyle w:val="DETTableTextFinancial"/>
              <w:jc w:val="right"/>
            </w:pPr>
            <w:r w:rsidRPr="0087752B">
              <w:t>2</w:t>
            </w:r>
            <w:r w:rsidR="00F07E30" w:rsidRPr="0087752B">
              <w:t>,</w:t>
            </w:r>
            <w:r w:rsidRPr="0087752B">
              <w:t>061.0</w:t>
            </w:r>
          </w:p>
        </w:tc>
        <w:tc>
          <w:tcPr>
            <w:tcW w:w="795" w:type="dxa"/>
            <w:shd w:val="clear" w:color="auto" w:fill="auto"/>
          </w:tcPr>
          <w:p w14:paraId="35E4308C" w14:textId="0AF2F36F" w:rsidR="006016B9" w:rsidRPr="0087752B" w:rsidRDefault="006016B9" w:rsidP="00414C2B">
            <w:pPr>
              <w:pStyle w:val="DETTableTextFinancial"/>
              <w:jc w:val="right"/>
            </w:pPr>
            <w:r w:rsidRPr="0087752B">
              <w:t>2</w:t>
            </w:r>
            <w:r w:rsidR="00F07E30" w:rsidRPr="0087752B">
              <w:t>,</w:t>
            </w:r>
            <w:r w:rsidRPr="0087752B">
              <w:t>112.0</w:t>
            </w:r>
          </w:p>
        </w:tc>
        <w:tc>
          <w:tcPr>
            <w:tcW w:w="688" w:type="dxa"/>
          </w:tcPr>
          <w:p w14:paraId="0E273DCF" w14:textId="32F945EC" w:rsidR="006016B9" w:rsidRPr="0087752B" w:rsidRDefault="006016B9" w:rsidP="00414C2B">
            <w:pPr>
              <w:pStyle w:val="DETTableTextFinancial"/>
              <w:jc w:val="right"/>
            </w:pPr>
            <w:r w:rsidRPr="0087752B">
              <w:t>2</w:t>
            </w:r>
            <w:r w:rsidR="00F07E30" w:rsidRPr="0087752B">
              <w:t>,</w:t>
            </w:r>
            <w:r w:rsidRPr="0087752B">
              <w:t>175.3</w:t>
            </w:r>
          </w:p>
        </w:tc>
      </w:tr>
      <w:tr w:rsidR="006016B9" w:rsidRPr="0087752B" w14:paraId="1EB99872" w14:textId="77777777" w:rsidTr="00414C2B">
        <w:trPr>
          <w:cantSplit/>
        </w:trPr>
        <w:tc>
          <w:tcPr>
            <w:tcW w:w="7461" w:type="dxa"/>
            <w:gridSpan w:val="7"/>
            <w:shd w:val="clear" w:color="auto" w:fill="7F7F7F" w:themeFill="text1" w:themeFillTint="80"/>
          </w:tcPr>
          <w:p w14:paraId="0FA0967B" w14:textId="77777777" w:rsidR="006016B9" w:rsidRPr="0087752B" w:rsidRDefault="006016B9" w:rsidP="00414C2B">
            <w:pPr>
              <w:pStyle w:val="DETTablecolumnheading"/>
              <w:jc w:val="left"/>
            </w:pPr>
            <w:r w:rsidRPr="0087752B">
              <w:t>School Education—Primary and Secondary</w:t>
            </w:r>
          </w:p>
        </w:tc>
      </w:tr>
      <w:tr w:rsidR="006016B9" w:rsidRPr="0087752B" w14:paraId="6E13F753" w14:textId="77777777" w:rsidTr="003D2FDD">
        <w:trPr>
          <w:cantSplit/>
        </w:trPr>
        <w:tc>
          <w:tcPr>
            <w:tcW w:w="7461" w:type="dxa"/>
            <w:gridSpan w:val="7"/>
            <w:shd w:val="clear" w:color="auto" w:fill="auto"/>
          </w:tcPr>
          <w:p w14:paraId="511A03E3" w14:textId="77777777" w:rsidR="006016B9" w:rsidRPr="005C767D" w:rsidRDefault="006016B9" w:rsidP="00414C2B">
            <w:pPr>
              <w:pStyle w:val="DETTableTextFinancial"/>
              <w:rPr>
                <w:b/>
              </w:rPr>
            </w:pPr>
            <w:r w:rsidRPr="0087752B">
              <w:rPr>
                <w:b/>
              </w:rPr>
              <w:t>Dollar per primary school student per financial year</w:t>
            </w:r>
            <w:bookmarkStart w:id="59" w:name="_Ref393899702"/>
            <w:r w:rsidRPr="001F07C0">
              <w:rPr>
                <w:rStyle w:val="FootnoteReference"/>
              </w:rPr>
              <w:fldChar w:fldCharType="begin"/>
            </w:r>
            <w:r w:rsidRPr="0087752B">
              <w:rPr>
                <w:rStyle w:val="FootnoteReference"/>
              </w:rPr>
              <w:instrText xml:space="preserve"> NOTEREF _Ref400552340 \h  \* MERGEFORMAT </w:instrText>
            </w:r>
            <w:r w:rsidRPr="001F07C0">
              <w:rPr>
                <w:rStyle w:val="FootnoteReference"/>
              </w:rPr>
            </w:r>
            <w:r w:rsidRPr="001F07C0">
              <w:rPr>
                <w:rStyle w:val="FootnoteReference"/>
              </w:rPr>
              <w:fldChar w:fldCharType="separate"/>
            </w:r>
            <w:r w:rsidR="00EF67CF">
              <w:rPr>
                <w:rStyle w:val="FootnoteReference"/>
              </w:rPr>
              <w:t>2</w:t>
            </w:r>
            <w:r w:rsidRPr="001F07C0">
              <w:rPr>
                <w:rStyle w:val="FootnoteReference"/>
              </w:rPr>
              <w:fldChar w:fldCharType="end"/>
            </w:r>
            <w:r w:rsidRPr="005C767D">
              <w:rPr>
                <w:rStyle w:val="FootnoteReference"/>
              </w:rPr>
              <w:t>,</w:t>
            </w:r>
            <w:r w:rsidRPr="005C767D">
              <w:rPr>
                <w:rStyle w:val="FootnoteReference"/>
              </w:rPr>
              <w:footnoteReference w:id="35"/>
            </w:r>
            <w:bookmarkEnd w:id="59"/>
            <w:r w:rsidRPr="005C767D">
              <w:rPr>
                <w:b/>
              </w:rPr>
              <w:t xml:space="preserve"> </w:t>
            </w:r>
          </w:p>
        </w:tc>
      </w:tr>
      <w:tr w:rsidR="006229D5" w:rsidRPr="0087752B" w14:paraId="4690D72D" w14:textId="77777777" w:rsidTr="003D2FDD">
        <w:trPr>
          <w:cantSplit/>
        </w:trPr>
        <w:tc>
          <w:tcPr>
            <w:tcW w:w="2739" w:type="dxa"/>
            <w:shd w:val="clear" w:color="auto" w:fill="auto"/>
          </w:tcPr>
          <w:p w14:paraId="0F041F85" w14:textId="77777777" w:rsidR="006016B9" w:rsidRPr="0087752B" w:rsidRDefault="006016B9" w:rsidP="00414C2B">
            <w:pPr>
              <w:pStyle w:val="DETTableTextFinancial"/>
            </w:pPr>
            <w:r w:rsidRPr="0087752B">
              <w:t>Victorian government real recurrent expenditure (including User Cost of Capital) per FTE student in primary schools (2013–14 dollars)</w:t>
            </w:r>
          </w:p>
        </w:tc>
        <w:tc>
          <w:tcPr>
            <w:tcW w:w="727" w:type="dxa"/>
            <w:shd w:val="clear" w:color="auto" w:fill="auto"/>
          </w:tcPr>
          <w:p w14:paraId="2C39E83E" w14:textId="77777777" w:rsidR="006016B9" w:rsidRPr="0087752B" w:rsidRDefault="006016B9" w:rsidP="00414C2B">
            <w:pPr>
              <w:pStyle w:val="DETTableTextFinancial"/>
              <w:jc w:val="center"/>
            </w:pPr>
            <w:r w:rsidRPr="0087752B">
              <w:t>$ per FTE student</w:t>
            </w:r>
          </w:p>
        </w:tc>
        <w:tc>
          <w:tcPr>
            <w:tcW w:w="759" w:type="dxa"/>
            <w:shd w:val="clear" w:color="auto" w:fill="auto"/>
          </w:tcPr>
          <w:p w14:paraId="448F4B78" w14:textId="5B7FD76A" w:rsidR="006016B9" w:rsidRPr="0087752B" w:rsidRDefault="006016B9" w:rsidP="00414C2B">
            <w:pPr>
              <w:pStyle w:val="DETTableTextFinancial"/>
              <w:jc w:val="right"/>
            </w:pPr>
            <w:r w:rsidRPr="0087752B">
              <w:t>12,077.0</w:t>
            </w:r>
          </w:p>
        </w:tc>
        <w:tc>
          <w:tcPr>
            <w:tcW w:w="797" w:type="dxa"/>
            <w:shd w:val="clear" w:color="auto" w:fill="auto"/>
          </w:tcPr>
          <w:p w14:paraId="484F163B" w14:textId="77777777" w:rsidR="006016B9" w:rsidRPr="0087752B" w:rsidRDefault="006016B9" w:rsidP="00414C2B">
            <w:pPr>
              <w:pStyle w:val="DETTableTextFinancial"/>
              <w:jc w:val="right"/>
            </w:pPr>
            <w:r w:rsidRPr="0087752B">
              <w:t>12,085.1</w:t>
            </w:r>
          </w:p>
        </w:tc>
        <w:tc>
          <w:tcPr>
            <w:tcW w:w="956" w:type="dxa"/>
            <w:shd w:val="clear" w:color="auto" w:fill="auto"/>
          </w:tcPr>
          <w:p w14:paraId="1D14B4E5" w14:textId="6D7D35B8" w:rsidR="006016B9" w:rsidRPr="0087752B" w:rsidRDefault="006016B9" w:rsidP="00414C2B">
            <w:pPr>
              <w:pStyle w:val="DETTableTextFinancial"/>
              <w:jc w:val="right"/>
            </w:pPr>
            <w:r w:rsidRPr="0087752B">
              <w:t>12,129</w:t>
            </w:r>
            <w:r w:rsidR="006229D5" w:rsidRPr="0087752B">
              <w:t>.0</w:t>
            </w:r>
          </w:p>
        </w:tc>
        <w:tc>
          <w:tcPr>
            <w:tcW w:w="795" w:type="dxa"/>
            <w:shd w:val="clear" w:color="auto" w:fill="auto"/>
          </w:tcPr>
          <w:p w14:paraId="3E6C7867" w14:textId="77777777" w:rsidR="006016B9" w:rsidRPr="005C767D" w:rsidRDefault="006016B9" w:rsidP="00414C2B">
            <w:pPr>
              <w:pStyle w:val="DETTableTextFinancial"/>
              <w:jc w:val="right"/>
              <w:rPr>
                <w:highlight w:val="yellow"/>
              </w:rPr>
            </w:pPr>
            <w:r w:rsidRPr="0087752B">
              <w:t>n/a</w:t>
            </w:r>
            <w:r w:rsidRPr="005C767D">
              <w:rPr>
                <w:rStyle w:val="FootnoteReference"/>
              </w:rPr>
              <w:footnoteReference w:id="36"/>
            </w:r>
          </w:p>
        </w:tc>
        <w:tc>
          <w:tcPr>
            <w:tcW w:w="688" w:type="dxa"/>
          </w:tcPr>
          <w:p w14:paraId="6253DEA2" w14:textId="77777777" w:rsidR="006016B9" w:rsidRPr="005C767D" w:rsidRDefault="006016B9" w:rsidP="00414C2B">
            <w:pPr>
              <w:pStyle w:val="DETTableTextFinancial"/>
              <w:jc w:val="right"/>
            </w:pPr>
            <w:r w:rsidRPr="0087752B">
              <w:t>n/a</w:t>
            </w:r>
            <w:r w:rsidRPr="005C767D">
              <w:rPr>
                <w:rStyle w:val="FootnoteReference"/>
              </w:rPr>
              <w:footnoteReference w:id="37"/>
            </w:r>
          </w:p>
        </w:tc>
      </w:tr>
      <w:tr w:rsidR="006229D5" w:rsidRPr="0087752B" w14:paraId="45A8610B" w14:textId="77777777" w:rsidTr="003D2FDD">
        <w:trPr>
          <w:cantSplit/>
        </w:trPr>
        <w:tc>
          <w:tcPr>
            <w:tcW w:w="2739" w:type="dxa"/>
            <w:shd w:val="clear" w:color="auto" w:fill="auto"/>
          </w:tcPr>
          <w:p w14:paraId="3D9BA985" w14:textId="77777777" w:rsidR="006016B9" w:rsidRPr="0087752B" w:rsidRDefault="006016B9" w:rsidP="006016B9">
            <w:pPr>
              <w:rPr>
                <w:rFonts w:eastAsiaTheme="minorHAnsi" w:cs="Arial"/>
                <w:b/>
                <w:bCs/>
                <w:color w:val="auto"/>
                <w:sz w:val="16"/>
                <w:szCs w:val="52"/>
              </w:rPr>
            </w:pPr>
            <w:r w:rsidRPr="0087752B">
              <w:rPr>
                <w:rFonts w:eastAsiaTheme="minorHAnsi" w:cs="Arial"/>
                <w:b/>
                <w:bCs/>
                <w:color w:val="auto"/>
                <w:sz w:val="16"/>
                <w:szCs w:val="52"/>
              </w:rPr>
              <w:t>Dollar per secondary school student per financial year</w:t>
            </w:r>
            <w:r w:rsidRPr="001F07C0">
              <w:rPr>
                <w:rStyle w:val="FootnoteReference"/>
              </w:rPr>
              <w:fldChar w:fldCharType="begin"/>
            </w:r>
            <w:r w:rsidRPr="0087752B">
              <w:rPr>
                <w:rStyle w:val="FootnoteReference"/>
              </w:rPr>
              <w:instrText xml:space="preserve"> NOTEREF _Ref400552340 \h  \* MERGEFORMAT </w:instrText>
            </w:r>
            <w:r w:rsidRPr="001F07C0">
              <w:rPr>
                <w:rStyle w:val="FootnoteReference"/>
              </w:rPr>
            </w:r>
            <w:r w:rsidRPr="001F07C0">
              <w:rPr>
                <w:rStyle w:val="FootnoteReference"/>
              </w:rPr>
              <w:fldChar w:fldCharType="separate"/>
            </w:r>
            <w:r w:rsidR="00EF67CF">
              <w:rPr>
                <w:rStyle w:val="FootnoteReference"/>
              </w:rPr>
              <w:t>2</w:t>
            </w:r>
            <w:r w:rsidRPr="001F07C0">
              <w:rPr>
                <w:rStyle w:val="FootnoteReference"/>
              </w:rPr>
              <w:fldChar w:fldCharType="end"/>
            </w:r>
            <w:r w:rsidRPr="005C767D">
              <w:rPr>
                <w:rStyle w:val="FootnoteReference"/>
              </w:rPr>
              <w:t>,</w:t>
            </w:r>
            <w:r w:rsidRPr="0087752B">
              <w:rPr>
                <w:rStyle w:val="FootnoteReference"/>
                <w:rFonts w:eastAsia="Calibri"/>
              </w:rPr>
              <w:t>6</w:t>
            </w:r>
          </w:p>
        </w:tc>
        <w:tc>
          <w:tcPr>
            <w:tcW w:w="727" w:type="dxa"/>
            <w:shd w:val="clear" w:color="auto" w:fill="auto"/>
          </w:tcPr>
          <w:p w14:paraId="17C33ACC" w14:textId="77777777" w:rsidR="006016B9" w:rsidRPr="0087752B" w:rsidRDefault="006016B9" w:rsidP="006016B9">
            <w:pPr>
              <w:rPr>
                <w:rFonts w:eastAsiaTheme="minorHAnsi" w:cs="Arial"/>
                <w:b/>
                <w:bCs/>
                <w:color w:val="auto"/>
                <w:sz w:val="16"/>
                <w:szCs w:val="52"/>
              </w:rPr>
            </w:pPr>
          </w:p>
        </w:tc>
        <w:tc>
          <w:tcPr>
            <w:tcW w:w="759" w:type="dxa"/>
            <w:shd w:val="clear" w:color="auto" w:fill="auto"/>
          </w:tcPr>
          <w:p w14:paraId="37B351AB" w14:textId="77777777" w:rsidR="006016B9" w:rsidRPr="0087752B" w:rsidRDefault="006016B9" w:rsidP="006016B9">
            <w:pPr>
              <w:rPr>
                <w:rFonts w:eastAsiaTheme="minorHAnsi" w:cs="Arial"/>
                <w:b/>
                <w:bCs/>
                <w:color w:val="auto"/>
                <w:sz w:val="16"/>
                <w:szCs w:val="52"/>
              </w:rPr>
            </w:pPr>
          </w:p>
        </w:tc>
        <w:tc>
          <w:tcPr>
            <w:tcW w:w="797" w:type="dxa"/>
            <w:shd w:val="clear" w:color="auto" w:fill="auto"/>
          </w:tcPr>
          <w:p w14:paraId="7550D161" w14:textId="77777777" w:rsidR="006016B9" w:rsidRPr="0087752B" w:rsidRDefault="006016B9" w:rsidP="006016B9">
            <w:pPr>
              <w:rPr>
                <w:rFonts w:eastAsiaTheme="minorHAnsi" w:cs="Arial"/>
                <w:b/>
                <w:bCs/>
                <w:color w:val="auto"/>
                <w:sz w:val="16"/>
                <w:szCs w:val="52"/>
              </w:rPr>
            </w:pPr>
          </w:p>
        </w:tc>
        <w:tc>
          <w:tcPr>
            <w:tcW w:w="956" w:type="dxa"/>
            <w:shd w:val="clear" w:color="auto" w:fill="auto"/>
          </w:tcPr>
          <w:p w14:paraId="387D6249" w14:textId="77777777" w:rsidR="006016B9" w:rsidRPr="0087752B" w:rsidRDefault="006016B9" w:rsidP="006016B9">
            <w:pPr>
              <w:rPr>
                <w:rFonts w:eastAsiaTheme="minorHAnsi" w:cs="Arial"/>
                <w:b/>
                <w:bCs/>
                <w:color w:val="auto"/>
                <w:sz w:val="16"/>
                <w:szCs w:val="52"/>
              </w:rPr>
            </w:pPr>
          </w:p>
        </w:tc>
        <w:tc>
          <w:tcPr>
            <w:tcW w:w="795" w:type="dxa"/>
            <w:shd w:val="clear" w:color="auto" w:fill="auto"/>
          </w:tcPr>
          <w:p w14:paraId="3D3061A9" w14:textId="77777777" w:rsidR="006016B9" w:rsidRPr="0087752B" w:rsidRDefault="006016B9" w:rsidP="006016B9">
            <w:pPr>
              <w:rPr>
                <w:rFonts w:eastAsiaTheme="minorHAnsi" w:cs="Arial"/>
                <w:b/>
                <w:bCs/>
                <w:color w:val="auto"/>
                <w:sz w:val="16"/>
                <w:szCs w:val="52"/>
              </w:rPr>
            </w:pPr>
          </w:p>
        </w:tc>
        <w:tc>
          <w:tcPr>
            <w:tcW w:w="688" w:type="dxa"/>
          </w:tcPr>
          <w:p w14:paraId="041F73C1" w14:textId="77777777" w:rsidR="006016B9" w:rsidRPr="0087752B" w:rsidRDefault="006016B9" w:rsidP="006016B9">
            <w:pPr>
              <w:rPr>
                <w:rFonts w:eastAsiaTheme="minorHAnsi" w:cs="Arial"/>
                <w:b/>
                <w:bCs/>
                <w:color w:val="auto"/>
                <w:sz w:val="16"/>
                <w:szCs w:val="52"/>
              </w:rPr>
            </w:pPr>
          </w:p>
        </w:tc>
      </w:tr>
      <w:tr w:rsidR="006229D5" w:rsidRPr="0087752B" w14:paraId="4CB5434A" w14:textId="77777777" w:rsidTr="006229D5">
        <w:trPr>
          <w:cantSplit/>
        </w:trPr>
        <w:tc>
          <w:tcPr>
            <w:tcW w:w="2739" w:type="dxa"/>
            <w:shd w:val="clear" w:color="auto" w:fill="auto"/>
          </w:tcPr>
          <w:p w14:paraId="679FCA18" w14:textId="77777777" w:rsidR="006016B9" w:rsidRPr="0087752B" w:rsidRDefault="006016B9" w:rsidP="006016B9">
            <w:pPr>
              <w:rPr>
                <w:rFonts w:eastAsiaTheme="minorHAnsi" w:cs="Arial"/>
                <w:bCs/>
                <w:color w:val="auto"/>
                <w:sz w:val="16"/>
                <w:szCs w:val="52"/>
              </w:rPr>
            </w:pPr>
            <w:r w:rsidRPr="0087752B">
              <w:rPr>
                <w:rFonts w:eastAsiaTheme="minorHAnsi" w:cs="Arial"/>
                <w:bCs/>
                <w:color w:val="auto"/>
                <w:sz w:val="16"/>
                <w:szCs w:val="52"/>
              </w:rPr>
              <w:t>Victorian government real recurrent expenditure (including User Cost of Capital) per FTE student in secondary schools (2013–14 dollars)</w:t>
            </w:r>
          </w:p>
        </w:tc>
        <w:tc>
          <w:tcPr>
            <w:tcW w:w="727" w:type="dxa"/>
            <w:shd w:val="clear" w:color="auto" w:fill="auto"/>
          </w:tcPr>
          <w:p w14:paraId="7818F885" w14:textId="77777777" w:rsidR="006016B9" w:rsidRPr="0087752B" w:rsidRDefault="006016B9" w:rsidP="00414C2B">
            <w:pPr>
              <w:jc w:val="center"/>
              <w:rPr>
                <w:rFonts w:eastAsiaTheme="minorHAnsi" w:cs="Arial"/>
                <w:bCs/>
                <w:color w:val="auto"/>
                <w:sz w:val="16"/>
                <w:szCs w:val="52"/>
              </w:rPr>
            </w:pPr>
            <w:r w:rsidRPr="0087752B">
              <w:rPr>
                <w:rFonts w:eastAsiaTheme="minorHAnsi" w:cs="Arial"/>
                <w:bCs/>
                <w:color w:val="auto"/>
                <w:sz w:val="16"/>
                <w:szCs w:val="52"/>
              </w:rPr>
              <w:t>$ per FTE student</w:t>
            </w:r>
          </w:p>
        </w:tc>
        <w:tc>
          <w:tcPr>
            <w:tcW w:w="759" w:type="dxa"/>
            <w:shd w:val="clear" w:color="auto" w:fill="auto"/>
          </w:tcPr>
          <w:p w14:paraId="7103058B"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15,433.3</w:t>
            </w:r>
          </w:p>
        </w:tc>
        <w:tc>
          <w:tcPr>
            <w:tcW w:w="797" w:type="dxa"/>
            <w:shd w:val="clear" w:color="auto" w:fill="auto"/>
          </w:tcPr>
          <w:p w14:paraId="1BF88FD2"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15,365.8</w:t>
            </w:r>
          </w:p>
        </w:tc>
        <w:tc>
          <w:tcPr>
            <w:tcW w:w="956" w:type="dxa"/>
            <w:shd w:val="clear" w:color="auto" w:fill="auto"/>
          </w:tcPr>
          <w:p w14:paraId="29B23B8A" w14:textId="4D35F3D6"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15,416</w:t>
            </w:r>
            <w:r w:rsidR="006229D5" w:rsidRPr="0087752B">
              <w:rPr>
                <w:rFonts w:eastAsiaTheme="minorHAnsi" w:cs="Arial"/>
                <w:bCs/>
                <w:color w:val="auto"/>
                <w:sz w:val="16"/>
                <w:szCs w:val="52"/>
              </w:rPr>
              <w:t>.0</w:t>
            </w:r>
          </w:p>
        </w:tc>
        <w:tc>
          <w:tcPr>
            <w:tcW w:w="795" w:type="dxa"/>
            <w:shd w:val="clear" w:color="auto" w:fill="auto"/>
          </w:tcPr>
          <w:p w14:paraId="35A2E537"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n/a</w:t>
            </w:r>
            <w:r w:rsidRPr="0087752B">
              <w:rPr>
                <w:rStyle w:val="FootnoteReference"/>
              </w:rPr>
              <w:t>7</w:t>
            </w:r>
          </w:p>
        </w:tc>
        <w:tc>
          <w:tcPr>
            <w:tcW w:w="688" w:type="dxa"/>
          </w:tcPr>
          <w:p w14:paraId="45403EC7"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n/a</w:t>
            </w:r>
            <w:r w:rsidRPr="0087752B">
              <w:rPr>
                <w:rStyle w:val="FootnoteReference"/>
              </w:rPr>
              <w:t>8</w:t>
            </w:r>
          </w:p>
        </w:tc>
      </w:tr>
      <w:tr w:rsidR="006016B9" w:rsidRPr="0087752B" w14:paraId="0C76BC89" w14:textId="77777777" w:rsidTr="00414C2B">
        <w:trPr>
          <w:cantSplit/>
        </w:trPr>
        <w:tc>
          <w:tcPr>
            <w:tcW w:w="7461" w:type="dxa"/>
            <w:gridSpan w:val="7"/>
            <w:shd w:val="clear" w:color="auto" w:fill="7F7F7F" w:themeFill="text1" w:themeFillTint="80"/>
          </w:tcPr>
          <w:p w14:paraId="60E35668" w14:textId="77777777" w:rsidR="006016B9" w:rsidRPr="0087752B" w:rsidRDefault="006016B9" w:rsidP="00414C2B">
            <w:pPr>
              <w:pStyle w:val="DETTablecolumnheading"/>
              <w:jc w:val="left"/>
            </w:pPr>
            <w:r w:rsidRPr="0087752B">
              <w:t>Higher education and skills</w:t>
            </w:r>
          </w:p>
        </w:tc>
      </w:tr>
      <w:tr w:rsidR="006016B9" w:rsidRPr="0087752B" w14:paraId="1A8E91F5" w14:textId="77777777" w:rsidTr="006016B9">
        <w:trPr>
          <w:cantSplit/>
        </w:trPr>
        <w:tc>
          <w:tcPr>
            <w:tcW w:w="7461" w:type="dxa"/>
            <w:gridSpan w:val="7"/>
            <w:shd w:val="clear" w:color="auto" w:fill="auto"/>
          </w:tcPr>
          <w:p w14:paraId="422B84B3" w14:textId="77777777" w:rsidR="006016B9" w:rsidRPr="0087752B" w:rsidRDefault="006016B9" w:rsidP="006016B9">
            <w:pPr>
              <w:rPr>
                <w:rFonts w:eastAsiaTheme="minorHAnsi" w:cs="Arial"/>
                <w:b/>
                <w:bCs/>
                <w:color w:val="auto"/>
                <w:sz w:val="16"/>
                <w:szCs w:val="52"/>
              </w:rPr>
            </w:pPr>
            <w:r w:rsidRPr="0087752B">
              <w:rPr>
                <w:rFonts w:eastAsiaTheme="minorHAnsi" w:cs="Arial"/>
                <w:b/>
                <w:bCs/>
                <w:color w:val="auto"/>
                <w:sz w:val="16"/>
                <w:szCs w:val="52"/>
              </w:rPr>
              <w:t>Dollar per VET student contact hour per calendar year</w:t>
            </w:r>
            <w:r w:rsidRPr="0087752B">
              <w:rPr>
                <w:rStyle w:val="FootnoteReference"/>
              </w:rPr>
              <w:t>9</w:t>
            </w:r>
          </w:p>
        </w:tc>
      </w:tr>
      <w:tr w:rsidR="006229D5" w:rsidRPr="0087752B" w14:paraId="58709E59" w14:textId="77777777" w:rsidTr="006229D5">
        <w:trPr>
          <w:cantSplit/>
        </w:trPr>
        <w:tc>
          <w:tcPr>
            <w:tcW w:w="2739" w:type="dxa"/>
            <w:tcBorders>
              <w:bottom w:val="single" w:sz="4" w:space="0" w:color="auto"/>
            </w:tcBorders>
            <w:shd w:val="clear" w:color="auto" w:fill="auto"/>
          </w:tcPr>
          <w:p w14:paraId="6A82300E" w14:textId="77777777" w:rsidR="006016B9" w:rsidRPr="0087752B" w:rsidRDefault="006016B9" w:rsidP="006016B9">
            <w:pPr>
              <w:rPr>
                <w:rFonts w:eastAsiaTheme="minorHAnsi" w:cs="Arial"/>
                <w:bCs/>
                <w:color w:val="auto"/>
                <w:sz w:val="16"/>
                <w:szCs w:val="52"/>
              </w:rPr>
            </w:pPr>
            <w:r w:rsidRPr="0087752B">
              <w:rPr>
                <w:rFonts w:eastAsiaTheme="minorHAnsi" w:cs="Arial"/>
                <w:bCs/>
                <w:color w:val="auto"/>
                <w:sz w:val="16"/>
                <w:szCs w:val="52"/>
              </w:rPr>
              <w:t>Victorian government real recurrent expenditure per annual hour (2014 dollars)</w:t>
            </w:r>
          </w:p>
        </w:tc>
        <w:tc>
          <w:tcPr>
            <w:tcW w:w="727" w:type="dxa"/>
            <w:tcBorders>
              <w:bottom w:val="single" w:sz="4" w:space="0" w:color="auto"/>
            </w:tcBorders>
            <w:shd w:val="clear" w:color="auto" w:fill="auto"/>
          </w:tcPr>
          <w:p w14:paraId="1F7A70F0" w14:textId="77777777" w:rsidR="006016B9" w:rsidRPr="0087752B" w:rsidRDefault="006016B9" w:rsidP="00414C2B">
            <w:pPr>
              <w:jc w:val="center"/>
              <w:rPr>
                <w:rFonts w:eastAsiaTheme="minorHAnsi" w:cs="Arial"/>
                <w:bCs/>
                <w:color w:val="auto"/>
                <w:sz w:val="16"/>
                <w:szCs w:val="52"/>
              </w:rPr>
            </w:pPr>
            <w:r w:rsidRPr="0087752B">
              <w:rPr>
                <w:rFonts w:eastAsiaTheme="minorHAnsi" w:cs="Arial"/>
                <w:bCs/>
                <w:color w:val="auto"/>
                <w:sz w:val="16"/>
                <w:szCs w:val="52"/>
              </w:rPr>
              <w:t>$ per hour</w:t>
            </w:r>
          </w:p>
        </w:tc>
        <w:tc>
          <w:tcPr>
            <w:tcW w:w="759" w:type="dxa"/>
            <w:tcBorders>
              <w:bottom w:val="single" w:sz="4" w:space="0" w:color="auto"/>
            </w:tcBorders>
            <w:shd w:val="clear" w:color="auto" w:fill="auto"/>
          </w:tcPr>
          <w:p w14:paraId="374B7796"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11.5</w:t>
            </w:r>
          </w:p>
        </w:tc>
        <w:tc>
          <w:tcPr>
            <w:tcW w:w="797" w:type="dxa"/>
            <w:tcBorders>
              <w:bottom w:val="single" w:sz="4" w:space="0" w:color="auto"/>
            </w:tcBorders>
            <w:shd w:val="clear" w:color="auto" w:fill="auto"/>
          </w:tcPr>
          <w:p w14:paraId="65378B82"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11.1</w:t>
            </w:r>
          </w:p>
        </w:tc>
        <w:tc>
          <w:tcPr>
            <w:tcW w:w="956" w:type="dxa"/>
            <w:tcBorders>
              <w:bottom w:val="single" w:sz="4" w:space="0" w:color="auto"/>
            </w:tcBorders>
            <w:shd w:val="clear" w:color="auto" w:fill="auto"/>
          </w:tcPr>
          <w:p w14:paraId="1EEFE826"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9.5</w:t>
            </w:r>
          </w:p>
        </w:tc>
        <w:tc>
          <w:tcPr>
            <w:tcW w:w="795" w:type="dxa"/>
            <w:tcBorders>
              <w:bottom w:val="single" w:sz="4" w:space="0" w:color="auto"/>
            </w:tcBorders>
            <w:shd w:val="clear" w:color="auto" w:fill="auto"/>
          </w:tcPr>
          <w:p w14:paraId="74A9BF2F"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7.8</w:t>
            </w:r>
          </w:p>
        </w:tc>
        <w:tc>
          <w:tcPr>
            <w:tcW w:w="688" w:type="dxa"/>
            <w:tcBorders>
              <w:bottom w:val="single" w:sz="4" w:space="0" w:color="auto"/>
            </w:tcBorders>
          </w:tcPr>
          <w:p w14:paraId="2F1875EC" w14:textId="77777777" w:rsidR="006016B9" w:rsidRPr="0087752B" w:rsidRDefault="006016B9" w:rsidP="00414C2B">
            <w:pPr>
              <w:jc w:val="right"/>
              <w:rPr>
                <w:rFonts w:eastAsiaTheme="minorHAnsi" w:cs="Arial"/>
                <w:bCs/>
                <w:color w:val="auto"/>
                <w:sz w:val="16"/>
                <w:szCs w:val="52"/>
              </w:rPr>
            </w:pPr>
            <w:r w:rsidRPr="0087752B">
              <w:rPr>
                <w:rFonts w:eastAsiaTheme="minorHAnsi" w:cs="Arial"/>
                <w:bCs/>
                <w:color w:val="auto"/>
                <w:sz w:val="16"/>
                <w:szCs w:val="52"/>
              </w:rPr>
              <w:t>n/a</w:t>
            </w:r>
            <w:r w:rsidRPr="0087752B">
              <w:rPr>
                <w:rStyle w:val="FootnoteReference"/>
              </w:rPr>
              <w:t>8</w:t>
            </w:r>
          </w:p>
        </w:tc>
      </w:tr>
    </w:tbl>
    <w:p w14:paraId="73779E56" w14:textId="77777777" w:rsidR="006016B9" w:rsidRPr="0087752B" w:rsidRDefault="006016B9" w:rsidP="006016B9"/>
    <w:p w14:paraId="4F02398F" w14:textId="77777777" w:rsidR="006016B9" w:rsidRPr="0087752B" w:rsidRDefault="006016B9" w:rsidP="006016B9">
      <w:r w:rsidRPr="0087752B">
        <w:br w:type="page"/>
      </w:r>
    </w:p>
    <w:p w14:paraId="23670794" w14:textId="77777777" w:rsidR="006016B9" w:rsidRPr="0087752B" w:rsidRDefault="006016B9" w:rsidP="0060513E">
      <w:pPr>
        <w:pStyle w:val="DETHeading2"/>
      </w:pPr>
      <w:bookmarkStart w:id="60" w:name="_Toc461013249"/>
      <w:bookmarkStart w:id="61" w:name="_Toc461025826"/>
      <w:bookmarkStart w:id="62" w:name="_Toc462405119"/>
      <w:r w:rsidRPr="0087752B">
        <w:lastRenderedPageBreak/>
        <w:t>Performance against output performance measures</w:t>
      </w:r>
      <w:bookmarkEnd w:id="60"/>
      <w:bookmarkEnd w:id="61"/>
      <w:bookmarkEnd w:id="62"/>
    </w:p>
    <w:p w14:paraId="429A906F" w14:textId="77777777" w:rsidR="006016B9" w:rsidRPr="0087752B" w:rsidRDefault="006016B9" w:rsidP="006016B9">
      <w:r w:rsidRPr="0087752B">
        <w:t>This section reports on the Department’s performance against the performance measures for each of its outputs.</w:t>
      </w:r>
    </w:p>
    <w:p w14:paraId="3EA3B9BB" w14:textId="77777777" w:rsidR="006016B9" w:rsidRPr="0087752B" w:rsidRDefault="006016B9" w:rsidP="006016B9">
      <w:r w:rsidRPr="0087752B">
        <w:t>One of the Department’s outputs is Strategy, Review and Regulation; three represent life stages: Early Childhood Development, School Education, and Higher Education and Skills; and two support services: Support Services Development, and Support for Students with Disabilities.</w:t>
      </w:r>
    </w:p>
    <w:p w14:paraId="2A1918BF" w14:textId="77777777" w:rsidR="006016B9" w:rsidRPr="0087752B" w:rsidRDefault="006016B9" w:rsidP="006016B9">
      <w:r w:rsidRPr="0087752B">
        <w:t>These output measures refer to the financial year unless indicated.</w:t>
      </w:r>
    </w:p>
    <w:p w14:paraId="1FD71AC0" w14:textId="77777777" w:rsidR="006016B9" w:rsidRPr="0087752B" w:rsidRDefault="006016B9" w:rsidP="0060513E">
      <w:pPr>
        <w:pStyle w:val="Heading3"/>
      </w:pPr>
      <w:r w:rsidRPr="0087752B">
        <w:t>Strategy, Review and Regulation</w:t>
      </w:r>
    </w:p>
    <w:p w14:paraId="1A29F68B" w14:textId="77777777" w:rsidR="006016B9" w:rsidRPr="0087752B" w:rsidRDefault="006016B9" w:rsidP="006016B9">
      <w:r w:rsidRPr="0087752B">
        <w:t>The Strategy, Review and Regulation output group develops, plans and monitors strategic policy settings across all stages of learning. It also includes intergovernmental negotiations as well as research, data and performance evaluations. This output group also supports regulation that ensures quality education and training is delivered and contributes to all the Department’s objectives of Achievement, Engagement, Wellbeing and Productivity.</w:t>
      </w:r>
    </w:p>
    <w:tbl>
      <w:tblPr>
        <w:tblW w:w="5000" w:type="pct"/>
        <w:tblBorders>
          <w:bottom w:val="single" w:sz="4" w:space="0" w:color="auto"/>
        </w:tblBorders>
        <w:tblLayout w:type="fixed"/>
        <w:tblCellMar>
          <w:left w:w="45" w:type="dxa"/>
          <w:right w:w="45" w:type="dxa"/>
        </w:tblCellMar>
        <w:tblLook w:val="0000" w:firstRow="0" w:lastRow="0" w:firstColumn="0" w:lastColumn="0" w:noHBand="0" w:noVBand="0"/>
      </w:tblPr>
      <w:tblGrid>
        <w:gridCol w:w="472"/>
        <w:gridCol w:w="1843"/>
        <w:gridCol w:w="1558"/>
        <w:gridCol w:w="850"/>
        <w:gridCol w:w="146"/>
        <w:gridCol w:w="562"/>
        <w:gridCol w:w="683"/>
        <w:gridCol w:w="734"/>
        <w:gridCol w:w="612"/>
      </w:tblGrid>
      <w:tr w:rsidR="006016B9" w:rsidRPr="0087752B" w14:paraId="5E3B7B71" w14:textId="77777777" w:rsidTr="0060513E">
        <w:trPr>
          <w:cantSplit/>
          <w:tblHeader/>
        </w:trPr>
        <w:tc>
          <w:tcPr>
            <w:tcW w:w="2595" w:type="pct"/>
            <w:gridSpan w:val="3"/>
            <w:tcBorders>
              <w:bottom w:val="nil"/>
            </w:tcBorders>
            <w:shd w:val="clear" w:color="auto" w:fill="7F7F7F" w:themeFill="text1" w:themeFillTint="80"/>
          </w:tcPr>
          <w:p w14:paraId="013684E8" w14:textId="77777777" w:rsidR="006016B9" w:rsidRPr="0087752B" w:rsidRDefault="006016B9" w:rsidP="0060513E">
            <w:pPr>
              <w:pStyle w:val="DETTablecolumnheading"/>
              <w:jc w:val="left"/>
            </w:pPr>
            <w:r w:rsidRPr="0087752B">
              <w:t>Performance measures</w:t>
            </w:r>
          </w:p>
        </w:tc>
        <w:tc>
          <w:tcPr>
            <w:tcW w:w="570" w:type="pct"/>
            <w:tcBorders>
              <w:bottom w:val="nil"/>
            </w:tcBorders>
            <w:shd w:val="clear" w:color="auto" w:fill="7F7F7F" w:themeFill="text1" w:themeFillTint="80"/>
          </w:tcPr>
          <w:p w14:paraId="2395725A" w14:textId="77777777" w:rsidR="006016B9" w:rsidRPr="0087752B" w:rsidRDefault="006016B9" w:rsidP="0082652C">
            <w:pPr>
              <w:pStyle w:val="DETTablecolumnheading"/>
            </w:pPr>
            <w:r w:rsidRPr="0087752B">
              <w:t>Unit of measure</w:t>
            </w:r>
          </w:p>
        </w:tc>
        <w:tc>
          <w:tcPr>
            <w:tcW w:w="475" w:type="pct"/>
            <w:gridSpan w:val="2"/>
            <w:tcBorders>
              <w:bottom w:val="nil"/>
            </w:tcBorders>
            <w:shd w:val="clear" w:color="auto" w:fill="7F7F7F" w:themeFill="text1" w:themeFillTint="80"/>
          </w:tcPr>
          <w:p w14:paraId="3750B7C5" w14:textId="77777777" w:rsidR="006016B9" w:rsidRPr="0087752B" w:rsidRDefault="006016B9" w:rsidP="0082652C">
            <w:pPr>
              <w:pStyle w:val="DETTablecolumnheading"/>
              <w:rPr>
                <w:sz w:val="15"/>
                <w:szCs w:val="15"/>
              </w:rPr>
            </w:pPr>
            <w:r w:rsidRPr="0087752B">
              <w:rPr>
                <w:sz w:val="15"/>
                <w:szCs w:val="15"/>
              </w:rPr>
              <w:t>2015–16 Target</w:t>
            </w:r>
          </w:p>
        </w:tc>
        <w:tc>
          <w:tcPr>
            <w:tcW w:w="458" w:type="pct"/>
            <w:tcBorders>
              <w:bottom w:val="nil"/>
            </w:tcBorders>
            <w:shd w:val="clear" w:color="auto" w:fill="7F7F7F" w:themeFill="text1" w:themeFillTint="80"/>
          </w:tcPr>
          <w:p w14:paraId="2EA6D413" w14:textId="77777777" w:rsidR="006016B9" w:rsidRPr="0087752B" w:rsidRDefault="006016B9" w:rsidP="0082652C">
            <w:pPr>
              <w:pStyle w:val="DETTablecolumnheading"/>
              <w:rPr>
                <w:sz w:val="15"/>
                <w:szCs w:val="15"/>
              </w:rPr>
            </w:pPr>
            <w:r w:rsidRPr="0087752B">
              <w:rPr>
                <w:sz w:val="15"/>
                <w:szCs w:val="15"/>
              </w:rPr>
              <w:t>2015–16 Actual</w:t>
            </w:r>
          </w:p>
        </w:tc>
        <w:tc>
          <w:tcPr>
            <w:tcW w:w="492" w:type="pct"/>
            <w:tcBorders>
              <w:bottom w:val="nil"/>
            </w:tcBorders>
            <w:shd w:val="clear" w:color="auto" w:fill="7F7F7F" w:themeFill="text1" w:themeFillTint="80"/>
          </w:tcPr>
          <w:p w14:paraId="5122B46B" w14:textId="77777777" w:rsidR="006016B9" w:rsidRPr="0087752B" w:rsidRDefault="006016B9" w:rsidP="0082652C">
            <w:pPr>
              <w:pStyle w:val="DETTablecolumnheading"/>
              <w:rPr>
                <w:sz w:val="15"/>
                <w:szCs w:val="15"/>
              </w:rPr>
            </w:pPr>
            <w:r w:rsidRPr="0087752B">
              <w:rPr>
                <w:sz w:val="15"/>
                <w:szCs w:val="15"/>
              </w:rPr>
              <w:t>% variation</w:t>
            </w:r>
          </w:p>
        </w:tc>
        <w:tc>
          <w:tcPr>
            <w:tcW w:w="410" w:type="pct"/>
            <w:tcBorders>
              <w:bottom w:val="nil"/>
            </w:tcBorders>
            <w:shd w:val="clear" w:color="auto" w:fill="7F7F7F" w:themeFill="text1" w:themeFillTint="80"/>
          </w:tcPr>
          <w:p w14:paraId="3B704CB4" w14:textId="77777777" w:rsidR="006016B9" w:rsidRPr="0087752B" w:rsidRDefault="006016B9" w:rsidP="0082652C">
            <w:pPr>
              <w:pStyle w:val="DETTablecolumnheading"/>
            </w:pPr>
            <w:r w:rsidRPr="0087752B">
              <w:t>Result</w:t>
            </w:r>
          </w:p>
        </w:tc>
      </w:tr>
      <w:tr w:rsidR="006016B9" w:rsidRPr="0087752B" w14:paraId="0E77DD61" w14:textId="77777777" w:rsidTr="006016B9">
        <w:trPr>
          <w:cantSplit/>
        </w:trPr>
        <w:tc>
          <w:tcPr>
            <w:tcW w:w="5000" w:type="pct"/>
            <w:gridSpan w:val="9"/>
            <w:tcBorders>
              <w:bottom w:val="nil"/>
            </w:tcBorders>
            <w:shd w:val="clear" w:color="auto" w:fill="auto"/>
            <w:vAlign w:val="center"/>
          </w:tcPr>
          <w:p w14:paraId="2AFB8707" w14:textId="77777777" w:rsidR="006016B9" w:rsidRPr="0087752B" w:rsidRDefault="006016B9" w:rsidP="0060513E">
            <w:pPr>
              <w:pStyle w:val="DETTableTextFinancial"/>
              <w:rPr>
                <w:b/>
              </w:rPr>
            </w:pPr>
            <w:r w:rsidRPr="0087752B">
              <w:rPr>
                <w:b/>
              </w:rPr>
              <w:t>Quantity</w:t>
            </w:r>
          </w:p>
        </w:tc>
      </w:tr>
      <w:tr w:rsidR="006016B9" w:rsidRPr="0087752B" w14:paraId="26EADDFA" w14:textId="77777777" w:rsidTr="006016B9">
        <w:trPr>
          <w:cantSplit/>
        </w:trPr>
        <w:tc>
          <w:tcPr>
            <w:tcW w:w="2595" w:type="pct"/>
            <w:gridSpan w:val="3"/>
            <w:tcBorders>
              <w:bottom w:val="nil"/>
            </w:tcBorders>
            <w:shd w:val="clear" w:color="auto" w:fill="auto"/>
            <w:vAlign w:val="center"/>
          </w:tcPr>
          <w:p w14:paraId="277490CE" w14:textId="77777777" w:rsidR="006016B9" w:rsidRPr="0087752B" w:rsidRDefault="006016B9" w:rsidP="0060513E">
            <w:pPr>
              <w:pStyle w:val="DETTableTextFinancial"/>
            </w:pPr>
            <w:r w:rsidRPr="0087752B">
              <w:t>Number of registered training organisation quality audits and school reviews undertaken annually</w:t>
            </w:r>
          </w:p>
        </w:tc>
        <w:tc>
          <w:tcPr>
            <w:tcW w:w="570" w:type="pct"/>
            <w:tcBorders>
              <w:bottom w:val="nil"/>
            </w:tcBorders>
            <w:shd w:val="clear" w:color="auto" w:fill="auto"/>
          </w:tcPr>
          <w:p w14:paraId="3DE3FC03" w14:textId="77777777" w:rsidR="006016B9" w:rsidRPr="0087752B" w:rsidRDefault="006016B9" w:rsidP="0060513E">
            <w:pPr>
              <w:pStyle w:val="DETTableTextFinancial"/>
            </w:pPr>
            <w:r w:rsidRPr="0087752B">
              <w:t>number</w:t>
            </w:r>
          </w:p>
        </w:tc>
        <w:tc>
          <w:tcPr>
            <w:tcW w:w="475" w:type="pct"/>
            <w:gridSpan w:val="2"/>
            <w:tcBorders>
              <w:bottom w:val="nil"/>
            </w:tcBorders>
            <w:shd w:val="clear" w:color="auto" w:fill="auto"/>
          </w:tcPr>
          <w:p w14:paraId="6E47DC60" w14:textId="77777777" w:rsidR="006016B9" w:rsidRPr="0087752B" w:rsidRDefault="006016B9" w:rsidP="0060513E">
            <w:pPr>
              <w:pStyle w:val="DETTableTextFinancial"/>
              <w:jc w:val="right"/>
            </w:pPr>
            <w:r w:rsidRPr="0087752B">
              <w:t>191</w:t>
            </w:r>
          </w:p>
        </w:tc>
        <w:tc>
          <w:tcPr>
            <w:tcW w:w="458" w:type="pct"/>
            <w:tcBorders>
              <w:bottom w:val="nil"/>
            </w:tcBorders>
            <w:shd w:val="clear" w:color="auto" w:fill="auto"/>
          </w:tcPr>
          <w:p w14:paraId="55DE2E2F" w14:textId="77777777" w:rsidR="006016B9" w:rsidRPr="0087752B" w:rsidRDefault="006016B9" w:rsidP="0060513E">
            <w:pPr>
              <w:pStyle w:val="DETTableTextFinancial"/>
              <w:jc w:val="right"/>
            </w:pPr>
            <w:r w:rsidRPr="0087752B">
              <w:t>182</w:t>
            </w:r>
          </w:p>
        </w:tc>
        <w:tc>
          <w:tcPr>
            <w:tcW w:w="492" w:type="pct"/>
            <w:tcBorders>
              <w:bottom w:val="nil"/>
            </w:tcBorders>
          </w:tcPr>
          <w:p w14:paraId="479E9CB6" w14:textId="77777777" w:rsidR="006016B9" w:rsidRPr="0087752B" w:rsidRDefault="006016B9" w:rsidP="0060513E">
            <w:pPr>
              <w:pStyle w:val="DETTableTextFinancial"/>
              <w:jc w:val="right"/>
              <w:rPr>
                <w:rFonts w:eastAsiaTheme="minorEastAsia"/>
              </w:rPr>
            </w:pPr>
            <w:r w:rsidRPr="0087752B">
              <w:t>-4.7</w:t>
            </w:r>
          </w:p>
        </w:tc>
        <w:tc>
          <w:tcPr>
            <w:tcW w:w="410" w:type="pct"/>
            <w:tcBorders>
              <w:bottom w:val="nil"/>
            </w:tcBorders>
          </w:tcPr>
          <w:p w14:paraId="2AEED194" w14:textId="77777777" w:rsidR="006016B9" w:rsidRPr="005C767D" w:rsidRDefault="006016B9" w:rsidP="0060513E">
            <w:pPr>
              <w:jc w:val="right"/>
              <w:rPr>
                <w:rFonts w:eastAsiaTheme="minorEastAsia"/>
              </w:rPr>
            </w:pPr>
            <w:r w:rsidRPr="005C767D">
              <w:sym w:font="Wingdings" w:char="F06E"/>
            </w:r>
          </w:p>
        </w:tc>
      </w:tr>
      <w:tr w:rsidR="006016B9" w:rsidRPr="0087752B" w14:paraId="4A791E98" w14:textId="77777777" w:rsidTr="006016B9">
        <w:trPr>
          <w:cantSplit/>
        </w:trPr>
        <w:tc>
          <w:tcPr>
            <w:tcW w:w="5000" w:type="pct"/>
            <w:gridSpan w:val="9"/>
            <w:tcBorders>
              <w:bottom w:val="single" w:sz="4" w:space="0" w:color="auto"/>
            </w:tcBorders>
            <w:shd w:val="clear" w:color="auto" w:fill="auto"/>
          </w:tcPr>
          <w:p w14:paraId="1B52970A" w14:textId="5CE20F02" w:rsidR="006016B9" w:rsidRPr="0087752B" w:rsidRDefault="006016B9" w:rsidP="0060513E">
            <w:pPr>
              <w:pStyle w:val="DETTableTextFinancial"/>
              <w:rPr>
                <w:i/>
              </w:rPr>
            </w:pPr>
            <w:r w:rsidRPr="0087752B">
              <w:rPr>
                <w:i/>
              </w:rPr>
              <w:t xml:space="preserve">This performance measure relates to the 2015 calendar year. The 2015–16 Actual is lower than </w:t>
            </w:r>
            <w:r w:rsidR="00DC7C92" w:rsidRPr="0087752B">
              <w:rPr>
                <w:i/>
              </w:rPr>
              <w:br/>
            </w:r>
            <w:r w:rsidRPr="0087752B">
              <w:rPr>
                <w:i/>
              </w:rPr>
              <w:t>2015–16 Target as a result of cancellation of a number of scheduled audits/reviews because some Registered Training Organisations (RTOs) did not seek to retain registration and several school reviews were fast tracked for opening in 2014.</w:t>
            </w:r>
          </w:p>
        </w:tc>
      </w:tr>
      <w:tr w:rsidR="006016B9" w:rsidRPr="0087752B" w14:paraId="05B24CCF" w14:textId="77777777" w:rsidTr="006016B9">
        <w:trPr>
          <w:cantSplit/>
        </w:trPr>
        <w:tc>
          <w:tcPr>
            <w:tcW w:w="5000" w:type="pct"/>
            <w:gridSpan w:val="9"/>
            <w:tcBorders>
              <w:top w:val="single" w:sz="4" w:space="0" w:color="auto"/>
              <w:bottom w:val="nil"/>
            </w:tcBorders>
            <w:shd w:val="clear" w:color="auto" w:fill="auto"/>
            <w:vAlign w:val="center"/>
          </w:tcPr>
          <w:p w14:paraId="23977D65" w14:textId="77777777" w:rsidR="006016B9" w:rsidRPr="0087752B" w:rsidRDefault="006016B9" w:rsidP="0060513E">
            <w:pPr>
              <w:pStyle w:val="DETTableTextFinancial"/>
              <w:rPr>
                <w:b/>
              </w:rPr>
            </w:pPr>
            <w:r w:rsidRPr="0087752B">
              <w:rPr>
                <w:b/>
              </w:rPr>
              <w:t>Quality</w:t>
            </w:r>
          </w:p>
        </w:tc>
      </w:tr>
      <w:tr w:rsidR="006016B9" w:rsidRPr="0087752B" w14:paraId="28B290F1" w14:textId="77777777" w:rsidTr="006016B9">
        <w:trPr>
          <w:cantSplit/>
        </w:trPr>
        <w:tc>
          <w:tcPr>
            <w:tcW w:w="2595" w:type="pct"/>
            <w:gridSpan w:val="3"/>
            <w:tcBorders>
              <w:bottom w:val="nil"/>
            </w:tcBorders>
            <w:shd w:val="clear" w:color="auto" w:fill="auto"/>
            <w:vAlign w:val="center"/>
          </w:tcPr>
          <w:p w14:paraId="24394EC2" w14:textId="77777777" w:rsidR="006016B9" w:rsidRPr="0087752B" w:rsidRDefault="006016B9" w:rsidP="0060513E">
            <w:pPr>
              <w:pStyle w:val="DETTableTextFinancial"/>
              <w:rPr>
                <w:highlight w:val="green"/>
              </w:rPr>
            </w:pPr>
            <w:r w:rsidRPr="0087752B">
              <w:t>Education provider satisfaction with the Victorian Registration and Qualifications Authority and its regulatory processes</w:t>
            </w:r>
          </w:p>
        </w:tc>
        <w:tc>
          <w:tcPr>
            <w:tcW w:w="570" w:type="pct"/>
            <w:tcBorders>
              <w:bottom w:val="nil"/>
            </w:tcBorders>
            <w:shd w:val="clear" w:color="auto" w:fill="auto"/>
          </w:tcPr>
          <w:p w14:paraId="458F2CBC" w14:textId="77777777" w:rsidR="006016B9" w:rsidRPr="0087752B" w:rsidRDefault="006016B9" w:rsidP="0060513E">
            <w:pPr>
              <w:pStyle w:val="DETTableTextFinancial"/>
              <w:rPr>
                <w:highlight w:val="green"/>
              </w:rPr>
            </w:pPr>
            <w:r w:rsidRPr="0087752B">
              <w:t>per cent</w:t>
            </w:r>
          </w:p>
        </w:tc>
        <w:tc>
          <w:tcPr>
            <w:tcW w:w="475" w:type="pct"/>
            <w:gridSpan w:val="2"/>
            <w:tcBorders>
              <w:bottom w:val="nil"/>
            </w:tcBorders>
            <w:shd w:val="clear" w:color="auto" w:fill="auto"/>
          </w:tcPr>
          <w:p w14:paraId="20B41459" w14:textId="77777777" w:rsidR="006016B9" w:rsidRPr="0087752B" w:rsidRDefault="006016B9" w:rsidP="0060513E">
            <w:pPr>
              <w:pStyle w:val="DETTableTextFinancial"/>
              <w:jc w:val="right"/>
              <w:rPr>
                <w:highlight w:val="green"/>
              </w:rPr>
            </w:pPr>
            <w:r w:rsidRPr="0087752B">
              <w:t>65</w:t>
            </w:r>
          </w:p>
        </w:tc>
        <w:tc>
          <w:tcPr>
            <w:tcW w:w="458" w:type="pct"/>
            <w:tcBorders>
              <w:bottom w:val="nil"/>
            </w:tcBorders>
            <w:shd w:val="clear" w:color="auto" w:fill="auto"/>
          </w:tcPr>
          <w:p w14:paraId="377D4AF6" w14:textId="77777777" w:rsidR="006016B9" w:rsidRPr="0087752B" w:rsidRDefault="006016B9" w:rsidP="0060513E">
            <w:pPr>
              <w:pStyle w:val="DETTableTextFinancial"/>
              <w:jc w:val="right"/>
              <w:rPr>
                <w:highlight w:val="green"/>
              </w:rPr>
            </w:pPr>
            <w:r w:rsidRPr="0087752B">
              <w:t>81.0</w:t>
            </w:r>
          </w:p>
        </w:tc>
        <w:tc>
          <w:tcPr>
            <w:tcW w:w="492" w:type="pct"/>
            <w:tcBorders>
              <w:bottom w:val="nil"/>
            </w:tcBorders>
          </w:tcPr>
          <w:p w14:paraId="5CB194C9" w14:textId="77777777" w:rsidR="006016B9" w:rsidRPr="0087752B" w:rsidRDefault="006016B9" w:rsidP="0060513E">
            <w:pPr>
              <w:pStyle w:val="DETTableTextFinancial"/>
              <w:jc w:val="right"/>
              <w:rPr>
                <w:highlight w:val="green"/>
              </w:rPr>
            </w:pPr>
            <w:r w:rsidRPr="0087752B">
              <w:t>24.6</w:t>
            </w:r>
          </w:p>
        </w:tc>
        <w:tc>
          <w:tcPr>
            <w:tcW w:w="410" w:type="pct"/>
            <w:tcBorders>
              <w:bottom w:val="nil"/>
            </w:tcBorders>
          </w:tcPr>
          <w:p w14:paraId="23A5BF8F" w14:textId="77777777" w:rsidR="006016B9" w:rsidRPr="005C767D" w:rsidRDefault="006016B9" w:rsidP="0060513E">
            <w:pPr>
              <w:jc w:val="right"/>
              <w:rPr>
                <w:highlight w:val="green"/>
              </w:rPr>
            </w:pPr>
            <w:r w:rsidRPr="005C767D">
              <w:sym w:font="Wingdings" w:char="F0FC"/>
            </w:r>
          </w:p>
        </w:tc>
      </w:tr>
      <w:tr w:rsidR="006016B9" w:rsidRPr="0087752B" w14:paraId="74051332" w14:textId="77777777" w:rsidTr="006016B9">
        <w:trPr>
          <w:cantSplit/>
        </w:trPr>
        <w:tc>
          <w:tcPr>
            <w:tcW w:w="5000" w:type="pct"/>
            <w:gridSpan w:val="9"/>
            <w:tcBorders>
              <w:bottom w:val="nil"/>
            </w:tcBorders>
            <w:shd w:val="clear" w:color="auto" w:fill="auto"/>
            <w:vAlign w:val="center"/>
          </w:tcPr>
          <w:p w14:paraId="656F25AC" w14:textId="4EB44FB3" w:rsidR="006016B9" w:rsidRPr="0087752B" w:rsidRDefault="006016B9" w:rsidP="0060513E">
            <w:pPr>
              <w:pStyle w:val="DETTableTextFinancial"/>
              <w:rPr>
                <w:i/>
              </w:rPr>
            </w:pPr>
            <w:r w:rsidRPr="0087752B">
              <w:rPr>
                <w:i/>
              </w:rPr>
              <w:t>This performance measure relates to t</w:t>
            </w:r>
            <w:r w:rsidR="0082652C">
              <w:rPr>
                <w:i/>
              </w:rPr>
              <w:t>he 2015 calendar year. The 2015–16 Actual is higher than 2015–</w:t>
            </w:r>
            <w:r w:rsidRPr="0087752B">
              <w:rPr>
                <w:i/>
              </w:rPr>
              <w:t>16 Target due to improved business processes and stakeholder engagement activities.</w:t>
            </w:r>
          </w:p>
        </w:tc>
      </w:tr>
      <w:tr w:rsidR="006016B9" w:rsidRPr="0087752B" w14:paraId="77F1DAB9" w14:textId="77777777" w:rsidTr="006016B9">
        <w:trPr>
          <w:cantSplit/>
        </w:trPr>
        <w:tc>
          <w:tcPr>
            <w:tcW w:w="2595" w:type="pct"/>
            <w:gridSpan w:val="3"/>
            <w:tcBorders>
              <w:bottom w:val="nil"/>
            </w:tcBorders>
            <w:shd w:val="clear" w:color="auto" w:fill="auto"/>
            <w:vAlign w:val="center"/>
          </w:tcPr>
          <w:p w14:paraId="01BE4B98" w14:textId="77777777" w:rsidR="006016B9" w:rsidRPr="0087752B" w:rsidRDefault="006016B9" w:rsidP="0060513E">
            <w:pPr>
              <w:pStyle w:val="DETTableTextFinancial"/>
              <w:rPr>
                <w:highlight w:val="green"/>
              </w:rPr>
            </w:pPr>
            <w:r w:rsidRPr="0087752B">
              <w:t>Percentage of government schools where an enrolment audit is conducted</w:t>
            </w:r>
          </w:p>
        </w:tc>
        <w:tc>
          <w:tcPr>
            <w:tcW w:w="570" w:type="pct"/>
            <w:tcBorders>
              <w:bottom w:val="nil"/>
            </w:tcBorders>
            <w:shd w:val="clear" w:color="auto" w:fill="auto"/>
          </w:tcPr>
          <w:p w14:paraId="7C66C561" w14:textId="77777777" w:rsidR="006016B9" w:rsidRPr="0087752B" w:rsidRDefault="006016B9" w:rsidP="0060513E">
            <w:pPr>
              <w:pStyle w:val="DETTableTextFinancial"/>
            </w:pPr>
            <w:r w:rsidRPr="0087752B">
              <w:t>per cent</w:t>
            </w:r>
          </w:p>
        </w:tc>
        <w:tc>
          <w:tcPr>
            <w:tcW w:w="475" w:type="pct"/>
            <w:gridSpan w:val="2"/>
            <w:tcBorders>
              <w:bottom w:val="nil"/>
            </w:tcBorders>
            <w:shd w:val="clear" w:color="auto" w:fill="auto"/>
          </w:tcPr>
          <w:p w14:paraId="0DAF1F2B" w14:textId="77777777" w:rsidR="006016B9" w:rsidRPr="0087752B" w:rsidRDefault="006016B9" w:rsidP="0060513E">
            <w:pPr>
              <w:pStyle w:val="DETTableTextFinancial"/>
              <w:jc w:val="right"/>
            </w:pPr>
            <w:r w:rsidRPr="0087752B">
              <w:t>32.5</w:t>
            </w:r>
          </w:p>
        </w:tc>
        <w:tc>
          <w:tcPr>
            <w:tcW w:w="458" w:type="pct"/>
            <w:tcBorders>
              <w:bottom w:val="nil"/>
            </w:tcBorders>
            <w:shd w:val="clear" w:color="auto" w:fill="auto"/>
          </w:tcPr>
          <w:p w14:paraId="124B61A8" w14:textId="77777777" w:rsidR="006016B9" w:rsidRPr="0087752B" w:rsidRDefault="006016B9" w:rsidP="0060513E">
            <w:pPr>
              <w:pStyle w:val="DETTableTextFinancial"/>
              <w:jc w:val="right"/>
            </w:pPr>
            <w:r w:rsidRPr="0087752B">
              <w:t>32.7</w:t>
            </w:r>
          </w:p>
        </w:tc>
        <w:tc>
          <w:tcPr>
            <w:tcW w:w="492" w:type="pct"/>
            <w:tcBorders>
              <w:bottom w:val="nil"/>
            </w:tcBorders>
          </w:tcPr>
          <w:p w14:paraId="70EE23E0" w14:textId="77777777" w:rsidR="006016B9" w:rsidRPr="0087752B" w:rsidRDefault="006016B9" w:rsidP="0060513E">
            <w:pPr>
              <w:pStyle w:val="DETTableTextFinancial"/>
              <w:jc w:val="right"/>
            </w:pPr>
            <w:r w:rsidRPr="0087752B">
              <w:t>0.6</w:t>
            </w:r>
          </w:p>
        </w:tc>
        <w:tc>
          <w:tcPr>
            <w:tcW w:w="410" w:type="pct"/>
            <w:tcBorders>
              <w:bottom w:val="nil"/>
            </w:tcBorders>
          </w:tcPr>
          <w:p w14:paraId="7AE32AE7" w14:textId="77777777" w:rsidR="006016B9" w:rsidRPr="005C767D" w:rsidRDefault="006016B9" w:rsidP="0060513E">
            <w:pPr>
              <w:jc w:val="right"/>
            </w:pPr>
            <w:r w:rsidRPr="005C767D">
              <w:sym w:font="Wingdings" w:char="F0FC"/>
            </w:r>
          </w:p>
        </w:tc>
      </w:tr>
      <w:tr w:rsidR="006016B9" w:rsidRPr="0087752B" w14:paraId="638A8008" w14:textId="77777777" w:rsidTr="006016B9">
        <w:trPr>
          <w:cantSplit/>
        </w:trPr>
        <w:tc>
          <w:tcPr>
            <w:tcW w:w="5000" w:type="pct"/>
            <w:gridSpan w:val="9"/>
            <w:tcBorders>
              <w:bottom w:val="single" w:sz="4" w:space="0" w:color="auto"/>
            </w:tcBorders>
            <w:shd w:val="clear" w:color="auto" w:fill="auto"/>
            <w:vAlign w:val="center"/>
          </w:tcPr>
          <w:p w14:paraId="1460E053" w14:textId="77777777" w:rsidR="006016B9" w:rsidRPr="0087752B" w:rsidRDefault="006016B9" w:rsidP="0060513E">
            <w:pPr>
              <w:pStyle w:val="DETTableTextFinancial"/>
              <w:rPr>
                <w:rFonts w:eastAsiaTheme="minorEastAsia"/>
                <w:i/>
              </w:rPr>
            </w:pPr>
            <w:r w:rsidRPr="0087752B">
              <w:rPr>
                <w:i/>
              </w:rPr>
              <w:t xml:space="preserve">This performance measure relates to the 2015 calendar year. </w:t>
            </w:r>
          </w:p>
        </w:tc>
      </w:tr>
      <w:tr w:rsidR="006016B9" w:rsidRPr="0087752B" w14:paraId="6DAEE888" w14:textId="77777777" w:rsidTr="006016B9">
        <w:trPr>
          <w:cantSplit/>
        </w:trPr>
        <w:tc>
          <w:tcPr>
            <w:tcW w:w="5000" w:type="pct"/>
            <w:gridSpan w:val="9"/>
            <w:tcBorders>
              <w:top w:val="single" w:sz="4" w:space="0" w:color="auto"/>
            </w:tcBorders>
            <w:shd w:val="clear" w:color="auto" w:fill="auto"/>
            <w:vAlign w:val="center"/>
          </w:tcPr>
          <w:p w14:paraId="535E8F5E" w14:textId="77777777" w:rsidR="006016B9" w:rsidRPr="0087752B" w:rsidRDefault="006016B9" w:rsidP="0060513E">
            <w:pPr>
              <w:pStyle w:val="DETTableTextFinancial"/>
              <w:rPr>
                <w:b/>
              </w:rPr>
            </w:pPr>
            <w:r w:rsidRPr="0087752B">
              <w:rPr>
                <w:b/>
              </w:rPr>
              <w:t>Cost</w:t>
            </w:r>
          </w:p>
        </w:tc>
      </w:tr>
      <w:tr w:rsidR="006016B9" w:rsidRPr="0087752B" w14:paraId="0ACEF7C2" w14:textId="77777777" w:rsidTr="006016B9">
        <w:trPr>
          <w:cantSplit/>
        </w:trPr>
        <w:tc>
          <w:tcPr>
            <w:tcW w:w="2595" w:type="pct"/>
            <w:gridSpan w:val="3"/>
            <w:shd w:val="clear" w:color="auto" w:fill="auto"/>
            <w:vAlign w:val="center"/>
          </w:tcPr>
          <w:p w14:paraId="6A1B8C02" w14:textId="77777777" w:rsidR="006016B9" w:rsidRPr="0087752B" w:rsidRDefault="006016B9" w:rsidP="0060513E">
            <w:pPr>
              <w:pStyle w:val="DETTableTextFinancial"/>
            </w:pPr>
            <w:r w:rsidRPr="0087752B">
              <w:t>Total output cost</w:t>
            </w:r>
          </w:p>
        </w:tc>
        <w:tc>
          <w:tcPr>
            <w:tcW w:w="570" w:type="pct"/>
            <w:shd w:val="clear" w:color="auto" w:fill="auto"/>
          </w:tcPr>
          <w:p w14:paraId="3DD72A6E" w14:textId="77777777" w:rsidR="006016B9" w:rsidRPr="0087752B" w:rsidRDefault="006016B9" w:rsidP="0060513E">
            <w:pPr>
              <w:pStyle w:val="DETTableTextFinancial"/>
            </w:pPr>
            <w:r w:rsidRPr="0087752B">
              <w:t>$ million</w:t>
            </w:r>
          </w:p>
        </w:tc>
        <w:tc>
          <w:tcPr>
            <w:tcW w:w="475" w:type="pct"/>
            <w:gridSpan w:val="2"/>
            <w:shd w:val="clear" w:color="auto" w:fill="auto"/>
          </w:tcPr>
          <w:p w14:paraId="0283818D" w14:textId="77777777" w:rsidR="006016B9" w:rsidRPr="0087752B" w:rsidRDefault="006016B9" w:rsidP="0060513E">
            <w:pPr>
              <w:pStyle w:val="DETTableTextFinancial"/>
              <w:jc w:val="right"/>
            </w:pPr>
            <w:r w:rsidRPr="0087752B">
              <w:t>101.9</w:t>
            </w:r>
          </w:p>
        </w:tc>
        <w:tc>
          <w:tcPr>
            <w:tcW w:w="458" w:type="pct"/>
            <w:shd w:val="clear" w:color="auto" w:fill="auto"/>
          </w:tcPr>
          <w:p w14:paraId="0A0DAB8F" w14:textId="2CBC602B" w:rsidR="006016B9" w:rsidRPr="009E7940" w:rsidRDefault="009E7940" w:rsidP="0060513E">
            <w:pPr>
              <w:pStyle w:val="DETTableTextFinancial"/>
              <w:jc w:val="right"/>
            </w:pPr>
            <w:r w:rsidRPr="009E7940">
              <w:t>91.8</w:t>
            </w:r>
          </w:p>
        </w:tc>
        <w:tc>
          <w:tcPr>
            <w:tcW w:w="492" w:type="pct"/>
          </w:tcPr>
          <w:p w14:paraId="497B3C4E" w14:textId="33265187" w:rsidR="006016B9" w:rsidRPr="009E7940" w:rsidRDefault="009E7940" w:rsidP="0060513E">
            <w:pPr>
              <w:pStyle w:val="DETTableTextFinancial"/>
              <w:jc w:val="right"/>
            </w:pPr>
            <w:r w:rsidRPr="009E7940">
              <w:t>-9.9</w:t>
            </w:r>
          </w:p>
        </w:tc>
        <w:tc>
          <w:tcPr>
            <w:tcW w:w="410" w:type="pct"/>
          </w:tcPr>
          <w:p w14:paraId="17C56561" w14:textId="7F6B936F" w:rsidR="006016B9" w:rsidRPr="0087752B" w:rsidRDefault="00C0231F" w:rsidP="0060513E">
            <w:pPr>
              <w:pStyle w:val="DETTableTextFinancial"/>
              <w:jc w:val="right"/>
              <w:rPr>
                <w:highlight w:val="yellow"/>
              </w:rPr>
            </w:pPr>
            <w:r w:rsidRPr="005C767D">
              <w:sym w:font="Wingdings" w:char="F0FC"/>
            </w:r>
          </w:p>
        </w:tc>
      </w:tr>
      <w:tr w:rsidR="006016B9" w:rsidRPr="0087752B" w14:paraId="3F31B9E8" w14:textId="77777777" w:rsidTr="006016B9">
        <w:trPr>
          <w:cantSplit/>
        </w:trPr>
        <w:tc>
          <w:tcPr>
            <w:tcW w:w="5000" w:type="pct"/>
            <w:gridSpan w:val="9"/>
            <w:tcBorders>
              <w:bottom w:val="single" w:sz="4" w:space="0" w:color="auto"/>
            </w:tcBorders>
            <w:shd w:val="clear" w:color="auto" w:fill="auto"/>
            <w:vAlign w:val="center"/>
          </w:tcPr>
          <w:p w14:paraId="410385D3" w14:textId="5175518A" w:rsidR="006016B9" w:rsidRPr="009E7940" w:rsidRDefault="009E7940" w:rsidP="0060513E">
            <w:pPr>
              <w:pStyle w:val="DETTableTextFinancial"/>
              <w:rPr>
                <w:i/>
              </w:rPr>
            </w:pPr>
            <w:r w:rsidRPr="009E7940">
              <w:rPr>
                <w:rFonts w:eastAsiaTheme="minorEastAsia"/>
                <w:i/>
              </w:rPr>
              <w:t xml:space="preserve">The 2015–16 Actual </w:t>
            </w:r>
            <w:r w:rsidR="0082652C">
              <w:rPr>
                <w:rFonts w:eastAsiaTheme="minorEastAsia"/>
                <w:i/>
              </w:rPr>
              <w:t>is actually lower than the 2015–</w:t>
            </w:r>
            <w:r w:rsidRPr="009E7940">
              <w:rPr>
                <w:rFonts w:eastAsiaTheme="minorEastAsia"/>
                <w:i/>
              </w:rPr>
              <w:t xml:space="preserve">16 </w:t>
            </w:r>
            <w:r w:rsidRPr="009E7940">
              <w:rPr>
                <w:i/>
              </w:rPr>
              <w:t>Target due to the timing in delivery of programs such as IT systems, including licencing and maintenance programs.</w:t>
            </w:r>
          </w:p>
        </w:tc>
      </w:tr>
      <w:tr w:rsidR="006016B9" w:rsidRPr="0087752B" w14:paraId="7B401400" w14:textId="77777777" w:rsidTr="009141B3">
        <w:trPr>
          <w:cantSplit/>
          <w:trHeight w:hRule="exact" w:val="446"/>
        </w:trPr>
        <w:tc>
          <w:tcPr>
            <w:tcW w:w="316" w:type="pct"/>
            <w:tcBorders>
              <w:top w:val="single" w:sz="4" w:space="0" w:color="auto"/>
              <w:bottom w:val="single" w:sz="4" w:space="0" w:color="auto"/>
            </w:tcBorders>
            <w:vAlign w:val="center"/>
          </w:tcPr>
          <w:p w14:paraId="71B5D358" w14:textId="77777777" w:rsidR="006016B9" w:rsidRPr="0087752B" w:rsidRDefault="006016B9" w:rsidP="006016B9">
            <w:r w:rsidRPr="0087752B">
              <w:rPr>
                <w:sz w:val="16"/>
                <w:szCs w:val="16"/>
              </w:rPr>
              <w:t>Key</w:t>
            </w:r>
            <w:r w:rsidRPr="0087752B">
              <w:t>:</w:t>
            </w:r>
          </w:p>
        </w:tc>
        <w:tc>
          <w:tcPr>
            <w:tcW w:w="1235" w:type="pct"/>
            <w:tcBorders>
              <w:top w:val="single" w:sz="4" w:space="0" w:color="auto"/>
              <w:bottom w:val="single" w:sz="4" w:space="0" w:color="auto"/>
            </w:tcBorders>
            <w:shd w:val="clear" w:color="auto" w:fill="auto"/>
            <w:vAlign w:val="center"/>
          </w:tcPr>
          <w:p w14:paraId="6779BD8B" w14:textId="77777777" w:rsidR="006016B9" w:rsidRPr="005C767D" w:rsidRDefault="006016B9" w:rsidP="006016B9">
            <w:r w:rsidRPr="005C767D">
              <w:sym w:font="Wingdings" w:char="F0FC"/>
            </w:r>
            <w:r w:rsidRPr="005C767D">
              <w:t xml:space="preserve"> </w:t>
            </w:r>
            <w:r w:rsidRPr="0087752B">
              <w:rPr>
                <w:sz w:val="16"/>
                <w:szCs w:val="16"/>
              </w:rPr>
              <w:t>Target achieved or</w:t>
            </w:r>
            <w:r w:rsidRPr="0087752B">
              <w:t xml:space="preserve"> </w:t>
            </w:r>
            <w:r w:rsidRPr="009141B3">
              <w:rPr>
                <w:sz w:val="16"/>
                <w:szCs w:val="16"/>
              </w:rPr>
              <w:t>exceeded</w:t>
            </w:r>
          </w:p>
        </w:tc>
        <w:tc>
          <w:tcPr>
            <w:tcW w:w="1712" w:type="pct"/>
            <w:gridSpan w:val="3"/>
            <w:tcBorders>
              <w:top w:val="single" w:sz="4" w:space="0" w:color="auto"/>
              <w:bottom w:val="single" w:sz="4" w:space="0" w:color="auto"/>
            </w:tcBorders>
            <w:shd w:val="clear" w:color="auto" w:fill="auto"/>
            <w:vAlign w:val="center"/>
          </w:tcPr>
          <w:p w14:paraId="446970F6" w14:textId="77777777" w:rsidR="006016B9" w:rsidRPr="005C767D" w:rsidRDefault="006016B9" w:rsidP="006016B9">
            <w:r w:rsidRPr="005C767D">
              <w:sym w:font="Wingdings" w:char="F06E"/>
            </w:r>
            <w:r w:rsidRPr="005C767D">
              <w:t xml:space="preserve"> </w:t>
            </w:r>
            <w:r w:rsidRPr="0087752B">
              <w:rPr>
                <w:sz w:val="16"/>
                <w:szCs w:val="16"/>
              </w:rPr>
              <w:t>Target not achieved—less</w:t>
            </w:r>
            <w:r w:rsidRPr="0087752B">
              <w:t xml:space="preserve"> </w:t>
            </w:r>
            <w:r w:rsidRPr="009141B3">
              <w:rPr>
                <w:sz w:val="16"/>
                <w:szCs w:val="16"/>
              </w:rPr>
              <w:t>than 5% variance</w:t>
            </w:r>
          </w:p>
        </w:tc>
        <w:tc>
          <w:tcPr>
            <w:tcW w:w="1738" w:type="pct"/>
            <w:gridSpan w:val="4"/>
            <w:tcBorders>
              <w:top w:val="single" w:sz="4" w:space="0" w:color="auto"/>
              <w:bottom w:val="single" w:sz="4" w:space="0" w:color="auto"/>
            </w:tcBorders>
            <w:shd w:val="clear" w:color="auto" w:fill="auto"/>
            <w:vAlign w:val="center"/>
          </w:tcPr>
          <w:p w14:paraId="1C1F63B0" w14:textId="77777777" w:rsidR="006016B9" w:rsidRPr="005C767D" w:rsidRDefault="006016B9" w:rsidP="006016B9">
            <w:r w:rsidRPr="005C767D">
              <w:sym w:font="Wingdings" w:char="F0FB"/>
            </w:r>
            <w:r w:rsidRPr="005C767D">
              <w:t xml:space="preserve"> </w:t>
            </w:r>
            <w:r w:rsidRPr="0087752B">
              <w:rPr>
                <w:sz w:val="16"/>
                <w:szCs w:val="16"/>
              </w:rPr>
              <w:t>Target not achieved—more</w:t>
            </w:r>
            <w:r w:rsidRPr="0087752B">
              <w:t xml:space="preserve"> </w:t>
            </w:r>
            <w:r w:rsidRPr="009141B3">
              <w:rPr>
                <w:sz w:val="16"/>
                <w:szCs w:val="16"/>
              </w:rPr>
              <w:t>than 5% variance</w:t>
            </w:r>
          </w:p>
        </w:tc>
      </w:tr>
    </w:tbl>
    <w:p w14:paraId="55F0808E" w14:textId="77777777" w:rsidR="00770123" w:rsidRDefault="00770123" w:rsidP="0060513E">
      <w:pPr>
        <w:pStyle w:val="Heading3"/>
      </w:pPr>
    </w:p>
    <w:p w14:paraId="10925AB4" w14:textId="77777777" w:rsidR="00770123" w:rsidRDefault="00770123">
      <w:pPr>
        <w:spacing w:after="200" w:line="276" w:lineRule="auto"/>
        <w:rPr>
          <w:rFonts w:cs="Arial"/>
          <w:bCs/>
          <w:sz w:val="22"/>
          <w:szCs w:val="19"/>
        </w:rPr>
      </w:pPr>
      <w:r>
        <w:br w:type="page"/>
      </w:r>
    </w:p>
    <w:p w14:paraId="5D17EE41" w14:textId="0680A6F9" w:rsidR="006016B9" w:rsidRPr="0087752B" w:rsidRDefault="006016B9" w:rsidP="0060513E">
      <w:pPr>
        <w:pStyle w:val="Heading3"/>
      </w:pPr>
      <w:r w:rsidRPr="0087752B">
        <w:lastRenderedPageBreak/>
        <w:t>Early Childhood Development</w:t>
      </w:r>
    </w:p>
    <w:p w14:paraId="7A1C195D" w14:textId="77777777" w:rsidR="006016B9" w:rsidRPr="0087752B" w:rsidRDefault="006016B9" w:rsidP="006016B9">
      <w:r w:rsidRPr="0087752B">
        <w:t>The Early Childhood Development output group provides funding for a range of services that support children in the early years, including kindergarten and children’s services, maternal and child health, and early intervention services for children with a disability. These outputs make a significant contribution to the Government’s key outcomes in early childhood services. This group and its outputs contribute towards providing and improving services to support all the Department’s objectives of Achievement, Engagement, Wellbeing and Productivity.</w:t>
      </w:r>
    </w:p>
    <w:tbl>
      <w:tblPr>
        <w:tblW w:w="4970" w:type="pct"/>
        <w:tblInd w:w="45" w:type="dxa"/>
        <w:tblLayout w:type="fixed"/>
        <w:tblCellMar>
          <w:left w:w="45" w:type="dxa"/>
          <w:right w:w="45" w:type="dxa"/>
        </w:tblCellMar>
        <w:tblLook w:val="0000" w:firstRow="0" w:lastRow="0" w:firstColumn="0" w:lastColumn="0" w:noHBand="0" w:noVBand="0"/>
      </w:tblPr>
      <w:tblGrid>
        <w:gridCol w:w="427"/>
        <w:gridCol w:w="1843"/>
        <w:gridCol w:w="1557"/>
        <w:gridCol w:w="850"/>
        <w:gridCol w:w="147"/>
        <w:gridCol w:w="561"/>
        <w:gridCol w:w="684"/>
        <w:gridCol w:w="734"/>
        <w:gridCol w:w="612"/>
      </w:tblGrid>
      <w:tr w:rsidR="006016B9" w:rsidRPr="0087752B" w14:paraId="3B8C7D58" w14:textId="77777777" w:rsidTr="0060513E">
        <w:trPr>
          <w:cantSplit/>
          <w:tblHeader/>
        </w:trPr>
        <w:tc>
          <w:tcPr>
            <w:tcW w:w="2581" w:type="pct"/>
            <w:gridSpan w:val="3"/>
            <w:shd w:val="clear" w:color="auto" w:fill="7F7F7F" w:themeFill="text1" w:themeFillTint="80"/>
          </w:tcPr>
          <w:p w14:paraId="2305F840" w14:textId="77777777" w:rsidR="006016B9" w:rsidRPr="0087752B" w:rsidRDefault="006016B9" w:rsidP="0060513E">
            <w:pPr>
              <w:pStyle w:val="DETTablecolumnheading"/>
              <w:jc w:val="left"/>
            </w:pPr>
            <w:r w:rsidRPr="0087752B">
              <w:t>Performance measures</w:t>
            </w:r>
          </w:p>
        </w:tc>
        <w:tc>
          <w:tcPr>
            <w:tcW w:w="573" w:type="pct"/>
            <w:shd w:val="clear" w:color="auto" w:fill="7F7F7F" w:themeFill="text1" w:themeFillTint="80"/>
          </w:tcPr>
          <w:p w14:paraId="371185A5" w14:textId="77777777" w:rsidR="006016B9" w:rsidRPr="0087752B" w:rsidRDefault="006016B9" w:rsidP="0060513E">
            <w:pPr>
              <w:pStyle w:val="DETTablecolumnheading"/>
            </w:pPr>
            <w:r w:rsidRPr="0087752B">
              <w:t>Unit of measure</w:t>
            </w:r>
          </w:p>
        </w:tc>
        <w:tc>
          <w:tcPr>
            <w:tcW w:w="477" w:type="pct"/>
            <w:gridSpan w:val="2"/>
            <w:shd w:val="clear" w:color="auto" w:fill="7F7F7F" w:themeFill="text1" w:themeFillTint="80"/>
          </w:tcPr>
          <w:p w14:paraId="3640CEFA" w14:textId="77777777" w:rsidR="006016B9" w:rsidRPr="0087752B" w:rsidRDefault="006016B9" w:rsidP="0060513E">
            <w:pPr>
              <w:pStyle w:val="DETTablecolumnheading"/>
              <w:rPr>
                <w:sz w:val="15"/>
                <w:szCs w:val="15"/>
              </w:rPr>
            </w:pPr>
            <w:r w:rsidRPr="0087752B">
              <w:rPr>
                <w:sz w:val="15"/>
                <w:szCs w:val="15"/>
              </w:rPr>
              <w:t>2015–16 Target</w:t>
            </w:r>
          </w:p>
        </w:tc>
        <w:tc>
          <w:tcPr>
            <w:tcW w:w="461" w:type="pct"/>
            <w:shd w:val="clear" w:color="auto" w:fill="7F7F7F" w:themeFill="text1" w:themeFillTint="80"/>
          </w:tcPr>
          <w:p w14:paraId="6F5123F6" w14:textId="77777777" w:rsidR="006016B9" w:rsidRPr="0087752B" w:rsidRDefault="006016B9" w:rsidP="0060513E">
            <w:pPr>
              <w:pStyle w:val="DETTablecolumnheading"/>
              <w:rPr>
                <w:sz w:val="15"/>
                <w:szCs w:val="15"/>
              </w:rPr>
            </w:pPr>
            <w:r w:rsidRPr="0087752B">
              <w:rPr>
                <w:sz w:val="15"/>
                <w:szCs w:val="15"/>
              </w:rPr>
              <w:t>2015–16 Actual</w:t>
            </w:r>
          </w:p>
        </w:tc>
        <w:tc>
          <w:tcPr>
            <w:tcW w:w="495" w:type="pct"/>
            <w:shd w:val="clear" w:color="auto" w:fill="7F7F7F" w:themeFill="text1" w:themeFillTint="80"/>
          </w:tcPr>
          <w:p w14:paraId="16DD77BA" w14:textId="77777777" w:rsidR="006016B9" w:rsidRPr="0087752B" w:rsidRDefault="006016B9" w:rsidP="0060513E">
            <w:pPr>
              <w:pStyle w:val="DETTablecolumnheading"/>
              <w:rPr>
                <w:sz w:val="15"/>
                <w:szCs w:val="15"/>
              </w:rPr>
            </w:pPr>
            <w:r w:rsidRPr="0087752B">
              <w:rPr>
                <w:sz w:val="15"/>
                <w:szCs w:val="15"/>
              </w:rPr>
              <w:t>% variation</w:t>
            </w:r>
          </w:p>
        </w:tc>
        <w:tc>
          <w:tcPr>
            <w:tcW w:w="413" w:type="pct"/>
            <w:shd w:val="clear" w:color="auto" w:fill="7F7F7F" w:themeFill="text1" w:themeFillTint="80"/>
          </w:tcPr>
          <w:p w14:paraId="4946C8A7" w14:textId="77777777" w:rsidR="006016B9" w:rsidRPr="0087752B" w:rsidRDefault="006016B9" w:rsidP="0060513E">
            <w:pPr>
              <w:pStyle w:val="DETTablecolumnheading"/>
            </w:pPr>
            <w:r w:rsidRPr="0087752B">
              <w:t>Result</w:t>
            </w:r>
          </w:p>
        </w:tc>
      </w:tr>
      <w:tr w:rsidR="006016B9" w:rsidRPr="0087752B" w14:paraId="5F0C87CC" w14:textId="77777777" w:rsidTr="006016B9">
        <w:trPr>
          <w:cantSplit/>
        </w:trPr>
        <w:tc>
          <w:tcPr>
            <w:tcW w:w="5000" w:type="pct"/>
            <w:gridSpan w:val="9"/>
            <w:shd w:val="clear" w:color="auto" w:fill="auto"/>
            <w:vAlign w:val="center"/>
          </w:tcPr>
          <w:tbl>
            <w:tblPr>
              <w:tblW w:w="5031" w:type="pct"/>
              <w:tblLayout w:type="fixed"/>
              <w:tblCellMar>
                <w:left w:w="45" w:type="dxa"/>
                <w:right w:w="45" w:type="dxa"/>
              </w:tblCellMar>
              <w:tblLook w:val="0000" w:firstRow="0" w:lastRow="0" w:firstColumn="0" w:lastColumn="0" w:noHBand="0" w:noVBand="0"/>
            </w:tblPr>
            <w:tblGrid>
              <w:gridCol w:w="3848"/>
              <w:gridCol w:w="834"/>
              <w:gridCol w:w="696"/>
              <w:gridCol w:w="671"/>
              <w:gridCol w:w="721"/>
              <w:gridCol w:w="600"/>
            </w:tblGrid>
            <w:tr w:rsidR="006016B9" w:rsidRPr="0087752B" w14:paraId="0BF6133D" w14:textId="77777777" w:rsidTr="006016B9">
              <w:trPr>
                <w:cantSplit/>
              </w:trPr>
              <w:tc>
                <w:tcPr>
                  <w:tcW w:w="5000" w:type="pct"/>
                  <w:gridSpan w:val="6"/>
                  <w:shd w:val="clear" w:color="auto" w:fill="auto"/>
                  <w:vAlign w:val="center"/>
                </w:tcPr>
                <w:p w14:paraId="17B1682C" w14:textId="77777777" w:rsidR="006016B9" w:rsidRPr="0087752B" w:rsidRDefault="006016B9" w:rsidP="0060513E">
                  <w:pPr>
                    <w:pStyle w:val="DETTableTextFinancial"/>
                    <w:rPr>
                      <w:b/>
                    </w:rPr>
                  </w:pPr>
                  <w:r w:rsidRPr="0087752B">
                    <w:rPr>
                      <w:b/>
                    </w:rPr>
                    <w:t>Quantity</w:t>
                  </w:r>
                </w:p>
              </w:tc>
            </w:tr>
            <w:tr w:rsidR="006016B9" w:rsidRPr="0087752B" w14:paraId="15802843" w14:textId="77777777" w:rsidTr="006016B9">
              <w:trPr>
                <w:cantSplit/>
              </w:trPr>
              <w:tc>
                <w:tcPr>
                  <w:tcW w:w="2611" w:type="pct"/>
                  <w:shd w:val="clear" w:color="auto" w:fill="auto"/>
                  <w:vAlign w:val="center"/>
                </w:tcPr>
                <w:p w14:paraId="7A4CC7EC" w14:textId="77777777" w:rsidR="006016B9" w:rsidRPr="0087752B" w:rsidRDefault="006016B9" w:rsidP="0060513E">
                  <w:pPr>
                    <w:pStyle w:val="DETTableTextFinancial"/>
                  </w:pPr>
                  <w:r w:rsidRPr="0087752B">
                    <w:t>Children funded to participate in kindergarten</w:t>
                  </w:r>
                </w:p>
              </w:tc>
              <w:tc>
                <w:tcPr>
                  <w:tcW w:w="566" w:type="pct"/>
                  <w:shd w:val="clear" w:color="auto" w:fill="auto"/>
                </w:tcPr>
                <w:p w14:paraId="6E9EB4D9" w14:textId="77777777" w:rsidR="006016B9" w:rsidRPr="0087752B" w:rsidRDefault="006016B9" w:rsidP="0060513E">
                  <w:pPr>
                    <w:pStyle w:val="DETTableTextFinancial"/>
                  </w:pPr>
                  <w:r w:rsidRPr="0087752B">
                    <w:t>number</w:t>
                  </w:r>
                </w:p>
              </w:tc>
              <w:tc>
                <w:tcPr>
                  <w:tcW w:w="472" w:type="pct"/>
                  <w:shd w:val="clear" w:color="auto" w:fill="auto"/>
                </w:tcPr>
                <w:p w14:paraId="598CDC72" w14:textId="77777777" w:rsidR="006016B9" w:rsidRPr="0087752B" w:rsidRDefault="006016B9" w:rsidP="005D529D">
                  <w:pPr>
                    <w:pStyle w:val="DETTableTextFinancial"/>
                    <w:jc w:val="right"/>
                  </w:pPr>
                  <w:r w:rsidRPr="0087752B">
                    <w:t>71,250</w:t>
                  </w:r>
                </w:p>
              </w:tc>
              <w:tc>
                <w:tcPr>
                  <w:tcW w:w="455" w:type="pct"/>
                  <w:shd w:val="clear" w:color="auto" w:fill="auto"/>
                </w:tcPr>
                <w:p w14:paraId="0BF1E5BF" w14:textId="77777777" w:rsidR="006016B9" w:rsidRPr="0087752B" w:rsidRDefault="006016B9" w:rsidP="005D529D">
                  <w:pPr>
                    <w:pStyle w:val="DETTableTextFinancial"/>
                    <w:jc w:val="right"/>
                  </w:pPr>
                  <w:r w:rsidRPr="0087752B">
                    <w:t>74,650</w:t>
                  </w:r>
                </w:p>
              </w:tc>
              <w:tc>
                <w:tcPr>
                  <w:tcW w:w="489" w:type="pct"/>
                </w:tcPr>
                <w:p w14:paraId="5A078C2E" w14:textId="77777777" w:rsidR="006016B9" w:rsidRPr="0087752B" w:rsidRDefault="006016B9" w:rsidP="005D529D">
                  <w:pPr>
                    <w:pStyle w:val="DETTableTextFinancial"/>
                    <w:jc w:val="right"/>
                  </w:pPr>
                  <w:r w:rsidRPr="0087752B">
                    <w:t>4.8</w:t>
                  </w:r>
                </w:p>
              </w:tc>
              <w:tc>
                <w:tcPr>
                  <w:tcW w:w="406" w:type="pct"/>
                </w:tcPr>
                <w:p w14:paraId="6E999899" w14:textId="77777777" w:rsidR="006016B9" w:rsidRPr="005C767D" w:rsidRDefault="006016B9" w:rsidP="005D529D">
                  <w:pPr>
                    <w:pStyle w:val="DETTableTextFinancial"/>
                    <w:jc w:val="right"/>
                  </w:pPr>
                  <w:r w:rsidRPr="005C767D">
                    <w:sym w:font="Wingdings" w:char="F0FC"/>
                  </w:r>
                </w:p>
              </w:tc>
            </w:tr>
            <w:tr w:rsidR="006016B9" w:rsidRPr="0087752B" w14:paraId="28624315" w14:textId="77777777" w:rsidTr="006016B9">
              <w:trPr>
                <w:cantSplit/>
              </w:trPr>
              <w:tc>
                <w:tcPr>
                  <w:tcW w:w="5000" w:type="pct"/>
                  <w:gridSpan w:val="6"/>
                  <w:shd w:val="clear" w:color="auto" w:fill="auto"/>
                  <w:vAlign w:val="center"/>
                </w:tcPr>
                <w:p w14:paraId="70953D6C" w14:textId="77777777" w:rsidR="006016B9" w:rsidRPr="0087752B" w:rsidRDefault="006016B9" w:rsidP="0060513E">
                  <w:pPr>
                    <w:pStyle w:val="DETTableTextFinancial"/>
                    <w:rPr>
                      <w:i/>
                    </w:rPr>
                  </w:pPr>
                  <w:r w:rsidRPr="0087752B">
                    <w:rPr>
                      <w:i/>
                    </w:rPr>
                    <w:t>This performance measure relates to the 2015 calendar year. This performance measure includes first and second year kindergarten participants.</w:t>
                  </w:r>
                </w:p>
              </w:tc>
            </w:tr>
            <w:tr w:rsidR="006016B9" w:rsidRPr="0087752B" w14:paraId="1101FBF9" w14:textId="77777777" w:rsidTr="006016B9">
              <w:trPr>
                <w:cantSplit/>
              </w:trPr>
              <w:tc>
                <w:tcPr>
                  <w:tcW w:w="2611" w:type="pct"/>
                  <w:shd w:val="clear" w:color="auto" w:fill="auto"/>
                  <w:vAlign w:val="center"/>
                </w:tcPr>
                <w:p w14:paraId="5CB4575E" w14:textId="77777777" w:rsidR="006016B9" w:rsidRPr="0087752B" w:rsidRDefault="006016B9" w:rsidP="0060513E">
                  <w:pPr>
                    <w:pStyle w:val="DETTableTextFinancial"/>
                  </w:pPr>
                  <w:r w:rsidRPr="0087752B">
                    <w:t>Kindergarten participation rate</w:t>
                  </w:r>
                </w:p>
              </w:tc>
              <w:tc>
                <w:tcPr>
                  <w:tcW w:w="566" w:type="pct"/>
                  <w:shd w:val="clear" w:color="auto" w:fill="auto"/>
                </w:tcPr>
                <w:p w14:paraId="0D8889B8" w14:textId="77777777" w:rsidR="006016B9" w:rsidRPr="0087752B" w:rsidRDefault="006016B9" w:rsidP="0060513E">
                  <w:pPr>
                    <w:pStyle w:val="DETTableTextFinancial"/>
                  </w:pPr>
                  <w:r w:rsidRPr="0087752B">
                    <w:t>per cent</w:t>
                  </w:r>
                </w:p>
              </w:tc>
              <w:tc>
                <w:tcPr>
                  <w:tcW w:w="472" w:type="pct"/>
                  <w:shd w:val="clear" w:color="auto" w:fill="auto"/>
                </w:tcPr>
                <w:p w14:paraId="4A17FFC8" w14:textId="77777777" w:rsidR="006016B9" w:rsidRPr="0087752B" w:rsidRDefault="006016B9" w:rsidP="005D529D">
                  <w:pPr>
                    <w:pStyle w:val="DETTableTextFinancial"/>
                    <w:jc w:val="right"/>
                  </w:pPr>
                  <w:r w:rsidRPr="0087752B">
                    <w:t>95</w:t>
                  </w:r>
                </w:p>
              </w:tc>
              <w:tc>
                <w:tcPr>
                  <w:tcW w:w="455" w:type="pct"/>
                  <w:shd w:val="clear" w:color="auto" w:fill="auto"/>
                </w:tcPr>
                <w:p w14:paraId="15BC6E61" w14:textId="77777777" w:rsidR="006016B9" w:rsidRPr="0087752B" w:rsidRDefault="006016B9" w:rsidP="005D529D">
                  <w:pPr>
                    <w:pStyle w:val="DETTableTextFinancial"/>
                    <w:jc w:val="right"/>
                  </w:pPr>
                  <w:r w:rsidRPr="0087752B">
                    <w:t>98.1</w:t>
                  </w:r>
                </w:p>
              </w:tc>
              <w:tc>
                <w:tcPr>
                  <w:tcW w:w="489" w:type="pct"/>
                </w:tcPr>
                <w:p w14:paraId="78E34717" w14:textId="77777777" w:rsidR="006016B9" w:rsidRPr="0087752B" w:rsidRDefault="006016B9" w:rsidP="005D529D">
                  <w:pPr>
                    <w:pStyle w:val="DETTableTextFinancial"/>
                    <w:jc w:val="right"/>
                  </w:pPr>
                  <w:r w:rsidRPr="0087752B">
                    <w:t>3.3</w:t>
                  </w:r>
                </w:p>
              </w:tc>
              <w:tc>
                <w:tcPr>
                  <w:tcW w:w="406" w:type="pct"/>
                </w:tcPr>
                <w:p w14:paraId="422B44FA" w14:textId="77777777" w:rsidR="006016B9" w:rsidRPr="005C767D" w:rsidRDefault="006016B9" w:rsidP="005D529D">
                  <w:pPr>
                    <w:pStyle w:val="DETTableTextFinancial"/>
                    <w:jc w:val="right"/>
                  </w:pPr>
                  <w:r w:rsidRPr="005C767D">
                    <w:sym w:font="Wingdings" w:char="F0FC"/>
                  </w:r>
                </w:p>
              </w:tc>
            </w:tr>
            <w:tr w:rsidR="006016B9" w:rsidRPr="0087752B" w14:paraId="7D09FF3F" w14:textId="77777777" w:rsidTr="006016B9">
              <w:trPr>
                <w:cantSplit/>
              </w:trPr>
              <w:tc>
                <w:tcPr>
                  <w:tcW w:w="5000" w:type="pct"/>
                  <w:gridSpan w:val="6"/>
                  <w:shd w:val="clear" w:color="auto" w:fill="auto"/>
                  <w:vAlign w:val="center"/>
                </w:tcPr>
                <w:p w14:paraId="142C2812" w14:textId="77777777" w:rsidR="006016B9" w:rsidRPr="0087752B" w:rsidRDefault="006016B9" w:rsidP="0060513E">
                  <w:pPr>
                    <w:pStyle w:val="DETTableTextFinancial"/>
                    <w:rPr>
                      <w:i/>
                    </w:rPr>
                  </w:pPr>
                  <w:r w:rsidRPr="0087752B">
                    <w:rPr>
                      <w:i/>
                    </w:rPr>
                    <w:t>This performance measure relates to the 2015 calendar year. It excludes children who participate in a second year of the four-year-old kindergarten program.</w:t>
                  </w:r>
                </w:p>
              </w:tc>
            </w:tr>
            <w:tr w:rsidR="006016B9" w:rsidRPr="0087752B" w14:paraId="42494C0C" w14:textId="77777777" w:rsidTr="006016B9">
              <w:trPr>
                <w:cantSplit/>
              </w:trPr>
              <w:tc>
                <w:tcPr>
                  <w:tcW w:w="2611" w:type="pct"/>
                  <w:shd w:val="clear" w:color="auto" w:fill="auto"/>
                  <w:vAlign w:val="center"/>
                </w:tcPr>
                <w:p w14:paraId="03920362" w14:textId="18603B89" w:rsidR="006016B9" w:rsidRPr="0087752B" w:rsidRDefault="006016B9" w:rsidP="0060513E">
                  <w:pPr>
                    <w:pStyle w:val="DETTableTextFinancial"/>
                  </w:pPr>
                  <w:r w:rsidRPr="0087752B">
                    <w:t>Maternal and child health clients with children aged 0</w:t>
                  </w:r>
                  <w:r w:rsidR="00DC7C92" w:rsidRPr="0087752B">
                    <w:t>–</w:t>
                  </w:r>
                  <w:r w:rsidRPr="0087752B">
                    <w:t xml:space="preserve">1 year receiving additional support through enhanced </w:t>
                  </w:r>
                  <w:r w:rsidR="00DC7C92" w:rsidRPr="0087752B">
                    <w:t xml:space="preserve">Maternal </w:t>
                  </w:r>
                  <w:r w:rsidRPr="0087752B">
                    <w:t xml:space="preserve">and </w:t>
                  </w:r>
                  <w:r w:rsidR="00DC7C92" w:rsidRPr="0087752B">
                    <w:t>Child Health Services</w:t>
                  </w:r>
                </w:p>
              </w:tc>
              <w:tc>
                <w:tcPr>
                  <w:tcW w:w="566" w:type="pct"/>
                  <w:shd w:val="clear" w:color="auto" w:fill="auto"/>
                </w:tcPr>
                <w:p w14:paraId="139884DF" w14:textId="77777777" w:rsidR="006016B9" w:rsidRPr="0087752B" w:rsidRDefault="006016B9" w:rsidP="0060513E">
                  <w:pPr>
                    <w:pStyle w:val="DETTableTextFinancial"/>
                  </w:pPr>
                  <w:r w:rsidRPr="0087752B">
                    <w:t>per cent</w:t>
                  </w:r>
                </w:p>
              </w:tc>
              <w:tc>
                <w:tcPr>
                  <w:tcW w:w="472" w:type="pct"/>
                  <w:shd w:val="clear" w:color="auto" w:fill="auto"/>
                </w:tcPr>
                <w:p w14:paraId="5D2E1050" w14:textId="77777777" w:rsidR="006016B9" w:rsidRPr="0087752B" w:rsidRDefault="006016B9" w:rsidP="005D529D">
                  <w:pPr>
                    <w:pStyle w:val="DETTableTextFinancial"/>
                    <w:jc w:val="right"/>
                  </w:pPr>
                  <w:r w:rsidRPr="0087752B">
                    <w:t>10</w:t>
                  </w:r>
                </w:p>
              </w:tc>
              <w:tc>
                <w:tcPr>
                  <w:tcW w:w="455" w:type="pct"/>
                  <w:shd w:val="clear" w:color="auto" w:fill="auto"/>
                </w:tcPr>
                <w:p w14:paraId="4B34BAD5" w14:textId="77777777" w:rsidR="006016B9" w:rsidRPr="0087752B" w:rsidRDefault="006016B9" w:rsidP="005D529D">
                  <w:pPr>
                    <w:pStyle w:val="DETTableTextFinancial"/>
                    <w:jc w:val="right"/>
                  </w:pPr>
                  <w:r w:rsidRPr="0087752B">
                    <w:t>15</w:t>
                  </w:r>
                </w:p>
              </w:tc>
              <w:tc>
                <w:tcPr>
                  <w:tcW w:w="489" w:type="pct"/>
                </w:tcPr>
                <w:p w14:paraId="40F05B30" w14:textId="77777777" w:rsidR="006016B9" w:rsidRPr="0087752B" w:rsidRDefault="006016B9" w:rsidP="005D529D">
                  <w:pPr>
                    <w:pStyle w:val="DETTableTextFinancial"/>
                    <w:jc w:val="right"/>
                  </w:pPr>
                  <w:r w:rsidRPr="0087752B">
                    <w:t>50</w:t>
                  </w:r>
                </w:p>
              </w:tc>
              <w:tc>
                <w:tcPr>
                  <w:tcW w:w="406" w:type="pct"/>
                </w:tcPr>
                <w:p w14:paraId="5FE72A29" w14:textId="77777777" w:rsidR="006016B9" w:rsidRPr="005C767D" w:rsidRDefault="006016B9" w:rsidP="005D529D">
                  <w:pPr>
                    <w:pStyle w:val="DETTableTextFinancial"/>
                    <w:jc w:val="right"/>
                  </w:pPr>
                  <w:r w:rsidRPr="005C767D">
                    <w:sym w:font="Wingdings" w:char="F0FC"/>
                  </w:r>
                </w:p>
              </w:tc>
            </w:tr>
            <w:tr w:rsidR="006016B9" w:rsidRPr="0087752B" w14:paraId="7925ADE3" w14:textId="77777777" w:rsidTr="006016B9">
              <w:trPr>
                <w:cantSplit/>
              </w:trPr>
              <w:tc>
                <w:tcPr>
                  <w:tcW w:w="5000" w:type="pct"/>
                  <w:gridSpan w:val="6"/>
                  <w:shd w:val="clear" w:color="auto" w:fill="auto"/>
                  <w:vAlign w:val="center"/>
                </w:tcPr>
                <w:p w14:paraId="10F74A72" w14:textId="77777777" w:rsidR="006016B9" w:rsidRPr="0087752B" w:rsidRDefault="006016B9" w:rsidP="0060513E">
                  <w:pPr>
                    <w:pStyle w:val="DETTableTextFinancial"/>
                    <w:rPr>
                      <w:i/>
                    </w:rPr>
                  </w:pPr>
                  <w:r w:rsidRPr="0087752B">
                    <w:rPr>
                      <w:i/>
                    </w:rPr>
                    <w:t>The final result is currently not available due to timing of the data collection. The result provided under the 2015–16 Actual is the expected outcome published in the 2016–17 Budget Paper No.3.</w:t>
                  </w:r>
                </w:p>
                <w:p w14:paraId="79EFA1F8" w14:textId="3ED8A59A" w:rsidR="006016B9" w:rsidRPr="0087752B" w:rsidRDefault="006016B9" w:rsidP="0060513E">
                  <w:pPr>
                    <w:pStyle w:val="DETTableTextFinancial"/>
                  </w:pPr>
                  <w:r w:rsidRPr="0087752B">
                    <w:rPr>
                      <w:i/>
                    </w:rPr>
                    <w:t>The 2015–16 Actual is expected to be higher than the 2015–16 Target due to municipal councils providing services above the funded target cohort of 10 per cent of the population of families with a child aged from 0</w:t>
                  </w:r>
                  <w:r w:rsidR="00DC7C92" w:rsidRPr="0087752B">
                    <w:rPr>
                      <w:i/>
                    </w:rPr>
                    <w:t>–</w:t>
                  </w:r>
                  <w:r w:rsidRPr="0087752B">
                    <w:rPr>
                      <w:i/>
                    </w:rPr>
                    <w:t>1 year.</w:t>
                  </w:r>
                </w:p>
              </w:tc>
            </w:tr>
            <w:tr w:rsidR="006016B9" w:rsidRPr="0087752B" w14:paraId="521E6F57" w14:textId="77777777" w:rsidTr="006016B9">
              <w:trPr>
                <w:cantSplit/>
              </w:trPr>
              <w:tc>
                <w:tcPr>
                  <w:tcW w:w="2611" w:type="pct"/>
                  <w:shd w:val="clear" w:color="auto" w:fill="auto"/>
                  <w:vAlign w:val="center"/>
                </w:tcPr>
                <w:p w14:paraId="358CD4FA" w14:textId="77777777" w:rsidR="006016B9" w:rsidRPr="0087752B" w:rsidRDefault="006016B9" w:rsidP="0060513E">
                  <w:pPr>
                    <w:pStyle w:val="DETTableTextFinancial"/>
                    <w:rPr>
                      <w:highlight w:val="green"/>
                    </w:rPr>
                  </w:pPr>
                  <w:r w:rsidRPr="0087752B">
                    <w:t>Total number of Maternal and Child Health Service clients (aged 0–1 year)</w:t>
                  </w:r>
                </w:p>
              </w:tc>
              <w:tc>
                <w:tcPr>
                  <w:tcW w:w="566" w:type="pct"/>
                  <w:shd w:val="clear" w:color="auto" w:fill="auto"/>
                </w:tcPr>
                <w:p w14:paraId="76D349DE" w14:textId="77777777" w:rsidR="006016B9" w:rsidRPr="0087752B" w:rsidRDefault="006016B9" w:rsidP="0060513E">
                  <w:pPr>
                    <w:pStyle w:val="DETTableTextFinancial"/>
                  </w:pPr>
                  <w:r w:rsidRPr="0087752B">
                    <w:t>number</w:t>
                  </w:r>
                </w:p>
              </w:tc>
              <w:tc>
                <w:tcPr>
                  <w:tcW w:w="472" w:type="pct"/>
                  <w:shd w:val="clear" w:color="auto" w:fill="auto"/>
                </w:tcPr>
                <w:p w14:paraId="22C5BBB1" w14:textId="77777777" w:rsidR="006016B9" w:rsidRPr="0087752B" w:rsidRDefault="006016B9" w:rsidP="005D529D">
                  <w:pPr>
                    <w:pStyle w:val="DETTableTextFinancial"/>
                    <w:jc w:val="right"/>
                  </w:pPr>
                  <w:r w:rsidRPr="0087752B">
                    <w:t>73,000</w:t>
                  </w:r>
                </w:p>
              </w:tc>
              <w:tc>
                <w:tcPr>
                  <w:tcW w:w="455" w:type="pct"/>
                  <w:shd w:val="clear" w:color="auto" w:fill="auto"/>
                </w:tcPr>
                <w:p w14:paraId="16BE3A76" w14:textId="77777777" w:rsidR="006016B9" w:rsidRPr="0087752B" w:rsidRDefault="006016B9" w:rsidP="005D529D">
                  <w:pPr>
                    <w:pStyle w:val="DETTableTextFinancial"/>
                    <w:jc w:val="right"/>
                  </w:pPr>
                  <w:r w:rsidRPr="0087752B">
                    <w:t>73,000</w:t>
                  </w:r>
                </w:p>
              </w:tc>
              <w:tc>
                <w:tcPr>
                  <w:tcW w:w="489" w:type="pct"/>
                </w:tcPr>
                <w:p w14:paraId="1AD58D72" w14:textId="77777777" w:rsidR="006016B9" w:rsidRPr="0087752B" w:rsidRDefault="006016B9" w:rsidP="005D529D">
                  <w:pPr>
                    <w:pStyle w:val="DETTableTextFinancial"/>
                    <w:jc w:val="right"/>
                  </w:pPr>
                  <w:r w:rsidRPr="0087752B">
                    <w:t>0.0</w:t>
                  </w:r>
                </w:p>
              </w:tc>
              <w:tc>
                <w:tcPr>
                  <w:tcW w:w="406" w:type="pct"/>
                </w:tcPr>
                <w:p w14:paraId="0DA01A52" w14:textId="77777777" w:rsidR="006016B9" w:rsidRPr="005C767D" w:rsidRDefault="006016B9" w:rsidP="005D529D">
                  <w:pPr>
                    <w:pStyle w:val="DETTableTextFinancial"/>
                    <w:jc w:val="right"/>
                  </w:pPr>
                  <w:r w:rsidRPr="005C767D">
                    <w:sym w:font="Wingdings" w:char="F0FC"/>
                  </w:r>
                </w:p>
              </w:tc>
            </w:tr>
            <w:tr w:rsidR="006016B9" w:rsidRPr="0087752B" w14:paraId="0DE18729" w14:textId="77777777" w:rsidTr="00915C24">
              <w:trPr>
                <w:cantSplit/>
              </w:trPr>
              <w:tc>
                <w:tcPr>
                  <w:tcW w:w="5000" w:type="pct"/>
                  <w:gridSpan w:val="6"/>
                  <w:shd w:val="clear" w:color="auto" w:fill="auto"/>
                  <w:vAlign w:val="center"/>
                </w:tcPr>
                <w:p w14:paraId="74A2353E" w14:textId="77777777" w:rsidR="006016B9" w:rsidRPr="0087752B" w:rsidRDefault="006016B9" w:rsidP="0060513E">
                  <w:pPr>
                    <w:pStyle w:val="DETTableTextFinancial"/>
                    <w:rPr>
                      <w:i/>
                    </w:rPr>
                  </w:pPr>
                  <w:r w:rsidRPr="0087752B">
                    <w:rPr>
                      <w:i/>
                    </w:rPr>
                    <w:t>The final result is currently not available due to timing of the data collection. The result provided under the 2015–16 Actual is the expected outcome published in the 2016–17 Budget Paper No.3.</w:t>
                  </w:r>
                </w:p>
              </w:tc>
            </w:tr>
            <w:tr w:rsidR="006016B9" w:rsidRPr="0087752B" w14:paraId="51FF3588" w14:textId="77777777" w:rsidTr="00915C24">
              <w:trPr>
                <w:cantSplit/>
              </w:trPr>
              <w:tc>
                <w:tcPr>
                  <w:tcW w:w="2611" w:type="pct"/>
                  <w:shd w:val="clear" w:color="auto" w:fill="auto"/>
                  <w:vAlign w:val="center"/>
                </w:tcPr>
                <w:p w14:paraId="200AD848" w14:textId="77777777" w:rsidR="006016B9" w:rsidRPr="0087752B" w:rsidRDefault="006016B9" w:rsidP="0060513E">
                  <w:pPr>
                    <w:pStyle w:val="DETTableTextFinancial"/>
                  </w:pPr>
                  <w:r w:rsidRPr="0087752B">
                    <w:t>Total number of children receiving Early Childhood Intervention Services</w:t>
                  </w:r>
                </w:p>
              </w:tc>
              <w:tc>
                <w:tcPr>
                  <w:tcW w:w="566" w:type="pct"/>
                  <w:shd w:val="clear" w:color="auto" w:fill="auto"/>
                </w:tcPr>
                <w:p w14:paraId="5B181853" w14:textId="77777777" w:rsidR="006016B9" w:rsidRPr="0087752B" w:rsidRDefault="006016B9" w:rsidP="0060513E">
                  <w:pPr>
                    <w:pStyle w:val="DETTableTextFinancial"/>
                  </w:pPr>
                  <w:r w:rsidRPr="0087752B">
                    <w:t>number</w:t>
                  </w:r>
                </w:p>
              </w:tc>
              <w:tc>
                <w:tcPr>
                  <w:tcW w:w="472" w:type="pct"/>
                  <w:shd w:val="clear" w:color="auto" w:fill="auto"/>
                </w:tcPr>
                <w:p w14:paraId="4669FDA5" w14:textId="77777777" w:rsidR="006016B9" w:rsidRPr="0087752B" w:rsidRDefault="006016B9" w:rsidP="005D529D">
                  <w:pPr>
                    <w:pStyle w:val="DETTableTextFinancial"/>
                    <w:jc w:val="right"/>
                  </w:pPr>
                  <w:r w:rsidRPr="0087752B">
                    <w:t>13,936</w:t>
                  </w:r>
                </w:p>
              </w:tc>
              <w:tc>
                <w:tcPr>
                  <w:tcW w:w="455" w:type="pct"/>
                  <w:shd w:val="clear" w:color="auto" w:fill="auto"/>
                </w:tcPr>
                <w:p w14:paraId="6B348672" w14:textId="77777777" w:rsidR="006016B9" w:rsidRPr="0087752B" w:rsidRDefault="006016B9" w:rsidP="005D529D">
                  <w:pPr>
                    <w:pStyle w:val="DETTableTextFinancial"/>
                    <w:jc w:val="right"/>
                  </w:pPr>
                  <w:r w:rsidRPr="0087752B">
                    <w:t>13,936</w:t>
                  </w:r>
                </w:p>
              </w:tc>
              <w:tc>
                <w:tcPr>
                  <w:tcW w:w="489" w:type="pct"/>
                </w:tcPr>
                <w:p w14:paraId="5916A5A5" w14:textId="77777777" w:rsidR="006016B9" w:rsidRPr="0087752B" w:rsidRDefault="006016B9" w:rsidP="005D529D">
                  <w:pPr>
                    <w:pStyle w:val="DETTableTextFinancial"/>
                    <w:jc w:val="right"/>
                  </w:pPr>
                  <w:r w:rsidRPr="0087752B">
                    <w:t>0.0</w:t>
                  </w:r>
                </w:p>
              </w:tc>
              <w:tc>
                <w:tcPr>
                  <w:tcW w:w="406" w:type="pct"/>
                </w:tcPr>
                <w:p w14:paraId="54DD89E0" w14:textId="77777777" w:rsidR="006016B9" w:rsidRPr="005C767D" w:rsidRDefault="006016B9" w:rsidP="005D529D">
                  <w:pPr>
                    <w:pStyle w:val="DETTableTextFinancial"/>
                    <w:jc w:val="right"/>
                  </w:pPr>
                  <w:r w:rsidRPr="005C767D">
                    <w:sym w:font="Wingdings" w:char="F0FC"/>
                  </w:r>
                </w:p>
              </w:tc>
            </w:tr>
            <w:tr w:rsidR="006016B9" w:rsidRPr="0087752B" w14:paraId="3F5A614B" w14:textId="77777777" w:rsidTr="00915C24">
              <w:trPr>
                <w:cantSplit/>
              </w:trPr>
              <w:tc>
                <w:tcPr>
                  <w:tcW w:w="5000" w:type="pct"/>
                  <w:gridSpan w:val="6"/>
                  <w:tcBorders>
                    <w:bottom w:val="single" w:sz="4" w:space="0" w:color="auto"/>
                  </w:tcBorders>
                  <w:shd w:val="clear" w:color="auto" w:fill="auto"/>
                  <w:vAlign w:val="center"/>
                </w:tcPr>
                <w:p w14:paraId="46B59678" w14:textId="77777777" w:rsidR="006016B9" w:rsidRPr="0087752B" w:rsidRDefault="006016B9" w:rsidP="0060513E">
                  <w:pPr>
                    <w:pStyle w:val="DETTableTextFinancial"/>
                    <w:rPr>
                      <w:rFonts w:eastAsiaTheme="minorEastAsia"/>
                      <w:i/>
                    </w:rPr>
                  </w:pPr>
                  <w:r w:rsidRPr="0087752B">
                    <w:rPr>
                      <w:rFonts w:eastAsiaTheme="minorEastAsia"/>
                      <w:i/>
                    </w:rPr>
                    <w:t>The final result is currently not available due to timing of the data collection. The result provided under the 2015–16 Actual is the expected outcome published in the 2016–17 Budget Paper No.3.</w:t>
                  </w:r>
                </w:p>
              </w:tc>
            </w:tr>
          </w:tbl>
          <w:p w14:paraId="09536313" w14:textId="77777777" w:rsidR="006016B9" w:rsidRPr="0087752B" w:rsidRDefault="006016B9" w:rsidP="0060513E">
            <w:pPr>
              <w:pStyle w:val="DETTableTextFinancial"/>
              <w:rPr>
                <w:b/>
              </w:rPr>
            </w:pPr>
            <w:r w:rsidRPr="0087752B">
              <w:t xml:space="preserve"> </w:t>
            </w:r>
            <w:r w:rsidRPr="0087752B">
              <w:rPr>
                <w:b/>
              </w:rPr>
              <w:t>Quality</w:t>
            </w:r>
          </w:p>
        </w:tc>
      </w:tr>
      <w:tr w:rsidR="006016B9" w:rsidRPr="0087752B" w14:paraId="08A19DB3" w14:textId="77777777" w:rsidTr="006016B9">
        <w:trPr>
          <w:cantSplit/>
        </w:trPr>
        <w:tc>
          <w:tcPr>
            <w:tcW w:w="2581" w:type="pct"/>
            <w:gridSpan w:val="3"/>
            <w:shd w:val="clear" w:color="auto" w:fill="auto"/>
            <w:vAlign w:val="center"/>
          </w:tcPr>
          <w:p w14:paraId="7EC28A47" w14:textId="77777777" w:rsidR="006016B9" w:rsidRPr="0087752B" w:rsidRDefault="006016B9" w:rsidP="0060513E">
            <w:pPr>
              <w:pStyle w:val="DETTableTextFinancial"/>
            </w:pPr>
            <w:r w:rsidRPr="0087752B">
              <w:t>Education and care services offering a funded kindergarten program assessed as exceeding the National Quality Standard</w:t>
            </w:r>
          </w:p>
        </w:tc>
        <w:tc>
          <w:tcPr>
            <w:tcW w:w="573" w:type="pct"/>
            <w:shd w:val="clear" w:color="auto" w:fill="auto"/>
          </w:tcPr>
          <w:p w14:paraId="083FB896" w14:textId="77777777" w:rsidR="006016B9" w:rsidRPr="0087752B" w:rsidRDefault="006016B9" w:rsidP="0060513E">
            <w:pPr>
              <w:pStyle w:val="DETTableTextFinancial"/>
            </w:pPr>
            <w:r w:rsidRPr="0087752B">
              <w:t>per cent</w:t>
            </w:r>
          </w:p>
        </w:tc>
        <w:tc>
          <w:tcPr>
            <w:tcW w:w="477" w:type="pct"/>
            <w:gridSpan w:val="2"/>
            <w:shd w:val="clear" w:color="auto" w:fill="auto"/>
          </w:tcPr>
          <w:p w14:paraId="0F991076" w14:textId="77777777" w:rsidR="006016B9" w:rsidRPr="0087752B" w:rsidRDefault="006016B9" w:rsidP="005D529D">
            <w:pPr>
              <w:pStyle w:val="DETTableTextFinancial"/>
              <w:jc w:val="right"/>
            </w:pPr>
            <w:r w:rsidRPr="0087752B">
              <w:t>40</w:t>
            </w:r>
          </w:p>
        </w:tc>
        <w:tc>
          <w:tcPr>
            <w:tcW w:w="461" w:type="pct"/>
            <w:shd w:val="clear" w:color="auto" w:fill="auto"/>
          </w:tcPr>
          <w:p w14:paraId="7E193AA8" w14:textId="77777777" w:rsidR="006016B9" w:rsidRPr="0087752B" w:rsidRDefault="006016B9" w:rsidP="005D529D">
            <w:pPr>
              <w:pStyle w:val="DETTableTextFinancial"/>
              <w:jc w:val="right"/>
            </w:pPr>
            <w:r w:rsidRPr="0087752B">
              <w:t>43</w:t>
            </w:r>
          </w:p>
        </w:tc>
        <w:tc>
          <w:tcPr>
            <w:tcW w:w="495" w:type="pct"/>
          </w:tcPr>
          <w:p w14:paraId="28EC3D4A" w14:textId="77777777" w:rsidR="006016B9" w:rsidRPr="0087752B" w:rsidRDefault="006016B9" w:rsidP="005D529D">
            <w:pPr>
              <w:pStyle w:val="DETTableTextFinancial"/>
              <w:jc w:val="right"/>
            </w:pPr>
            <w:r w:rsidRPr="0087752B">
              <w:t>7.5</w:t>
            </w:r>
          </w:p>
        </w:tc>
        <w:tc>
          <w:tcPr>
            <w:tcW w:w="413" w:type="pct"/>
          </w:tcPr>
          <w:p w14:paraId="09F7F5E9" w14:textId="77777777" w:rsidR="006016B9" w:rsidRPr="005C767D" w:rsidRDefault="006016B9" w:rsidP="005D529D">
            <w:pPr>
              <w:jc w:val="right"/>
            </w:pPr>
            <w:r w:rsidRPr="005C767D">
              <w:sym w:font="Wingdings" w:char="F0FC"/>
            </w:r>
          </w:p>
        </w:tc>
      </w:tr>
      <w:tr w:rsidR="006016B9" w:rsidRPr="0087752B" w14:paraId="131B834B" w14:textId="77777777" w:rsidTr="006016B9">
        <w:trPr>
          <w:cantSplit/>
        </w:trPr>
        <w:tc>
          <w:tcPr>
            <w:tcW w:w="5000" w:type="pct"/>
            <w:gridSpan w:val="9"/>
            <w:shd w:val="clear" w:color="auto" w:fill="auto"/>
            <w:vAlign w:val="center"/>
          </w:tcPr>
          <w:p w14:paraId="3B2B9C64" w14:textId="77777777" w:rsidR="006016B9" w:rsidRPr="0087752B" w:rsidRDefault="006016B9" w:rsidP="0060513E">
            <w:pPr>
              <w:pStyle w:val="DETTableTextFinancial"/>
              <w:rPr>
                <w:i/>
              </w:rPr>
            </w:pPr>
            <w:r w:rsidRPr="0087752B">
              <w:rPr>
                <w:i/>
              </w:rPr>
              <w:t>This performance measure relates to the 2015 calendar year. The 2015–16 Actual is higher than the 2015–16 Target because the target was set based on assessments under the National Quality Standard undertaken prior to 2015.</w:t>
            </w:r>
          </w:p>
        </w:tc>
      </w:tr>
      <w:tr w:rsidR="006016B9" w:rsidRPr="0087752B" w14:paraId="46C841C8" w14:textId="77777777" w:rsidTr="006016B9">
        <w:trPr>
          <w:cantSplit/>
        </w:trPr>
        <w:tc>
          <w:tcPr>
            <w:tcW w:w="2581" w:type="pct"/>
            <w:gridSpan w:val="3"/>
            <w:shd w:val="clear" w:color="auto" w:fill="auto"/>
            <w:vAlign w:val="center"/>
          </w:tcPr>
          <w:p w14:paraId="21889B5B" w14:textId="77777777" w:rsidR="006016B9" w:rsidRPr="0087752B" w:rsidRDefault="006016B9" w:rsidP="0060513E">
            <w:pPr>
              <w:pStyle w:val="DETTableTextFinancial"/>
            </w:pPr>
            <w:r w:rsidRPr="0087752B">
              <w:t>Education and care services offering a funded kindergarten program assessed as meeting or exceeding the National Quality Standard</w:t>
            </w:r>
          </w:p>
        </w:tc>
        <w:tc>
          <w:tcPr>
            <w:tcW w:w="573" w:type="pct"/>
            <w:shd w:val="clear" w:color="auto" w:fill="auto"/>
          </w:tcPr>
          <w:p w14:paraId="10BCB400" w14:textId="77777777" w:rsidR="006016B9" w:rsidRPr="0087752B" w:rsidRDefault="006016B9" w:rsidP="0060513E">
            <w:pPr>
              <w:pStyle w:val="DETTableTextFinancial"/>
            </w:pPr>
            <w:r w:rsidRPr="0087752B">
              <w:t>per cent</w:t>
            </w:r>
          </w:p>
        </w:tc>
        <w:tc>
          <w:tcPr>
            <w:tcW w:w="477" w:type="pct"/>
            <w:gridSpan w:val="2"/>
            <w:shd w:val="clear" w:color="auto" w:fill="auto"/>
          </w:tcPr>
          <w:p w14:paraId="3252117C" w14:textId="77777777" w:rsidR="006016B9" w:rsidRPr="0087752B" w:rsidRDefault="006016B9" w:rsidP="005D529D">
            <w:pPr>
              <w:pStyle w:val="DETTableTextFinancial"/>
              <w:jc w:val="right"/>
            </w:pPr>
            <w:r w:rsidRPr="0087752B">
              <w:t>85</w:t>
            </w:r>
          </w:p>
        </w:tc>
        <w:tc>
          <w:tcPr>
            <w:tcW w:w="461" w:type="pct"/>
            <w:shd w:val="clear" w:color="auto" w:fill="auto"/>
          </w:tcPr>
          <w:p w14:paraId="11757F57" w14:textId="77777777" w:rsidR="006016B9" w:rsidRPr="0087752B" w:rsidRDefault="006016B9" w:rsidP="005D529D">
            <w:pPr>
              <w:pStyle w:val="DETTableTextFinancial"/>
              <w:jc w:val="right"/>
            </w:pPr>
            <w:r w:rsidRPr="0087752B">
              <w:t>87</w:t>
            </w:r>
          </w:p>
        </w:tc>
        <w:tc>
          <w:tcPr>
            <w:tcW w:w="495" w:type="pct"/>
          </w:tcPr>
          <w:p w14:paraId="63A2F668" w14:textId="77777777" w:rsidR="006016B9" w:rsidRPr="0087752B" w:rsidRDefault="006016B9" w:rsidP="005D529D">
            <w:pPr>
              <w:pStyle w:val="DETTableTextFinancial"/>
              <w:jc w:val="right"/>
            </w:pPr>
            <w:r w:rsidRPr="0087752B">
              <w:t>2.4</w:t>
            </w:r>
          </w:p>
        </w:tc>
        <w:tc>
          <w:tcPr>
            <w:tcW w:w="413" w:type="pct"/>
          </w:tcPr>
          <w:p w14:paraId="7DD3F0C2" w14:textId="77777777" w:rsidR="006016B9" w:rsidRPr="005C767D" w:rsidRDefault="006016B9" w:rsidP="005D529D">
            <w:pPr>
              <w:jc w:val="right"/>
            </w:pPr>
            <w:r w:rsidRPr="005C767D">
              <w:sym w:font="Wingdings" w:char="F0FC"/>
            </w:r>
          </w:p>
        </w:tc>
      </w:tr>
      <w:tr w:rsidR="006016B9" w:rsidRPr="0087752B" w14:paraId="3CD346AD" w14:textId="77777777" w:rsidTr="006016B9">
        <w:trPr>
          <w:cantSplit/>
        </w:trPr>
        <w:tc>
          <w:tcPr>
            <w:tcW w:w="5000" w:type="pct"/>
            <w:gridSpan w:val="9"/>
            <w:shd w:val="clear" w:color="auto" w:fill="auto"/>
            <w:vAlign w:val="center"/>
          </w:tcPr>
          <w:p w14:paraId="0B906083" w14:textId="77777777" w:rsidR="006016B9" w:rsidRPr="00915C24" w:rsidRDefault="006016B9" w:rsidP="0060513E">
            <w:pPr>
              <w:pStyle w:val="DETTableTextFinancial"/>
              <w:rPr>
                <w:i/>
              </w:rPr>
            </w:pPr>
            <w:r w:rsidRPr="00915C24">
              <w:rPr>
                <w:i/>
              </w:rPr>
              <w:t xml:space="preserve">This performance measure relates to the 2015 calendar year. </w:t>
            </w:r>
          </w:p>
        </w:tc>
      </w:tr>
      <w:tr w:rsidR="006016B9" w:rsidRPr="0087752B" w14:paraId="2D8783BB" w14:textId="77777777" w:rsidTr="00915C24">
        <w:trPr>
          <w:cantSplit/>
        </w:trPr>
        <w:tc>
          <w:tcPr>
            <w:tcW w:w="2581" w:type="pct"/>
            <w:gridSpan w:val="3"/>
            <w:shd w:val="clear" w:color="auto" w:fill="auto"/>
            <w:vAlign w:val="center"/>
          </w:tcPr>
          <w:p w14:paraId="104B2076" w14:textId="77777777" w:rsidR="006016B9" w:rsidRPr="0087752B" w:rsidRDefault="006016B9" w:rsidP="0060513E">
            <w:pPr>
              <w:pStyle w:val="DETTableTextFinancial"/>
            </w:pPr>
            <w:r w:rsidRPr="0087752B">
              <w:t>Families who are satisfied with the Early Childhood Intervention Services provided</w:t>
            </w:r>
          </w:p>
        </w:tc>
        <w:tc>
          <w:tcPr>
            <w:tcW w:w="573" w:type="pct"/>
            <w:shd w:val="clear" w:color="auto" w:fill="auto"/>
          </w:tcPr>
          <w:p w14:paraId="2D28F887" w14:textId="77777777" w:rsidR="006016B9" w:rsidRPr="0087752B" w:rsidRDefault="006016B9" w:rsidP="0060513E">
            <w:pPr>
              <w:pStyle w:val="DETTableTextFinancial"/>
            </w:pPr>
            <w:r w:rsidRPr="0087752B">
              <w:t>per cent</w:t>
            </w:r>
          </w:p>
        </w:tc>
        <w:tc>
          <w:tcPr>
            <w:tcW w:w="477" w:type="pct"/>
            <w:gridSpan w:val="2"/>
            <w:shd w:val="clear" w:color="auto" w:fill="auto"/>
          </w:tcPr>
          <w:p w14:paraId="17D32C96" w14:textId="77777777" w:rsidR="006016B9" w:rsidRPr="0087752B" w:rsidRDefault="006016B9" w:rsidP="005D529D">
            <w:pPr>
              <w:pStyle w:val="DETTableTextFinancial"/>
              <w:jc w:val="right"/>
            </w:pPr>
            <w:r w:rsidRPr="0087752B">
              <w:t>90</w:t>
            </w:r>
          </w:p>
        </w:tc>
        <w:tc>
          <w:tcPr>
            <w:tcW w:w="461" w:type="pct"/>
            <w:shd w:val="clear" w:color="auto" w:fill="auto"/>
          </w:tcPr>
          <w:p w14:paraId="1B622C4B" w14:textId="77777777" w:rsidR="006016B9" w:rsidRPr="0087752B" w:rsidRDefault="006016B9" w:rsidP="005D529D">
            <w:pPr>
              <w:pStyle w:val="DETTableTextFinancial"/>
              <w:jc w:val="right"/>
            </w:pPr>
            <w:r w:rsidRPr="0087752B">
              <w:t>90</w:t>
            </w:r>
          </w:p>
        </w:tc>
        <w:tc>
          <w:tcPr>
            <w:tcW w:w="495" w:type="pct"/>
          </w:tcPr>
          <w:p w14:paraId="2049FCC2" w14:textId="77777777" w:rsidR="006016B9" w:rsidRPr="0087752B" w:rsidRDefault="006016B9" w:rsidP="005D529D">
            <w:pPr>
              <w:pStyle w:val="DETTableTextFinancial"/>
              <w:jc w:val="right"/>
            </w:pPr>
            <w:r w:rsidRPr="0087752B">
              <w:t>0.0</w:t>
            </w:r>
          </w:p>
        </w:tc>
        <w:tc>
          <w:tcPr>
            <w:tcW w:w="413" w:type="pct"/>
          </w:tcPr>
          <w:p w14:paraId="51726B34" w14:textId="77777777" w:rsidR="006016B9" w:rsidRPr="005C767D" w:rsidRDefault="006016B9" w:rsidP="005D529D">
            <w:pPr>
              <w:jc w:val="right"/>
            </w:pPr>
            <w:r w:rsidRPr="005C767D">
              <w:sym w:font="Wingdings" w:char="F0FC"/>
            </w:r>
          </w:p>
        </w:tc>
      </w:tr>
      <w:tr w:rsidR="006016B9" w:rsidRPr="0087752B" w14:paraId="110109B4" w14:textId="77777777" w:rsidTr="00915C24">
        <w:trPr>
          <w:cantSplit/>
        </w:trPr>
        <w:tc>
          <w:tcPr>
            <w:tcW w:w="5000" w:type="pct"/>
            <w:gridSpan w:val="9"/>
            <w:tcBorders>
              <w:bottom w:val="single" w:sz="4" w:space="0" w:color="auto"/>
            </w:tcBorders>
            <w:shd w:val="clear" w:color="auto" w:fill="auto"/>
            <w:vAlign w:val="center"/>
          </w:tcPr>
          <w:p w14:paraId="42D56E9B" w14:textId="77777777" w:rsidR="006016B9" w:rsidRPr="00915C24" w:rsidRDefault="006016B9" w:rsidP="0060513E">
            <w:pPr>
              <w:pStyle w:val="DETTableTextFinancial"/>
              <w:rPr>
                <w:i/>
              </w:rPr>
            </w:pPr>
            <w:r w:rsidRPr="00915C24">
              <w:rPr>
                <w:i/>
              </w:rPr>
              <w:t>The final result is currently not available due to timing of the data collection. The result provided under the 2015–16 Actual is the expected outcome published in the 2016–17 Budget Paper No.3.</w:t>
            </w:r>
          </w:p>
        </w:tc>
      </w:tr>
      <w:tr w:rsidR="006016B9" w:rsidRPr="0087752B" w14:paraId="2ED7175E" w14:textId="77777777" w:rsidTr="00915C24">
        <w:trPr>
          <w:cantSplit/>
        </w:trPr>
        <w:tc>
          <w:tcPr>
            <w:tcW w:w="5000" w:type="pct"/>
            <w:gridSpan w:val="9"/>
            <w:tcBorders>
              <w:top w:val="single" w:sz="4" w:space="0" w:color="auto"/>
            </w:tcBorders>
            <w:shd w:val="clear" w:color="auto" w:fill="auto"/>
            <w:vAlign w:val="center"/>
          </w:tcPr>
          <w:p w14:paraId="6FDDE640" w14:textId="77777777" w:rsidR="006016B9" w:rsidRPr="0087752B" w:rsidRDefault="006016B9" w:rsidP="0060513E">
            <w:pPr>
              <w:pStyle w:val="DETTableTextFinancial"/>
              <w:rPr>
                <w:b/>
              </w:rPr>
            </w:pPr>
            <w:r w:rsidRPr="0087752B">
              <w:rPr>
                <w:b/>
              </w:rPr>
              <w:t>Timeliness</w:t>
            </w:r>
          </w:p>
        </w:tc>
      </w:tr>
      <w:tr w:rsidR="006016B9" w:rsidRPr="0087752B" w14:paraId="3FB6CEAF" w14:textId="77777777" w:rsidTr="006016B9">
        <w:trPr>
          <w:cantSplit/>
        </w:trPr>
        <w:tc>
          <w:tcPr>
            <w:tcW w:w="2581" w:type="pct"/>
            <w:gridSpan w:val="3"/>
            <w:shd w:val="clear" w:color="auto" w:fill="auto"/>
            <w:vAlign w:val="center"/>
          </w:tcPr>
          <w:p w14:paraId="0CA83D34" w14:textId="5AB857F6" w:rsidR="006016B9" w:rsidRPr="0087752B" w:rsidRDefault="006016B9" w:rsidP="0060513E">
            <w:pPr>
              <w:pStyle w:val="DETTableTextFinancial"/>
            </w:pPr>
            <w:r w:rsidRPr="0087752B">
              <w:t>Children aged 0</w:t>
            </w:r>
            <w:r w:rsidR="0023348B" w:rsidRPr="0087752B">
              <w:t>–</w:t>
            </w:r>
            <w:r w:rsidRPr="0087752B">
              <w:t xml:space="preserve">1 month enrolled at </w:t>
            </w:r>
            <w:r w:rsidR="0023348B" w:rsidRPr="0087752B">
              <w:t xml:space="preserve">Maternal </w:t>
            </w:r>
            <w:r w:rsidRPr="0087752B">
              <w:t xml:space="preserve">and </w:t>
            </w:r>
            <w:r w:rsidR="0023348B" w:rsidRPr="0087752B">
              <w:t xml:space="preserve">Child Health Services </w:t>
            </w:r>
            <w:r w:rsidRPr="0087752B">
              <w:t>from birth notifications</w:t>
            </w:r>
          </w:p>
        </w:tc>
        <w:tc>
          <w:tcPr>
            <w:tcW w:w="573" w:type="pct"/>
            <w:shd w:val="clear" w:color="auto" w:fill="auto"/>
          </w:tcPr>
          <w:p w14:paraId="2D40B561" w14:textId="77777777" w:rsidR="006016B9" w:rsidRPr="0087752B" w:rsidRDefault="006016B9" w:rsidP="0060513E">
            <w:pPr>
              <w:pStyle w:val="DETTableTextFinancial"/>
            </w:pPr>
            <w:r w:rsidRPr="0087752B">
              <w:t>per cent</w:t>
            </w:r>
          </w:p>
        </w:tc>
        <w:tc>
          <w:tcPr>
            <w:tcW w:w="477" w:type="pct"/>
            <w:gridSpan w:val="2"/>
            <w:shd w:val="clear" w:color="auto" w:fill="auto"/>
          </w:tcPr>
          <w:p w14:paraId="267B1AA3" w14:textId="77777777" w:rsidR="006016B9" w:rsidRPr="0087752B" w:rsidRDefault="006016B9" w:rsidP="005D529D">
            <w:pPr>
              <w:pStyle w:val="DETTableTextFinancial"/>
              <w:jc w:val="right"/>
            </w:pPr>
            <w:r w:rsidRPr="0087752B">
              <w:t>98.5</w:t>
            </w:r>
          </w:p>
        </w:tc>
        <w:tc>
          <w:tcPr>
            <w:tcW w:w="461" w:type="pct"/>
            <w:shd w:val="clear" w:color="auto" w:fill="auto"/>
          </w:tcPr>
          <w:p w14:paraId="5BB9B53B" w14:textId="77777777" w:rsidR="006016B9" w:rsidRPr="0087752B" w:rsidRDefault="006016B9" w:rsidP="005D529D">
            <w:pPr>
              <w:pStyle w:val="DETTableTextFinancial"/>
              <w:jc w:val="right"/>
            </w:pPr>
            <w:r w:rsidRPr="0087752B">
              <w:t>98.5</w:t>
            </w:r>
          </w:p>
        </w:tc>
        <w:tc>
          <w:tcPr>
            <w:tcW w:w="495" w:type="pct"/>
          </w:tcPr>
          <w:p w14:paraId="7E6A865A" w14:textId="77777777" w:rsidR="006016B9" w:rsidRPr="0087752B" w:rsidRDefault="006016B9" w:rsidP="005D529D">
            <w:pPr>
              <w:pStyle w:val="DETTableTextFinancial"/>
              <w:jc w:val="right"/>
            </w:pPr>
            <w:r w:rsidRPr="0087752B">
              <w:t>0.0</w:t>
            </w:r>
          </w:p>
        </w:tc>
        <w:tc>
          <w:tcPr>
            <w:tcW w:w="413" w:type="pct"/>
          </w:tcPr>
          <w:p w14:paraId="57B11671" w14:textId="77777777" w:rsidR="006016B9" w:rsidRPr="005C767D" w:rsidRDefault="006016B9" w:rsidP="005D529D">
            <w:pPr>
              <w:jc w:val="right"/>
            </w:pPr>
            <w:r w:rsidRPr="005C767D">
              <w:sym w:font="Wingdings" w:char="F0FC"/>
            </w:r>
          </w:p>
        </w:tc>
      </w:tr>
      <w:tr w:rsidR="006016B9" w:rsidRPr="0087752B" w14:paraId="71E40E84" w14:textId="77777777" w:rsidTr="00D95C09">
        <w:trPr>
          <w:cantSplit/>
        </w:trPr>
        <w:tc>
          <w:tcPr>
            <w:tcW w:w="5000" w:type="pct"/>
            <w:gridSpan w:val="9"/>
            <w:shd w:val="clear" w:color="auto" w:fill="auto"/>
            <w:vAlign w:val="center"/>
          </w:tcPr>
          <w:p w14:paraId="6323DD0C" w14:textId="77777777" w:rsidR="006016B9" w:rsidRPr="00915C24" w:rsidRDefault="006016B9" w:rsidP="0060513E">
            <w:pPr>
              <w:pStyle w:val="DETTableTextFinancial"/>
              <w:rPr>
                <w:rFonts w:eastAsiaTheme="minorEastAsia"/>
                <w:i/>
              </w:rPr>
            </w:pPr>
            <w:r w:rsidRPr="00915C24">
              <w:rPr>
                <w:i/>
              </w:rPr>
              <w:t>The final result is currently not available due to timing of the data collection. The result provided under the 2015–16 Actual is the expected outcome published in the 2016–17 Budget Paper No.3.</w:t>
            </w:r>
          </w:p>
        </w:tc>
      </w:tr>
      <w:tr w:rsidR="00770123" w:rsidRPr="0087752B" w14:paraId="396EC6A6" w14:textId="77777777" w:rsidTr="00D95C09">
        <w:trPr>
          <w:cantSplit/>
        </w:trPr>
        <w:tc>
          <w:tcPr>
            <w:tcW w:w="5000" w:type="pct"/>
            <w:gridSpan w:val="9"/>
            <w:shd w:val="clear" w:color="auto" w:fill="auto"/>
            <w:vAlign w:val="center"/>
          </w:tcPr>
          <w:p w14:paraId="634FCBBC" w14:textId="77777777" w:rsidR="00770123" w:rsidRDefault="00770123" w:rsidP="0060513E">
            <w:pPr>
              <w:pStyle w:val="DETTableTextFinancial"/>
            </w:pPr>
          </w:p>
          <w:p w14:paraId="550BCAC4" w14:textId="77777777" w:rsidR="00770123" w:rsidRDefault="00770123" w:rsidP="0060513E">
            <w:pPr>
              <w:pStyle w:val="DETTableTextFinancial"/>
            </w:pPr>
          </w:p>
          <w:p w14:paraId="62F3AE33" w14:textId="529C6642" w:rsidR="00770123" w:rsidRPr="0087752B" w:rsidRDefault="00770123" w:rsidP="0060513E">
            <w:pPr>
              <w:pStyle w:val="DETTableTextFinancial"/>
            </w:pPr>
          </w:p>
        </w:tc>
      </w:tr>
      <w:tr w:rsidR="006016B9" w:rsidRPr="0087752B" w14:paraId="0E69E938" w14:textId="77777777" w:rsidTr="00D95C09">
        <w:trPr>
          <w:cantSplit/>
        </w:trPr>
        <w:tc>
          <w:tcPr>
            <w:tcW w:w="5000" w:type="pct"/>
            <w:gridSpan w:val="9"/>
            <w:shd w:val="clear" w:color="auto" w:fill="auto"/>
            <w:vAlign w:val="center"/>
          </w:tcPr>
          <w:p w14:paraId="550DD324" w14:textId="77777777" w:rsidR="006016B9" w:rsidRPr="0087752B" w:rsidRDefault="006016B9" w:rsidP="0060513E">
            <w:pPr>
              <w:pStyle w:val="DETTableTextFinancial"/>
              <w:rPr>
                <w:b/>
              </w:rPr>
            </w:pPr>
            <w:r w:rsidRPr="0087752B">
              <w:rPr>
                <w:b/>
              </w:rPr>
              <w:t>Cost</w:t>
            </w:r>
          </w:p>
        </w:tc>
      </w:tr>
      <w:tr w:rsidR="006016B9" w:rsidRPr="0087752B" w14:paraId="240BB131" w14:textId="77777777" w:rsidTr="006016B9">
        <w:trPr>
          <w:cantSplit/>
        </w:trPr>
        <w:tc>
          <w:tcPr>
            <w:tcW w:w="2581" w:type="pct"/>
            <w:gridSpan w:val="3"/>
            <w:shd w:val="clear" w:color="auto" w:fill="auto"/>
            <w:vAlign w:val="center"/>
          </w:tcPr>
          <w:p w14:paraId="1024B45B" w14:textId="77777777" w:rsidR="006016B9" w:rsidRPr="0087752B" w:rsidRDefault="006016B9" w:rsidP="0060513E">
            <w:pPr>
              <w:pStyle w:val="DETTableTextFinancial"/>
            </w:pPr>
            <w:r w:rsidRPr="0087752B">
              <w:t>Total output cost</w:t>
            </w:r>
          </w:p>
        </w:tc>
        <w:tc>
          <w:tcPr>
            <w:tcW w:w="573" w:type="pct"/>
            <w:shd w:val="clear" w:color="auto" w:fill="auto"/>
          </w:tcPr>
          <w:p w14:paraId="6B27C493" w14:textId="77777777" w:rsidR="006016B9" w:rsidRPr="0087752B" w:rsidRDefault="006016B9" w:rsidP="0060513E">
            <w:pPr>
              <w:pStyle w:val="DETTableTextFinancial"/>
            </w:pPr>
            <w:r w:rsidRPr="0087752B">
              <w:t>$ million</w:t>
            </w:r>
          </w:p>
        </w:tc>
        <w:tc>
          <w:tcPr>
            <w:tcW w:w="477" w:type="pct"/>
            <w:gridSpan w:val="2"/>
            <w:shd w:val="clear" w:color="auto" w:fill="auto"/>
          </w:tcPr>
          <w:p w14:paraId="6FAD1A1C" w14:textId="77777777" w:rsidR="006016B9" w:rsidRPr="0087752B" w:rsidRDefault="006016B9" w:rsidP="005D529D">
            <w:pPr>
              <w:pStyle w:val="DETTableTextFinancial"/>
              <w:jc w:val="right"/>
            </w:pPr>
            <w:r w:rsidRPr="0087752B">
              <w:t>491.1</w:t>
            </w:r>
          </w:p>
        </w:tc>
        <w:tc>
          <w:tcPr>
            <w:tcW w:w="461" w:type="pct"/>
            <w:shd w:val="clear" w:color="auto" w:fill="auto"/>
          </w:tcPr>
          <w:p w14:paraId="5ECF94CA" w14:textId="0053BA7A" w:rsidR="006016B9" w:rsidRPr="009E7940" w:rsidRDefault="009E7940" w:rsidP="005D529D">
            <w:pPr>
              <w:pStyle w:val="DETTableTextFinancial"/>
              <w:jc w:val="right"/>
            </w:pPr>
            <w:r w:rsidRPr="009E7940">
              <w:t>534.5</w:t>
            </w:r>
          </w:p>
        </w:tc>
        <w:tc>
          <w:tcPr>
            <w:tcW w:w="495" w:type="pct"/>
          </w:tcPr>
          <w:p w14:paraId="5C8BE385" w14:textId="36AE6C56" w:rsidR="006016B9" w:rsidRPr="009E7940" w:rsidRDefault="009E7940" w:rsidP="005D529D">
            <w:pPr>
              <w:pStyle w:val="DETTableTextFinancial"/>
              <w:jc w:val="right"/>
            </w:pPr>
            <w:r w:rsidRPr="009E7940">
              <w:t>8.8</w:t>
            </w:r>
          </w:p>
        </w:tc>
        <w:tc>
          <w:tcPr>
            <w:tcW w:w="413" w:type="pct"/>
          </w:tcPr>
          <w:p w14:paraId="7DA452DC" w14:textId="0C5A96B2" w:rsidR="006016B9" w:rsidRPr="009E7940" w:rsidRDefault="00C0231F" w:rsidP="005D529D">
            <w:pPr>
              <w:pStyle w:val="DETTableTextFinancial"/>
              <w:jc w:val="right"/>
            </w:pPr>
            <w:r w:rsidRPr="005C767D">
              <w:sym w:font="Wingdings" w:char="F0FB"/>
            </w:r>
          </w:p>
        </w:tc>
      </w:tr>
      <w:tr w:rsidR="006016B9" w:rsidRPr="0087752B" w14:paraId="6D1AFC94" w14:textId="77777777" w:rsidTr="006016B9">
        <w:trPr>
          <w:cantSplit/>
        </w:trPr>
        <w:tc>
          <w:tcPr>
            <w:tcW w:w="5000" w:type="pct"/>
            <w:gridSpan w:val="9"/>
            <w:tcBorders>
              <w:bottom w:val="single" w:sz="4" w:space="0" w:color="auto"/>
            </w:tcBorders>
            <w:shd w:val="clear" w:color="auto" w:fill="auto"/>
            <w:vAlign w:val="center"/>
          </w:tcPr>
          <w:p w14:paraId="6F997499" w14:textId="53BE7B52" w:rsidR="006016B9" w:rsidRPr="009E7940" w:rsidRDefault="008E27B6" w:rsidP="009E7940">
            <w:pPr>
              <w:pStyle w:val="DETTableTextFinancial"/>
              <w:rPr>
                <w:rFonts w:ascii="Calibri" w:hAnsi="Calibri"/>
                <w:i/>
                <w:color w:val="000000"/>
                <w:sz w:val="18"/>
                <w:szCs w:val="18"/>
              </w:rPr>
            </w:pPr>
            <w:r>
              <w:rPr>
                <w:i/>
              </w:rPr>
              <w:t>The 2015–</w:t>
            </w:r>
            <w:r w:rsidR="009E7940" w:rsidRPr="009E7940">
              <w:rPr>
                <w:i/>
              </w:rPr>
              <w:t>16</w:t>
            </w:r>
            <w:r>
              <w:rPr>
                <w:i/>
              </w:rPr>
              <w:t xml:space="preserve"> Actual is higher than the 2015–</w:t>
            </w:r>
            <w:r w:rsidR="009E7940" w:rsidRPr="009E7940">
              <w:rPr>
                <w:i/>
              </w:rPr>
              <w:t>16 Target primarily due to the timing in delivery of programs such as Early Childhood Capital Grants and increase in Commonwealth funding for Universal Access N</w:t>
            </w:r>
            <w:r>
              <w:rPr>
                <w:i/>
              </w:rPr>
              <w:t xml:space="preserve">ational </w:t>
            </w:r>
            <w:r w:rsidR="009E7940" w:rsidRPr="009E7940">
              <w:rPr>
                <w:i/>
              </w:rPr>
              <w:t>P</w:t>
            </w:r>
            <w:r>
              <w:rPr>
                <w:i/>
              </w:rPr>
              <w:t>artnership</w:t>
            </w:r>
            <w:r w:rsidR="009E7940" w:rsidRPr="009E7940">
              <w:rPr>
                <w:i/>
              </w:rPr>
              <w:t>.</w:t>
            </w:r>
          </w:p>
        </w:tc>
      </w:tr>
      <w:tr w:rsidR="0060513E" w:rsidRPr="0087752B" w14:paraId="5A5961C4" w14:textId="77777777" w:rsidTr="006016B9">
        <w:tblPrEx>
          <w:tblBorders>
            <w:top w:val="single" w:sz="6" w:space="0" w:color="auto"/>
            <w:bottom w:val="single" w:sz="12" w:space="0" w:color="7F7F7F" w:themeColor="text1" w:themeTint="80"/>
          </w:tblBorders>
        </w:tblPrEx>
        <w:trPr>
          <w:cantSplit/>
          <w:trHeight w:hRule="exact" w:val="492"/>
        </w:trPr>
        <w:tc>
          <w:tcPr>
            <w:tcW w:w="288" w:type="pct"/>
            <w:tcBorders>
              <w:top w:val="single" w:sz="4" w:space="0" w:color="auto"/>
              <w:left w:val="nil"/>
              <w:bottom w:val="single" w:sz="4" w:space="0" w:color="auto"/>
              <w:right w:val="nil"/>
            </w:tcBorders>
            <w:vAlign w:val="center"/>
          </w:tcPr>
          <w:p w14:paraId="3F58A24A" w14:textId="3632F62E" w:rsidR="0060513E" w:rsidRPr="0087752B" w:rsidRDefault="0060513E" w:rsidP="0060513E">
            <w:pPr>
              <w:rPr>
                <w:sz w:val="16"/>
                <w:szCs w:val="16"/>
              </w:rPr>
            </w:pPr>
            <w:r w:rsidRPr="0087752B">
              <w:rPr>
                <w:sz w:val="16"/>
                <w:szCs w:val="16"/>
              </w:rPr>
              <w:t>Key:</w:t>
            </w:r>
          </w:p>
        </w:tc>
        <w:tc>
          <w:tcPr>
            <w:tcW w:w="1243" w:type="pct"/>
            <w:tcBorders>
              <w:top w:val="single" w:sz="4" w:space="0" w:color="auto"/>
              <w:left w:val="nil"/>
              <w:bottom w:val="single" w:sz="4" w:space="0" w:color="auto"/>
              <w:right w:val="nil"/>
            </w:tcBorders>
            <w:shd w:val="clear" w:color="auto" w:fill="auto"/>
            <w:vAlign w:val="center"/>
          </w:tcPr>
          <w:p w14:paraId="4656D9B5" w14:textId="17E3B63C" w:rsidR="0060513E" w:rsidRPr="0087752B" w:rsidRDefault="0060513E" w:rsidP="0060513E">
            <w:pPr>
              <w:rPr>
                <w:szCs w:val="19"/>
              </w:rPr>
            </w:pPr>
            <w:r w:rsidRPr="005C767D">
              <w:rPr>
                <w:szCs w:val="19"/>
              </w:rPr>
              <w:sym w:font="Wingdings" w:char="F0FC"/>
            </w:r>
            <w:r w:rsidRPr="005C767D">
              <w:rPr>
                <w:szCs w:val="19"/>
              </w:rPr>
              <w:t xml:space="preserve"> </w:t>
            </w:r>
            <w:r w:rsidRPr="0087752B">
              <w:rPr>
                <w:sz w:val="16"/>
                <w:szCs w:val="16"/>
              </w:rPr>
              <w:t>Target achieved or exceeded</w:t>
            </w:r>
          </w:p>
        </w:tc>
        <w:tc>
          <w:tcPr>
            <w:tcW w:w="1722" w:type="pct"/>
            <w:gridSpan w:val="3"/>
            <w:tcBorders>
              <w:top w:val="single" w:sz="4" w:space="0" w:color="auto"/>
              <w:left w:val="nil"/>
              <w:bottom w:val="single" w:sz="4" w:space="0" w:color="auto"/>
              <w:right w:val="nil"/>
            </w:tcBorders>
            <w:shd w:val="clear" w:color="auto" w:fill="auto"/>
            <w:vAlign w:val="center"/>
          </w:tcPr>
          <w:p w14:paraId="0CEAD304" w14:textId="5232EFF0" w:rsidR="0060513E" w:rsidRPr="0087752B" w:rsidRDefault="0060513E" w:rsidP="0060513E">
            <w:pPr>
              <w:rPr>
                <w:szCs w:val="19"/>
              </w:rPr>
            </w:pPr>
            <w:r w:rsidRPr="005C767D">
              <w:rPr>
                <w:szCs w:val="19"/>
              </w:rPr>
              <w:sym w:font="Wingdings" w:char="F06E"/>
            </w:r>
            <w:r w:rsidRPr="005C767D">
              <w:rPr>
                <w:szCs w:val="19"/>
              </w:rPr>
              <w:t xml:space="preserve"> </w:t>
            </w:r>
            <w:r w:rsidRPr="0087752B">
              <w:rPr>
                <w:sz w:val="16"/>
                <w:szCs w:val="16"/>
              </w:rPr>
              <w:t>Target not achieved—less than 5% variance</w:t>
            </w:r>
          </w:p>
        </w:tc>
        <w:tc>
          <w:tcPr>
            <w:tcW w:w="1747" w:type="pct"/>
            <w:gridSpan w:val="4"/>
            <w:tcBorders>
              <w:top w:val="single" w:sz="4" w:space="0" w:color="auto"/>
              <w:left w:val="nil"/>
              <w:bottom w:val="single" w:sz="4" w:space="0" w:color="auto"/>
              <w:right w:val="nil"/>
            </w:tcBorders>
            <w:shd w:val="clear" w:color="auto" w:fill="auto"/>
            <w:vAlign w:val="center"/>
          </w:tcPr>
          <w:p w14:paraId="27AE0743" w14:textId="33067246" w:rsidR="0060513E" w:rsidRPr="0087752B" w:rsidRDefault="0060513E" w:rsidP="0060513E">
            <w:pPr>
              <w:rPr>
                <w:szCs w:val="19"/>
              </w:rPr>
            </w:pPr>
            <w:r w:rsidRPr="005C767D">
              <w:rPr>
                <w:szCs w:val="19"/>
              </w:rPr>
              <w:sym w:font="Wingdings" w:char="F0FB"/>
            </w:r>
            <w:r w:rsidRPr="005C767D">
              <w:rPr>
                <w:szCs w:val="19"/>
              </w:rPr>
              <w:t xml:space="preserve"> </w:t>
            </w:r>
            <w:r w:rsidRPr="0087752B">
              <w:rPr>
                <w:sz w:val="16"/>
                <w:szCs w:val="16"/>
              </w:rPr>
              <w:t>Target not achieved—more than 5% variance</w:t>
            </w:r>
          </w:p>
        </w:tc>
      </w:tr>
    </w:tbl>
    <w:p w14:paraId="28849992" w14:textId="52052B67" w:rsidR="005D529D" w:rsidRPr="0087752B" w:rsidRDefault="005D529D" w:rsidP="006016B9"/>
    <w:p w14:paraId="32088089" w14:textId="02043103" w:rsidR="006016B9" w:rsidRPr="0087752B" w:rsidRDefault="006016B9" w:rsidP="00D95C09">
      <w:pPr>
        <w:spacing w:after="200" w:line="276" w:lineRule="auto"/>
      </w:pPr>
      <w:r w:rsidRPr="0087752B">
        <w:t>School Education</w:t>
      </w:r>
    </w:p>
    <w:p w14:paraId="6CAF41ED" w14:textId="5CF1714E" w:rsidR="0023348B" w:rsidRPr="0087752B" w:rsidRDefault="006016B9" w:rsidP="006016B9">
      <w:r w:rsidRPr="0087752B">
        <w:t>The School Education output group consists of two outputs</w:t>
      </w:r>
      <w:r w:rsidR="0023348B" w:rsidRPr="0087752B">
        <w:t>:</w:t>
      </w:r>
      <w:r w:rsidRPr="0087752B">
        <w:t xml:space="preserve"> </w:t>
      </w:r>
    </w:p>
    <w:p w14:paraId="3BB58596" w14:textId="77777777" w:rsidR="0023348B" w:rsidRPr="0087752B" w:rsidRDefault="006016B9" w:rsidP="00AD641C">
      <w:pPr>
        <w:pStyle w:val="DETNormallistbullet"/>
        <w:numPr>
          <w:ilvl w:val="0"/>
          <w:numId w:val="36"/>
        </w:numPr>
      </w:pPr>
      <w:r w:rsidRPr="0087752B">
        <w:t xml:space="preserve">The School Education—Primary output provides services to develop essential skills and learning experiences to engage young minds in the primary sector. </w:t>
      </w:r>
    </w:p>
    <w:p w14:paraId="51CF20D0" w14:textId="77777777" w:rsidR="0023348B" w:rsidRPr="0087752B" w:rsidRDefault="006016B9" w:rsidP="00AD641C">
      <w:pPr>
        <w:pStyle w:val="DETNormallistbullet"/>
        <w:numPr>
          <w:ilvl w:val="0"/>
          <w:numId w:val="36"/>
        </w:numPr>
      </w:pPr>
      <w:r w:rsidRPr="0087752B">
        <w:lastRenderedPageBreak/>
        <w:t xml:space="preserve">The School Education—Secondary output delivers services to consolidate literacy and numeracy competencies including creative and critical thinking, as well as physical, social, emotional and intellectual development in adolescence. </w:t>
      </w:r>
    </w:p>
    <w:p w14:paraId="0B37C391" w14:textId="2B50B226" w:rsidR="006016B9" w:rsidRPr="0087752B" w:rsidRDefault="006016B9" w:rsidP="006016B9">
      <w:r w:rsidRPr="0087752B">
        <w:t>It also provides education services as well as varied pathways and support for transition across sectors to further study. This output group contributes towards providing and improving services to support all the Department’s objectives of Achievement, Engagement, Wellbeing and Productivity.</w:t>
      </w:r>
    </w:p>
    <w:p w14:paraId="75564333" w14:textId="77777777" w:rsidR="006016B9" w:rsidRPr="0087752B" w:rsidRDefault="006016B9" w:rsidP="005D529D">
      <w:pPr>
        <w:pStyle w:val="Heading4"/>
      </w:pPr>
      <w:r w:rsidRPr="0087752B">
        <w:t>(i) School Education—Primary</w:t>
      </w:r>
    </w:p>
    <w:p w14:paraId="095CFE35" w14:textId="77777777" w:rsidR="006016B9" w:rsidRPr="0087752B" w:rsidRDefault="006016B9" w:rsidP="006016B9">
      <w:r w:rsidRPr="0087752B">
        <w:t>This output provides education and other associated services designed to improve the quality of learning of students in Prep to Year 6 in government and non-government schools.</w:t>
      </w:r>
    </w:p>
    <w:p w14:paraId="4F90E256" w14:textId="77777777" w:rsidR="006016B9" w:rsidRPr="0087752B" w:rsidRDefault="006016B9" w:rsidP="006016B9">
      <w:r w:rsidRPr="0087752B">
        <w:t>Except where indicated, these performance measures relate to:</w:t>
      </w:r>
    </w:p>
    <w:p w14:paraId="0447E818" w14:textId="77777777" w:rsidR="006016B9" w:rsidRPr="0087752B" w:rsidRDefault="006016B9" w:rsidP="00EF4010">
      <w:pPr>
        <w:pStyle w:val="DETNormallistbullet"/>
      </w:pPr>
      <w:r w:rsidRPr="0087752B">
        <w:t>the 2015 calendar year rather than the 2015–16 financial year</w:t>
      </w:r>
    </w:p>
    <w:p w14:paraId="559F94F1" w14:textId="77777777" w:rsidR="006016B9" w:rsidRPr="0087752B" w:rsidRDefault="006016B9" w:rsidP="00EF4010">
      <w:pPr>
        <w:pStyle w:val="DETNormallistbullet"/>
      </w:pPr>
      <w:r w:rsidRPr="0087752B">
        <w:t>government and non-government schools.</w:t>
      </w:r>
    </w:p>
    <w:tbl>
      <w:tblPr>
        <w:tblW w:w="5000" w:type="pct"/>
        <w:tblLayout w:type="fixed"/>
        <w:tblCellMar>
          <w:left w:w="45" w:type="dxa"/>
          <w:right w:w="45" w:type="dxa"/>
        </w:tblCellMar>
        <w:tblLook w:val="0000" w:firstRow="0" w:lastRow="0" w:firstColumn="0" w:lastColumn="0" w:noHBand="0" w:noVBand="0"/>
      </w:tblPr>
      <w:tblGrid>
        <w:gridCol w:w="472"/>
        <w:gridCol w:w="2269"/>
        <w:gridCol w:w="713"/>
        <w:gridCol w:w="850"/>
        <w:gridCol w:w="567"/>
        <w:gridCol w:w="283"/>
        <w:gridCol w:w="706"/>
        <w:gridCol w:w="853"/>
        <w:gridCol w:w="143"/>
        <w:gridCol w:w="604"/>
      </w:tblGrid>
      <w:tr w:rsidR="00D65DDE" w:rsidRPr="0087752B" w14:paraId="285F84BD" w14:textId="77777777" w:rsidTr="00D65DDE">
        <w:trPr>
          <w:cantSplit/>
          <w:tblHeader/>
        </w:trPr>
        <w:tc>
          <w:tcPr>
            <w:tcW w:w="2314" w:type="pct"/>
            <w:gridSpan w:val="3"/>
            <w:shd w:val="clear" w:color="auto" w:fill="7F7F7F" w:themeFill="text1" w:themeFillTint="80"/>
          </w:tcPr>
          <w:p w14:paraId="6621D28A" w14:textId="77777777" w:rsidR="006016B9" w:rsidRPr="0087752B" w:rsidRDefault="006016B9" w:rsidP="00EF4010">
            <w:pPr>
              <w:pStyle w:val="DETTablecolumnheading"/>
              <w:jc w:val="left"/>
            </w:pPr>
            <w:r w:rsidRPr="0087752B">
              <w:t>Performance measures</w:t>
            </w:r>
          </w:p>
        </w:tc>
        <w:tc>
          <w:tcPr>
            <w:tcW w:w="570" w:type="pct"/>
            <w:shd w:val="clear" w:color="auto" w:fill="7F7F7F" w:themeFill="text1" w:themeFillTint="80"/>
          </w:tcPr>
          <w:p w14:paraId="3A96F50A" w14:textId="77777777" w:rsidR="006016B9" w:rsidRPr="0087752B" w:rsidRDefault="006016B9" w:rsidP="00EF4010">
            <w:pPr>
              <w:pStyle w:val="DETTablecolumnheading"/>
            </w:pPr>
            <w:r w:rsidRPr="0087752B">
              <w:t>Unit of measure</w:t>
            </w:r>
          </w:p>
        </w:tc>
        <w:tc>
          <w:tcPr>
            <w:tcW w:w="570" w:type="pct"/>
            <w:gridSpan w:val="2"/>
            <w:shd w:val="clear" w:color="auto" w:fill="7F7F7F" w:themeFill="text1" w:themeFillTint="80"/>
          </w:tcPr>
          <w:p w14:paraId="4C43529B" w14:textId="77777777" w:rsidR="006016B9" w:rsidRPr="0087752B" w:rsidRDefault="006016B9" w:rsidP="00EF4010">
            <w:pPr>
              <w:pStyle w:val="DETTablecolumnheading"/>
              <w:rPr>
                <w:sz w:val="15"/>
                <w:szCs w:val="15"/>
              </w:rPr>
            </w:pPr>
            <w:r w:rsidRPr="0087752B">
              <w:rPr>
                <w:sz w:val="15"/>
                <w:szCs w:val="15"/>
              </w:rPr>
              <w:t>2015–16 Target</w:t>
            </w:r>
          </w:p>
        </w:tc>
        <w:tc>
          <w:tcPr>
            <w:tcW w:w="473" w:type="pct"/>
            <w:shd w:val="clear" w:color="auto" w:fill="7F7F7F" w:themeFill="text1" w:themeFillTint="80"/>
          </w:tcPr>
          <w:p w14:paraId="4DC4D335" w14:textId="77777777" w:rsidR="006016B9" w:rsidRPr="0087752B" w:rsidRDefault="006016B9" w:rsidP="00EF4010">
            <w:pPr>
              <w:pStyle w:val="DETTablecolumnheading"/>
              <w:rPr>
                <w:sz w:val="15"/>
                <w:szCs w:val="15"/>
              </w:rPr>
            </w:pPr>
            <w:r w:rsidRPr="0087752B">
              <w:rPr>
                <w:sz w:val="15"/>
                <w:szCs w:val="15"/>
              </w:rPr>
              <w:t>2015–16 Actual</w:t>
            </w:r>
          </w:p>
        </w:tc>
        <w:tc>
          <w:tcPr>
            <w:tcW w:w="572" w:type="pct"/>
            <w:shd w:val="clear" w:color="auto" w:fill="7F7F7F" w:themeFill="text1" w:themeFillTint="80"/>
          </w:tcPr>
          <w:p w14:paraId="12E77C5C" w14:textId="77777777" w:rsidR="006016B9" w:rsidRPr="0087752B" w:rsidRDefault="006016B9" w:rsidP="00EF4010">
            <w:pPr>
              <w:pStyle w:val="DETTablecolumnheading"/>
              <w:rPr>
                <w:sz w:val="15"/>
                <w:szCs w:val="15"/>
              </w:rPr>
            </w:pPr>
            <w:r w:rsidRPr="0087752B">
              <w:rPr>
                <w:sz w:val="15"/>
                <w:szCs w:val="15"/>
              </w:rPr>
              <w:t>% variation</w:t>
            </w:r>
          </w:p>
        </w:tc>
        <w:tc>
          <w:tcPr>
            <w:tcW w:w="502" w:type="pct"/>
            <w:gridSpan w:val="2"/>
            <w:shd w:val="clear" w:color="auto" w:fill="7F7F7F" w:themeFill="text1" w:themeFillTint="80"/>
          </w:tcPr>
          <w:p w14:paraId="559AA2AC" w14:textId="77777777" w:rsidR="006016B9" w:rsidRPr="0087752B" w:rsidRDefault="006016B9" w:rsidP="00EF4010">
            <w:pPr>
              <w:pStyle w:val="DETTablecolumnheading"/>
            </w:pPr>
            <w:r w:rsidRPr="0087752B">
              <w:t>Result</w:t>
            </w:r>
          </w:p>
        </w:tc>
      </w:tr>
      <w:tr w:rsidR="006016B9" w:rsidRPr="0087752B" w14:paraId="49435DD8" w14:textId="77777777" w:rsidTr="006016B9">
        <w:tblPrEx>
          <w:tblBorders>
            <w:bottom w:val="single" w:sz="12" w:space="0" w:color="777777"/>
          </w:tblBorders>
        </w:tblPrEx>
        <w:trPr>
          <w:cantSplit/>
        </w:trPr>
        <w:tc>
          <w:tcPr>
            <w:tcW w:w="5000" w:type="pct"/>
            <w:gridSpan w:val="10"/>
            <w:shd w:val="clear" w:color="auto" w:fill="auto"/>
            <w:vAlign w:val="center"/>
          </w:tcPr>
          <w:p w14:paraId="737421D8" w14:textId="77777777" w:rsidR="006016B9" w:rsidRPr="0087752B" w:rsidRDefault="006016B9" w:rsidP="00EF4010">
            <w:pPr>
              <w:pStyle w:val="DETTableTextFinancial"/>
              <w:rPr>
                <w:b/>
              </w:rPr>
            </w:pPr>
            <w:r w:rsidRPr="0087752B">
              <w:rPr>
                <w:b/>
              </w:rPr>
              <w:t>Quantity</w:t>
            </w:r>
          </w:p>
        </w:tc>
      </w:tr>
      <w:tr w:rsidR="00D65DDE" w:rsidRPr="0087752B" w14:paraId="08875D4A" w14:textId="77777777" w:rsidTr="00D65DDE">
        <w:trPr>
          <w:cantSplit/>
        </w:trPr>
        <w:tc>
          <w:tcPr>
            <w:tcW w:w="2314" w:type="pct"/>
            <w:gridSpan w:val="3"/>
            <w:shd w:val="clear" w:color="auto" w:fill="auto"/>
            <w:vAlign w:val="center"/>
          </w:tcPr>
          <w:p w14:paraId="38740368" w14:textId="77777777" w:rsidR="006016B9" w:rsidRPr="0087752B" w:rsidRDefault="006016B9" w:rsidP="00EF4010">
            <w:pPr>
              <w:pStyle w:val="DETTableTextFinancial"/>
              <w:rPr>
                <w:highlight w:val="green"/>
              </w:rPr>
            </w:pPr>
            <w:r w:rsidRPr="0087752B">
              <w:t>Average days lost due to absence at Year 5</w:t>
            </w:r>
          </w:p>
        </w:tc>
        <w:tc>
          <w:tcPr>
            <w:tcW w:w="570" w:type="pct"/>
            <w:shd w:val="clear" w:color="auto" w:fill="auto"/>
          </w:tcPr>
          <w:p w14:paraId="55B381C0" w14:textId="77777777" w:rsidR="006016B9" w:rsidRPr="0087752B" w:rsidRDefault="006016B9" w:rsidP="00EF4010">
            <w:pPr>
              <w:pStyle w:val="DETTableTextFinancial"/>
            </w:pPr>
            <w:r w:rsidRPr="0087752B">
              <w:t>number</w:t>
            </w:r>
          </w:p>
        </w:tc>
        <w:tc>
          <w:tcPr>
            <w:tcW w:w="570" w:type="pct"/>
            <w:gridSpan w:val="2"/>
            <w:shd w:val="clear" w:color="auto" w:fill="auto"/>
          </w:tcPr>
          <w:p w14:paraId="62857BD7" w14:textId="77777777" w:rsidR="006016B9" w:rsidRPr="0087752B" w:rsidRDefault="006016B9" w:rsidP="00EF4010">
            <w:pPr>
              <w:pStyle w:val="DETTableTextFinancial"/>
              <w:jc w:val="right"/>
            </w:pPr>
            <w:r w:rsidRPr="0087752B">
              <w:t>14.1</w:t>
            </w:r>
          </w:p>
        </w:tc>
        <w:tc>
          <w:tcPr>
            <w:tcW w:w="473" w:type="pct"/>
            <w:shd w:val="clear" w:color="auto" w:fill="auto"/>
          </w:tcPr>
          <w:p w14:paraId="35ECBFD2" w14:textId="77777777" w:rsidR="006016B9" w:rsidRPr="0087752B" w:rsidRDefault="006016B9" w:rsidP="00EF4010">
            <w:pPr>
              <w:pStyle w:val="DETTableTextFinancial"/>
              <w:jc w:val="right"/>
            </w:pPr>
            <w:r w:rsidRPr="0087752B">
              <w:t>14.4</w:t>
            </w:r>
          </w:p>
        </w:tc>
        <w:tc>
          <w:tcPr>
            <w:tcW w:w="668" w:type="pct"/>
            <w:gridSpan w:val="2"/>
          </w:tcPr>
          <w:p w14:paraId="5687B786" w14:textId="77777777" w:rsidR="006016B9" w:rsidRPr="0087752B" w:rsidRDefault="006016B9" w:rsidP="00EF4010">
            <w:pPr>
              <w:pStyle w:val="DETTableTextFinancial"/>
              <w:jc w:val="right"/>
            </w:pPr>
            <w:r w:rsidRPr="0087752B">
              <w:t>-2.1</w:t>
            </w:r>
          </w:p>
        </w:tc>
        <w:tc>
          <w:tcPr>
            <w:tcW w:w="406" w:type="pct"/>
          </w:tcPr>
          <w:p w14:paraId="2F988086" w14:textId="77777777" w:rsidR="006016B9" w:rsidRPr="005C767D" w:rsidRDefault="006016B9" w:rsidP="00EF4010">
            <w:pPr>
              <w:jc w:val="right"/>
            </w:pPr>
            <w:r w:rsidRPr="005C767D">
              <w:sym w:font="Wingdings" w:char="F06E"/>
            </w:r>
          </w:p>
        </w:tc>
      </w:tr>
      <w:tr w:rsidR="006016B9" w:rsidRPr="0087752B" w14:paraId="2C393D90" w14:textId="77777777" w:rsidTr="006016B9">
        <w:tblPrEx>
          <w:tblBorders>
            <w:bottom w:val="single" w:sz="12" w:space="0" w:color="777777"/>
          </w:tblBorders>
        </w:tblPrEx>
        <w:trPr>
          <w:cantSplit/>
        </w:trPr>
        <w:tc>
          <w:tcPr>
            <w:tcW w:w="5000" w:type="pct"/>
            <w:gridSpan w:val="10"/>
            <w:shd w:val="clear" w:color="auto" w:fill="auto"/>
            <w:vAlign w:val="center"/>
          </w:tcPr>
          <w:p w14:paraId="4C1293BC" w14:textId="77777777" w:rsidR="006016B9" w:rsidRPr="0087752B" w:rsidRDefault="006016B9" w:rsidP="00EF4010">
            <w:pPr>
              <w:pStyle w:val="DETTableTextFinancial"/>
              <w:rPr>
                <w:i/>
              </w:rPr>
            </w:pPr>
            <w:r w:rsidRPr="0087752B">
              <w:rPr>
                <w:i/>
              </w:rPr>
              <w:t xml:space="preserve">This performance measure refers to government schools only. Average days lost covers all student absences, including those due to illness, approved family holidays and unapproved absences. A lower figure is more desirable, as it indicates that students are having fewer days away from school. </w:t>
            </w:r>
          </w:p>
          <w:p w14:paraId="7FBA6172" w14:textId="77777777" w:rsidR="006016B9" w:rsidRPr="0087752B" w:rsidRDefault="006016B9" w:rsidP="00EF4010">
            <w:pPr>
              <w:pStyle w:val="DETTableTextFinancial"/>
            </w:pPr>
            <w:r w:rsidRPr="0087752B">
              <w:rPr>
                <w:i/>
              </w:rPr>
              <w:t>The 2015–16 Actual figure reflects data extracted at 2 June 2016.</w:t>
            </w:r>
          </w:p>
        </w:tc>
      </w:tr>
      <w:tr w:rsidR="00D65DDE" w:rsidRPr="0087752B" w14:paraId="5A1A4727" w14:textId="77777777" w:rsidTr="00D65DDE">
        <w:trPr>
          <w:cantSplit/>
        </w:trPr>
        <w:tc>
          <w:tcPr>
            <w:tcW w:w="2314" w:type="pct"/>
            <w:gridSpan w:val="3"/>
            <w:shd w:val="clear" w:color="auto" w:fill="auto"/>
            <w:vAlign w:val="center"/>
          </w:tcPr>
          <w:p w14:paraId="2AFB8D90" w14:textId="77777777" w:rsidR="006016B9" w:rsidRPr="0087752B" w:rsidRDefault="006016B9" w:rsidP="00EF4010">
            <w:pPr>
              <w:pStyle w:val="DETTableTextFinancial"/>
              <w:rPr>
                <w:highlight w:val="green"/>
              </w:rPr>
            </w:pPr>
            <w:r w:rsidRPr="0087752B">
              <w:t>Average days lost due to absence at Year 6</w:t>
            </w:r>
          </w:p>
        </w:tc>
        <w:tc>
          <w:tcPr>
            <w:tcW w:w="570" w:type="pct"/>
            <w:shd w:val="clear" w:color="auto" w:fill="auto"/>
          </w:tcPr>
          <w:p w14:paraId="0F729566" w14:textId="77777777" w:rsidR="006016B9" w:rsidRPr="0087752B" w:rsidRDefault="006016B9" w:rsidP="00EF4010">
            <w:pPr>
              <w:pStyle w:val="DETTableTextFinancial"/>
            </w:pPr>
            <w:r w:rsidRPr="0087752B">
              <w:t>number</w:t>
            </w:r>
          </w:p>
        </w:tc>
        <w:tc>
          <w:tcPr>
            <w:tcW w:w="570" w:type="pct"/>
            <w:gridSpan w:val="2"/>
            <w:shd w:val="clear" w:color="auto" w:fill="auto"/>
          </w:tcPr>
          <w:p w14:paraId="39DA137E" w14:textId="77777777" w:rsidR="006016B9" w:rsidRPr="0087752B" w:rsidRDefault="006016B9" w:rsidP="00EF4010">
            <w:pPr>
              <w:pStyle w:val="DETTableTextFinancial"/>
              <w:jc w:val="right"/>
            </w:pPr>
            <w:r w:rsidRPr="0087752B">
              <w:t>14.5</w:t>
            </w:r>
          </w:p>
        </w:tc>
        <w:tc>
          <w:tcPr>
            <w:tcW w:w="473" w:type="pct"/>
            <w:shd w:val="clear" w:color="auto" w:fill="auto"/>
          </w:tcPr>
          <w:p w14:paraId="7E2A8D67" w14:textId="77777777" w:rsidR="006016B9" w:rsidRPr="0087752B" w:rsidRDefault="006016B9" w:rsidP="00EF4010">
            <w:pPr>
              <w:pStyle w:val="DETTableTextFinancial"/>
              <w:jc w:val="right"/>
            </w:pPr>
            <w:r w:rsidRPr="0087752B">
              <w:t>15.1</w:t>
            </w:r>
          </w:p>
        </w:tc>
        <w:tc>
          <w:tcPr>
            <w:tcW w:w="668" w:type="pct"/>
            <w:gridSpan w:val="2"/>
          </w:tcPr>
          <w:p w14:paraId="417FB74E" w14:textId="77777777" w:rsidR="006016B9" w:rsidRPr="0087752B" w:rsidRDefault="006016B9" w:rsidP="00EF4010">
            <w:pPr>
              <w:pStyle w:val="DETTableTextFinancial"/>
              <w:jc w:val="right"/>
            </w:pPr>
            <w:r w:rsidRPr="0087752B">
              <w:t>-4.1</w:t>
            </w:r>
          </w:p>
        </w:tc>
        <w:tc>
          <w:tcPr>
            <w:tcW w:w="406" w:type="pct"/>
          </w:tcPr>
          <w:p w14:paraId="5BA81429" w14:textId="77777777" w:rsidR="006016B9" w:rsidRPr="005C767D" w:rsidRDefault="006016B9" w:rsidP="00EF4010">
            <w:pPr>
              <w:jc w:val="right"/>
            </w:pPr>
            <w:r w:rsidRPr="005C767D">
              <w:sym w:font="Wingdings" w:char="F06E"/>
            </w:r>
          </w:p>
        </w:tc>
      </w:tr>
      <w:tr w:rsidR="006016B9" w:rsidRPr="0087752B" w14:paraId="305DE53D" w14:textId="77777777" w:rsidTr="006016B9">
        <w:tblPrEx>
          <w:tblBorders>
            <w:bottom w:val="single" w:sz="12" w:space="0" w:color="777777"/>
          </w:tblBorders>
        </w:tblPrEx>
        <w:trPr>
          <w:cantSplit/>
        </w:trPr>
        <w:tc>
          <w:tcPr>
            <w:tcW w:w="5000" w:type="pct"/>
            <w:gridSpan w:val="10"/>
            <w:shd w:val="clear" w:color="auto" w:fill="auto"/>
            <w:vAlign w:val="center"/>
          </w:tcPr>
          <w:p w14:paraId="3D289057" w14:textId="77777777" w:rsidR="006016B9" w:rsidRPr="0087752B" w:rsidRDefault="006016B9" w:rsidP="00EF4010">
            <w:pPr>
              <w:pStyle w:val="DETTableTextFinancial"/>
              <w:rPr>
                <w:i/>
              </w:rPr>
            </w:pPr>
            <w:r w:rsidRPr="0087752B">
              <w:rPr>
                <w:i/>
              </w:rPr>
              <w:t xml:space="preserve">This performance measure refers to government schools only. Average days lost covers all student absences, including those due to illness, approved family holidays and unapproved absences. A lower figure is more desirable, as it indicates that students are having fewer days away from school. </w:t>
            </w:r>
          </w:p>
          <w:p w14:paraId="58362608" w14:textId="77777777" w:rsidR="006016B9" w:rsidRPr="0087752B" w:rsidRDefault="006016B9" w:rsidP="00EF4010">
            <w:pPr>
              <w:pStyle w:val="DETTableTextFinancial"/>
              <w:rPr>
                <w:highlight w:val="green"/>
              </w:rPr>
            </w:pPr>
            <w:r w:rsidRPr="0087752B">
              <w:rPr>
                <w:i/>
              </w:rPr>
              <w:t>The 2015–16 Actual figure reflects data extracted at 2 June 2016.</w:t>
            </w:r>
          </w:p>
        </w:tc>
      </w:tr>
      <w:tr w:rsidR="00D65DDE" w:rsidRPr="0087752B" w14:paraId="4B36A14F" w14:textId="77777777" w:rsidTr="00D65DDE">
        <w:trPr>
          <w:cantSplit/>
        </w:trPr>
        <w:tc>
          <w:tcPr>
            <w:tcW w:w="2314" w:type="pct"/>
            <w:gridSpan w:val="3"/>
            <w:shd w:val="clear" w:color="auto" w:fill="auto"/>
            <w:vAlign w:val="center"/>
          </w:tcPr>
          <w:p w14:paraId="1D3010F5" w14:textId="77777777" w:rsidR="006016B9" w:rsidRPr="0087752B" w:rsidRDefault="006016B9" w:rsidP="00EF4010">
            <w:pPr>
              <w:pStyle w:val="DETTableTextFinancial"/>
            </w:pPr>
            <w:r w:rsidRPr="0087752B">
              <w:t>Investment in non-government schools (primary)</w:t>
            </w:r>
          </w:p>
        </w:tc>
        <w:tc>
          <w:tcPr>
            <w:tcW w:w="570" w:type="pct"/>
            <w:shd w:val="clear" w:color="auto" w:fill="auto"/>
          </w:tcPr>
          <w:p w14:paraId="58073888" w14:textId="77777777" w:rsidR="006016B9" w:rsidRPr="0087752B" w:rsidRDefault="006016B9" w:rsidP="00EF4010">
            <w:pPr>
              <w:pStyle w:val="DETTableTextFinancial"/>
            </w:pPr>
            <w:r w:rsidRPr="0087752B">
              <w:t>$ million</w:t>
            </w:r>
          </w:p>
        </w:tc>
        <w:tc>
          <w:tcPr>
            <w:tcW w:w="570" w:type="pct"/>
            <w:gridSpan w:val="2"/>
            <w:shd w:val="clear" w:color="auto" w:fill="auto"/>
          </w:tcPr>
          <w:p w14:paraId="281095B8" w14:textId="77777777" w:rsidR="006016B9" w:rsidRPr="0087752B" w:rsidRDefault="006016B9" w:rsidP="00EF4010">
            <w:pPr>
              <w:pStyle w:val="DETTableTextFinancial"/>
              <w:jc w:val="right"/>
            </w:pPr>
            <w:r w:rsidRPr="0087752B">
              <w:t>346.5</w:t>
            </w:r>
          </w:p>
        </w:tc>
        <w:tc>
          <w:tcPr>
            <w:tcW w:w="473" w:type="pct"/>
            <w:shd w:val="clear" w:color="auto" w:fill="auto"/>
          </w:tcPr>
          <w:p w14:paraId="1F4C854B" w14:textId="5B0DA6BC" w:rsidR="006016B9" w:rsidRPr="008E27B6" w:rsidRDefault="008E27B6" w:rsidP="00EF4010">
            <w:pPr>
              <w:pStyle w:val="DETTableTextFinancial"/>
              <w:jc w:val="right"/>
            </w:pPr>
            <w:r w:rsidRPr="008E27B6">
              <w:t>325.5</w:t>
            </w:r>
          </w:p>
        </w:tc>
        <w:tc>
          <w:tcPr>
            <w:tcW w:w="668" w:type="pct"/>
            <w:gridSpan w:val="2"/>
          </w:tcPr>
          <w:p w14:paraId="55A252BB" w14:textId="4DD0849E" w:rsidR="006016B9" w:rsidRPr="008E27B6" w:rsidRDefault="008E27B6" w:rsidP="00EF4010">
            <w:pPr>
              <w:pStyle w:val="DETTableTextFinancial"/>
              <w:jc w:val="right"/>
            </w:pPr>
            <w:r w:rsidRPr="008E27B6">
              <w:t>-6.1</w:t>
            </w:r>
          </w:p>
        </w:tc>
        <w:tc>
          <w:tcPr>
            <w:tcW w:w="406" w:type="pct"/>
          </w:tcPr>
          <w:p w14:paraId="4F4CAA85" w14:textId="6DDBC970" w:rsidR="006016B9" w:rsidRPr="0087752B" w:rsidRDefault="007516D1" w:rsidP="00EF4010">
            <w:pPr>
              <w:pStyle w:val="DETTableTextFinancial"/>
              <w:jc w:val="right"/>
              <w:rPr>
                <w:highlight w:val="yellow"/>
              </w:rPr>
            </w:pPr>
            <w:r w:rsidRPr="005C767D">
              <w:sym w:font="Wingdings" w:char="F0FC"/>
            </w:r>
          </w:p>
        </w:tc>
      </w:tr>
      <w:tr w:rsidR="006016B9" w:rsidRPr="0087752B" w14:paraId="1E7C5E7F" w14:textId="77777777" w:rsidTr="006016B9">
        <w:tblPrEx>
          <w:tblBorders>
            <w:bottom w:val="single" w:sz="12" w:space="0" w:color="777777"/>
          </w:tblBorders>
        </w:tblPrEx>
        <w:trPr>
          <w:cantSplit/>
        </w:trPr>
        <w:tc>
          <w:tcPr>
            <w:tcW w:w="5000" w:type="pct"/>
            <w:gridSpan w:val="10"/>
            <w:shd w:val="clear" w:color="auto" w:fill="auto"/>
            <w:vAlign w:val="center"/>
          </w:tcPr>
          <w:p w14:paraId="09D72A3F" w14:textId="053A3FEF" w:rsidR="006016B9" w:rsidRPr="008E27B6" w:rsidRDefault="008E27B6" w:rsidP="00EF4010">
            <w:pPr>
              <w:pStyle w:val="DETTableTextFinancial"/>
              <w:rPr>
                <w:i/>
              </w:rPr>
            </w:pPr>
            <w:r>
              <w:rPr>
                <w:i/>
              </w:rPr>
              <w:t>The 2015–</w:t>
            </w:r>
            <w:r w:rsidRPr="008E27B6">
              <w:rPr>
                <w:i/>
              </w:rPr>
              <w:t>1</w:t>
            </w:r>
            <w:r>
              <w:rPr>
                <w:i/>
              </w:rPr>
              <w:t>6 Actual is lower than the 2015–</w:t>
            </w:r>
            <w:r w:rsidRPr="008E27B6">
              <w:rPr>
                <w:i/>
              </w:rPr>
              <w:t>16 Target primarily due to the timing in delivery of programs such as capital grants.</w:t>
            </w:r>
          </w:p>
        </w:tc>
      </w:tr>
      <w:tr w:rsidR="00D65DDE" w:rsidRPr="0087752B" w14:paraId="645A2D0A" w14:textId="77777777" w:rsidTr="00D95C09">
        <w:trPr>
          <w:cantSplit/>
        </w:trPr>
        <w:tc>
          <w:tcPr>
            <w:tcW w:w="2314" w:type="pct"/>
            <w:gridSpan w:val="3"/>
            <w:shd w:val="clear" w:color="auto" w:fill="auto"/>
            <w:vAlign w:val="center"/>
          </w:tcPr>
          <w:p w14:paraId="2441FD0A" w14:textId="77777777" w:rsidR="006016B9" w:rsidRPr="0087752B" w:rsidRDefault="006016B9" w:rsidP="00EF4010">
            <w:pPr>
              <w:pStyle w:val="DETTableTextFinancial"/>
            </w:pPr>
            <w:r w:rsidRPr="0087752B">
              <w:t>Number of Assistant Principals participating in leadership development programs</w:t>
            </w:r>
          </w:p>
        </w:tc>
        <w:tc>
          <w:tcPr>
            <w:tcW w:w="570" w:type="pct"/>
            <w:shd w:val="clear" w:color="auto" w:fill="auto"/>
          </w:tcPr>
          <w:p w14:paraId="12952660" w14:textId="77777777" w:rsidR="006016B9" w:rsidRPr="0087752B" w:rsidRDefault="006016B9" w:rsidP="00EF4010">
            <w:pPr>
              <w:pStyle w:val="DETTableTextFinancial"/>
            </w:pPr>
            <w:r w:rsidRPr="0087752B">
              <w:t>number</w:t>
            </w:r>
          </w:p>
        </w:tc>
        <w:tc>
          <w:tcPr>
            <w:tcW w:w="570" w:type="pct"/>
            <w:gridSpan w:val="2"/>
            <w:shd w:val="clear" w:color="auto" w:fill="auto"/>
          </w:tcPr>
          <w:p w14:paraId="7EEDFE1F" w14:textId="77777777" w:rsidR="006016B9" w:rsidRPr="0087752B" w:rsidRDefault="006016B9" w:rsidP="00EF4010">
            <w:pPr>
              <w:pStyle w:val="DETTableTextFinancial"/>
              <w:jc w:val="right"/>
            </w:pPr>
            <w:r w:rsidRPr="0087752B">
              <w:t>350</w:t>
            </w:r>
          </w:p>
        </w:tc>
        <w:tc>
          <w:tcPr>
            <w:tcW w:w="473" w:type="pct"/>
            <w:shd w:val="clear" w:color="auto" w:fill="auto"/>
          </w:tcPr>
          <w:p w14:paraId="0B3AF5E2" w14:textId="77777777" w:rsidR="006016B9" w:rsidRPr="0087752B" w:rsidRDefault="006016B9" w:rsidP="00EF4010">
            <w:pPr>
              <w:pStyle w:val="DETTableTextFinancial"/>
              <w:jc w:val="right"/>
            </w:pPr>
            <w:r w:rsidRPr="0087752B">
              <w:t>503</w:t>
            </w:r>
          </w:p>
        </w:tc>
        <w:tc>
          <w:tcPr>
            <w:tcW w:w="668" w:type="pct"/>
            <w:gridSpan w:val="2"/>
          </w:tcPr>
          <w:p w14:paraId="6FF79413" w14:textId="77777777" w:rsidR="006016B9" w:rsidRPr="0087752B" w:rsidRDefault="006016B9" w:rsidP="00EF4010">
            <w:pPr>
              <w:pStyle w:val="DETTableTextFinancial"/>
              <w:jc w:val="right"/>
            </w:pPr>
            <w:r w:rsidRPr="0087752B">
              <w:t>43.7</w:t>
            </w:r>
          </w:p>
        </w:tc>
        <w:tc>
          <w:tcPr>
            <w:tcW w:w="406" w:type="pct"/>
          </w:tcPr>
          <w:p w14:paraId="07F886DB" w14:textId="77777777" w:rsidR="006016B9" w:rsidRPr="005C767D" w:rsidRDefault="006016B9" w:rsidP="00EF4010">
            <w:pPr>
              <w:jc w:val="right"/>
            </w:pPr>
            <w:r w:rsidRPr="005C767D">
              <w:sym w:font="Wingdings" w:char="F0FC"/>
            </w:r>
          </w:p>
        </w:tc>
      </w:tr>
      <w:tr w:rsidR="006016B9" w:rsidRPr="0087752B" w14:paraId="030A2CB1" w14:textId="77777777" w:rsidTr="00D95C09">
        <w:tblPrEx>
          <w:tblBorders>
            <w:bottom w:val="single" w:sz="12" w:space="0" w:color="777777"/>
          </w:tblBorders>
        </w:tblPrEx>
        <w:trPr>
          <w:cantSplit/>
        </w:trPr>
        <w:tc>
          <w:tcPr>
            <w:tcW w:w="5000" w:type="pct"/>
            <w:gridSpan w:val="10"/>
            <w:tcBorders>
              <w:bottom w:val="nil"/>
            </w:tcBorders>
            <w:shd w:val="clear" w:color="auto" w:fill="auto"/>
            <w:vAlign w:val="center"/>
          </w:tcPr>
          <w:p w14:paraId="79FDD3BE" w14:textId="77777777" w:rsidR="006016B9" w:rsidRDefault="006016B9" w:rsidP="00EF4010">
            <w:pPr>
              <w:pStyle w:val="DETTableTextFinancial"/>
              <w:rPr>
                <w:i/>
              </w:rPr>
            </w:pPr>
            <w:r w:rsidRPr="0087752B">
              <w:rPr>
                <w:i/>
              </w:rPr>
              <w:t>This performance measure refers to government schools only. The 2015–16 Actual is higher than the 2015–16 Target due to increased provision of professional development programs offered by the Bastow Institute of Educational Leadership, including rural and regional programs.</w:t>
            </w:r>
          </w:p>
          <w:p w14:paraId="727EBC49" w14:textId="7AF09129" w:rsidR="00770123" w:rsidRPr="0087752B" w:rsidRDefault="00770123" w:rsidP="00EF4010">
            <w:pPr>
              <w:pStyle w:val="DETTableTextFinancial"/>
              <w:rPr>
                <w:i/>
                <w:highlight w:val="yellow"/>
              </w:rPr>
            </w:pPr>
          </w:p>
        </w:tc>
      </w:tr>
      <w:tr w:rsidR="00D65DDE" w:rsidRPr="0087752B" w14:paraId="6EE0CF79" w14:textId="77777777" w:rsidTr="00D95C09">
        <w:trPr>
          <w:cantSplit/>
        </w:trPr>
        <w:tc>
          <w:tcPr>
            <w:tcW w:w="2314" w:type="pct"/>
            <w:gridSpan w:val="3"/>
            <w:shd w:val="clear" w:color="auto" w:fill="auto"/>
            <w:vAlign w:val="center"/>
          </w:tcPr>
          <w:p w14:paraId="386132A1" w14:textId="5B7116FB" w:rsidR="006016B9" w:rsidRPr="0087752B" w:rsidRDefault="006016B9" w:rsidP="00EF4010">
            <w:pPr>
              <w:pStyle w:val="DETTableTextFinancial"/>
            </w:pPr>
            <w:r w:rsidRPr="0087752B">
              <w:t xml:space="preserve">Number of Principals participating in </w:t>
            </w:r>
            <w:r w:rsidR="0073354A">
              <w:t>state</w:t>
            </w:r>
            <w:r w:rsidR="0023348B" w:rsidRPr="0087752B">
              <w:t>wide</w:t>
            </w:r>
            <w:r w:rsidRPr="0087752B">
              <w:t>, centrally funded leadership development programs</w:t>
            </w:r>
          </w:p>
        </w:tc>
        <w:tc>
          <w:tcPr>
            <w:tcW w:w="570" w:type="pct"/>
            <w:shd w:val="clear" w:color="auto" w:fill="auto"/>
          </w:tcPr>
          <w:p w14:paraId="03E02A67" w14:textId="77777777" w:rsidR="006016B9" w:rsidRPr="0087752B" w:rsidRDefault="006016B9" w:rsidP="00EF4010">
            <w:pPr>
              <w:pStyle w:val="DETTableTextFinancial"/>
            </w:pPr>
            <w:r w:rsidRPr="0087752B">
              <w:t>number</w:t>
            </w:r>
          </w:p>
        </w:tc>
        <w:tc>
          <w:tcPr>
            <w:tcW w:w="570" w:type="pct"/>
            <w:gridSpan w:val="2"/>
            <w:shd w:val="clear" w:color="auto" w:fill="auto"/>
          </w:tcPr>
          <w:p w14:paraId="49C768B7" w14:textId="77777777" w:rsidR="006016B9" w:rsidRPr="0087752B" w:rsidRDefault="006016B9" w:rsidP="00EF4010">
            <w:pPr>
              <w:pStyle w:val="DETTableTextFinancial"/>
              <w:jc w:val="right"/>
            </w:pPr>
            <w:r w:rsidRPr="0087752B">
              <w:t>650</w:t>
            </w:r>
          </w:p>
        </w:tc>
        <w:tc>
          <w:tcPr>
            <w:tcW w:w="473" w:type="pct"/>
            <w:shd w:val="clear" w:color="auto" w:fill="auto"/>
          </w:tcPr>
          <w:p w14:paraId="02091046" w14:textId="77777777" w:rsidR="006016B9" w:rsidRPr="0087752B" w:rsidRDefault="006016B9" w:rsidP="00EF4010">
            <w:pPr>
              <w:pStyle w:val="DETTableTextFinancial"/>
              <w:jc w:val="right"/>
            </w:pPr>
            <w:r w:rsidRPr="0087752B">
              <w:t>749</w:t>
            </w:r>
          </w:p>
        </w:tc>
        <w:tc>
          <w:tcPr>
            <w:tcW w:w="668" w:type="pct"/>
            <w:gridSpan w:val="2"/>
          </w:tcPr>
          <w:p w14:paraId="30C1EE1A" w14:textId="77777777" w:rsidR="006016B9" w:rsidRPr="0087752B" w:rsidRDefault="006016B9" w:rsidP="00EF4010">
            <w:pPr>
              <w:pStyle w:val="DETTableTextFinancial"/>
              <w:jc w:val="right"/>
            </w:pPr>
            <w:r w:rsidRPr="0087752B">
              <w:t>15.2</w:t>
            </w:r>
          </w:p>
        </w:tc>
        <w:tc>
          <w:tcPr>
            <w:tcW w:w="406" w:type="pct"/>
          </w:tcPr>
          <w:p w14:paraId="1AD8166B" w14:textId="77777777" w:rsidR="006016B9" w:rsidRPr="005C767D" w:rsidRDefault="006016B9" w:rsidP="00EF4010">
            <w:pPr>
              <w:jc w:val="right"/>
            </w:pPr>
            <w:r w:rsidRPr="005C767D">
              <w:sym w:font="Wingdings" w:char="F0FC"/>
            </w:r>
          </w:p>
        </w:tc>
      </w:tr>
      <w:tr w:rsidR="006016B9" w:rsidRPr="0087752B" w14:paraId="0CD236EC" w14:textId="77777777" w:rsidTr="006016B9">
        <w:tblPrEx>
          <w:tblBorders>
            <w:bottom w:val="single" w:sz="12" w:space="0" w:color="777777"/>
          </w:tblBorders>
        </w:tblPrEx>
        <w:trPr>
          <w:cantSplit/>
        </w:trPr>
        <w:tc>
          <w:tcPr>
            <w:tcW w:w="5000" w:type="pct"/>
            <w:gridSpan w:val="10"/>
            <w:shd w:val="clear" w:color="auto" w:fill="auto"/>
            <w:vAlign w:val="center"/>
          </w:tcPr>
          <w:p w14:paraId="41845589" w14:textId="77777777" w:rsidR="006016B9" w:rsidRPr="0087752B" w:rsidRDefault="006016B9" w:rsidP="00EF4010">
            <w:pPr>
              <w:pStyle w:val="DETTableTextFinancial"/>
              <w:rPr>
                <w:i/>
              </w:rPr>
            </w:pPr>
            <w:r w:rsidRPr="0087752B">
              <w:rPr>
                <w:i/>
              </w:rPr>
              <w:t>This performance measure refers to government schools only. The 2015–16 Actual is higher than the 2015–16 Target due to increased provision of professional development programs offered by the Bastow Institute of Educational Leadership, including rural and regional programs.</w:t>
            </w:r>
          </w:p>
        </w:tc>
      </w:tr>
      <w:tr w:rsidR="00D65DDE" w:rsidRPr="0087752B" w14:paraId="5CD13F91" w14:textId="77777777" w:rsidTr="002C5EB7">
        <w:trPr>
          <w:cantSplit/>
          <w:trHeight w:val="771"/>
        </w:trPr>
        <w:tc>
          <w:tcPr>
            <w:tcW w:w="2314" w:type="pct"/>
            <w:gridSpan w:val="3"/>
            <w:shd w:val="clear" w:color="auto" w:fill="auto"/>
            <w:vAlign w:val="center"/>
          </w:tcPr>
          <w:p w14:paraId="7791C084" w14:textId="77777777" w:rsidR="006016B9" w:rsidRPr="0087752B" w:rsidRDefault="006016B9" w:rsidP="00EF4010">
            <w:pPr>
              <w:pStyle w:val="DETTableTextFinancial"/>
            </w:pPr>
            <w:r w:rsidRPr="0087752B">
              <w:t>Number of school staff who are not Principals or Assistant Principals participating in leadership development programs</w:t>
            </w:r>
          </w:p>
        </w:tc>
        <w:tc>
          <w:tcPr>
            <w:tcW w:w="570" w:type="pct"/>
            <w:shd w:val="clear" w:color="auto" w:fill="auto"/>
          </w:tcPr>
          <w:p w14:paraId="2D937E6B" w14:textId="77777777" w:rsidR="006016B9" w:rsidRPr="0087752B" w:rsidRDefault="006016B9" w:rsidP="00EF4010">
            <w:pPr>
              <w:pStyle w:val="DETTableTextFinancial"/>
            </w:pPr>
            <w:r w:rsidRPr="0087752B">
              <w:t>number</w:t>
            </w:r>
          </w:p>
        </w:tc>
        <w:tc>
          <w:tcPr>
            <w:tcW w:w="570" w:type="pct"/>
            <w:gridSpan w:val="2"/>
            <w:shd w:val="clear" w:color="auto" w:fill="auto"/>
          </w:tcPr>
          <w:p w14:paraId="0E658918" w14:textId="4B615C0C" w:rsidR="006016B9" w:rsidRPr="0087752B" w:rsidRDefault="006016B9" w:rsidP="00EF4010">
            <w:pPr>
              <w:pStyle w:val="DETTableTextFinancial"/>
              <w:jc w:val="right"/>
            </w:pPr>
            <w:r w:rsidRPr="0087752B">
              <w:t>1</w:t>
            </w:r>
            <w:r w:rsidR="002C5EB7">
              <w:t>,</w:t>
            </w:r>
            <w:r w:rsidRPr="0087752B">
              <w:t>000</w:t>
            </w:r>
          </w:p>
        </w:tc>
        <w:tc>
          <w:tcPr>
            <w:tcW w:w="473" w:type="pct"/>
            <w:shd w:val="clear" w:color="auto" w:fill="auto"/>
          </w:tcPr>
          <w:p w14:paraId="6849165D" w14:textId="48F4829A" w:rsidR="006016B9" w:rsidRPr="0087752B" w:rsidRDefault="006016B9" w:rsidP="00EF4010">
            <w:pPr>
              <w:pStyle w:val="DETTableTextFinancial"/>
              <w:jc w:val="right"/>
            </w:pPr>
            <w:r w:rsidRPr="0087752B">
              <w:t>1</w:t>
            </w:r>
            <w:r w:rsidR="002C5EB7">
              <w:t>,</w:t>
            </w:r>
            <w:r w:rsidRPr="0087752B">
              <w:t>897</w:t>
            </w:r>
          </w:p>
        </w:tc>
        <w:tc>
          <w:tcPr>
            <w:tcW w:w="668" w:type="pct"/>
            <w:gridSpan w:val="2"/>
          </w:tcPr>
          <w:p w14:paraId="56EBD3E9" w14:textId="77777777" w:rsidR="006016B9" w:rsidRPr="0087752B" w:rsidRDefault="006016B9" w:rsidP="00EF4010">
            <w:pPr>
              <w:pStyle w:val="DETTableTextFinancial"/>
              <w:jc w:val="right"/>
            </w:pPr>
            <w:r w:rsidRPr="0087752B">
              <w:t>89.7</w:t>
            </w:r>
          </w:p>
        </w:tc>
        <w:tc>
          <w:tcPr>
            <w:tcW w:w="406" w:type="pct"/>
          </w:tcPr>
          <w:p w14:paraId="302D8197" w14:textId="77777777" w:rsidR="006016B9" w:rsidRPr="005C767D" w:rsidRDefault="006016B9" w:rsidP="00EF4010">
            <w:pPr>
              <w:jc w:val="right"/>
            </w:pPr>
            <w:r w:rsidRPr="005C767D">
              <w:sym w:font="Wingdings" w:char="F0FC"/>
            </w:r>
          </w:p>
        </w:tc>
      </w:tr>
      <w:tr w:rsidR="006016B9" w:rsidRPr="0087752B" w14:paraId="772DA0D6" w14:textId="77777777" w:rsidTr="002C5EB7">
        <w:tblPrEx>
          <w:tblBorders>
            <w:bottom w:val="single" w:sz="12" w:space="0" w:color="777777"/>
          </w:tblBorders>
        </w:tblPrEx>
        <w:trPr>
          <w:cantSplit/>
        </w:trPr>
        <w:tc>
          <w:tcPr>
            <w:tcW w:w="5000" w:type="pct"/>
            <w:gridSpan w:val="10"/>
            <w:tcBorders>
              <w:bottom w:val="single" w:sz="4" w:space="0" w:color="auto"/>
            </w:tcBorders>
            <w:shd w:val="clear" w:color="auto" w:fill="auto"/>
            <w:vAlign w:val="center"/>
          </w:tcPr>
          <w:p w14:paraId="628082FA" w14:textId="720ED86E" w:rsidR="0023348B" w:rsidRPr="0087752B" w:rsidRDefault="006016B9" w:rsidP="00EF4010">
            <w:pPr>
              <w:pStyle w:val="DETTableTextFinancial"/>
              <w:rPr>
                <w:i/>
              </w:rPr>
            </w:pPr>
            <w:r w:rsidRPr="0087752B">
              <w:rPr>
                <w:i/>
              </w:rPr>
              <w:t>This performance measure refers to government schools only. The 2015–16 Actual is higher than the 2015–16 Target due to increased provision of professional development programs offered by the Bastow Institute of Educational Leadership, including rural and regional programs.</w:t>
            </w:r>
          </w:p>
        </w:tc>
      </w:tr>
      <w:tr w:rsidR="006016B9" w:rsidRPr="0087752B" w14:paraId="4A76A05A" w14:textId="77777777" w:rsidTr="002C5EB7">
        <w:tblPrEx>
          <w:tblBorders>
            <w:bottom w:val="single" w:sz="12" w:space="0" w:color="777777"/>
          </w:tblBorders>
        </w:tblPrEx>
        <w:trPr>
          <w:cantSplit/>
        </w:trPr>
        <w:tc>
          <w:tcPr>
            <w:tcW w:w="5000" w:type="pct"/>
            <w:gridSpan w:val="10"/>
            <w:tcBorders>
              <w:top w:val="single" w:sz="4" w:space="0" w:color="auto"/>
            </w:tcBorders>
            <w:shd w:val="clear" w:color="auto" w:fill="auto"/>
            <w:vAlign w:val="center"/>
          </w:tcPr>
          <w:p w14:paraId="0A76DBAE" w14:textId="77777777" w:rsidR="002C5EB7" w:rsidRDefault="002C5EB7" w:rsidP="00EF4010">
            <w:pPr>
              <w:pStyle w:val="DETTableTextFinancial"/>
              <w:rPr>
                <w:b/>
              </w:rPr>
            </w:pPr>
          </w:p>
          <w:p w14:paraId="2C8020CA" w14:textId="77777777" w:rsidR="006016B9" w:rsidRPr="0087752B" w:rsidRDefault="006016B9" w:rsidP="00EF4010">
            <w:pPr>
              <w:pStyle w:val="DETTableTextFinancial"/>
              <w:rPr>
                <w:b/>
              </w:rPr>
            </w:pPr>
            <w:r w:rsidRPr="0087752B">
              <w:rPr>
                <w:b/>
              </w:rPr>
              <w:t>Quality</w:t>
            </w:r>
          </w:p>
        </w:tc>
      </w:tr>
      <w:tr w:rsidR="00D65DDE" w:rsidRPr="0087752B" w14:paraId="0AF627D7" w14:textId="77777777" w:rsidTr="00D65DDE">
        <w:trPr>
          <w:cantSplit/>
        </w:trPr>
        <w:tc>
          <w:tcPr>
            <w:tcW w:w="2314" w:type="pct"/>
            <w:gridSpan w:val="3"/>
            <w:shd w:val="clear" w:color="auto" w:fill="auto"/>
            <w:vAlign w:val="center"/>
          </w:tcPr>
          <w:p w14:paraId="43F274A9" w14:textId="77777777" w:rsidR="006016B9" w:rsidRPr="0087752B" w:rsidRDefault="006016B9" w:rsidP="00EF4010">
            <w:pPr>
              <w:pStyle w:val="DETTableTextFinancial"/>
            </w:pPr>
            <w:r w:rsidRPr="0087752B">
              <w:t>Parent satisfaction with primary schooling on a 100-point scale</w:t>
            </w:r>
          </w:p>
        </w:tc>
        <w:tc>
          <w:tcPr>
            <w:tcW w:w="570" w:type="pct"/>
            <w:shd w:val="clear" w:color="auto" w:fill="auto"/>
          </w:tcPr>
          <w:p w14:paraId="47725AAD" w14:textId="77777777" w:rsidR="006016B9" w:rsidRPr="0087752B" w:rsidRDefault="006016B9" w:rsidP="00EF4010">
            <w:pPr>
              <w:pStyle w:val="DETTableTextFinancial"/>
            </w:pPr>
            <w:r w:rsidRPr="0087752B">
              <w:t>100-point scale</w:t>
            </w:r>
          </w:p>
        </w:tc>
        <w:tc>
          <w:tcPr>
            <w:tcW w:w="570" w:type="pct"/>
            <w:gridSpan w:val="2"/>
            <w:shd w:val="clear" w:color="auto" w:fill="auto"/>
          </w:tcPr>
          <w:p w14:paraId="090D6C2D" w14:textId="77777777" w:rsidR="006016B9" w:rsidRPr="0087752B" w:rsidRDefault="006016B9" w:rsidP="00EF4010">
            <w:pPr>
              <w:pStyle w:val="DETTableTextFinancial"/>
              <w:jc w:val="right"/>
            </w:pPr>
            <w:r w:rsidRPr="0087752B">
              <w:t>83</w:t>
            </w:r>
          </w:p>
        </w:tc>
        <w:tc>
          <w:tcPr>
            <w:tcW w:w="473" w:type="pct"/>
            <w:shd w:val="clear" w:color="auto" w:fill="auto"/>
          </w:tcPr>
          <w:p w14:paraId="62FBBF34" w14:textId="77777777" w:rsidR="006016B9" w:rsidRPr="0087752B" w:rsidRDefault="006016B9" w:rsidP="00EF4010">
            <w:pPr>
              <w:pStyle w:val="DETTableTextFinancial"/>
              <w:jc w:val="right"/>
            </w:pPr>
            <w:r w:rsidRPr="0087752B">
              <w:t>83</w:t>
            </w:r>
          </w:p>
        </w:tc>
        <w:tc>
          <w:tcPr>
            <w:tcW w:w="668" w:type="pct"/>
            <w:gridSpan w:val="2"/>
          </w:tcPr>
          <w:p w14:paraId="6EE32B51" w14:textId="77777777" w:rsidR="006016B9" w:rsidRPr="0087752B" w:rsidRDefault="006016B9" w:rsidP="00EF4010">
            <w:pPr>
              <w:pStyle w:val="DETTableTextFinancial"/>
              <w:jc w:val="right"/>
            </w:pPr>
            <w:r w:rsidRPr="0087752B">
              <w:t>0.0</w:t>
            </w:r>
          </w:p>
        </w:tc>
        <w:tc>
          <w:tcPr>
            <w:tcW w:w="406" w:type="pct"/>
          </w:tcPr>
          <w:p w14:paraId="1C01C52E" w14:textId="77777777" w:rsidR="006016B9" w:rsidRPr="005C767D" w:rsidRDefault="006016B9" w:rsidP="00EF4010">
            <w:pPr>
              <w:jc w:val="right"/>
            </w:pPr>
            <w:r w:rsidRPr="005C767D">
              <w:sym w:font="Wingdings" w:char="F0FC"/>
            </w:r>
          </w:p>
        </w:tc>
      </w:tr>
      <w:tr w:rsidR="006016B9" w:rsidRPr="0087752B" w14:paraId="175FE188" w14:textId="77777777" w:rsidTr="006016B9">
        <w:tblPrEx>
          <w:tblBorders>
            <w:bottom w:val="single" w:sz="12" w:space="0" w:color="777777"/>
          </w:tblBorders>
        </w:tblPrEx>
        <w:trPr>
          <w:cantSplit/>
        </w:trPr>
        <w:tc>
          <w:tcPr>
            <w:tcW w:w="5000" w:type="pct"/>
            <w:gridSpan w:val="10"/>
            <w:shd w:val="clear" w:color="auto" w:fill="auto"/>
            <w:vAlign w:val="center"/>
          </w:tcPr>
          <w:p w14:paraId="20632A71" w14:textId="77777777" w:rsidR="006016B9" w:rsidRPr="0087752B" w:rsidRDefault="006016B9" w:rsidP="00EF4010">
            <w:pPr>
              <w:pStyle w:val="DETTableTextFinancial"/>
              <w:rPr>
                <w:i/>
                <w:highlight w:val="yellow"/>
              </w:rPr>
            </w:pPr>
            <w:r w:rsidRPr="0087752B">
              <w:rPr>
                <w:i/>
              </w:rPr>
              <w:t>This performance measure refers to government schools only. Data is drawn from the Parent Opinion Survey, where a higher score represents a higher level of satisfaction.</w:t>
            </w:r>
          </w:p>
        </w:tc>
      </w:tr>
      <w:tr w:rsidR="00D65DDE" w:rsidRPr="0087752B" w14:paraId="0460908F" w14:textId="77777777" w:rsidTr="00D65DDE">
        <w:trPr>
          <w:cantSplit/>
        </w:trPr>
        <w:tc>
          <w:tcPr>
            <w:tcW w:w="2314" w:type="pct"/>
            <w:gridSpan w:val="3"/>
            <w:shd w:val="clear" w:color="auto" w:fill="auto"/>
            <w:vAlign w:val="center"/>
          </w:tcPr>
          <w:p w14:paraId="545BE5E3" w14:textId="79CE0D11" w:rsidR="006016B9" w:rsidRPr="0087752B" w:rsidRDefault="006016B9" w:rsidP="00EF4010">
            <w:pPr>
              <w:pStyle w:val="DETTableTextFinancial"/>
            </w:pPr>
            <w:r w:rsidRPr="0087752B">
              <w:t>Percentage of Indigenous students above the bottom three bands for numeracy in Year 3 (National Assessment Program Literacy and Numeracy</w:t>
            </w:r>
            <w:r w:rsidR="0023348B" w:rsidRPr="0087752B">
              <w:t>—</w:t>
            </w:r>
            <w:r w:rsidRPr="0087752B">
              <w:t>NAPLAN testing)</w:t>
            </w:r>
          </w:p>
        </w:tc>
        <w:tc>
          <w:tcPr>
            <w:tcW w:w="570" w:type="pct"/>
            <w:shd w:val="clear" w:color="auto" w:fill="auto"/>
          </w:tcPr>
          <w:p w14:paraId="648F1A3E" w14:textId="77777777" w:rsidR="006016B9" w:rsidRPr="0087752B" w:rsidRDefault="006016B9" w:rsidP="00EF4010">
            <w:pPr>
              <w:pStyle w:val="DETTableTextFinancial"/>
            </w:pPr>
            <w:r w:rsidRPr="0087752B">
              <w:t>per cent</w:t>
            </w:r>
          </w:p>
        </w:tc>
        <w:tc>
          <w:tcPr>
            <w:tcW w:w="570" w:type="pct"/>
            <w:gridSpan w:val="2"/>
            <w:shd w:val="clear" w:color="auto" w:fill="auto"/>
          </w:tcPr>
          <w:p w14:paraId="60EEA220" w14:textId="77777777" w:rsidR="006016B9" w:rsidRPr="0087752B" w:rsidRDefault="006016B9" w:rsidP="00EF4010">
            <w:pPr>
              <w:pStyle w:val="DETTableTextFinancial"/>
              <w:jc w:val="right"/>
            </w:pPr>
            <w:r w:rsidRPr="0087752B">
              <w:t>43.9</w:t>
            </w:r>
          </w:p>
        </w:tc>
        <w:tc>
          <w:tcPr>
            <w:tcW w:w="473" w:type="pct"/>
            <w:shd w:val="clear" w:color="auto" w:fill="auto"/>
          </w:tcPr>
          <w:p w14:paraId="3DCE8B27" w14:textId="77777777" w:rsidR="006016B9" w:rsidRPr="0087752B" w:rsidRDefault="006016B9" w:rsidP="00EF4010">
            <w:pPr>
              <w:pStyle w:val="DETTableTextFinancial"/>
              <w:jc w:val="right"/>
            </w:pPr>
            <w:r w:rsidRPr="0087752B">
              <w:t>38.1</w:t>
            </w:r>
          </w:p>
        </w:tc>
        <w:tc>
          <w:tcPr>
            <w:tcW w:w="668" w:type="pct"/>
            <w:gridSpan w:val="2"/>
          </w:tcPr>
          <w:p w14:paraId="37BD35BA" w14:textId="77777777" w:rsidR="006016B9" w:rsidRPr="0087752B" w:rsidRDefault="006016B9" w:rsidP="00EF4010">
            <w:pPr>
              <w:pStyle w:val="DETTableTextFinancial"/>
              <w:jc w:val="right"/>
            </w:pPr>
            <w:r w:rsidRPr="0087752B">
              <w:t>-13.2</w:t>
            </w:r>
          </w:p>
        </w:tc>
        <w:tc>
          <w:tcPr>
            <w:tcW w:w="406" w:type="pct"/>
          </w:tcPr>
          <w:p w14:paraId="70C30340" w14:textId="77777777" w:rsidR="006016B9" w:rsidRPr="005C767D" w:rsidRDefault="006016B9" w:rsidP="00EF4010">
            <w:pPr>
              <w:jc w:val="right"/>
            </w:pPr>
            <w:r w:rsidRPr="005C767D">
              <w:sym w:font="Wingdings" w:char="F0FB"/>
            </w:r>
          </w:p>
        </w:tc>
      </w:tr>
      <w:tr w:rsidR="006016B9" w:rsidRPr="0087752B" w14:paraId="2D43BB2C" w14:textId="77777777" w:rsidTr="006016B9">
        <w:tblPrEx>
          <w:tblBorders>
            <w:bottom w:val="single" w:sz="12" w:space="0" w:color="777777"/>
          </w:tblBorders>
        </w:tblPrEx>
        <w:trPr>
          <w:cantSplit/>
        </w:trPr>
        <w:tc>
          <w:tcPr>
            <w:tcW w:w="5000" w:type="pct"/>
            <w:gridSpan w:val="10"/>
            <w:shd w:val="clear" w:color="auto" w:fill="auto"/>
            <w:vAlign w:val="center"/>
          </w:tcPr>
          <w:p w14:paraId="07967D6B" w14:textId="77777777" w:rsidR="006016B9" w:rsidRPr="0087752B" w:rsidRDefault="006016B9" w:rsidP="00EF4010">
            <w:pPr>
              <w:pStyle w:val="DETTableTextFinancial"/>
              <w:rPr>
                <w:i/>
              </w:rPr>
            </w:pPr>
            <w:r w:rsidRPr="0087752B">
              <w:rPr>
                <w:i/>
              </w:rPr>
              <w:t xml:space="preserve">This performance measure relates to student performance assessed in May 2015. </w:t>
            </w:r>
          </w:p>
          <w:p w14:paraId="33561F94" w14:textId="77777777" w:rsidR="006016B9" w:rsidRPr="0087752B" w:rsidRDefault="006016B9" w:rsidP="00EF4010">
            <w:pPr>
              <w:pStyle w:val="DETTableTextFinancial"/>
              <w:rPr>
                <w:i/>
              </w:rPr>
            </w:pPr>
            <w:r w:rsidRPr="0087752B">
              <w:rPr>
                <w:i/>
              </w:rPr>
              <w:t xml:space="preserve">When interpreting results, a 95 per cent confidence interval of +/- 3.34 percentage points needs to be considered as the reported number is an estimate of the student ability for which there is associated measurement error, standard to any such assessment. </w:t>
            </w:r>
          </w:p>
          <w:p w14:paraId="0A0642F7" w14:textId="77777777" w:rsidR="006016B9" w:rsidRPr="0087752B" w:rsidRDefault="006016B9" w:rsidP="00EF4010">
            <w:pPr>
              <w:pStyle w:val="DETTableTextFinancial"/>
              <w:rPr>
                <w:highlight w:val="yellow"/>
              </w:rPr>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0AD4C87A" w14:textId="77777777" w:rsidTr="00D65DDE">
        <w:trPr>
          <w:cantSplit/>
        </w:trPr>
        <w:tc>
          <w:tcPr>
            <w:tcW w:w="2314" w:type="pct"/>
            <w:gridSpan w:val="3"/>
            <w:shd w:val="clear" w:color="auto" w:fill="auto"/>
            <w:vAlign w:val="center"/>
          </w:tcPr>
          <w:p w14:paraId="1A705EBA" w14:textId="77777777" w:rsidR="006016B9" w:rsidRPr="0087752B" w:rsidRDefault="006016B9" w:rsidP="00EF4010">
            <w:pPr>
              <w:pStyle w:val="DETTableTextFinancial"/>
            </w:pPr>
            <w:r w:rsidRPr="0087752B">
              <w:t>Percentage of Indigenous students above the bottom three bands for numeracy in Year 5 (NAPLAN testing)</w:t>
            </w:r>
          </w:p>
        </w:tc>
        <w:tc>
          <w:tcPr>
            <w:tcW w:w="570" w:type="pct"/>
            <w:shd w:val="clear" w:color="auto" w:fill="auto"/>
          </w:tcPr>
          <w:p w14:paraId="63EED3F2" w14:textId="77777777" w:rsidR="006016B9" w:rsidRPr="0087752B" w:rsidRDefault="006016B9" w:rsidP="00EF4010">
            <w:pPr>
              <w:pStyle w:val="DETTableTextFinancial"/>
            </w:pPr>
            <w:r w:rsidRPr="0087752B">
              <w:t>per cent</w:t>
            </w:r>
          </w:p>
        </w:tc>
        <w:tc>
          <w:tcPr>
            <w:tcW w:w="570" w:type="pct"/>
            <w:gridSpan w:val="2"/>
            <w:shd w:val="clear" w:color="auto" w:fill="auto"/>
          </w:tcPr>
          <w:p w14:paraId="5C45C49A" w14:textId="77777777" w:rsidR="006016B9" w:rsidRPr="0087752B" w:rsidRDefault="006016B9" w:rsidP="00EF4010">
            <w:pPr>
              <w:pStyle w:val="DETTableTextFinancial"/>
              <w:jc w:val="right"/>
            </w:pPr>
            <w:r w:rsidRPr="0087752B">
              <w:t>33.4</w:t>
            </w:r>
          </w:p>
        </w:tc>
        <w:tc>
          <w:tcPr>
            <w:tcW w:w="473" w:type="pct"/>
            <w:shd w:val="clear" w:color="auto" w:fill="auto"/>
          </w:tcPr>
          <w:p w14:paraId="7B94320A" w14:textId="77777777" w:rsidR="006016B9" w:rsidRPr="0087752B" w:rsidRDefault="006016B9" w:rsidP="00EF4010">
            <w:pPr>
              <w:pStyle w:val="DETTableTextFinancial"/>
              <w:jc w:val="right"/>
            </w:pPr>
            <w:r w:rsidRPr="0087752B">
              <w:t>29.7</w:t>
            </w:r>
          </w:p>
        </w:tc>
        <w:tc>
          <w:tcPr>
            <w:tcW w:w="668" w:type="pct"/>
            <w:gridSpan w:val="2"/>
          </w:tcPr>
          <w:p w14:paraId="7F50B1A0" w14:textId="77777777" w:rsidR="006016B9" w:rsidRPr="0087752B" w:rsidRDefault="006016B9" w:rsidP="00EF4010">
            <w:pPr>
              <w:pStyle w:val="DETTableTextFinancial"/>
              <w:jc w:val="right"/>
            </w:pPr>
            <w:r w:rsidRPr="0087752B">
              <w:t>-11.1</w:t>
            </w:r>
          </w:p>
        </w:tc>
        <w:tc>
          <w:tcPr>
            <w:tcW w:w="406" w:type="pct"/>
          </w:tcPr>
          <w:p w14:paraId="55BB3B0A" w14:textId="77777777" w:rsidR="006016B9" w:rsidRPr="005C767D" w:rsidRDefault="006016B9" w:rsidP="00EF4010">
            <w:pPr>
              <w:jc w:val="right"/>
            </w:pPr>
            <w:r w:rsidRPr="005C767D">
              <w:sym w:font="Wingdings" w:char="F0FB"/>
            </w:r>
          </w:p>
        </w:tc>
      </w:tr>
      <w:tr w:rsidR="006016B9" w:rsidRPr="0087752B" w14:paraId="3854A87C" w14:textId="77777777" w:rsidTr="006016B9">
        <w:tblPrEx>
          <w:tblBorders>
            <w:bottom w:val="single" w:sz="12" w:space="0" w:color="777777"/>
          </w:tblBorders>
        </w:tblPrEx>
        <w:trPr>
          <w:cantSplit/>
        </w:trPr>
        <w:tc>
          <w:tcPr>
            <w:tcW w:w="5000" w:type="pct"/>
            <w:gridSpan w:val="10"/>
            <w:shd w:val="clear" w:color="auto" w:fill="auto"/>
            <w:vAlign w:val="center"/>
          </w:tcPr>
          <w:p w14:paraId="201B9BA2" w14:textId="77777777" w:rsidR="006016B9" w:rsidRPr="0087752B" w:rsidRDefault="006016B9" w:rsidP="00EF4010">
            <w:pPr>
              <w:pStyle w:val="DETTableTextFinancial"/>
              <w:rPr>
                <w:i/>
              </w:rPr>
            </w:pPr>
            <w:r w:rsidRPr="0087752B">
              <w:rPr>
                <w:i/>
              </w:rPr>
              <w:lastRenderedPageBreak/>
              <w:t xml:space="preserve">This performance measure relates to student performance assessed in May 2015. </w:t>
            </w:r>
          </w:p>
          <w:p w14:paraId="5E2E48E0" w14:textId="77777777" w:rsidR="006016B9" w:rsidRPr="0087752B" w:rsidRDefault="006016B9" w:rsidP="00EF4010">
            <w:pPr>
              <w:pStyle w:val="DETTableTextFinancial"/>
              <w:rPr>
                <w:i/>
              </w:rPr>
            </w:pPr>
            <w:r w:rsidRPr="0087752B">
              <w:rPr>
                <w:i/>
              </w:rPr>
              <w:t xml:space="preserve">When interpreting results, a 95 per cent confidence interval of +/- 3.27 percentage points needs to be considered as the reported number is an estimate of the student ability for which there is associated measurement error, standard to any such assessment. </w:t>
            </w:r>
          </w:p>
          <w:p w14:paraId="30AEADF7" w14:textId="0E2FDDC3" w:rsidR="006016B9" w:rsidRPr="0087752B" w:rsidRDefault="006016B9" w:rsidP="00EF4010">
            <w:pPr>
              <w:pStyle w:val="DETTableTextFinancial"/>
              <w:rPr>
                <w:highlight w:val="yellow"/>
              </w:rPr>
            </w:pPr>
            <w:r w:rsidRPr="0087752B">
              <w:rPr>
                <w:i/>
              </w:rPr>
              <w:t>Improvement resulting from Education State initiatives is not reflected in NAPLAN 2015</w:t>
            </w:r>
            <w:r w:rsidR="0023348B" w:rsidRPr="0087752B">
              <w:rPr>
                <w:i/>
              </w:rPr>
              <w:t>–</w:t>
            </w:r>
            <w:r w:rsidRPr="0087752B">
              <w:rPr>
                <w:i/>
              </w:rPr>
              <w:t>16 results, as testing was undertaken prior to the implementation of these significant reforms.</w:t>
            </w:r>
          </w:p>
        </w:tc>
      </w:tr>
      <w:tr w:rsidR="00D65DDE" w:rsidRPr="0087752B" w14:paraId="28B737D7" w14:textId="77777777" w:rsidTr="00D65DDE">
        <w:trPr>
          <w:cantSplit/>
        </w:trPr>
        <w:tc>
          <w:tcPr>
            <w:tcW w:w="2314" w:type="pct"/>
            <w:gridSpan w:val="3"/>
            <w:shd w:val="clear" w:color="auto" w:fill="auto"/>
            <w:vAlign w:val="center"/>
          </w:tcPr>
          <w:p w14:paraId="22D06907" w14:textId="77777777" w:rsidR="006016B9" w:rsidRPr="0087752B" w:rsidRDefault="006016B9" w:rsidP="00EF4010">
            <w:pPr>
              <w:pStyle w:val="DETTableTextFinancial"/>
            </w:pPr>
            <w:r w:rsidRPr="0087752B">
              <w:t>Percentage of Indigenous students above the bottom three bands for reading in Year 3 (NAPLAN testing)</w:t>
            </w:r>
          </w:p>
        </w:tc>
        <w:tc>
          <w:tcPr>
            <w:tcW w:w="570" w:type="pct"/>
            <w:shd w:val="clear" w:color="auto" w:fill="auto"/>
          </w:tcPr>
          <w:p w14:paraId="3059EC10" w14:textId="77777777" w:rsidR="006016B9" w:rsidRPr="0087752B" w:rsidRDefault="006016B9" w:rsidP="00EF4010">
            <w:pPr>
              <w:pStyle w:val="DETTableTextFinancial"/>
            </w:pPr>
            <w:r w:rsidRPr="0087752B">
              <w:t>per cent</w:t>
            </w:r>
          </w:p>
        </w:tc>
        <w:tc>
          <w:tcPr>
            <w:tcW w:w="570" w:type="pct"/>
            <w:gridSpan w:val="2"/>
            <w:shd w:val="clear" w:color="auto" w:fill="auto"/>
          </w:tcPr>
          <w:p w14:paraId="04C1F656" w14:textId="77777777" w:rsidR="006016B9" w:rsidRPr="0087752B" w:rsidRDefault="006016B9" w:rsidP="00EF4010">
            <w:pPr>
              <w:pStyle w:val="DETTableTextFinancial"/>
              <w:jc w:val="right"/>
            </w:pPr>
            <w:r w:rsidRPr="0087752B">
              <w:t>48.7</w:t>
            </w:r>
          </w:p>
        </w:tc>
        <w:tc>
          <w:tcPr>
            <w:tcW w:w="473" w:type="pct"/>
            <w:shd w:val="clear" w:color="auto" w:fill="auto"/>
          </w:tcPr>
          <w:p w14:paraId="2013F086" w14:textId="77777777" w:rsidR="006016B9" w:rsidRPr="0087752B" w:rsidRDefault="006016B9" w:rsidP="00EF4010">
            <w:pPr>
              <w:pStyle w:val="DETTableTextFinancial"/>
              <w:jc w:val="right"/>
            </w:pPr>
            <w:r w:rsidRPr="0087752B">
              <w:t>47.3</w:t>
            </w:r>
          </w:p>
        </w:tc>
        <w:tc>
          <w:tcPr>
            <w:tcW w:w="668" w:type="pct"/>
            <w:gridSpan w:val="2"/>
          </w:tcPr>
          <w:p w14:paraId="37FF0FC2" w14:textId="77777777" w:rsidR="006016B9" w:rsidRPr="0087752B" w:rsidRDefault="006016B9" w:rsidP="00EF4010">
            <w:pPr>
              <w:pStyle w:val="DETTableTextFinancial"/>
              <w:jc w:val="right"/>
            </w:pPr>
            <w:r w:rsidRPr="0087752B">
              <w:t>-2.9</w:t>
            </w:r>
          </w:p>
        </w:tc>
        <w:tc>
          <w:tcPr>
            <w:tcW w:w="406" w:type="pct"/>
          </w:tcPr>
          <w:p w14:paraId="4F0C5F77" w14:textId="77777777" w:rsidR="006016B9" w:rsidRPr="005C767D" w:rsidRDefault="006016B9" w:rsidP="00EF4010">
            <w:pPr>
              <w:jc w:val="right"/>
            </w:pPr>
            <w:r w:rsidRPr="005C767D">
              <w:sym w:font="Wingdings" w:char="F0FC"/>
            </w:r>
          </w:p>
        </w:tc>
      </w:tr>
      <w:tr w:rsidR="006016B9" w:rsidRPr="0087752B" w14:paraId="0CAA34E2" w14:textId="77777777" w:rsidTr="006016B9">
        <w:tblPrEx>
          <w:tblBorders>
            <w:bottom w:val="single" w:sz="12" w:space="0" w:color="777777"/>
          </w:tblBorders>
        </w:tblPrEx>
        <w:trPr>
          <w:cantSplit/>
        </w:trPr>
        <w:tc>
          <w:tcPr>
            <w:tcW w:w="5000" w:type="pct"/>
            <w:gridSpan w:val="10"/>
            <w:shd w:val="clear" w:color="auto" w:fill="auto"/>
            <w:vAlign w:val="center"/>
          </w:tcPr>
          <w:p w14:paraId="17E60441" w14:textId="77777777" w:rsidR="006016B9" w:rsidRPr="0087752B" w:rsidRDefault="006016B9" w:rsidP="00EF4010">
            <w:pPr>
              <w:pStyle w:val="DETTableTextFinancial"/>
              <w:rPr>
                <w:i/>
              </w:rPr>
            </w:pPr>
            <w:r w:rsidRPr="0087752B">
              <w:rPr>
                <w:i/>
              </w:rPr>
              <w:t>This performance measure relates to student performance assessed in May 2015.</w:t>
            </w:r>
          </w:p>
          <w:p w14:paraId="6E3E0096" w14:textId="77777777" w:rsidR="006016B9" w:rsidRPr="0087752B" w:rsidRDefault="006016B9" w:rsidP="00EF4010">
            <w:pPr>
              <w:pStyle w:val="DETTableTextFinancial"/>
              <w:rPr>
                <w:i/>
              </w:rPr>
            </w:pPr>
            <w:r w:rsidRPr="0087752B">
              <w:rPr>
                <w:i/>
              </w:rPr>
              <w:t>When interpreting results, a 95 per cent confidence interval of +/- 3.41 percentage points needs to be considered as the reported number is an estimate of the student ability for which there is associated measurement error, standard to any such assessment. The 2015–16 Actual result is within the confidence interval and has met the 2015–16 Target.</w:t>
            </w:r>
          </w:p>
          <w:p w14:paraId="5BA96590"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r w:rsidRPr="0087752B">
              <w:t xml:space="preserve">  </w:t>
            </w:r>
          </w:p>
        </w:tc>
      </w:tr>
      <w:tr w:rsidR="00D65DDE" w:rsidRPr="0087752B" w14:paraId="44647FAD" w14:textId="77777777" w:rsidTr="00237FCA">
        <w:trPr>
          <w:cantSplit/>
        </w:trPr>
        <w:tc>
          <w:tcPr>
            <w:tcW w:w="2314" w:type="pct"/>
            <w:gridSpan w:val="3"/>
            <w:shd w:val="clear" w:color="auto" w:fill="auto"/>
            <w:vAlign w:val="center"/>
          </w:tcPr>
          <w:p w14:paraId="78BB8755" w14:textId="77777777" w:rsidR="006016B9" w:rsidRPr="0087752B" w:rsidRDefault="006016B9" w:rsidP="00EF4010">
            <w:pPr>
              <w:pStyle w:val="DETTableTextFinancial"/>
            </w:pPr>
            <w:r w:rsidRPr="0087752B">
              <w:t>Percentage of Indigenous students above the bottom three bands for reading in Year 5 (NAPLAN testing)</w:t>
            </w:r>
          </w:p>
        </w:tc>
        <w:tc>
          <w:tcPr>
            <w:tcW w:w="570" w:type="pct"/>
            <w:shd w:val="clear" w:color="auto" w:fill="auto"/>
          </w:tcPr>
          <w:p w14:paraId="4D43C1C9" w14:textId="77777777" w:rsidR="006016B9" w:rsidRPr="0087752B" w:rsidRDefault="006016B9" w:rsidP="00EF4010">
            <w:pPr>
              <w:pStyle w:val="DETTableTextFinancial"/>
            </w:pPr>
            <w:r w:rsidRPr="0087752B">
              <w:t>per cent</w:t>
            </w:r>
          </w:p>
        </w:tc>
        <w:tc>
          <w:tcPr>
            <w:tcW w:w="570" w:type="pct"/>
            <w:gridSpan w:val="2"/>
            <w:shd w:val="clear" w:color="auto" w:fill="auto"/>
          </w:tcPr>
          <w:p w14:paraId="3B6E2A3D" w14:textId="77777777" w:rsidR="006016B9" w:rsidRPr="0087752B" w:rsidRDefault="006016B9" w:rsidP="00EF4010">
            <w:pPr>
              <w:pStyle w:val="DETTableTextFinancial"/>
              <w:jc w:val="right"/>
            </w:pPr>
            <w:r w:rsidRPr="0087752B">
              <w:t>40</w:t>
            </w:r>
          </w:p>
        </w:tc>
        <w:tc>
          <w:tcPr>
            <w:tcW w:w="473" w:type="pct"/>
            <w:shd w:val="clear" w:color="auto" w:fill="auto"/>
          </w:tcPr>
          <w:p w14:paraId="0C57476C" w14:textId="77777777" w:rsidR="006016B9" w:rsidRPr="0087752B" w:rsidRDefault="006016B9" w:rsidP="00EF4010">
            <w:pPr>
              <w:pStyle w:val="DETTableTextFinancial"/>
              <w:jc w:val="right"/>
            </w:pPr>
            <w:r w:rsidRPr="0087752B">
              <w:t>32.9</w:t>
            </w:r>
          </w:p>
        </w:tc>
        <w:tc>
          <w:tcPr>
            <w:tcW w:w="668" w:type="pct"/>
            <w:gridSpan w:val="2"/>
          </w:tcPr>
          <w:p w14:paraId="0B5BA4DF" w14:textId="77777777" w:rsidR="006016B9" w:rsidRPr="0087752B" w:rsidRDefault="006016B9" w:rsidP="00EF4010">
            <w:pPr>
              <w:pStyle w:val="DETTableTextFinancial"/>
              <w:jc w:val="right"/>
            </w:pPr>
            <w:r w:rsidRPr="0087752B">
              <w:t>-17.8</w:t>
            </w:r>
          </w:p>
        </w:tc>
        <w:tc>
          <w:tcPr>
            <w:tcW w:w="406" w:type="pct"/>
          </w:tcPr>
          <w:p w14:paraId="55D0C00C" w14:textId="77777777" w:rsidR="006016B9" w:rsidRPr="005C767D" w:rsidRDefault="006016B9" w:rsidP="00EF4010">
            <w:pPr>
              <w:jc w:val="right"/>
            </w:pPr>
            <w:r w:rsidRPr="005C767D">
              <w:sym w:font="Wingdings" w:char="F0FB"/>
            </w:r>
          </w:p>
        </w:tc>
      </w:tr>
      <w:tr w:rsidR="006016B9" w:rsidRPr="0087752B" w14:paraId="50E84CCB" w14:textId="77777777" w:rsidTr="00237FCA">
        <w:tblPrEx>
          <w:tblBorders>
            <w:bottom w:val="single" w:sz="12" w:space="0" w:color="777777"/>
          </w:tblBorders>
        </w:tblPrEx>
        <w:trPr>
          <w:cantSplit/>
        </w:trPr>
        <w:tc>
          <w:tcPr>
            <w:tcW w:w="5000" w:type="pct"/>
            <w:gridSpan w:val="10"/>
            <w:tcBorders>
              <w:bottom w:val="nil"/>
            </w:tcBorders>
            <w:shd w:val="clear" w:color="auto" w:fill="auto"/>
            <w:vAlign w:val="center"/>
          </w:tcPr>
          <w:p w14:paraId="5E82D83A" w14:textId="77777777" w:rsidR="006016B9" w:rsidRPr="0087752B" w:rsidRDefault="006016B9" w:rsidP="00EF4010">
            <w:pPr>
              <w:pStyle w:val="DETTableTextFinancial"/>
              <w:rPr>
                <w:i/>
              </w:rPr>
            </w:pPr>
            <w:r w:rsidRPr="0087752B">
              <w:rPr>
                <w:i/>
              </w:rPr>
              <w:t>This performance measure relates to student performance assessed in May 2015.</w:t>
            </w:r>
          </w:p>
          <w:p w14:paraId="5CAE14BE" w14:textId="77777777" w:rsidR="006016B9" w:rsidRPr="0087752B" w:rsidRDefault="006016B9" w:rsidP="00EF4010">
            <w:pPr>
              <w:pStyle w:val="DETTableTextFinancial"/>
              <w:rPr>
                <w:i/>
              </w:rPr>
            </w:pPr>
            <w:r w:rsidRPr="0087752B">
              <w:rPr>
                <w:i/>
              </w:rPr>
              <w:t>When interpreting results, a 95 per cent confidence interval of +/- 3.26 percentage points needs to be considered as the reported number is an estimate of the student ability for which there is associated measurement error, standard to any such assessment.</w:t>
            </w:r>
          </w:p>
          <w:p w14:paraId="1D5E978A"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4D8C08F6" w14:textId="77777777" w:rsidTr="00237FCA">
        <w:trPr>
          <w:cantSplit/>
        </w:trPr>
        <w:tc>
          <w:tcPr>
            <w:tcW w:w="2314" w:type="pct"/>
            <w:gridSpan w:val="3"/>
            <w:shd w:val="clear" w:color="auto" w:fill="auto"/>
            <w:vAlign w:val="center"/>
          </w:tcPr>
          <w:p w14:paraId="7AD6E268" w14:textId="7FE4C085" w:rsidR="006016B9" w:rsidRPr="0087752B" w:rsidRDefault="006016B9" w:rsidP="00EF4010">
            <w:pPr>
              <w:pStyle w:val="DETTableTextFinancial"/>
            </w:pPr>
            <w:r w:rsidRPr="0087752B">
              <w:t>Percentage of students above the bottom three bands</w:t>
            </w:r>
            <w:r w:rsidR="0036786A">
              <w:t xml:space="preserve"> for numeracy in Year 3 (NAPLAN </w:t>
            </w:r>
            <w:r w:rsidRPr="0087752B">
              <w:t>testing)</w:t>
            </w:r>
          </w:p>
        </w:tc>
        <w:tc>
          <w:tcPr>
            <w:tcW w:w="570" w:type="pct"/>
            <w:shd w:val="clear" w:color="auto" w:fill="auto"/>
          </w:tcPr>
          <w:p w14:paraId="20B8A7BE" w14:textId="77777777" w:rsidR="006016B9" w:rsidRPr="0087752B" w:rsidRDefault="006016B9" w:rsidP="00EF4010">
            <w:pPr>
              <w:pStyle w:val="DETTableTextFinancial"/>
            </w:pPr>
            <w:r w:rsidRPr="0087752B">
              <w:t>per cent</w:t>
            </w:r>
          </w:p>
        </w:tc>
        <w:tc>
          <w:tcPr>
            <w:tcW w:w="570" w:type="pct"/>
            <w:gridSpan w:val="2"/>
            <w:shd w:val="clear" w:color="auto" w:fill="auto"/>
          </w:tcPr>
          <w:p w14:paraId="6707F684" w14:textId="77777777" w:rsidR="006016B9" w:rsidRPr="0087752B" w:rsidRDefault="006016B9" w:rsidP="00EF4010">
            <w:pPr>
              <w:pStyle w:val="DETTableTextFinancial"/>
              <w:jc w:val="right"/>
            </w:pPr>
            <w:r w:rsidRPr="0087752B">
              <w:t>68.5</w:t>
            </w:r>
          </w:p>
        </w:tc>
        <w:tc>
          <w:tcPr>
            <w:tcW w:w="473" w:type="pct"/>
            <w:shd w:val="clear" w:color="auto" w:fill="auto"/>
          </w:tcPr>
          <w:p w14:paraId="378925A2" w14:textId="77777777" w:rsidR="006016B9" w:rsidRPr="0087752B" w:rsidRDefault="006016B9" w:rsidP="00EF4010">
            <w:pPr>
              <w:pStyle w:val="DETTableTextFinancial"/>
              <w:jc w:val="right"/>
            </w:pPr>
            <w:r w:rsidRPr="0087752B">
              <w:t>66.4</w:t>
            </w:r>
          </w:p>
        </w:tc>
        <w:tc>
          <w:tcPr>
            <w:tcW w:w="668" w:type="pct"/>
            <w:gridSpan w:val="2"/>
          </w:tcPr>
          <w:p w14:paraId="23757F1C" w14:textId="77777777" w:rsidR="006016B9" w:rsidRPr="0087752B" w:rsidRDefault="006016B9" w:rsidP="00EF4010">
            <w:pPr>
              <w:pStyle w:val="DETTableTextFinancial"/>
              <w:jc w:val="right"/>
            </w:pPr>
            <w:r w:rsidRPr="0087752B">
              <w:t>-3.1</w:t>
            </w:r>
          </w:p>
        </w:tc>
        <w:tc>
          <w:tcPr>
            <w:tcW w:w="406" w:type="pct"/>
          </w:tcPr>
          <w:p w14:paraId="6D9A250B" w14:textId="77777777" w:rsidR="006016B9" w:rsidRPr="005C767D" w:rsidRDefault="006016B9" w:rsidP="00EF4010">
            <w:pPr>
              <w:jc w:val="right"/>
            </w:pPr>
            <w:r w:rsidRPr="005C767D">
              <w:sym w:font="Wingdings" w:char="F06E"/>
            </w:r>
          </w:p>
        </w:tc>
      </w:tr>
      <w:tr w:rsidR="006016B9" w:rsidRPr="0087752B" w14:paraId="2CD53C6E" w14:textId="77777777" w:rsidTr="006016B9">
        <w:tblPrEx>
          <w:tblBorders>
            <w:bottom w:val="single" w:sz="12" w:space="0" w:color="777777"/>
          </w:tblBorders>
        </w:tblPrEx>
        <w:trPr>
          <w:cantSplit/>
        </w:trPr>
        <w:tc>
          <w:tcPr>
            <w:tcW w:w="5000" w:type="pct"/>
            <w:gridSpan w:val="10"/>
            <w:shd w:val="clear" w:color="auto" w:fill="auto"/>
            <w:vAlign w:val="center"/>
          </w:tcPr>
          <w:p w14:paraId="1040A9D9" w14:textId="77777777" w:rsidR="006016B9" w:rsidRPr="0087752B" w:rsidRDefault="006016B9" w:rsidP="00EF4010">
            <w:pPr>
              <w:pStyle w:val="DETTableTextFinancial"/>
              <w:rPr>
                <w:i/>
              </w:rPr>
            </w:pPr>
            <w:r w:rsidRPr="0087752B">
              <w:rPr>
                <w:i/>
              </w:rPr>
              <w:t xml:space="preserve">This performance measure relates to student performance assessed in May 2015. </w:t>
            </w:r>
          </w:p>
          <w:p w14:paraId="1BC0B390" w14:textId="77777777" w:rsidR="006016B9" w:rsidRPr="0087752B" w:rsidRDefault="006016B9" w:rsidP="00EF4010">
            <w:pPr>
              <w:pStyle w:val="DETTableTextFinancial"/>
              <w:rPr>
                <w:i/>
              </w:rPr>
            </w:pPr>
            <w:r w:rsidRPr="0087752B">
              <w:rPr>
                <w:i/>
              </w:rPr>
              <w:t>When interpreting results, a 95 per cent confidence interval of +/-  0.92 percentage points needs to be considered as the reported number is an estimate of the student ability for which there is associated measurement error, standard to any such assessment.</w:t>
            </w:r>
          </w:p>
          <w:p w14:paraId="4AB56AF6"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63C41960" w14:textId="77777777" w:rsidTr="00D65DDE">
        <w:trPr>
          <w:cantSplit/>
        </w:trPr>
        <w:tc>
          <w:tcPr>
            <w:tcW w:w="2314" w:type="pct"/>
            <w:gridSpan w:val="3"/>
            <w:shd w:val="clear" w:color="auto" w:fill="auto"/>
            <w:vAlign w:val="center"/>
          </w:tcPr>
          <w:p w14:paraId="0B7C125E" w14:textId="77777777" w:rsidR="006016B9" w:rsidRPr="0087752B" w:rsidRDefault="006016B9" w:rsidP="00EF4010">
            <w:pPr>
              <w:pStyle w:val="DETTableTextFinancial"/>
            </w:pPr>
            <w:r w:rsidRPr="0087752B">
              <w:t>Percentage of students above the bottom three bands for numeracy in Year 5 (NAPLAN testing)</w:t>
            </w:r>
          </w:p>
        </w:tc>
        <w:tc>
          <w:tcPr>
            <w:tcW w:w="570" w:type="pct"/>
            <w:shd w:val="clear" w:color="auto" w:fill="auto"/>
          </w:tcPr>
          <w:p w14:paraId="31D961C9" w14:textId="77777777" w:rsidR="006016B9" w:rsidRPr="0087752B" w:rsidRDefault="006016B9" w:rsidP="00EF4010">
            <w:pPr>
              <w:pStyle w:val="DETTableTextFinancial"/>
            </w:pPr>
            <w:r w:rsidRPr="0087752B">
              <w:t>per cent</w:t>
            </w:r>
          </w:p>
        </w:tc>
        <w:tc>
          <w:tcPr>
            <w:tcW w:w="570" w:type="pct"/>
            <w:gridSpan w:val="2"/>
            <w:shd w:val="clear" w:color="auto" w:fill="auto"/>
          </w:tcPr>
          <w:p w14:paraId="7B893A5A" w14:textId="77777777" w:rsidR="006016B9" w:rsidRPr="0087752B" w:rsidRDefault="006016B9" w:rsidP="00EF4010">
            <w:pPr>
              <w:pStyle w:val="DETTableTextFinancial"/>
              <w:jc w:val="right"/>
            </w:pPr>
            <w:r w:rsidRPr="0087752B">
              <w:t>57.5</w:t>
            </w:r>
          </w:p>
        </w:tc>
        <w:tc>
          <w:tcPr>
            <w:tcW w:w="473" w:type="pct"/>
            <w:shd w:val="clear" w:color="auto" w:fill="auto"/>
          </w:tcPr>
          <w:p w14:paraId="5A9082D5" w14:textId="77777777" w:rsidR="006016B9" w:rsidRPr="0087752B" w:rsidRDefault="006016B9" w:rsidP="00EF4010">
            <w:pPr>
              <w:pStyle w:val="DETTableTextFinancial"/>
              <w:jc w:val="right"/>
            </w:pPr>
            <w:r w:rsidRPr="0087752B">
              <w:t>61.2</w:t>
            </w:r>
          </w:p>
        </w:tc>
        <w:tc>
          <w:tcPr>
            <w:tcW w:w="668" w:type="pct"/>
            <w:gridSpan w:val="2"/>
          </w:tcPr>
          <w:p w14:paraId="74F81432" w14:textId="77777777" w:rsidR="006016B9" w:rsidRPr="0087752B" w:rsidRDefault="006016B9" w:rsidP="00EF4010">
            <w:pPr>
              <w:pStyle w:val="DETTableTextFinancial"/>
              <w:jc w:val="right"/>
            </w:pPr>
            <w:r w:rsidRPr="0087752B">
              <w:t>6.4</w:t>
            </w:r>
          </w:p>
        </w:tc>
        <w:tc>
          <w:tcPr>
            <w:tcW w:w="406" w:type="pct"/>
          </w:tcPr>
          <w:p w14:paraId="6C2BB4CD" w14:textId="77777777" w:rsidR="006016B9" w:rsidRPr="005C767D" w:rsidRDefault="006016B9" w:rsidP="00EF4010">
            <w:pPr>
              <w:jc w:val="right"/>
            </w:pPr>
            <w:r w:rsidRPr="005C767D">
              <w:sym w:font="Wingdings" w:char="F0FC"/>
            </w:r>
          </w:p>
        </w:tc>
      </w:tr>
      <w:tr w:rsidR="006016B9" w:rsidRPr="0087752B" w14:paraId="7EC65EA4" w14:textId="77777777" w:rsidTr="00B36ADC">
        <w:tblPrEx>
          <w:tblBorders>
            <w:bottom w:val="single" w:sz="12" w:space="0" w:color="777777"/>
          </w:tblBorders>
        </w:tblPrEx>
        <w:trPr>
          <w:cantSplit/>
        </w:trPr>
        <w:tc>
          <w:tcPr>
            <w:tcW w:w="5000" w:type="pct"/>
            <w:gridSpan w:val="10"/>
            <w:tcBorders>
              <w:bottom w:val="nil"/>
            </w:tcBorders>
            <w:shd w:val="clear" w:color="auto" w:fill="auto"/>
            <w:vAlign w:val="center"/>
          </w:tcPr>
          <w:p w14:paraId="750E7048" w14:textId="77777777" w:rsidR="006016B9" w:rsidRPr="0087752B" w:rsidRDefault="006016B9" w:rsidP="00EF4010">
            <w:pPr>
              <w:pStyle w:val="DETTableTextFinancial"/>
              <w:rPr>
                <w:i/>
              </w:rPr>
            </w:pPr>
            <w:r w:rsidRPr="0087752B">
              <w:rPr>
                <w:i/>
              </w:rPr>
              <w:t>This performance measure relates to student performance assessed in May 2015.</w:t>
            </w:r>
          </w:p>
          <w:p w14:paraId="45F67663" w14:textId="77777777" w:rsidR="006016B9" w:rsidRPr="0087752B" w:rsidRDefault="006016B9" w:rsidP="00EF4010">
            <w:pPr>
              <w:pStyle w:val="DETTableTextFinancial"/>
              <w:rPr>
                <w:i/>
              </w:rPr>
            </w:pPr>
            <w:r w:rsidRPr="0087752B">
              <w:rPr>
                <w:i/>
              </w:rPr>
              <w:t>When interpreting results, a 95 per cent confidence interval of +/- 1.01 percentage points needs to be considered as the reported number is an estimate of the student ability for which there is associated measurement error, standard to any such assessment.</w:t>
            </w:r>
          </w:p>
          <w:p w14:paraId="1B28941A"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3FB16CE8" w14:textId="77777777" w:rsidTr="00D65DDE">
        <w:trPr>
          <w:cantSplit/>
        </w:trPr>
        <w:tc>
          <w:tcPr>
            <w:tcW w:w="2314" w:type="pct"/>
            <w:gridSpan w:val="3"/>
            <w:shd w:val="clear" w:color="auto" w:fill="auto"/>
            <w:vAlign w:val="center"/>
          </w:tcPr>
          <w:p w14:paraId="1B29B86F" w14:textId="77777777" w:rsidR="006016B9" w:rsidRPr="0087752B" w:rsidRDefault="006016B9" w:rsidP="00EF4010">
            <w:pPr>
              <w:pStyle w:val="DETTableTextFinancial"/>
            </w:pPr>
            <w:r w:rsidRPr="0087752B">
              <w:t>Percentage of students above the bottom three bands for reading in Year 3 (NAPLAN testing)</w:t>
            </w:r>
          </w:p>
        </w:tc>
        <w:tc>
          <w:tcPr>
            <w:tcW w:w="570" w:type="pct"/>
            <w:shd w:val="clear" w:color="auto" w:fill="auto"/>
          </w:tcPr>
          <w:p w14:paraId="2A9541BC" w14:textId="77777777" w:rsidR="006016B9" w:rsidRPr="0087752B" w:rsidRDefault="006016B9" w:rsidP="00EF4010">
            <w:pPr>
              <w:pStyle w:val="DETTableTextFinancial"/>
            </w:pPr>
            <w:r w:rsidRPr="0087752B">
              <w:t>per cent</w:t>
            </w:r>
          </w:p>
        </w:tc>
        <w:tc>
          <w:tcPr>
            <w:tcW w:w="570" w:type="pct"/>
            <w:gridSpan w:val="2"/>
            <w:shd w:val="clear" w:color="auto" w:fill="auto"/>
          </w:tcPr>
          <w:p w14:paraId="3B0780BF" w14:textId="77777777" w:rsidR="006016B9" w:rsidRPr="0087752B" w:rsidRDefault="006016B9" w:rsidP="00EF4010">
            <w:pPr>
              <w:pStyle w:val="DETTableTextFinancial"/>
              <w:jc w:val="right"/>
            </w:pPr>
            <w:r w:rsidRPr="0087752B">
              <w:t>74</w:t>
            </w:r>
          </w:p>
        </w:tc>
        <w:tc>
          <w:tcPr>
            <w:tcW w:w="473" w:type="pct"/>
            <w:shd w:val="clear" w:color="auto" w:fill="auto"/>
          </w:tcPr>
          <w:p w14:paraId="29E2E2C0" w14:textId="77777777" w:rsidR="006016B9" w:rsidRPr="0087752B" w:rsidRDefault="006016B9" w:rsidP="00EF4010">
            <w:pPr>
              <w:pStyle w:val="DETTableTextFinancial"/>
              <w:jc w:val="right"/>
            </w:pPr>
            <w:r w:rsidRPr="0087752B">
              <w:t>76.2</w:t>
            </w:r>
          </w:p>
        </w:tc>
        <w:tc>
          <w:tcPr>
            <w:tcW w:w="668" w:type="pct"/>
            <w:gridSpan w:val="2"/>
          </w:tcPr>
          <w:p w14:paraId="00219E8B" w14:textId="77777777" w:rsidR="006016B9" w:rsidRPr="0087752B" w:rsidRDefault="006016B9" w:rsidP="00EF4010">
            <w:pPr>
              <w:pStyle w:val="DETTableTextFinancial"/>
              <w:jc w:val="right"/>
            </w:pPr>
            <w:r w:rsidRPr="0087752B">
              <w:t>3.0</w:t>
            </w:r>
          </w:p>
        </w:tc>
        <w:tc>
          <w:tcPr>
            <w:tcW w:w="406" w:type="pct"/>
          </w:tcPr>
          <w:p w14:paraId="24CBF637" w14:textId="77777777" w:rsidR="006016B9" w:rsidRPr="005C767D" w:rsidRDefault="006016B9" w:rsidP="00EF4010">
            <w:pPr>
              <w:jc w:val="right"/>
            </w:pPr>
            <w:r w:rsidRPr="005C767D">
              <w:sym w:font="Wingdings" w:char="F0FC"/>
            </w:r>
          </w:p>
        </w:tc>
      </w:tr>
      <w:tr w:rsidR="006016B9" w:rsidRPr="0087752B" w14:paraId="3E55072A" w14:textId="77777777" w:rsidTr="006016B9">
        <w:tblPrEx>
          <w:tblBorders>
            <w:bottom w:val="single" w:sz="12" w:space="0" w:color="777777"/>
          </w:tblBorders>
        </w:tblPrEx>
        <w:trPr>
          <w:cantSplit/>
        </w:trPr>
        <w:tc>
          <w:tcPr>
            <w:tcW w:w="5000" w:type="pct"/>
            <w:gridSpan w:val="10"/>
            <w:shd w:val="clear" w:color="auto" w:fill="auto"/>
            <w:vAlign w:val="center"/>
          </w:tcPr>
          <w:p w14:paraId="14ABC8BD" w14:textId="77777777" w:rsidR="006016B9" w:rsidRPr="0087752B" w:rsidRDefault="006016B9" w:rsidP="00EF4010">
            <w:pPr>
              <w:pStyle w:val="DETTableTextFinancial"/>
            </w:pPr>
            <w:r w:rsidRPr="0087752B">
              <w:t xml:space="preserve">This performance measure relates to student performance assessed in May 2015. </w:t>
            </w:r>
          </w:p>
          <w:p w14:paraId="1D40C6F1" w14:textId="77777777" w:rsidR="006016B9" w:rsidRPr="0087752B" w:rsidRDefault="006016B9" w:rsidP="00EF4010">
            <w:pPr>
              <w:pStyle w:val="DETTableTextFinancial"/>
            </w:pPr>
            <w:r w:rsidRPr="0087752B">
              <w:t>When interpreting results, a 95 per cent confidence interval of +/- 0.81 percentage points needs to be considered as the reported number is an estimate of the student ability for which there is associated measurement error, standard to any such assessment.</w:t>
            </w:r>
          </w:p>
          <w:p w14:paraId="591CBB94" w14:textId="77777777" w:rsidR="006016B9" w:rsidRPr="002C5EB7" w:rsidRDefault="006016B9" w:rsidP="00EF4010">
            <w:pPr>
              <w:pStyle w:val="DETTableTextFinancial"/>
              <w:rPr>
                <w:i/>
              </w:rPr>
            </w:pPr>
            <w:r w:rsidRPr="002C5EB7">
              <w:rPr>
                <w:i/>
              </w:rPr>
              <w:t>Improvement resulting from Education State initiatives is not reflected in NAPLAN 2015–16 results, as testing was undertaken prior to the implementation of these significant reforms.</w:t>
            </w:r>
          </w:p>
        </w:tc>
      </w:tr>
      <w:tr w:rsidR="00D65DDE" w:rsidRPr="0087752B" w14:paraId="1C0A8547" w14:textId="77777777" w:rsidTr="00D65DDE">
        <w:trPr>
          <w:cantSplit/>
        </w:trPr>
        <w:tc>
          <w:tcPr>
            <w:tcW w:w="2314" w:type="pct"/>
            <w:gridSpan w:val="3"/>
            <w:shd w:val="clear" w:color="auto" w:fill="auto"/>
            <w:vAlign w:val="center"/>
          </w:tcPr>
          <w:p w14:paraId="5F00AD66" w14:textId="77777777" w:rsidR="006016B9" w:rsidRPr="0087752B" w:rsidRDefault="006016B9" w:rsidP="00EF4010">
            <w:pPr>
              <w:pStyle w:val="DETTableTextFinancial"/>
            </w:pPr>
            <w:r w:rsidRPr="0087752B">
              <w:t>Percentage of students above the bottom three bands for reading in Year 5 (NAPLAN testing)</w:t>
            </w:r>
          </w:p>
        </w:tc>
        <w:tc>
          <w:tcPr>
            <w:tcW w:w="570" w:type="pct"/>
            <w:shd w:val="clear" w:color="auto" w:fill="auto"/>
          </w:tcPr>
          <w:p w14:paraId="38090569" w14:textId="77777777" w:rsidR="006016B9" w:rsidRPr="0087752B" w:rsidRDefault="006016B9" w:rsidP="00EF4010">
            <w:pPr>
              <w:pStyle w:val="DETTableTextFinancial"/>
            </w:pPr>
            <w:r w:rsidRPr="0087752B">
              <w:t>per cent</w:t>
            </w:r>
          </w:p>
        </w:tc>
        <w:tc>
          <w:tcPr>
            <w:tcW w:w="570" w:type="pct"/>
            <w:gridSpan w:val="2"/>
            <w:shd w:val="clear" w:color="auto" w:fill="auto"/>
          </w:tcPr>
          <w:p w14:paraId="4D216170" w14:textId="77777777" w:rsidR="006016B9" w:rsidRPr="0087752B" w:rsidRDefault="006016B9" w:rsidP="00EF4010">
            <w:pPr>
              <w:pStyle w:val="DETTableTextFinancial"/>
              <w:jc w:val="right"/>
            </w:pPr>
            <w:r w:rsidRPr="0087752B">
              <w:t>64.5</w:t>
            </w:r>
          </w:p>
        </w:tc>
        <w:tc>
          <w:tcPr>
            <w:tcW w:w="473" w:type="pct"/>
            <w:shd w:val="clear" w:color="auto" w:fill="auto"/>
          </w:tcPr>
          <w:p w14:paraId="14A3ECCB" w14:textId="77777777" w:rsidR="006016B9" w:rsidRPr="0087752B" w:rsidRDefault="006016B9" w:rsidP="00EF4010">
            <w:pPr>
              <w:pStyle w:val="DETTableTextFinancial"/>
              <w:jc w:val="right"/>
            </w:pPr>
            <w:r w:rsidRPr="0087752B">
              <w:t>62.2</w:t>
            </w:r>
          </w:p>
        </w:tc>
        <w:tc>
          <w:tcPr>
            <w:tcW w:w="668" w:type="pct"/>
            <w:gridSpan w:val="2"/>
          </w:tcPr>
          <w:p w14:paraId="6FBFD8D2" w14:textId="77777777" w:rsidR="006016B9" w:rsidRPr="0087752B" w:rsidRDefault="006016B9" w:rsidP="00EF4010">
            <w:pPr>
              <w:pStyle w:val="DETTableTextFinancial"/>
              <w:jc w:val="right"/>
            </w:pPr>
            <w:r w:rsidRPr="0087752B">
              <w:t>-3.6</w:t>
            </w:r>
          </w:p>
        </w:tc>
        <w:tc>
          <w:tcPr>
            <w:tcW w:w="406" w:type="pct"/>
          </w:tcPr>
          <w:p w14:paraId="2DEDEF85" w14:textId="77777777" w:rsidR="006016B9" w:rsidRPr="005C767D" w:rsidRDefault="006016B9" w:rsidP="00EF4010">
            <w:pPr>
              <w:jc w:val="right"/>
            </w:pPr>
            <w:r w:rsidRPr="005C767D">
              <w:sym w:font="Wingdings" w:char="F06E"/>
            </w:r>
          </w:p>
        </w:tc>
      </w:tr>
      <w:tr w:rsidR="006016B9" w:rsidRPr="0087752B" w14:paraId="72F46A9B" w14:textId="77777777" w:rsidTr="006016B9">
        <w:tblPrEx>
          <w:tblBorders>
            <w:bottom w:val="single" w:sz="12" w:space="0" w:color="777777"/>
          </w:tblBorders>
        </w:tblPrEx>
        <w:trPr>
          <w:cantSplit/>
        </w:trPr>
        <w:tc>
          <w:tcPr>
            <w:tcW w:w="5000" w:type="pct"/>
            <w:gridSpan w:val="10"/>
            <w:shd w:val="clear" w:color="auto" w:fill="auto"/>
            <w:vAlign w:val="center"/>
          </w:tcPr>
          <w:p w14:paraId="5AA7C4F7" w14:textId="77777777" w:rsidR="006016B9" w:rsidRPr="0087752B" w:rsidRDefault="006016B9" w:rsidP="00EF4010">
            <w:pPr>
              <w:pStyle w:val="DETTableTextFinancial"/>
              <w:rPr>
                <w:i/>
              </w:rPr>
            </w:pPr>
            <w:r w:rsidRPr="0087752B">
              <w:rPr>
                <w:i/>
              </w:rPr>
              <w:t>This performance measure relates to student performance assessed in May 2015.</w:t>
            </w:r>
          </w:p>
          <w:p w14:paraId="713C1F34" w14:textId="77777777" w:rsidR="006016B9" w:rsidRPr="0087752B" w:rsidRDefault="006016B9" w:rsidP="00EF4010">
            <w:pPr>
              <w:pStyle w:val="DETTableTextFinancial"/>
              <w:rPr>
                <w:i/>
              </w:rPr>
            </w:pPr>
            <w:r w:rsidRPr="0087752B">
              <w:rPr>
                <w:i/>
              </w:rPr>
              <w:t>When interpreting results, a 95 per cent confidence interval of +/- 0.98 percentage points needs to be considered as the reported number is an estimate of the student ability for which there is associated measurement error, standard to any such assessment.</w:t>
            </w:r>
          </w:p>
          <w:p w14:paraId="2A86082D"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22B77D4E" w14:textId="77777777" w:rsidTr="00D65DDE">
        <w:trPr>
          <w:cantSplit/>
        </w:trPr>
        <w:tc>
          <w:tcPr>
            <w:tcW w:w="2314" w:type="pct"/>
            <w:gridSpan w:val="3"/>
            <w:shd w:val="clear" w:color="auto" w:fill="auto"/>
            <w:vAlign w:val="center"/>
          </w:tcPr>
          <w:p w14:paraId="25AAA85B" w14:textId="77777777" w:rsidR="006016B9" w:rsidRPr="0087752B" w:rsidRDefault="006016B9" w:rsidP="00EF4010">
            <w:pPr>
              <w:pStyle w:val="DETTableTextFinancial"/>
            </w:pPr>
            <w:r w:rsidRPr="0087752B">
              <w:t>Percentage of students in the top two bands for numeracy in Year 3 (NAPLAN testing)</w:t>
            </w:r>
          </w:p>
        </w:tc>
        <w:tc>
          <w:tcPr>
            <w:tcW w:w="570" w:type="pct"/>
            <w:shd w:val="clear" w:color="auto" w:fill="auto"/>
          </w:tcPr>
          <w:p w14:paraId="1F098234" w14:textId="77777777" w:rsidR="006016B9" w:rsidRPr="0087752B" w:rsidRDefault="006016B9" w:rsidP="00EF4010">
            <w:pPr>
              <w:pStyle w:val="DETTableTextFinancial"/>
            </w:pPr>
            <w:r w:rsidRPr="0087752B">
              <w:t>per cent</w:t>
            </w:r>
          </w:p>
        </w:tc>
        <w:tc>
          <w:tcPr>
            <w:tcW w:w="570" w:type="pct"/>
            <w:gridSpan w:val="2"/>
            <w:shd w:val="clear" w:color="auto" w:fill="auto"/>
          </w:tcPr>
          <w:p w14:paraId="4AD4C1E2" w14:textId="77777777" w:rsidR="006016B9" w:rsidRPr="0087752B" w:rsidRDefault="006016B9" w:rsidP="00EF4010">
            <w:pPr>
              <w:pStyle w:val="DETTableTextFinancial"/>
              <w:jc w:val="right"/>
            </w:pPr>
            <w:r w:rsidRPr="0087752B">
              <w:t>41.5</w:t>
            </w:r>
          </w:p>
        </w:tc>
        <w:tc>
          <w:tcPr>
            <w:tcW w:w="473" w:type="pct"/>
            <w:shd w:val="clear" w:color="auto" w:fill="auto"/>
          </w:tcPr>
          <w:p w14:paraId="5F1ECF65" w14:textId="77777777" w:rsidR="006016B9" w:rsidRPr="0087752B" w:rsidRDefault="006016B9" w:rsidP="00EF4010">
            <w:pPr>
              <w:pStyle w:val="DETTableTextFinancial"/>
              <w:jc w:val="right"/>
            </w:pPr>
            <w:r w:rsidRPr="0087752B">
              <w:t>38.4</w:t>
            </w:r>
          </w:p>
        </w:tc>
        <w:tc>
          <w:tcPr>
            <w:tcW w:w="668" w:type="pct"/>
            <w:gridSpan w:val="2"/>
          </w:tcPr>
          <w:p w14:paraId="3C073CCB" w14:textId="77777777" w:rsidR="006016B9" w:rsidRPr="0087752B" w:rsidRDefault="006016B9" w:rsidP="00EF4010">
            <w:pPr>
              <w:pStyle w:val="DETTableTextFinancial"/>
              <w:jc w:val="right"/>
            </w:pPr>
            <w:r w:rsidRPr="0087752B">
              <w:t>-7.5</w:t>
            </w:r>
          </w:p>
        </w:tc>
        <w:tc>
          <w:tcPr>
            <w:tcW w:w="406" w:type="pct"/>
          </w:tcPr>
          <w:p w14:paraId="7CB40F2F" w14:textId="77777777" w:rsidR="006016B9" w:rsidRPr="005C767D" w:rsidRDefault="006016B9" w:rsidP="00EF4010">
            <w:pPr>
              <w:jc w:val="right"/>
            </w:pPr>
            <w:r w:rsidRPr="005C767D">
              <w:sym w:font="Wingdings" w:char="F0FB"/>
            </w:r>
          </w:p>
        </w:tc>
      </w:tr>
      <w:tr w:rsidR="006016B9" w:rsidRPr="0087752B" w14:paraId="10C46804" w14:textId="77777777" w:rsidTr="006016B9">
        <w:tblPrEx>
          <w:tblBorders>
            <w:bottom w:val="single" w:sz="12" w:space="0" w:color="777777"/>
          </w:tblBorders>
        </w:tblPrEx>
        <w:trPr>
          <w:cantSplit/>
        </w:trPr>
        <w:tc>
          <w:tcPr>
            <w:tcW w:w="5000" w:type="pct"/>
            <w:gridSpan w:val="10"/>
            <w:shd w:val="clear" w:color="auto" w:fill="auto"/>
            <w:vAlign w:val="center"/>
          </w:tcPr>
          <w:p w14:paraId="744EDD4B" w14:textId="77777777" w:rsidR="006016B9" w:rsidRPr="0087752B" w:rsidRDefault="006016B9" w:rsidP="00EF4010">
            <w:pPr>
              <w:pStyle w:val="DETTableTextFinancial"/>
              <w:rPr>
                <w:i/>
              </w:rPr>
            </w:pPr>
            <w:r w:rsidRPr="0087752B">
              <w:rPr>
                <w:i/>
              </w:rPr>
              <w:t>This performance measure relates to student performance assessed in May 2015.</w:t>
            </w:r>
          </w:p>
          <w:p w14:paraId="108C7CC9" w14:textId="77777777" w:rsidR="006016B9" w:rsidRPr="0087752B" w:rsidRDefault="006016B9" w:rsidP="00EF4010">
            <w:pPr>
              <w:pStyle w:val="DETTableTextFinancial"/>
              <w:rPr>
                <w:i/>
              </w:rPr>
            </w:pPr>
            <w:r w:rsidRPr="0087752B">
              <w:rPr>
                <w:i/>
              </w:rPr>
              <w:t xml:space="preserve">When interpreting results, a 95 per cent confidence interval of +/- 0.95 percentage points needs to be considered as the reported number is an estimate of the student ability for which there is associated measurement error, standard to any such assessment. </w:t>
            </w:r>
          </w:p>
          <w:p w14:paraId="789BEC47"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7FE28567" w14:textId="77777777" w:rsidTr="00D65DDE">
        <w:trPr>
          <w:cantSplit/>
        </w:trPr>
        <w:tc>
          <w:tcPr>
            <w:tcW w:w="2314" w:type="pct"/>
            <w:gridSpan w:val="3"/>
            <w:shd w:val="clear" w:color="auto" w:fill="auto"/>
            <w:vAlign w:val="center"/>
          </w:tcPr>
          <w:p w14:paraId="59D71D9F" w14:textId="77777777" w:rsidR="006016B9" w:rsidRPr="0087752B" w:rsidRDefault="006016B9" w:rsidP="00EF4010">
            <w:pPr>
              <w:pStyle w:val="DETTableTextFinancial"/>
            </w:pPr>
            <w:r w:rsidRPr="0087752B">
              <w:t>Percentage of students in the top two bands for numeracy in Year 5 (NAPLAN testing)</w:t>
            </w:r>
          </w:p>
        </w:tc>
        <w:tc>
          <w:tcPr>
            <w:tcW w:w="570" w:type="pct"/>
            <w:shd w:val="clear" w:color="auto" w:fill="auto"/>
          </w:tcPr>
          <w:p w14:paraId="2C983122" w14:textId="77777777" w:rsidR="006016B9" w:rsidRPr="0087752B" w:rsidRDefault="006016B9" w:rsidP="00EF4010">
            <w:pPr>
              <w:pStyle w:val="DETTableTextFinancial"/>
            </w:pPr>
            <w:r w:rsidRPr="0087752B">
              <w:t>per cent</w:t>
            </w:r>
          </w:p>
        </w:tc>
        <w:tc>
          <w:tcPr>
            <w:tcW w:w="570" w:type="pct"/>
            <w:gridSpan w:val="2"/>
            <w:shd w:val="clear" w:color="auto" w:fill="auto"/>
          </w:tcPr>
          <w:p w14:paraId="65A1AD0E" w14:textId="77777777" w:rsidR="006016B9" w:rsidRPr="0087752B" w:rsidRDefault="006016B9" w:rsidP="00EF4010">
            <w:pPr>
              <w:pStyle w:val="DETTableTextFinancial"/>
              <w:jc w:val="right"/>
            </w:pPr>
            <w:r w:rsidRPr="0087752B">
              <w:t>28.5</w:t>
            </w:r>
          </w:p>
        </w:tc>
        <w:tc>
          <w:tcPr>
            <w:tcW w:w="473" w:type="pct"/>
            <w:shd w:val="clear" w:color="auto" w:fill="auto"/>
          </w:tcPr>
          <w:p w14:paraId="0678EBC6" w14:textId="77777777" w:rsidR="006016B9" w:rsidRPr="0087752B" w:rsidRDefault="006016B9" w:rsidP="00EF4010">
            <w:pPr>
              <w:pStyle w:val="DETTableTextFinancial"/>
              <w:jc w:val="right"/>
            </w:pPr>
            <w:r w:rsidRPr="0087752B">
              <w:t>31.9</w:t>
            </w:r>
          </w:p>
        </w:tc>
        <w:tc>
          <w:tcPr>
            <w:tcW w:w="668" w:type="pct"/>
            <w:gridSpan w:val="2"/>
          </w:tcPr>
          <w:p w14:paraId="67F9BDCE" w14:textId="77777777" w:rsidR="006016B9" w:rsidRPr="0087752B" w:rsidRDefault="006016B9" w:rsidP="00EF4010">
            <w:pPr>
              <w:pStyle w:val="DETTableTextFinancial"/>
              <w:jc w:val="right"/>
            </w:pPr>
            <w:r w:rsidRPr="0087752B">
              <w:t>11.9</w:t>
            </w:r>
          </w:p>
        </w:tc>
        <w:tc>
          <w:tcPr>
            <w:tcW w:w="406" w:type="pct"/>
          </w:tcPr>
          <w:p w14:paraId="72F36E7C" w14:textId="77777777" w:rsidR="006016B9" w:rsidRPr="005C767D" w:rsidRDefault="006016B9" w:rsidP="00EF4010">
            <w:pPr>
              <w:jc w:val="right"/>
            </w:pPr>
            <w:r w:rsidRPr="005C767D">
              <w:sym w:font="Wingdings" w:char="F0FC"/>
            </w:r>
          </w:p>
        </w:tc>
      </w:tr>
      <w:tr w:rsidR="006016B9" w:rsidRPr="0087752B" w14:paraId="22DFD943" w14:textId="77777777" w:rsidTr="006016B9">
        <w:tblPrEx>
          <w:tblBorders>
            <w:bottom w:val="single" w:sz="12" w:space="0" w:color="777777"/>
          </w:tblBorders>
        </w:tblPrEx>
        <w:trPr>
          <w:cantSplit/>
        </w:trPr>
        <w:tc>
          <w:tcPr>
            <w:tcW w:w="5000" w:type="pct"/>
            <w:gridSpan w:val="10"/>
            <w:shd w:val="clear" w:color="auto" w:fill="auto"/>
            <w:vAlign w:val="center"/>
          </w:tcPr>
          <w:p w14:paraId="3024B216" w14:textId="77777777" w:rsidR="006016B9" w:rsidRPr="0087752B" w:rsidRDefault="006016B9" w:rsidP="00EF4010">
            <w:pPr>
              <w:pStyle w:val="DETTableTextFinancial"/>
              <w:rPr>
                <w:i/>
              </w:rPr>
            </w:pPr>
            <w:r w:rsidRPr="0087752B">
              <w:rPr>
                <w:i/>
              </w:rPr>
              <w:t xml:space="preserve">This performance measure relates to student performance assessed in May 2015. </w:t>
            </w:r>
          </w:p>
          <w:p w14:paraId="0AD0BE9A" w14:textId="77777777" w:rsidR="006016B9" w:rsidRPr="0087752B" w:rsidRDefault="006016B9" w:rsidP="00EF4010">
            <w:pPr>
              <w:pStyle w:val="DETTableTextFinancial"/>
              <w:rPr>
                <w:i/>
              </w:rPr>
            </w:pPr>
            <w:r w:rsidRPr="0087752B">
              <w:rPr>
                <w:i/>
              </w:rPr>
              <w:t xml:space="preserve">When interpreting results, a 95 per cent confidence interval of +/- 0.98 percentage points needs to be considered as the reported number is an estimate of the student ability for which there is associated measurement error, standard to any such assessment. </w:t>
            </w:r>
          </w:p>
          <w:p w14:paraId="052CCDCD"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6D83815B" w14:textId="77777777" w:rsidTr="00237FCA">
        <w:trPr>
          <w:cantSplit/>
        </w:trPr>
        <w:tc>
          <w:tcPr>
            <w:tcW w:w="2314" w:type="pct"/>
            <w:gridSpan w:val="3"/>
            <w:shd w:val="clear" w:color="auto" w:fill="auto"/>
            <w:vAlign w:val="center"/>
          </w:tcPr>
          <w:p w14:paraId="009EA421" w14:textId="77777777" w:rsidR="006016B9" w:rsidRPr="0087752B" w:rsidRDefault="006016B9" w:rsidP="00EF4010">
            <w:pPr>
              <w:pStyle w:val="DETTableTextFinancial"/>
            </w:pPr>
            <w:r w:rsidRPr="0087752B">
              <w:t>Percentage of students in the top two bands for reading in Year 3 (NAPLAN testing)</w:t>
            </w:r>
          </w:p>
        </w:tc>
        <w:tc>
          <w:tcPr>
            <w:tcW w:w="570" w:type="pct"/>
            <w:shd w:val="clear" w:color="auto" w:fill="auto"/>
          </w:tcPr>
          <w:p w14:paraId="610B2FB9" w14:textId="77777777" w:rsidR="006016B9" w:rsidRPr="0087752B" w:rsidRDefault="006016B9" w:rsidP="00EF4010">
            <w:pPr>
              <w:pStyle w:val="DETTableTextFinancial"/>
            </w:pPr>
            <w:r w:rsidRPr="0087752B">
              <w:t>per cent</w:t>
            </w:r>
          </w:p>
        </w:tc>
        <w:tc>
          <w:tcPr>
            <w:tcW w:w="570" w:type="pct"/>
            <w:gridSpan w:val="2"/>
            <w:shd w:val="clear" w:color="auto" w:fill="auto"/>
          </w:tcPr>
          <w:p w14:paraId="0532ACB8" w14:textId="77777777" w:rsidR="006016B9" w:rsidRPr="0087752B" w:rsidRDefault="006016B9" w:rsidP="00EF4010">
            <w:pPr>
              <w:pStyle w:val="DETTableTextFinancial"/>
              <w:jc w:val="right"/>
            </w:pPr>
            <w:r w:rsidRPr="0087752B">
              <w:t>51.5</w:t>
            </w:r>
          </w:p>
        </w:tc>
        <w:tc>
          <w:tcPr>
            <w:tcW w:w="473" w:type="pct"/>
            <w:shd w:val="clear" w:color="auto" w:fill="auto"/>
          </w:tcPr>
          <w:p w14:paraId="0418CBFD" w14:textId="77777777" w:rsidR="006016B9" w:rsidRPr="0087752B" w:rsidRDefault="006016B9" w:rsidP="00EF4010">
            <w:pPr>
              <w:pStyle w:val="DETTableTextFinancial"/>
              <w:jc w:val="right"/>
            </w:pPr>
            <w:r w:rsidRPr="0087752B">
              <w:t>53.6</w:t>
            </w:r>
          </w:p>
        </w:tc>
        <w:tc>
          <w:tcPr>
            <w:tcW w:w="668" w:type="pct"/>
            <w:gridSpan w:val="2"/>
          </w:tcPr>
          <w:p w14:paraId="465664C7" w14:textId="77777777" w:rsidR="006016B9" w:rsidRPr="0087752B" w:rsidRDefault="006016B9" w:rsidP="00EF4010">
            <w:pPr>
              <w:pStyle w:val="DETTableTextFinancial"/>
              <w:jc w:val="right"/>
            </w:pPr>
            <w:r w:rsidRPr="0087752B">
              <w:t>4.1</w:t>
            </w:r>
          </w:p>
        </w:tc>
        <w:tc>
          <w:tcPr>
            <w:tcW w:w="406" w:type="pct"/>
          </w:tcPr>
          <w:p w14:paraId="7B650526" w14:textId="77777777" w:rsidR="006016B9" w:rsidRPr="005C767D" w:rsidRDefault="006016B9" w:rsidP="00EF4010">
            <w:pPr>
              <w:jc w:val="right"/>
            </w:pPr>
            <w:r w:rsidRPr="005C767D">
              <w:sym w:font="Wingdings" w:char="F0FC"/>
            </w:r>
          </w:p>
        </w:tc>
      </w:tr>
      <w:tr w:rsidR="006016B9" w:rsidRPr="0087752B" w14:paraId="6368494E" w14:textId="77777777" w:rsidTr="00237FCA">
        <w:tblPrEx>
          <w:tblBorders>
            <w:bottom w:val="single" w:sz="12" w:space="0" w:color="777777"/>
          </w:tblBorders>
        </w:tblPrEx>
        <w:trPr>
          <w:cantSplit/>
        </w:trPr>
        <w:tc>
          <w:tcPr>
            <w:tcW w:w="5000" w:type="pct"/>
            <w:gridSpan w:val="10"/>
            <w:tcBorders>
              <w:bottom w:val="nil"/>
            </w:tcBorders>
            <w:shd w:val="clear" w:color="auto" w:fill="auto"/>
            <w:vAlign w:val="center"/>
          </w:tcPr>
          <w:p w14:paraId="69067851" w14:textId="77777777" w:rsidR="006016B9" w:rsidRPr="0087752B" w:rsidRDefault="006016B9" w:rsidP="00EF4010">
            <w:pPr>
              <w:pStyle w:val="DETTableTextFinancial"/>
              <w:rPr>
                <w:i/>
              </w:rPr>
            </w:pPr>
            <w:r w:rsidRPr="0087752B">
              <w:rPr>
                <w:i/>
              </w:rPr>
              <w:t xml:space="preserve">This performance measure relates to student performance assessed in May 2015. </w:t>
            </w:r>
          </w:p>
          <w:p w14:paraId="3842A9CC" w14:textId="77777777" w:rsidR="006016B9" w:rsidRPr="0087752B" w:rsidRDefault="006016B9" w:rsidP="00EF4010">
            <w:pPr>
              <w:pStyle w:val="DETTableTextFinancial"/>
              <w:rPr>
                <w:i/>
              </w:rPr>
            </w:pPr>
            <w:r w:rsidRPr="0087752B">
              <w:rPr>
                <w:i/>
              </w:rPr>
              <w:t xml:space="preserve">When interpreting results, a 95 per cent confidence interval of +/-  0.97 percentage points needs to be considered as the reported number is an estimate of the student ability for which there is associated measurement error, standard to any such assessment. </w:t>
            </w:r>
          </w:p>
          <w:p w14:paraId="7078BFF0" w14:textId="77777777" w:rsidR="006016B9" w:rsidRPr="0087752B" w:rsidRDefault="006016B9" w:rsidP="00EF4010">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D65DDE" w:rsidRPr="0087752B" w14:paraId="0C83314D" w14:textId="77777777" w:rsidTr="00237FCA">
        <w:trPr>
          <w:cantSplit/>
        </w:trPr>
        <w:tc>
          <w:tcPr>
            <w:tcW w:w="2314" w:type="pct"/>
            <w:gridSpan w:val="3"/>
            <w:shd w:val="clear" w:color="auto" w:fill="auto"/>
            <w:vAlign w:val="center"/>
          </w:tcPr>
          <w:p w14:paraId="32D11D90" w14:textId="77777777" w:rsidR="006016B9" w:rsidRPr="0087752B" w:rsidRDefault="006016B9" w:rsidP="00EF4010">
            <w:pPr>
              <w:pStyle w:val="DETTableTextFinancial"/>
            </w:pPr>
            <w:r w:rsidRPr="0087752B">
              <w:t>Percentage of students in the top two bands for reading in Year 5 (NAPLAN testing)</w:t>
            </w:r>
          </w:p>
        </w:tc>
        <w:tc>
          <w:tcPr>
            <w:tcW w:w="570" w:type="pct"/>
            <w:shd w:val="clear" w:color="auto" w:fill="auto"/>
          </w:tcPr>
          <w:p w14:paraId="1B67EA31" w14:textId="77777777" w:rsidR="006016B9" w:rsidRPr="0087752B" w:rsidRDefault="006016B9" w:rsidP="00EF4010">
            <w:pPr>
              <w:pStyle w:val="DETTableTextFinancial"/>
            </w:pPr>
            <w:r w:rsidRPr="0087752B">
              <w:t>per cent</w:t>
            </w:r>
          </w:p>
        </w:tc>
        <w:tc>
          <w:tcPr>
            <w:tcW w:w="570" w:type="pct"/>
            <w:gridSpan w:val="2"/>
            <w:shd w:val="clear" w:color="auto" w:fill="auto"/>
          </w:tcPr>
          <w:p w14:paraId="7C901B36" w14:textId="77777777" w:rsidR="006016B9" w:rsidRPr="0087752B" w:rsidRDefault="006016B9" w:rsidP="00EF4010">
            <w:pPr>
              <w:pStyle w:val="DETTableTextFinancial"/>
              <w:jc w:val="right"/>
            </w:pPr>
            <w:r w:rsidRPr="0087752B">
              <w:t>36</w:t>
            </w:r>
          </w:p>
        </w:tc>
        <w:tc>
          <w:tcPr>
            <w:tcW w:w="473" w:type="pct"/>
            <w:shd w:val="clear" w:color="auto" w:fill="auto"/>
          </w:tcPr>
          <w:p w14:paraId="3F70D669" w14:textId="77777777" w:rsidR="006016B9" w:rsidRPr="0087752B" w:rsidRDefault="006016B9" w:rsidP="00EF4010">
            <w:pPr>
              <w:pStyle w:val="DETTableTextFinancial"/>
              <w:jc w:val="right"/>
            </w:pPr>
            <w:r w:rsidRPr="0087752B">
              <w:t>36.9</w:t>
            </w:r>
          </w:p>
        </w:tc>
        <w:tc>
          <w:tcPr>
            <w:tcW w:w="668" w:type="pct"/>
            <w:gridSpan w:val="2"/>
          </w:tcPr>
          <w:p w14:paraId="66DE5448" w14:textId="77777777" w:rsidR="006016B9" w:rsidRPr="0087752B" w:rsidRDefault="006016B9" w:rsidP="00EF4010">
            <w:pPr>
              <w:pStyle w:val="DETTableTextFinancial"/>
              <w:jc w:val="right"/>
            </w:pPr>
            <w:r w:rsidRPr="0087752B">
              <w:t>2.5</w:t>
            </w:r>
          </w:p>
        </w:tc>
        <w:tc>
          <w:tcPr>
            <w:tcW w:w="406" w:type="pct"/>
          </w:tcPr>
          <w:p w14:paraId="7A543BB3" w14:textId="77777777" w:rsidR="006016B9" w:rsidRPr="005C767D" w:rsidRDefault="006016B9" w:rsidP="00EF4010">
            <w:pPr>
              <w:jc w:val="right"/>
            </w:pPr>
            <w:r w:rsidRPr="005C767D">
              <w:sym w:font="Wingdings" w:char="F0FC"/>
            </w:r>
          </w:p>
        </w:tc>
      </w:tr>
      <w:tr w:rsidR="006016B9" w:rsidRPr="0087752B" w14:paraId="3D514CAD" w14:textId="77777777" w:rsidTr="006016B9">
        <w:tblPrEx>
          <w:tblBorders>
            <w:bottom w:val="single" w:sz="12" w:space="0" w:color="777777"/>
          </w:tblBorders>
        </w:tblPrEx>
        <w:trPr>
          <w:cantSplit/>
        </w:trPr>
        <w:tc>
          <w:tcPr>
            <w:tcW w:w="5000" w:type="pct"/>
            <w:gridSpan w:val="10"/>
            <w:shd w:val="clear" w:color="auto" w:fill="auto"/>
            <w:vAlign w:val="center"/>
          </w:tcPr>
          <w:p w14:paraId="20070069" w14:textId="77777777" w:rsidR="006016B9" w:rsidRPr="0087752B" w:rsidRDefault="006016B9" w:rsidP="00EF4010">
            <w:pPr>
              <w:pStyle w:val="DETTableTextFinancial"/>
              <w:rPr>
                <w:i/>
              </w:rPr>
            </w:pPr>
            <w:r w:rsidRPr="0087752B">
              <w:rPr>
                <w:i/>
              </w:rPr>
              <w:t xml:space="preserve">This performance measure relates to student performance assessed in May 2015. </w:t>
            </w:r>
          </w:p>
          <w:p w14:paraId="47A780C7" w14:textId="269523E5" w:rsidR="006016B9" w:rsidRPr="0087752B" w:rsidRDefault="006016B9" w:rsidP="00EF4010">
            <w:pPr>
              <w:pStyle w:val="DETTableTextFinancial"/>
              <w:rPr>
                <w:i/>
              </w:rPr>
            </w:pPr>
            <w:r w:rsidRPr="0087752B">
              <w:rPr>
                <w:i/>
              </w:rPr>
              <w:t>When interpreting results, a 95 per c</w:t>
            </w:r>
            <w:r w:rsidR="0023385E">
              <w:rPr>
                <w:i/>
              </w:rPr>
              <w:t xml:space="preserve">ent confidence interval of +/- </w:t>
            </w:r>
            <w:r w:rsidRPr="0087752B">
              <w:rPr>
                <w:i/>
              </w:rPr>
              <w:t xml:space="preserve">0.98 percentage points needs to be considered as the reported number is an estimate of the student ability for which there is associated measurement error, standard to any such assessment. </w:t>
            </w:r>
          </w:p>
          <w:p w14:paraId="00043AD2" w14:textId="77777777" w:rsidR="006016B9" w:rsidRPr="0087752B" w:rsidRDefault="006016B9" w:rsidP="00EF4010">
            <w:pPr>
              <w:pStyle w:val="DETTableTextFinancial"/>
            </w:pPr>
            <w:r w:rsidRPr="0087752B">
              <w:rPr>
                <w:i/>
              </w:rPr>
              <w:lastRenderedPageBreak/>
              <w:t>Improvement resulting from Education State initiatives is not reflected in NAPLAN 2015–16 results, as testing was undertaken prior to the implementation of these significant reforms.</w:t>
            </w:r>
          </w:p>
        </w:tc>
      </w:tr>
      <w:tr w:rsidR="00D65DDE" w:rsidRPr="0087752B" w14:paraId="6B60573D" w14:textId="77777777" w:rsidTr="00D65DDE">
        <w:trPr>
          <w:cantSplit/>
        </w:trPr>
        <w:tc>
          <w:tcPr>
            <w:tcW w:w="2314" w:type="pct"/>
            <w:gridSpan w:val="3"/>
            <w:shd w:val="clear" w:color="auto" w:fill="auto"/>
            <w:vAlign w:val="center"/>
          </w:tcPr>
          <w:p w14:paraId="72F76023" w14:textId="77777777" w:rsidR="006016B9" w:rsidRPr="0087752B" w:rsidRDefault="006016B9" w:rsidP="00EF4010">
            <w:pPr>
              <w:pStyle w:val="DETTableTextFinancial"/>
            </w:pPr>
            <w:r w:rsidRPr="0087752B">
              <w:lastRenderedPageBreak/>
              <w:t>Years 5–6 students’ opinion of their connectedness with the school</w:t>
            </w:r>
          </w:p>
        </w:tc>
        <w:tc>
          <w:tcPr>
            <w:tcW w:w="570" w:type="pct"/>
            <w:shd w:val="clear" w:color="auto" w:fill="auto"/>
          </w:tcPr>
          <w:p w14:paraId="17301DDF" w14:textId="77777777" w:rsidR="006016B9" w:rsidRPr="0087752B" w:rsidRDefault="006016B9" w:rsidP="00EF4010">
            <w:pPr>
              <w:pStyle w:val="DETTableTextFinancial"/>
            </w:pPr>
            <w:r w:rsidRPr="0087752B">
              <w:t>5-point scale</w:t>
            </w:r>
          </w:p>
        </w:tc>
        <w:tc>
          <w:tcPr>
            <w:tcW w:w="570" w:type="pct"/>
            <w:gridSpan w:val="2"/>
            <w:shd w:val="clear" w:color="auto" w:fill="auto"/>
          </w:tcPr>
          <w:p w14:paraId="2BF6B0EE" w14:textId="77777777" w:rsidR="006016B9" w:rsidRPr="0087752B" w:rsidRDefault="006016B9" w:rsidP="00EF4010">
            <w:pPr>
              <w:pStyle w:val="DETTableTextFinancial"/>
              <w:jc w:val="right"/>
            </w:pPr>
            <w:r w:rsidRPr="0087752B">
              <w:t>4.4</w:t>
            </w:r>
          </w:p>
        </w:tc>
        <w:tc>
          <w:tcPr>
            <w:tcW w:w="473" w:type="pct"/>
            <w:shd w:val="clear" w:color="auto" w:fill="auto"/>
          </w:tcPr>
          <w:p w14:paraId="31EE67CA" w14:textId="77777777" w:rsidR="006016B9" w:rsidRPr="0087752B" w:rsidRDefault="006016B9" w:rsidP="00EF4010">
            <w:pPr>
              <w:pStyle w:val="DETTableTextFinancial"/>
              <w:jc w:val="right"/>
            </w:pPr>
            <w:r w:rsidRPr="0087752B">
              <w:t>4.4</w:t>
            </w:r>
          </w:p>
        </w:tc>
        <w:tc>
          <w:tcPr>
            <w:tcW w:w="668" w:type="pct"/>
            <w:gridSpan w:val="2"/>
          </w:tcPr>
          <w:p w14:paraId="2210753E" w14:textId="77777777" w:rsidR="006016B9" w:rsidRPr="0087752B" w:rsidRDefault="006016B9" w:rsidP="00EF4010">
            <w:pPr>
              <w:pStyle w:val="DETTableTextFinancial"/>
              <w:jc w:val="right"/>
            </w:pPr>
            <w:r w:rsidRPr="0087752B">
              <w:t>0.0</w:t>
            </w:r>
          </w:p>
        </w:tc>
        <w:tc>
          <w:tcPr>
            <w:tcW w:w="406" w:type="pct"/>
          </w:tcPr>
          <w:p w14:paraId="6C6EA296" w14:textId="77777777" w:rsidR="006016B9" w:rsidRPr="005C767D" w:rsidRDefault="006016B9" w:rsidP="00EF4010">
            <w:pPr>
              <w:jc w:val="right"/>
            </w:pPr>
            <w:r w:rsidRPr="005C767D">
              <w:sym w:font="Wingdings" w:char="F0FC"/>
            </w:r>
          </w:p>
        </w:tc>
      </w:tr>
      <w:tr w:rsidR="006016B9" w:rsidRPr="0087752B" w14:paraId="132966DD" w14:textId="77777777" w:rsidTr="006016B9">
        <w:tblPrEx>
          <w:tblBorders>
            <w:bottom w:val="single" w:sz="12" w:space="0" w:color="777777"/>
          </w:tblBorders>
        </w:tblPrEx>
        <w:trPr>
          <w:cantSplit/>
        </w:trPr>
        <w:tc>
          <w:tcPr>
            <w:tcW w:w="5000" w:type="pct"/>
            <w:gridSpan w:val="10"/>
            <w:tcBorders>
              <w:bottom w:val="nil"/>
            </w:tcBorders>
            <w:shd w:val="clear" w:color="auto" w:fill="auto"/>
            <w:vAlign w:val="center"/>
          </w:tcPr>
          <w:p w14:paraId="69FFBE03" w14:textId="77777777" w:rsidR="006016B9" w:rsidRPr="0087752B" w:rsidRDefault="006016B9" w:rsidP="00EF4010">
            <w:pPr>
              <w:pStyle w:val="DETTableTextFinancial"/>
              <w:rPr>
                <w:rFonts w:eastAsiaTheme="minorEastAsia"/>
              </w:rPr>
            </w:pPr>
            <w:r w:rsidRPr="005914AE">
              <w:rPr>
                <w:i/>
              </w:rPr>
              <w:t>This performance measure refers to government schools only. Data is drawn from the Attitudes to</w:t>
            </w:r>
            <w:r w:rsidRPr="005C767D">
              <w:t xml:space="preserve"> </w:t>
            </w:r>
            <w:r w:rsidRPr="0087752B">
              <w:rPr>
                <w:i/>
              </w:rPr>
              <w:t>School Survey, where responses are provided on a scale of 1 to 5 and a higher score represents a higher level of connectedness (that is, students feel they belong and enjoy attending school).</w:t>
            </w:r>
          </w:p>
        </w:tc>
      </w:tr>
      <w:tr w:rsidR="006016B9" w:rsidRPr="0087752B" w14:paraId="7E3C66A7" w14:textId="77777777" w:rsidTr="006016B9">
        <w:tblPrEx>
          <w:tblBorders>
            <w:bottom w:val="single" w:sz="12" w:space="0" w:color="777777"/>
          </w:tblBorders>
        </w:tblPrEx>
        <w:trPr>
          <w:cantSplit/>
        </w:trPr>
        <w:tc>
          <w:tcPr>
            <w:tcW w:w="5000" w:type="pct"/>
            <w:gridSpan w:val="10"/>
            <w:tcBorders>
              <w:top w:val="nil"/>
              <w:bottom w:val="nil"/>
            </w:tcBorders>
            <w:shd w:val="clear" w:color="auto" w:fill="auto"/>
            <w:vAlign w:val="center"/>
          </w:tcPr>
          <w:p w14:paraId="365BE3BC" w14:textId="77777777" w:rsidR="006016B9" w:rsidRPr="0087752B" w:rsidRDefault="006016B9" w:rsidP="00EF4010">
            <w:pPr>
              <w:pStyle w:val="DETTableTextFinancial"/>
              <w:rPr>
                <w:b/>
              </w:rPr>
            </w:pPr>
            <w:r w:rsidRPr="0087752B">
              <w:rPr>
                <w:b/>
              </w:rPr>
              <w:t>Cost</w:t>
            </w:r>
          </w:p>
        </w:tc>
      </w:tr>
      <w:tr w:rsidR="00D65DDE" w:rsidRPr="0087752B" w14:paraId="1EA5B0A0" w14:textId="77777777" w:rsidTr="00D65DDE">
        <w:trPr>
          <w:cantSplit/>
        </w:trPr>
        <w:tc>
          <w:tcPr>
            <w:tcW w:w="2314" w:type="pct"/>
            <w:gridSpan w:val="3"/>
            <w:shd w:val="clear" w:color="auto" w:fill="auto"/>
            <w:vAlign w:val="center"/>
          </w:tcPr>
          <w:p w14:paraId="6E3B202F" w14:textId="77777777" w:rsidR="006016B9" w:rsidRPr="0087752B" w:rsidRDefault="006016B9" w:rsidP="00EF4010">
            <w:pPr>
              <w:pStyle w:val="DETTableTextFinancial"/>
            </w:pPr>
            <w:r w:rsidRPr="0087752B">
              <w:t>Total output cost</w:t>
            </w:r>
          </w:p>
        </w:tc>
        <w:tc>
          <w:tcPr>
            <w:tcW w:w="570" w:type="pct"/>
            <w:shd w:val="clear" w:color="auto" w:fill="auto"/>
          </w:tcPr>
          <w:p w14:paraId="6D4E8D4E" w14:textId="77777777" w:rsidR="006016B9" w:rsidRPr="0087752B" w:rsidRDefault="006016B9" w:rsidP="00EF4010">
            <w:pPr>
              <w:pStyle w:val="DETTableTextFinancial"/>
            </w:pPr>
            <w:r w:rsidRPr="0087752B">
              <w:t>$ million</w:t>
            </w:r>
          </w:p>
        </w:tc>
        <w:tc>
          <w:tcPr>
            <w:tcW w:w="570" w:type="pct"/>
            <w:gridSpan w:val="2"/>
            <w:shd w:val="clear" w:color="auto" w:fill="auto"/>
          </w:tcPr>
          <w:p w14:paraId="798FC844" w14:textId="3BFFAC84" w:rsidR="006016B9" w:rsidRPr="0087752B" w:rsidRDefault="006016B9" w:rsidP="00EF4010">
            <w:pPr>
              <w:pStyle w:val="DETTableTextFinancial"/>
              <w:jc w:val="right"/>
            </w:pPr>
            <w:r w:rsidRPr="0087752B">
              <w:t>4</w:t>
            </w:r>
            <w:r w:rsidR="008E27B6">
              <w:t>,</w:t>
            </w:r>
            <w:r w:rsidRPr="0087752B">
              <w:t>598.1</w:t>
            </w:r>
          </w:p>
        </w:tc>
        <w:tc>
          <w:tcPr>
            <w:tcW w:w="473" w:type="pct"/>
            <w:shd w:val="clear" w:color="auto" w:fill="auto"/>
          </w:tcPr>
          <w:p w14:paraId="1C02DE4E" w14:textId="13DAC4C1" w:rsidR="006016B9" w:rsidRPr="008E27B6" w:rsidRDefault="008E27B6" w:rsidP="00EF4010">
            <w:pPr>
              <w:pStyle w:val="DETTableTextFinancial"/>
              <w:jc w:val="right"/>
            </w:pPr>
            <w:r w:rsidRPr="008E27B6">
              <w:t>4,542.0</w:t>
            </w:r>
          </w:p>
        </w:tc>
        <w:tc>
          <w:tcPr>
            <w:tcW w:w="668" w:type="pct"/>
            <w:gridSpan w:val="2"/>
          </w:tcPr>
          <w:p w14:paraId="351704B8" w14:textId="15947C3F" w:rsidR="006016B9" w:rsidRPr="008E27B6" w:rsidRDefault="008E27B6" w:rsidP="00EF4010">
            <w:pPr>
              <w:pStyle w:val="DETTableTextFinancial"/>
              <w:jc w:val="right"/>
            </w:pPr>
            <w:r w:rsidRPr="008E27B6">
              <w:t>-1.2</w:t>
            </w:r>
          </w:p>
        </w:tc>
        <w:tc>
          <w:tcPr>
            <w:tcW w:w="406" w:type="pct"/>
          </w:tcPr>
          <w:p w14:paraId="4F1CCB07" w14:textId="75482F37" w:rsidR="006016B9" w:rsidRPr="0087752B" w:rsidRDefault="00874C27" w:rsidP="00EF4010">
            <w:pPr>
              <w:pStyle w:val="DETTableTextFinancial"/>
              <w:jc w:val="right"/>
              <w:rPr>
                <w:highlight w:val="yellow"/>
              </w:rPr>
            </w:pPr>
            <w:r w:rsidRPr="005C767D">
              <w:sym w:font="Wingdings" w:char="F0FC"/>
            </w:r>
          </w:p>
        </w:tc>
      </w:tr>
      <w:tr w:rsidR="006016B9" w:rsidRPr="0087752B" w14:paraId="1C5CCC6C" w14:textId="77777777" w:rsidTr="00237FCA">
        <w:tblPrEx>
          <w:tblBorders>
            <w:bottom w:val="single" w:sz="12" w:space="0" w:color="777777"/>
          </w:tblBorders>
        </w:tblPrEx>
        <w:trPr>
          <w:cantSplit/>
        </w:trPr>
        <w:tc>
          <w:tcPr>
            <w:tcW w:w="5000" w:type="pct"/>
            <w:gridSpan w:val="10"/>
            <w:tcBorders>
              <w:bottom w:val="single" w:sz="6" w:space="0" w:color="auto"/>
            </w:tcBorders>
            <w:shd w:val="clear" w:color="auto" w:fill="auto"/>
            <w:vAlign w:val="center"/>
          </w:tcPr>
          <w:p w14:paraId="55759EE0" w14:textId="569DD4DA" w:rsidR="006016B9" w:rsidRPr="008E27B6" w:rsidRDefault="0082652C" w:rsidP="00EF4010">
            <w:pPr>
              <w:pStyle w:val="DETTableTextFinancial"/>
              <w:rPr>
                <w:i/>
              </w:rPr>
            </w:pPr>
            <w:r>
              <w:rPr>
                <w:i/>
              </w:rPr>
              <w:t>The 2015–</w:t>
            </w:r>
            <w:r w:rsidR="008E27B6" w:rsidRPr="008E27B6">
              <w:rPr>
                <w:i/>
              </w:rPr>
              <w:t>1</w:t>
            </w:r>
            <w:r>
              <w:rPr>
                <w:i/>
              </w:rPr>
              <w:t>6 Actual is lower than the 2015–</w:t>
            </w:r>
            <w:r w:rsidR="008E27B6" w:rsidRPr="008E27B6">
              <w:rPr>
                <w:i/>
              </w:rPr>
              <w:t>16 Target primarily due to the timing in delivery of programs such as schools infra</w:t>
            </w:r>
            <w:r w:rsidR="003607A9">
              <w:rPr>
                <w:i/>
              </w:rPr>
              <w:t>structure including maintenance-</w:t>
            </w:r>
            <w:r w:rsidR="008E27B6" w:rsidRPr="008E27B6">
              <w:rPr>
                <w:i/>
              </w:rPr>
              <w:t>related projects.</w:t>
            </w:r>
          </w:p>
        </w:tc>
      </w:tr>
      <w:tr w:rsidR="006016B9" w:rsidRPr="0087752B" w14:paraId="59BF4EE9" w14:textId="77777777" w:rsidTr="00237FCA">
        <w:tblPrEx>
          <w:tblBorders>
            <w:top w:val="single" w:sz="6" w:space="0" w:color="auto"/>
            <w:bottom w:val="single" w:sz="12" w:space="0" w:color="7F7F7F" w:themeColor="text1" w:themeTint="80"/>
          </w:tblBorders>
        </w:tblPrEx>
        <w:trPr>
          <w:cantSplit/>
          <w:trHeight w:hRule="exact" w:val="454"/>
        </w:trPr>
        <w:tc>
          <w:tcPr>
            <w:tcW w:w="316" w:type="pct"/>
            <w:tcBorders>
              <w:top w:val="single" w:sz="6" w:space="0" w:color="auto"/>
              <w:bottom w:val="single" w:sz="4" w:space="0" w:color="auto"/>
            </w:tcBorders>
            <w:vAlign w:val="center"/>
          </w:tcPr>
          <w:p w14:paraId="2F1B04EE" w14:textId="77777777" w:rsidR="006016B9" w:rsidRPr="0087752B" w:rsidRDefault="006016B9" w:rsidP="006016B9">
            <w:pPr>
              <w:rPr>
                <w:sz w:val="16"/>
                <w:szCs w:val="16"/>
              </w:rPr>
            </w:pPr>
            <w:r w:rsidRPr="0087752B">
              <w:rPr>
                <w:sz w:val="16"/>
                <w:szCs w:val="16"/>
              </w:rPr>
              <w:t>Key:</w:t>
            </w:r>
          </w:p>
        </w:tc>
        <w:tc>
          <w:tcPr>
            <w:tcW w:w="1520" w:type="pct"/>
            <w:tcBorders>
              <w:top w:val="single" w:sz="6" w:space="0" w:color="auto"/>
              <w:bottom w:val="single" w:sz="4" w:space="0" w:color="auto"/>
            </w:tcBorders>
            <w:shd w:val="clear" w:color="auto" w:fill="auto"/>
            <w:vAlign w:val="center"/>
          </w:tcPr>
          <w:p w14:paraId="3A98F30E" w14:textId="77777777" w:rsidR="006016B9" w:rsidRPr="0087752B" w:rsidRDefault="006016B9" w:rsidP="006016B9">
            <w:r w:rsidRPr="005C767D">
              <w:sym w:font="Wingdings" w:char="F0FC"/>
            </w:r>
            <w:r w:rsidRPr="005C767D">
              <w:t xml:space="preserve"> </w:t>
            </w:r>
            <w:r w:rsidRPr="0087752B">
              <w:rPr>
                <w:sz w:val="15"/>
                <w:szCs w:val="15"/>
              </w:rPr>
              <w:t>Target achieved or exceeded</w:t>
            </w:r>
          </w:p>
        </w:tc>
        <w:tc>
          <w:tcPr>
            <w:tcW w:w="1428" w:type="pct"/>
            <w:gridSpan w:val="3"/>
            <w:tcBorders>
              <w:top w:val="single" w:sz="6" w:space="0" w:color="auto"/>
              <w:bottom w:val="single" w:sz="4" w:space="0" w:color="auto"/>
            </w:tcBorders>
            <w:shd w:val="clear" w:color="auto" w:fill="auto"/>
            <w:vAlign w:val="center"/>
          </w:tcPr>
          <w:p w14:paraId="18B13CB3" w14:textId="77777777" w:rsidR="006016B9" w:rsidRPr="0087752B" w:rsidRDefault="006016B9" w:rsidP="006016B9">
            <w:r w:rsidRPr="005C767D">
              <w:sym w:font="Wingdings" w:char="F06E"/>
            </w:r>
            <w:r w:rsidRPr="005C767D">
              <w:t xml:space="preserve"> </w:t>
            </w:r>
            <w:r w:rsidRPr="0087752B">
              <w:rPr>
                <w:sz w:val="15"/>
                <w:szCs w:val="15"/>
              </w:rPr>
              <w:t>Target not achieved—less than 5% variance</w:t>
            </w:r>
          </w:p>
        </w:tc>
        <w:tc>
          <w:tcPr>
            <w:tcW w:w="1737" w:type="pct"/>
            <w:gridSpan w:val="5"/>
            <w:tcBorders>
              <w:top w:val="single" w:sz="6" w:space="0" w:color="auto"/>
              <w:bottom w:val="single" w:sz="4" w:space="0" w:color="auto"/>
            </w:tcBorders>
            <w:shd w:val="clear" w:color="auto" w:fill="auto"/>
            <w:vAlign w:val="center"/>
          </w:tcPr>
          <w:p w14:paraId="627265FC" w14:textId="77777777" w:rsidR="006016B9" w:rsidRPr="0087752B" w:rsidRDefault="006016B9" w:rsidP="006016B9">
            <w:r w:rsidRPr="005C767D">
              <w:sym w:font="Wingdings" w:char="F0FB"/>
            </w:r>
            <w:r w:rsidRPr="005C767D">
              <w:t xml:space="preserve"> </w:t>
            </w:r>
            <w:r w:rsidRPr="0087752B">
              <w:rPr>
                <w:sz w:val="15"/>
                <w:szCs w:val="15"/>
              </w:rPr>
              <w:t>Target not achieved—more than 5% variance</w:t>
            </w:r>
          </w:p>
        </w:tc>
      </w:tr>
    </w:tbl>
    <w:p w14:paraId="1B431CBC" w14:textId="77777777" w:rsidR="006016B9" w:rsidRPr="0087752B" w:rsidRDefault="006016B9" w:rsidP="00B36ADC">
      <w:pPr>
        <w:pStyle w:val="Heading4"/>
      </w:pPr>
      <w:r w:rsidRPr="0087752B">
        <w:t>(ii) School Education—Secondary</w:t>
      </w:r>
    </w:p>
    <w:p w14:paraId="78B214D6" w14:textId="77777777" w:rsidR="006016B9" w:rsidRPr="0087752B" w:rsidRDefault="006016B9" w:rsidP="006016B9">
      <w:r w:rsidRPr="0087752B">
        <w:t>This output involves provision of education and other associated services designed to improve the quality of student learning and transition of students in Years 7 to 12 in government and non-government schools. It also covers the provision of cross-sectoral services to improve the transition to further education, training and employment.</w:t>
      </w:r>
    </w:p>
    <w:p w14:paraId="62D64CF4" w14:textId="77777777" w:rsidR="006016B9" w:rsidRPr="0087752B" w:rsidRDefault="006016B9" w:rsidP="006016B9">
      <w:r w:rsidRPr="0087752B">
        <w:t>Except where indicated, these performance measures relate to:</w:t>
      </w:r>
    </w:p>
    <w:p w14:paraId="5253062E" w14:textId="77777777" w:rsidR="006016B9" w:rsidRPr="0087752B" w:rsidRDefault="006016B9" w:rsidP="00B36ADC">
      <w:pPr>
        <w:pStyle w:val="DETNormallistbullet"/>
      </w:pPr>
      <w:r w:rsidRPr="0087752B">
        <w:t>the 2015 calendar year rather than the 2015–16 financial year</w:t>
      </w:r>
    </w:p>
    <w:p w14:paraId="5620EEDF" w14:textId="77777777" w:rsidR="006016B9" w:rsidRPr="0087752B" w:rsidRDefault="006016B9" w:rsidP="00B36ADC">
      <w:pPr>
        <w:pStyle w:val="DETNormallistbullet"/>
      </w:pPr>
      <w:r w:rsidRPr="0087752B">
        <w:t xml:space="preserve">government and non-government schools. </w:t>
      </w:r>
    </w:p>
    <w:tbl>
      <w:tblPr>
        <w:tblW w:w="5000" w:type="pct"/>
        <w:tblLayout w:type="fixed"/>
        <w:tblCellMar>
          <w:left w:w="45" w:type="dxa"/>
          <w:right w:w="45" w:type="dxa"/>
        </w:tblCellMar>
        <w:tblLook w:val="0000" w:firstRow="0" w:lastRow="0" w:firstColumn="0" w:lastColumn="0" w:noHBand="0" w:noVBand="0"/>
      </w:tblPr>
      <w:tblGrid>
        <w:gridCol w:w="622"/>
        <w:gridCol w:w="1702"/>
        <w:gridCol w:w="1265"/>
        <w:gridCol w:w="852"/>
        <w:gridCol w:w="437"/>
        <w:gridCol w:w="272"/>
        <w:gridCol w:w="710"/>
        <w:gridCol w:w="853"/>
        <w:gridCol w:w="747"/>
      </w:tblGrid>
      <w:tr w:rsidR="006016B9" w:rsidRPr="0087752B" w14:paraId="06090898" w14:textId="77777777" w:rsidTr="00D65DDE">
        <w:trPr>
          <w:cantSplit/>
          <w:tblHeader/>
        </w:trPr>
        <w:tc>
          <w:tcPr>
            <w:tcW w:w="2405" w:type="pct"/>
            <w:gridSpan w:val="3"/>
            <w:shd w:val="clear" w:color="auto" w:fill="7F7F7F" w:themeFill="text1" w:themeFillTint="80"/>
          </w:tcPr>
          <w:p w14:paraId="4878CAE3" w14:textId="77777777" w:rsidR="006016B9" w:rsidRPr="0087752B" w:rsidRDefault="006016B9" w:rsidP="00D65DDE">
            <w:pPr>
              <w:pStyle w:val="DETTablecolumnheading"/>
              <w:jc w:val="left"/>
            </w:pPr>
            <w:r w:rsidRPr="0087752B">
              <w:t>Performance measures</w:t>
            </w:r>
          </w:p>
        </w:tc>
        <w:tc>
          <w:tcPr>
            <w:tcW w:w="571" w:type="pct"/>
            <w:shd w:val="clear" w:color="auto" w:fill="7F7F7F" w:themeFill="text1" w:themeFillTint="80"/>
          </w:tcPr>
          <w:p w14:paraId="5D0C3331" w14:textId="77777777" w:rsidR="006016B9" w:rsidRPr="0087752B" w:rsidRDefault="006016B9" w:rsidP="00D65DDE">
            <w:pPr>
              <w:pStyle w:val="DETTablecolumnheading"/>
            </w:pPr>
            <w:r w:rsidRPr="0087752B">
              <w:t>Unit of measure</w:t>
            </w:r>
          </w:p>
        </w:tc>
        <w:tc>
          <w:tcPr>
            <w:tcW w:w="475" w:type="pct"/>
            <w:gridSpan w:val="2"/>
            <w:shd w:val="clear" w:color="auto" w:fill="7F7F7F" w:themeFill="text1" w:themeFillTint="80"/>
          </w:tcPr>
          <w:p w14:paraId="3814B8A4" w14:textId="77777777" w:rsidR="006016B9" w:rsidRPr="0087752B" w:rsidRDefault="006016B9" w:rsidP="00D65DDE">
            <w:pPr>
              <w:pStyle w:val="DETTablecolumnheading"/>
              <w:rPr>
                <w:sz w:val="15"/>
                <w:szCs w:val="15"/>
              </w:rPr>
            </w:pPr>
            <w:r w:rsidRPr="0087752B">
              <w:rPr>
                <w:sz w:val="15"/>
                <w:szCs w:val="15"/>
              </w:rPr>
              <w:t>2015–16 Target</w:t>
            </w:r>
          </w:p>
        </w:tc>
        <w:tc>
          <w:tcPr>
            <w:tcW w:w="476" w:type="pct"/>
            <w:shd w:val="clear" w:color="auto" w:fill="7F7F7F" w:themeFill="text1" w:themeFillTint="80"/>
          </w:tcPr>
          <w:p w14:paraId="0DFC3D41" w14:textId="77777777" w:rsidR="006016B9" w:rsidRPr="0087752B" w:rsidRDefault="006016B9" w:rsidP="00D65DDE">
            <w:pPr>
              <w:pStyle w:val="DETTablecolumnheading"/>
              <w:rPr>
                <w:sz w:val="15"/>
                <w:szCs w:val="15"/>
              </w:rPr>
            </w:pPr>
            <w:r w:rsidRPr="0087752B">
              <w:rPr>
                <w:sz w:val="15"/>
                <w:szCs w:val="15"/>
              </w:rPr>
              <w:t>2015–16 Actual</w:t>
            </w:r>
          </w:p>
        </w:tc>
        <w:tc>
          <w:tcPr>
            <w:tcW w:w="572" w:type="pct"/>
            <w:shd w:val="clear" w:color="auto" w:fill="7F7F7F" w:themeFill="text1" w:themeFillTint="80"/>
          </w:tcPr>
          <w:p w14:paraId="20C699A4" w14:textId="77777777" w:rsidR="006016B9" w:rsidRPr="0087752B" w:rsidRDefault="006016B9" w:rsidP="00D65DDE">
            <w:pPr>
              <w:pStyle w:val="DETTablecolumnheading"/>
              <w:rPr>
                <w:sz w:val="15"/>
                <w:szCs w:val="15"/>
              </w:rPr>
            </w:pPr>
            <w:r w:rsidRPr="0087752B">
              <w:rPr>
                <w:sz w:val="15"/>
                <w:szCs w:val="15"/>
              </w:rPr>
              <w:t>% variation</w:t>
            </w:r>
          </w:p>
        </w:tc>
        <w:tc>
          <w:tcPr>
            <w:tcW w:w="501" w:type="pct"/>
            <w:shd w:val="clear" w:color="auto" w:fill="7F7F7F" w:themeFill="text1" w:themeFillTint="80"/>
          </w:tcPr>
          <w:p w14:paraId="7E00F6CD" w14:textId="77777777" w:rsidR="006016B9" w:rsidRPr="0087752B" w:rsidRDefault="006016B9" w:rsidP="00D65DDE">
            <w:pPr>
              <w:pStyle w:val="DETTablecolumnheading"/>
            </w:pPr>
            <w:r w:rsidRPr="0087752B">
              <w:t>Result</w:t>
            </w:r>
          </w:p>
        </w:tc>
      </w:tr>
      <w:tr w:rsidR="006016B9" w:rsidRPr="0087752B" w14:paraId="19153022" w14:textId="77777777" w:rsidTr="006016B9">
        <w:tblPrEx>
          <w:tblBorders>
            <w:bottom w:val="single" w:sz="12" w:space="0" w:color="777777"/>
          </w:tblBorders>
        </w:tblPrEx>
        <w:trPr>
          <w:cantSplit/>
        </w:trPr>
        <w:tc>
          <w:tcPr>
            <w:tcW w:w="5000" w:type="pct"/>
            <w:gridSpan w:val="9"/>
            <w:shd w:val="clear" w:color="auto" w:fill="auto"/>
            <w:vAlign w:val="center"/>
          </w:tcPr>
          <w:p w14:paraId="239B54E9" w14:textId="77777777" w:rsidR="006016B9" w:rsidRPr="0087752B" w:rsidRDefault="006016B9" w:rsidP="00D65DDE">
            <w:pPr>
              <w:pStyle w:val="DETTableTextFinancial"/>
              <w:rPr>
                <w:b/>
              </w:rPr>
            </w:pPr>
            <w:r w:rsidRPr="0087752B">
              <w:rPr>
                <w:b/>
              </w:rPr>
              <w:t>Quantity</w:t>
            </w:r>
          </w:p>
        </w:tc>
      </w:tr>
      <w:tr w:rsidR="006016B9" w:rsidRPr="0087752B" w14:paraId="4926DB92" w14:textId="77777777" w:rsidTr="00D65DDE">
        <w:trPr>
          <w:cantSplit/>
        </w:trPr>
        <w:tc>
          <w:tcPr>
            <w:tcW w:w="2405" w:type="pct"/>
            <w:gridSpan w:val="3"/>
            <w:shd w:val="clear" w:color="auto" w:fill="auto"/>
            <w:vAlign w:val="center"/>
          </w:tcPr>
          <w:p w14:paraId="5CE458C0" w14:textId="77777777" w:rsidR="006016B9" w:rsidRPr="0087752B" w:rsidRDefault="006016B9" w:rsidP="00D65DDE">
            <w:pPr>
              <w:pStyle w:val="DETTableTextFinancial"/>
            </w:pPr>
            <w:r w:rsidRPr="0087752B">
              <w:t>Investment in non-government schools (secondary)</w:t>
            </w:r>
          </w:p>
        </w:tc>
        <w:tc>
          <w:tcPr>
            <w:tcW w:w="571" w:type="pct"/>
            <w:shd w:val="clear" w:color="auto" w:fill="auto"/>
          </w:tcPr>
          <w:p w14:paraId="3F2D93C5" w14:textId="77777777" w:rsidR="006016B9" w:rsidRPr="0087752B" w:rsidRDefault="006016B9" w:rsidP="00D65DDE">
            <w:pPr>
              <w:pStyle w:val="DETTableTextFinancial"/>
            </w:pPr>
            <w:r w:rsidRPr="0087752B">
              <w:t>$ million</w:t>
            </w:r>
          </w:p>
        </w:tc>
        <w:tc>
          <w:tcPr>
            <w:tcW w:w="475" w:type="pct"/>
            <w:gridSpan w:val="2"/>
            <w:shd w:val="clear" w:color="auto" w:fill="auto"/>
          </w:tcPr>
          <w:p w14:paraId="528AB41F" w14:textId="77777777" w:rsidR="006016B9" w:rsidRPr="0087752B" w:rsidRDefault="006016B9" w:rsidP="00D65DDE">
            <w:pPr>
              <w:pStyle w:val="DETTableTextFinancial"/>
              <w:jc w:val="right"/>
            </w:pPr>
            <w:r w:rsidRPr="0087752B">
              <w:t>360.6</w:t>
            </w:r>
          </w:p>
        </w:tc>
        <w:tc>
          <w:tcPr>
            <w:tcW w:w="476" w:type="pct"/>
            <w:shd w:val="clear" w:color="auto" w:fill="auto"/>
          </w:tcPr>
          <w:p w14:paraId="2E2CF503" w14:textId="293AE5B1" w:rsidR="006016B9" w:rsidRPr="00B327EB" w:rsidRDefault="00B327EB" w:rsidP="00D65DDE">
            <w:pPr>
              <w:pStyle w:val="DETTableTextFinancial"/>
              <w:jc w:val="right"/>
            </w:pPr>
            <w:r w:rsidRPr="00B327EB">
              <w:t>338.8</w:t>
            </w:r>
          </w:p>
        </w:tc>
        <w:tc>
          <w:tcPr>
            <w:tcW w:w="572" w:type="pct"/>
          </w:tcPr>
          <w:p w14:paraId="0DC02F36" w14:textId="421DB0AB" w:rsidR="006016B9" w:rsidRPr="00B327EB" w:rsidRDefault="00B327EB" w:rsidP="00D65DDE">
            <w:pPr>
              <w:pStyle w:val="DETTableTextFinancial"/>
              <w:jc w:val="right"/>
            </w:pPr>
            <w:r w:rsidRPr="00B327EB">
              <w:t>-6.1</w:t>
            </w:r>
          </w:p>
        </w:tc>
        <w:tc>
          <w:tcPr>
            <w:tcW w:w="501" w:type="pct"/>
          </w:tcPr>
          <w:p w14:paraId="20DFEA29" w14:textId="6722074E" w:rsidR="006016B9" w:rsidRPr="005914AE" w:rsidRDefault="00874C27" w:rsidP="00D65DDE">
            <w:pPr>
              <w:jc w:val="right"/>
              <w:rPr>
                <w:rFonts w:eastAsiaTheme="minorHAnsi" w:cs="Arial"/>
                <w:bCs/>
                <w:color w:val="auto"/>
                <w:sz w:val="16"/>
                <w:szCs w:val="52"/>
                <w:highlight w:val="yellow"/>
              </w:rPr>
            </w:pPr>
            <w:r w:rsidRPr="005C767D">
              <w:sym w:font="Wingdings" w:char="F0FC"/>
            </w:r>
          </w:p>
        </w:tc>
      </w:tr>
      <w:tr w:rsidR="006016B9" w:rsidRPr="0087752B" w14:paraId="20D5C2B7" w14:textId="77777777" w:rsidTr="006016B9">
        <w:tblPrEx>
          <w:tblBorders>
            <w:bottom w:val="single" w:sz="12" w:space="0" w:color="777777"/>
          </w:tblBorders>
        </w:tblPrEx>
        <w:trPr>
          <w:cantSplit/>
        </w:trPr>
        <w:tc>
          <w:tcPr>
            <w:tcW w:w="5000" w:type="pct"/>
            <w:gridSpan w:val="9"/>
            <w:shd w:val="clear" w:color="auto" w:fill="auto"/>
            <w:vAlign w:val="center"/>
          </w:tcPr>
          <w:p w14:paraId="72C23E1D" w14:textId="0CC39A51" w:rsidR="006016B9" w:rsidRPr="00B327EB" w:rsidRDefault="00B327EB" w:rsidP="00D65DDE">
            <w:pPr>
              <w:pStyle w:val="DETTableTextFinancial"/>
              <w:rPr>
                <w:i/>
              </w:rPr>
            </w:pPr>
            <w:r>
              <w:rPr>
                <w:i/>
              </w:rPr>
              <w:t>The 2015–</w:t>
            </w:r>
            <w:r w:rsidRPr="00B327EB">
              <w:rPr>
                <w:i/>
              </w:rPr>
              <w:t>1</w:t>
            </w:r>
            <w:r>
              <w:rPr>
                <w:i/>
              </w:rPr>
              <w:t>6 Actual is lower than the 2015–</w:t>
            </w:r>
            <w:r w:rsidRPr="00B327EB">
              <w:rPr>
                <w:i/>
              </w:rPr>
              <w:t>16 Target primarily due to the timing in delivery of programs such as capital grants.</w:t>
            </w:r>
          </w:p>
        </w:tc>
      </w:tr>
      <w:tr w:rsidR="006016B9" w:rsidRPr="0087752B" w14:paraId="00E5E4D4" w14:textId="77777777" w:rsidTr="00D65DDE">
        <w:trPr>
          <w:cantSplit/>
        </w:trPr>
        <w:tc>
          <w:tcPr>
            <w:tcW w:w="2405" w:type="pct"/>
            <w:gridSpan w:val="3"/>
            <w:shd w:val="clear" w:color="auto" w:fill="auto"/>
            <w:vAlign w:val="center"/>
          </w:tcPr>
          <w:p w14:paraId="439BBAC6" w14:textId="77777777" w:rsidR="006016B9" w:rsidRPr="0087752B" w:rsidRDefault="006016B9" w:rsidP="00D65DDE">
            <w:pPr>
              <w:pStyle w:val="DETTableTextFinancial"/>
            </w:pPr>
            <w:r w:rsidRPr="0087752B">
              <w:t>Number of school students enrolled in Victorian Certificate of Applied Learning</w:t>
            </w:r>
          </w:p>
        </w:tc>
        <w:tc>
          <w:tcPr>
            <w:tcW w:w="571" w:type="pct"/>
            <w:shd w:val="clear" w:color="auto" w:fill="auto"/>
          </w:tcPr>
          <w:p w14:paraId="48592508" w14:textId="77777777" w:rsidR="006016B9" w:rsidRPr="0087752B" w:rsidRDefault="006016B9" w:rsidP="00D65DDE">
            <w:pPr>
              <w:pStyle w:val="DETTableTextFinancial"/>
            </w:pPr>
            <w:r w:rsidRPr="0087752B">
              <w:t>number</w:t>
            </w:r>
          </w:p>
        </w:tc>
        <w:tc>
          <w:tcPr>
            <w:tcW w:w="475" w:type="pct"/>
            <w:gridSpan w:val="2"/>
            <w:shd w:val="clear" w:color="auto" w:fill="auto"/>
          </w:tcPr>
          <w:p w14:paraId="1EEE7B5A" w14:textId="77777777" w:rsidR="006016B9" w:rsidRPr="0087752B" w:rsidRDefault="006016B9" w:rsidP="00D65DDE">
            <w:pPr>
              <w:pStyle w:val="DETTableTextFinancial"/>
              <w:jc w:val="right"/>
            </w:pPr>
            <w:r w:rsidRPr="0087752B">
              <w:t>17,000</w:t>
            </w:r>
          </w:p>
        </w:tc>
        <w:tc>
          <w:tcPr>
            <w:tcW w:w="476" w:type="pct"/>
            <w:shd w:val="clear" w:color="auto" w:fill="auto"/>
          </w:tcPr>
          <w:p w14:paraId="3DFEDE33" w14:textId="77777777" w:rsidR="006016B9" w:rsidRPr="0087752B" w:rsidRDefault="006016B9" w:rsidP="00D65DDE">
            <w:pPr>
              <w:pStyle w:val="DETTableTextFinancial"/>
              <w:jc w:val="right"/>
            </w:pPr>
            <w:r w:rsidRPr="0087752B">
              <w:t>18,549</w:t>
            </w:r>
          </w:p>
        </w:tc>
        <w:tc>
          <w:tcPr>
            <w:tcW w:w="572" w:type="pct"/>
          </w:tcPr>
          <w:p w14:paraId="759F0E56" w14:textId="77777777" w:rsidR="006016B9" w:rsidRPr="0087752B" w:rsidRDefault="006016B9" w:rsidP="00D65DDE">
            <w:pPr>
              <w:pStyle w:val="DETTableTextFinancial"/>
              <w:jc w:val="right"/>
            </w:pPr>
            <w:r w:rsidRPr="0087752B">
              <w:t>9.1</w:t>
            </w:r>
          </w:p>
        </w:tc>
        <w:tc>
          <w:tcPr>
            <w:tcW w:w="501" w:type="pct"/>
          </w:tcPr>
          <w:p w14:paraId="71F5E1D7" w14:textId="77777777" w:rsidR="006016B9" w:rsidRPr="005C767D" w:rsidRDefault="006016B9" w:rsidP="00D65DDE">
            <w:pPr>
              <w:jc w:val="right"/>
            </w:pPr>
            <w:r w:rsidRPr="005C767D">
              <w:sym w:font="Wingdings" w:char="F0FC"/>
            </w:r>
          </w:p>
        </w:tc>
      </w:tr>
      <w:tr w:rsidR="006016B9" w:rsidRPr="0087752B" w14:paraId="1CEE5AD4" w14:textId="77777777" w:rsidTr="006016B9">
        <w:tblPrEx>
          <w:tblBorders>
            <w:bottom w:val="single" w:sz="12" w:space="0" w:color="777777"/>
          </w:tblBorders>
        </w:tblPrEx>
        <w:trPr>
          <w:cantSplit/>
        </w:trPr>
        <w:tc>
          <w:tcPr>
            <w:tcW w:w="5000" w:type="pct"/>
            <w:gridSpan w:val="9"/>
            <w:shd w:val="clear" w:color="auto" w:fill="auto"/>
            <w:vAlign w:val="center"/>
          </w:tcPr>
          <w:p w14:paraId="0E8845E7" w14:textId="77777777" w:rsidR="006016B9" w:rsidRPr="0087752B" w:rsidRDefault="006016B9" w:rsidP="00D65DDE">
            <w:pPr>
              <w:pStyle w:val="DETTableTextFinancial"/>
              <w:rPr>
                <w:i/>
              </w:rPr>
            </w:pPr>
            <w:r w:rsidRPr="0087752B">
              <w:rPr>
                <w:i/>
              </w:rPr>
              <w:t>The 2015–16 Actual is higher than the 2015–16 Target due to sustained growth in the number of students enrolling in the Victorian Certificate of Applied Learning as it becomes more established as an alternative qualification to the Victorian Certificate of Education.</w:t>
            </w:r>
          </w:p>
        </w:tc>
      </w:tr>
      <w:tr w:rsidR="006016B9" w:rsidRPr="0087752B" w14:paraId="5FBA250D" w14:textId="77777777" w:rsidTr="00D65DDE">
        <w:trPr>
          <w:cantSplit/>
        </w:trPr>
        <w:tc>
          <w:tcPr>
            <w:tcW w:w="2405" w:type="pct"/>
            <w:gridSpan w:val="3"/>
            <w:shd w:val="clear" w:color="auto" w:fill="auto"/>
            <w:vAlign w:val="center"/>
          </w:tcPr>
          <w:p w14:paraId="7F1F46EC" w14:textId="77777777" w:rsidR="006016B9" w:rsidRPr="0087752B" w:rsidRDefault="006016B9" w:rsidP="00D65DDE">
            <w:pPr>
              <w:pStyle w:val="DETTableTextFinancial"/>
            </w:pPr>
            <w:r w:rsidRPr="0087752B">
              <w:t>Number of school students participating in accredited vocational programs</w:t>
            </w:r>
          </w:p>
        </w:tc>
        <w:tc>
          <w:tcPr>
            <w:tcW w:w="571" w:type="pct"/>
            <w:shd w:val="clear" w:color="auto" w:fill="auto"/>
          </w:tcPr>
          <w:p w14:paraId="6DF0D45D" w14:textId="77777777" w:rsidR="006016B9" w:rsidRPr="0087752B" w:rsidRDefault="006016B9" w:rsidP="00D65DDE">
            <w:pPr>
              <w:pStyle w:val="DETTableTextFinancial"/>
            </w:pPr>
            <w:r w:rsidRPr="0087752B">
              <w:t>number</w:t>
            </w:r>
          </w:p>
        </w:tc>
        <w:tc>
          <w:tcPr>
            <w:tcW w:w="475" w:type="pct"/>
            <w:gridSpan w:val="2"/>
            <w:shd w:val="clear" w:color="auto" w:fill="auto"/>
          </w:tcPr>
          <w:p w14:paraId="4B0FE959" w14:textId="77777777" w:rsidR="006016B9" w:rsidRPr="0087752B" w:rsidRDefault="006016B9" w:rsidP="00D65DDE">
            <w:pPr>
              <w:pStyle w:val="DETTableTextFinancial"/>
              <w:jc w:val="right"/>
            </w:pPr>
            <w:r w:rsidRPr="0087752B">
              <w:t>45,800</w:t>
            </w:r>
          </w:p>
        </w:tc>
        <w:tc>
          <w:tcPr>
            <w:tcW w:w="476" w:type="pct"/>
            <w:shd w:val="clear" w:color="auto" w:fill="auto"/>
          </w:tcPr>
          <w:p w14:paraId="3C77D506" w14:textId="77777777" w:rsidR="006016B9" w:rsidRPr="0087752B" w:rsidRDefault="006016B9" w:rsidP="00D65DDE">
            <w:pPr>
              <w:pStyle w:val="DETTableTextFinancial"/>
              <w:jc w:val="right"/>
            </w:pPr>
            <w:r w:rsidRPr="0087752B">
              <w:t>46,995</w:t>
            </w:r>
          </w:p>
        </w:tc>
        <w:tc>
          <w:tcPr>
            <w:tcW w:w="572" w:type="pct"/>
          </w:tcPr>
          <w:p w14:paraId="5C340AEA" w14:textId="77777777" w:rsidR="006016B9" w:rsidRPr="0087752B" w:rsidRDefault="006016B9" w:rsidP="00D65DDE">
            <w:pPr>
              <w:pStyle w:val="DETTableTextFinancial"/>
              <w:jc w:val="right"/>
            </w:pPr>
            <w:r w:rsidRPr="0087752B">
              <w:t>2.6</w:t>
            </w:r>
          </w:p>
        </w:tc>
        <w:tc>
          <w:tcPr>
            <w:tcW w:w="501" w:type="pct"/>
          </w:tcPr>
          <w:p w14:paraId="539394A3" w14:textId="77777777" w:rsidR="006016B9" w:rsidRPr="005C767D" w:rsidRDefault="006016B9" w:rsidP="00D65DDE">
            <w:pPr>
              <w:jc w:val="right"/>
            </w:pPr>
            <w:r w:rsidRPr="005C767D">
              <w:sym w:font="Wingdings" w:char="F0FC"/>
            </w:r>
          </w:p>
        </w:tc>
      </w:tr>
      <w:tr w:rsidR="006016B9" w:rsidRPr="0087752B" w14:paraId="155FFA20" w14:textId="77777777" w:rsidTr="00D65DDE">
        <w:trPr>
          <w:cantSplit/>
        </w:trPr>
        <w:tc>
          <w:tcPr>
            <w:tcW w:w="2405" w:type="pct"/>
            <w:gridSpan w:val="3"/>
            <w:shd w:val="clear" w:color="auto" w:fill="auto"/>
            <w:vAlign w:val="center"/>
          </w:tcPr>
          <w:p w14:paraId="032C5CE3" w14:textId="77777777" w:rsidR="006016B9" w:rsidRPr="0087752B" w:rsidRDefault="006016B9" w:rsidP="00D65DDE">
            <w:pPr>
              <w:pStyle w:val="DETTableTextFinancial"/>
            </w:pPr>
            <w:r w:rsidRPr="0087752B">
              <w:t>Number of school-based apprentices/trainees</w:t>
            </w:r>
          </w:p>
        </w:tc>
        <w:tc>
          <w:tcPr>
            <w:tcW w:w="571" w:type="pct"/>
            <w:shd w:val="clear" w:color="auto" w:fill="auto"/>
          </w:tcPr>
          <w:p w14:paraId="57F418ED" w14:textId="77777777" w:rsidR="006016B9" w:rsidRPr="0087752B" w:rsidRDefault="006016B9" w:rsidP="00D65DDE">
            <w:pPr>
              <w:pStyle w:val="DETTableTextFinancial"/>
            </w:pPr>
            <w:r w:rsidRPr="0087752B">
              <w:t>number</w:t>
            </w:r>
          </w:p>
        </w:tc>
        <w:tc>
          <w:tcPr>
            <w:tcW w:w="475" w:type="pct"/>
            <w:gridSpan w:val="2"/>
            <w:shd w:val="clear" w:color="auto" w:fill="auto"/>
          </w:tcPr>
          <w:p w14:paraId="4A6D193C" w14:textId="77777777" w:rsidR="006016B9" w:rsidRPr="0087752B" w:rsidRDefault="006016B9" w:rsidP="00D65DDE">
            <w:pPr>
              <w:pStyle w:val="DETTableTextFinancial"/>
              <w:jc w:val="right"/>
            </w:pPr>
            <w:r w:rsidRPr="0087752B">
              <w:t>3700</w:t>
            </w:r>
          </w:p>
        </w:tc>
        <w:tc>
          <w:tcPr>
            <w:tcW w:w="476" w:type="pct"/>
            <w:shd w:val="clear" w:color="auto" w:fill="auto"/>
          </w:tcPr>
          <w:p w14:paraId="566DFB2C" w14:textId="77777777" w:rsidR="006016B9" w:rsidRPr="0087752B" w:rsidRDefault="006016B9" w:rsidP="00D65DDE">
            <w:pPr>
              <w:pStyle w:val="DETTableTextFinancial"/>
              <w:jc w:val="right"/>
            </w:pPr>
            <w:r w:rsidRPr="0087752B">
              <w:t>3538</w:t>
            </w:r>
          </w:p>
        </w:tc>
        <w:tc>
          <w:tcPr>
            <w:tcW w:w="572" w:type="pct"/>
          </w:tcPr>
          <w:p w14:paraId="5449A1CC" w14:textId="77777777" w:rsidR="006016B9" w:rsidRPr="0087752B" w:rsidRDefault="006016B9" w:rsidP="00D65DDE">
            <w:pPr>
              <w:pStyle w:val="DETTableTextFinancial"/>
              <w:jc w:val="right"/>
            </w:pPr>
            <w:r w:rsidRPr="0087752B">
              <w:t>-4.4</w:t>
            </w:r>
          </w:p>
        </w:tc>
        <w:tc>
          <w:tcPr>
            <w:tcW w:w="501" w:type="pct"/>
          </w:tcPr>
          <w:p w14:paraId="27D0EEA5" w14:textId="77777777" w:rsidR="006016B9" w:rsidRPr="005C767D" w:rsidRDefault="006016B9" w:rsidP="00D65DDE">
            <w:pPr>
              <w:jc w:val="right"/>
            </w:pPr>
            <w:r w:rsidRPr="005C767D">
              <w:sym w:font="Wingdings" w:char="F06E"/>
            </w:r>
          </w:p>
        </w:tc>
      </w:tr>
      <w:tr w:rsidR="006016B9" w:rsidRPr="0087752B" w14:paraId="32306FC2" w14:textId="77777777" w:rsidTr="00237FCA">
        <w:tblPrEx>
          <w:tblBorders>
            <w:bottom w:val="single" w:sz="12" w:space="0" w:color="777777"/>
          </w:tblBorders>
        </w:tblPrEx>
        <w:trPr>
          <w:cantSplit/>
        </w:trPr>
        <w:tc>
          <w:tcPr>
            <w:tcW w:w="5000" w:type="pct"/>
            <w:gridSpan w:val="9"/>
            <w:tcBorders>
              <w:bottom w:val="nil"/>
            </w:tcBorders>
            <w:shd w:val="clear" w:color="auto" w:fill="auto"/>
            <w:vAlign w:val="center"/>
          </w:tcPr>
          <w:p w14:paraId="1E0B4A5C" w14:textId="38E046B8" w:rsidR="006016B9" w:rsidRPr="0087752B" w:rsidRDefault="006016B9" w:rsidP="00D65DDE">
            <w:pPr>
              <w:pStyle w:val="DETTableTextFinancial"/>
              <w:rPr>
                <w:i/>
              </w:rPr>
            </w:pPr>
            <w:r w:rsidRPr="0087752B">
              <w:rPr>
                <w:i/>
              </w:rPr>
              <w:t>The 2015</w:t>
            </w:r>
            <w:r w:rsidR="0099330E" w:rsidRPr="0087752B">
              <w:rPr>
                <w:i/>
              </w:rPr>
              <w:t>–</w:t>
            </w:r>
            <w:r w:rsidRPr="0087752B">
              <w:rPr>
                <w:i/>
              </w:rPr>
              <w:t>16 Actual is lower than the 2015</w:t>
            </w:r>
            <w:r w:rsidR="0099330E" w:rsidRPr="0087752B">
              <w:rPr>
                <w:i/>
              </w:rPr>
              <w:t>–</w:t>
            </w:r>
            <w:r w:rsidRPr="0087752B">
              <w:rPr>
                <w:i/>
              </w:rPr>
              <w:t>16 Target due to trends in demand for school-based apprenticeships and traineeships in recent years.</w:t>
            </w:r>
          </w:p>
        </w:tc>
      </w:tr>
      <w:tr w:rsidR="006016B9" w:rsidRPr="0087752B" w14:paraId="28AFB830" w14:textId="77777777" w:rsidTr="00237FCA">
        <w:trPr>
          <w:cantSplit/>
        </w:trPr>
        <w:tc>
          <w:tcPr>
            <w:tcW w:w="2405" w:type="pct"/>
            <w:gridSpan w:val="3"/>
            <w:shd w:val="clear" w:color="auto" w:fill="auto"/>
            <w:vAlign w:val="center"/>
          </w:tcPr>
          <w:p w14:paraId="07C8327D" w14:textId="77777777" w:rsidR="006016B9" w:rsidRDefault="006016B9" w:rsidP="00D65DDE">
            <w:pPr>
              <w:pStyle w:val="DETTableTextFinancial"/>
            </w:pPr>
            <w:r w:rsidRPr="0087752B">
              <w:t>Proportion of all secondary schools offering vocational options to students as part of their secondary school certificate</w:t>
            </w:r>
          </w:p>
          <w:p w14:paraId="128B6943" w14:textId="77777777" w:rsidR="00354573" w:rsidRDefault="00354573" w:rsidP="00D65DDE">
            <w:pPr>
              <w:pStyle w:val="DETTableTextFinancial"/>
            </w:pPr>
          </w:p>
          <w:p w14:paraId="19DC7FD0" w14:textId="77777777" w:rsidR="00354573" w:rsidRDefault="00354573" w:rsidP="00D65DDE">
            <w:pPr>
              <w:pStyle w:val="DETTableTextFinancial"/>
            </w:pPr>
          </w:p>
          <w:p w14:paraId="5EAE0497" w14:textId="5A428996" w:rsidR="00354573" w:rsidRDefault="00354573" w:rsidP="00D65DDE">
            <w:pPr>
              <w:pStyle w:val="DETTableTextFinancial"/>
            </w:pPr>
          </w:p>
          <w:p w14:paraId="0C23F389" w14:textId="77777777" w:rsidR="008B7D2C" w:rsidRDefault="008B7D2C" w:rsidP="00D65DDE">
            <w:pPr>
              <w:pStyle w:val="DETTableTextFinancial"/>
            </w:pPr>
          </w:p>
          <w:p w14:paraId="073C3222" w14:textId="674BB6BB" w:rsidR="00354573" w:rsidRPr="0087752B" w:rsidRDefault="00354573" w:rsidP="00D65DDE">
            <w:pPr>
              <w:pStyle w:val="DETTableTextFinancial"/>
            </w:pPr>
          </w:p>
        </w:tc>
        <w:tc>
          <w:tcPr>
            <w:tcW w:w="571" w:type="pct"/>
            <w:shd w:val="clear" w:color="auto" w:fill="auto"/>
          </w:tcPr>
          <w:p w14:paraId="2B5BEEDC" w14:textId="77777777" w:rsidR="006016B9" w:rsidRPr="0087752B" w:rsidRDefault="006016B9" w:rsidP="00D65DDE">
            <w:pPr>
              <w:pStyle w:val="DETTableTextFinancial"/>
            </w:pPr>
            <w:r w:rsidRPr="0087752B">
              <w:t>per cent</w:t>
            </w:r>
          </w:p>
        </w:tc>
        <w:tc>
          <w:tcPr>
            <w:tcW w:w="475" w:type="pct"/>
            <w:gridSpan w:val="2"/>
            <w:shd w:val="clear" w:color="auto" w:fill="auto"/>
          </w:tcPr>
          <w:p w14:paraId="00E743B8" w14:textId="77777777" w:rsidR="006016B9" w:rsidRPr="0087752B" w:rsidRDefault="006016B9" w:rsidP="00D65DDE">
            <w:pPr>
              <w:pStyle w:val="DETTableTextFinancial"/>
              <w:jc w:val="right"/>
            </w:pPr>
            <w:r w:rsidRPr="0087752B">
              <w:t>95</w:t>
            </w:r>
          </w:p>
        </w:tc>
        <w:tc>
          <w:tcPr>
            <w:tcW w:w="476" w:type="pct"/>
            <w:shd w:val="clear" w:color="auto" w:fill="auto"/>
          </w:tcPr>
          <w:p w14:paraId="431D9C7F" w14:textId="77777777" w:rsidR="006016B9" w:rsidRPr="0087752B" w:rsidRDefault="006016B9" w:rsidP="00D65DDE">
            <w:pPr>
              <w:pStyle w:val="DETTableTextFinancial"/>
              <w:jc w:val="right"/>
            </w:pPr>
            <w:r w:rsidRPr="0087752B">
              <w:t>95.2</w:t>
            </w:r>
          </w:p>
        </w:tc>
        <w:tc>
          <w:tcPr>
            <w:tcW w:w="572" w:type="pct"/>
          </w:tcPr>
          <w:p w14:paraId="620985E2" w14:textId="77777777" w:rsidR="006016B9" w:rsidRPr="0087752B" w:rsidRDefault="006016B9" w:rsidP="00D65DDE">
            <w:pPr>
              <w:pStyle w:val="DETTableTextFinancial"/>
              <w:jc w:val="right"/>
            </w:pPr>
            <w:r w:rsidRPr="0087752B">
              <w:t>0.2</w:t>
            </w:r>
          </w:p>
        </w:tc>
        <w:tc>
          <w:tcPr>
            <w:tcW w:w="501" w:type="pct"/>
          </w:tcPr>
          <w:p w14:paraId="22621AED" w14:textId="77777777" w:rsidR="006016B9" w:rsidRPr="005C767D" w:rsidRDefault="006016B9" w:rsidP="00D65DDE">
            <w:pPr>
              <w:jc w:val="right"/>
            </w:pPr>
            <w:r w:rsidRPr="005C767D">
              <w:sym w:font="Wingdings" w:char="F0FC"/>
            </w:r>
          </w:p>
        </w:tc>
      </w:tr>
      <w:tr w:rsidR="006016B9" w:rsidRPr="0087752B" w14:paraId="5B41E0F8" w14:textId="77777777" w:rsidTr="00237FCA">
        <w:tblPrEx>
          <w:tblBorders>
            <w:bottom w:val="single" w:sz="12" w:space="0" w:color="777777"/>
          </w:tblBorders>
        </w:tblPrEx>
        <w:trPr>
          <w:cantSplit/>
        </w:trPr>
        <w:tc>
          <w:tcPr>
            <w:tcW w:w="5000" w:type="pct"/>
            <w:gridSpan w:val="9"/>
            <w:tcBorders>
              <w:top w:val="nil"/>
            </w:tcBorders>
            <w:shd w:val="clear" w:color="auto" w:fill="auto"/>
            <w:vAlign w:val="center"/>
          </w:tcPr>
          <w:p w14:paraId="7839C4DA" w14:textId="77777777" w:rsidR="006016B9" w:rsidRPr="0087752B" w:rsidRDefault="006016B9" w:rsidP="00D65DDE">
            <w:pPr>
              <w:pStyle w:val="DETTableTextFinancial"/>
              <w:rPr>
                <w:b/>
              </w:rPr>
            </w:pPr>
            <w:r w:rsidRPr="0087752B">
              <w:rPr>
                <w:b/>
              </w:rPr>
              <w:t>Quality</w:t>
            </w:r>
          </w:p>
        </w:tc>
      </w:tr>
      <w:tr w:rsidR="006016B9" w:rsidRPr="0087752B" w14:paraId="5B912A28" w14:textId="77777777" w:rsidTr="00D65DDE">
        <w:trPr>
          <w:cantSplit/>
        </w:trPr>
        <w:tc>
          <w:tcPr>
            <w:tcW w:w="2405" w:type="pct"/>
            <w:gridSpan w:val="3"/>
            <w:shd w:val="clear" w:color="auto" w:fill="auto"/>
            <w:vAlign w:val="center"/>
          </w:tcPr>
          <w:p w14:paraId="09607B04" w14:textId="77777777" w:rsidR="006016B9" w:rsidRPr="0087752B" w:rsidRDefault="006016B9" w:rsidP="00D65DDE">
            <w:pPr>
              <w:pStyle w:val="DETTableTextFinancial"/>
            </w:pPr>
            <w:r w:rsidRPr="0087752B">
              <w:t>Average days lost due to absence in Years 11 and 12</w:t>
            </w:r>
          </w:p>
        </w:tc>
        <w:tc>
          <w:tcPr>
            <w:tcW w:w="571" w:type="pct"/>
            <w:shd w:val="clear" w:color="auto" w:fill="auto"/>
          </w:tcPr>
          <w:p w14:paraId="555BF1AA" w14:textId="77777777" w:rsidR="006016B9" w:rsidRPr="0087752B" w:rsidRDefault="006016B9" w:rsidP="00D65DDE">
            <w:pPr>
              <w:pStyle w:val="DETTableTextFinancial"/>
            </w:pPr>
            <w:r w:rsidRPr="0087752B">
              <w:t>number</w:t>
            </w:r>
          </w:p>
        </w:tc>
        <w:tc>
          <w:tcPr>
            <w:tcW w:w="475" w:type="pct"/>
            <w:gridSpan w:val="2"/>
            <w:shd w:val="clear" w:color="auto" w:fill="auto"/>
          </w:tcPr>
          <w:p w14:paraId="4352DCDA" w14:textId="77777777" w:rsidR="006016B9" w:rsidRPr="0087752B" w:rsidRDefault="006016B9" w:rsidP="00D65DDE">
            <w:pPr>
              <w:pStyle w:val="DETTableTextFinancial"/>
              <w:jc w:val="right"/>
            </w:pPr>
            <w:r w:rsidRPr="0087752B">
              <w:t>16.1</w:t>
            </w:r>
          </w:p>
        </w:tc>
        <w:tc>
          <w:tcPr>
            <w:tcW w:w="476" w:type="pct"/>
            <w:shd w:val="clear" w:color="auto" w:fill="auto"/>
          </w:tcPr>
          <w:p w14:paraId="5CEF65B8" w14:textId="77777777" w:rsidR="006016B9" w:rsidRPr="0087752B" w:rsidRDefault="006016B9" w:rsidP="00D65DDE">
            <w:pPr>
              <w:pStyle w:val="DETTableTextFinancial"/>
              <w:jc w:val="right"/>
            </w:pPr>
            <w:r w:rsidRPr="0087752B">
              <w:t>16.8</w:t>
            </w:r>
          </w:p>
        </w:tc>
        <w:tc>
          <w:tcPr>
            <w:tcW w:w="572" w:type="pct"/>
          </w:tcPr>
          <w:p w14:paraId="671E2B78" w14:textId="77777777" w:rsidR="006016B9" w:rsidRPr="0087752B" w:rsidRDefault="006016B9" w:rsidP="00D65DDE">
            <w:pPr>
              <w:pStyle w:val="DETTableTextFinancial"/>
              <w:jc w:val="right"/>
            </w:pPr>
            <w:r w:rsidRPr="0087752B">
              <w:t>-4.3</w:t>
            </w:r>
          </w:p>
        </w:tc>
        <w:tc>
          <w:tcPr>
            <w:tcW w:w="501" w:type="pct"/>
          </w:tcPr>
          <w:p w14:paraId="0B767C74" w14:textId="77777777" w:rsidR="006016B9" w:rsidRPr="005C767D" w:rsidRDefault="006016B9" w:rsidP="00D65DDE">
            <w:pPr>
              <w:jc w:val="right"/>
            </w:pPr>
            <w:r w:rsidRPr="005C767D">
              <w:sym w:font="Wingdings" w:char="F06E"/>
            </w:r>
          </w:p>
        </w:tc>
      </w:tr>
      <w:tr w:rsidR="006016B9" w:rsidRPr="0087752B" w14:paraId="26D6BF77" w14:textId="77777777" w:rsidTr="006016B9">
        <w:tblPrEx>
          <w:tblBorders>
            <w:bottom w:val="single" w:sz="12" w:space="0" w:color="777777"/>
          </w:tblBorders>
        </w:tblPrEx>
        <w:trPr>
          <w:cantSplit/>
        </w:trPr>
        <w:tc>
          <w:tcPr>
            <w:tcW w:w="5000" w:type="pct"/>
            <w:gridSpan w:val="9"/>
            <w:shd w:val="clear" w:color="auto" w:fill="auto"/>
            <w:vAlign w:val="center"/>
          </w:tcPr>
          <w:p w14:paraId="6B0B2D53" w14:textId="77777777" w:rsidR="006016B9" w:rsidRPr="0087752B" w:rsidRDefault="006016B9" w:rsidP="00D65DDE">
            <w:pPr>
              <w:pStyle w:val="DETTableTextFinancial"/>
              <w:rPr>
                <w:i/>
              </w:rPr>
            </w:pPr>
            <w:r w:rsidRPr="0087752B">
              <w:rPr>
                <w:i/>
              </w:rPr>
              <w:t xml:space="preserve">This performance measure refers to government schools only. Average days lost covers all student absences, including those due to illness, approved family holidays and unapproved absences. A lower figure is more desirable, as it indicates that students are having fewer days away from school. </w:t>
            </w:r>
            <w:r w:rsidRPr="0087752B">
              <w:rPr>
                <w:i/>
              </w:rPr>
              <w:br/>
              <w:t>The 2015-16 Actual figure reflects data extracted at 2 June 2016.</w:t>
            </w:r>
          </w:p>
        </w:tc>
      </w:tr>
      <w:tr w:rsidR="006016B9" w:rsidRPr="0087752B" w14:paraId="59315D2D" w14:textId="77777777" w:rsidTr="00D65DDE">
        <w:trPr>
          <w:cantSplit/>
        </w:trPr>
        <w:tc>
          <w:tcPr>
            <w:tcW w:w="2405" w:type="pct"/>
            <w:gridSpan w:val="3"/>
            <w:shd w:val="clear" w:color="auto" w:fill="auto"/>
            <w:vAlign w:val="center"/>
          </w:tcPr>
          <w:p w14:paraId="177C0AE1" w14:textId="77777777" w:rsidR="006016B9" w:rsidRPr="0087752B" w:rsidRDefault="006016B9" w:rsidP="00D65DDE">
            <w:pPr>
              <w:pStyle w:val="DETTableTextFinancial"/>
            </w:pPr>
            <w:r w:rsidRPr="0087752B">
              <w:t>Average days lost due to absence in Years 7–10</w:t>
            </w:r>
          </w:p>
        </w:tc>
        <w:tc>
          <w:tcPr>
            <w:tcW w:w="571" w:type="pct"/>
            <w:shd w:val="clear" w:color="auto" w:fill="auto"/>
          </w:tcPr>
          <w:p w14:paraId="0CBA1AA1" w14:textId="77777777" w:rsidR="006016B9" w:rsidRPr="0087752B" w:rsidRDefault="006016B9" w:rsidP="00D65DDE">
            <w:pPr>
              <w:pStyle w:val="DETTableTextFinancial"/>
            </w:pPr>
            <w:r w:rsidRPr="0087752B">
              <w:t>number</w:t>
            </w:r>
          </w:p>
        </w:tc>
        <w:tc>
          <w:tcPr>
            <w:tcW w:w="475" w:type="pct"/>
            <w:gridSpan w:val="2"/>
            <w:shd w:val="clear" w:color="auto" w:fill="auto"/>
          </w:tcPr>
          <w:p w14:paraId="5A9C5180" w14:textId="77777777" w:rsidR="006016B9" w:rsidRPr="0087752B" w:rsidRDefault="006016B9" w:rsidP="00D65DDE">
            <w:pPr>
              <w:pStyle w:val="DETTableTextFinancial"/>
              <w:jc w:val="right"/>
            </w:pPr>
            <w:r w:rsidRPr="0087752B">
              <w:t>19</w:t>
            </w:r>
          </w:p>
        </w:tc>
        <w:tc>
          <w:tcPr>
            <w:tcW w:w="476" w:type="pct"/>
            <w:shd w:val="clear" w:color="auto" w:fill="auto"/>
          </w:tcPr>
          <w:p w14:paraId="39EF927D" w14:textId="77777777" w:rsidR="006016B9" w:rsidRPr="0087752B" w:rsidRDefault="006016B9" w:rsidP="00D65DDE">
            <w:pPr>
              <w:pStyle w:val="DETTableTextFinancial"/>
              <w:jc w:val="right"/>
            </w:pPr>
            <w:r w:rsidRPr="0087752B">
              <w:t>19.3</w:t>
            </w:r>
          </w:p>
        </w:tc>
        <w:tc>
          <w:tcPr>
            <w:tcW w:w="572" w:type="pct"/>
          </w:tcPr>
          <w:p w14:paraId="36D389F8" w14:textId="77777777" w:rsidR="006016B9" w:rsidRPr="0087752B" w:rsidRDefault="006016B9" w:rsidP="00D65DDE">
            <w:pPr>
              <w:pStyle w:val="DETTableTextFinancial"/>
              <w:jc w:val="right"/>
            </w:pPr>
            <w:r w:rsidRPr="0087752B">
              <w:t>-1.6</w:t>
            </w:r>
          </w:p>
        </w:tc>
        <w:tc>
          <w:tcPr>
            <w:tcW w:w="501" w:type="pct"/>
          </w:tcPr>
          <w:p w14:paraId="6C60D0A6" w14:textId="77777777" w:rsidR="006016B9" w:rsidRPr="005C767D" w:rsidRDefault="006016B9" w:rsidP="00D65DDE">
            <w:pPr>
              <w:jc w:val="right"/>
            </w:pPr>
            <w:r w:rsidRPr="005C767D">
              <w:sym w:font="Wingdings" w:char="F06E"/>
            </w:r>
            <w:r w:rsidRPr="005C767D">
              <w:t xml:space="preserve"> </w:t>
            </w:r>
          </w:p>
        </w:tc>
      </w:tr>
      <w:tr w:rsidR="006016B9" w:rsidRPr="0087752B" w14:paraId="228D93B8"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55D05E57" w14:textId="77777777" w:rsidR="006016B9" w:rsidRPr="0087752B" w:rsidRDefault="006016B9" w:rsidP="00D65DDE">
            <w:pPr>
              <w:pStyle w:val="DETTableTextFinancial"/>
              <w:rPr>
                <w:i/>
              </w:rPr>
            </w:pPr>
            <w:r w:rsidRPr="0087752B">
              <w:rPr>
                <w:i/>
              </w:rPr>
              <w:t xml:space="preserve">This performance measure refers to government schools only. Average days lost covers all student absences, including those due to illness, approved family holidays and unapproved absences. A lower figure is more desirable, as it indicates that students are having fewer days away from school. </w:t>
            </w:r>
          </w:p>
          <w:p w14:paraId="35C00506" w14:textId="48E159BC" w:rsidR="006016B9" w:rsidRPr="0087752B" w:rsidRDefault="006016B9" w:rsidP="00D65DDE">
            <w:pPr>
              <w:pStyle w:val="DETTableTextFinancial"/>
            </w:pPr>
            <w:r w:rsidRPr="0087752B">
              <w:rPr>
                <w:i/>
              </w:rPr>
              <w:t>The 2015</w:t>
            </w:r>
            <w:r w:rsidR="0099330E" w:rsidRPr="0087752B">
              <w:rPr>
                <w:i/>
              </w:rPr>
              <w:t>–</w:t>
            </w:r>
            <w:r w:rsidRPr="0087752B">
              <w:rPr>
                <w:i/>
              </w:rPr>
              <w:t>16 Actual figure reflects data extracted at 2 June 2016.</w:t>
            </w:r>
          </w:p>
        </w:tc>
      </w:tr>
      <w:tr w:rsidR="006016B9" w:rsidRPr="0087752B" w14:paraId="3D01EF0C" w14:textId="77777777" w:rsidTr="00D65DDE">
        <w:trPr>
          <w:cantSplit/>
        </w:trPr>
        <w:tc>
          <w:tcPr>
            <w:tcW w:w="2405" w:type="pct"/>
            <w:gridSpan w:val="3"/>
            <w:shd w:val="clear" w:color="auto" w:fill="auto"/>
            <w:vAlign w:val="center"/>
          </w:tcPr>
          <w:p w14:paraId="2C68B9D6" w14:textId="77777777" w:rsidR="006016B9" w:rsidRPr="0087752B" w:rsidRDefault="006016B9" w:rsidP="00D65DDE">
            <w:pPr>
              <w:pStyle w:val="DETTableTextFinancial"/>
            </w:pPr>
            <w:r w:rsidRPr="0087752B">
              <w:t>Median VCE study score</w:t>
            </w:r>
          </w:p>
        </w:tc>
        <w:tc>
          <w:tcPr>
            <w:tcW w:w="571" w:type="pct"/>
            <w:shd w:val="clear" w:color="auto" w:fill="auto"/>
          </w:tcPr>
          <w:p w14:paraId="48ADFEDD" w14:textId="77777777" w:rsidR="006016B9" w:rsidRPr="0087752B" w:rsidRDefault="006016B9" w:rsidP="00D65DDE">
            <w:pPr>
              <w:pStyle w:val="DETTableTextFinancial"/>
            </w:pPr>
            <w:r w:rsidRPr="0087752B">
              <w:t>number</w:t>
            </w:r>
          </w:p>
        </w:tc>
        <w:tc>
          <w:tcPr>
            <w:tcW w:w="475" w:type="pct"/>
            <w:gridSpan w:val="2"/>
            <w:shd w:val="clear" w:color="auto" w:fill="auto"/>
          </w:tcPr>
          <w:p w14:paraId="56173FFF" w14:textId="77777777" w:rsidR="006016B9" w:rsidRPr="0087752B" w:rsidRDefault="006016B9" w:rsidP="00D65DDE">
            <w:pPr>
              <w:pStyle w:val="DETTableTextFinancial"/>
              <w:jc w:val="right"/>
            </w:pPr>
            <w:r w:rsidRPr="0087752B">
              <w:t>29</w:t>
            </w:r>
          </w:p>
        </w:tc>
        <w:tc>
          <w:tcPr>
            <w:tcW w:w="476" w:type="pct"/>
            <w:shd w:val="clear" w:color="auto" w:fill="auto"/>
          </w:tcPr>
          <w:p w14:paraId="54FF0010" w14:textId="77777777" w:rsidR="006016B9" w:rsidRPr="0087752B" w:rsidRDefault="006016B9" w:rsidP="00D65DDE">
            <w:pPr>
              <w:pStyle w:val="DETTableTextFinancial"/>
              <w:jc w:val="right"/>
            </w:pPr>
            <w:r w:rsidRPr="0087752B">
              <w:t>29</w:t>
            </w:r>
          </w:p>
        </w:tc>
        <w:tc>
          <w:tcPr>
            <w:tcW w:w="572" w:type="pct"/>
          </w:tcPr>
          <w:p w14:paraId="55B24B44" w14:textId="77777777" w:rsidR="006016B9" w:rsidRPr="0087752B" w:rsidRDefault="006016B9" w:rsidP="00D65DDE">
            <w:pPr>
              <w:pStyle w:val="DETTableTextFinancial"/>
              <w:jc w:val="right"/>
            </w:pPr>
            <w:r w:rsidRPr="0087752B">
              <w:t>0.0</w:t>
            </w:r>
          </w:p>
        </w:tc>
        <w:tc>
          <w:tcPr>
            <w:tcW w:w="501" w:type="pct"/>
          </w:tcPr>
          <w:p w14:paraId="33FE474C" w14:textId="77777777" w:rsidR="006016B9" w:rsidRPr="005C767D" w:rsidRDefault="006016B9" w:rsidP="00D65DDE">
            <w:pPr>
              <w:jc w:val="right"/>
            </w:pPr>
            <w:r w:rsidRPr="005C767D">
              <w:sym w:font="Wingdings" w:char="F0FC"/>
            </w:r>
          </w:p>
        </w:tc>
      </w:tr>
      <w:tr w:rsidR="006016B9" w:rsidRPr="0087752B" w14:paraId="4238DD3B"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0E3C814B" w14:textId="77777777" w:rsidR="006016B9" w:rsidRPr="0087752B" w:rsidRDefault="006016B9" w:rsidP="00D65DDE">
            <w:pPr>
              <w:pStyle w:val="DETTableTextFinancial"/>
              <w:rPr>
                <w:i/>
                <w:highlight w:val="yellow"/>
              </w:rPr>
            </w:pPr>
            <w:r w:rsidRPr="0087752B">
              <w:rPr>
                <w:i/>
              </w:rPr>
              <w:t>This performance measure refers to government schools only.</w:t>
            </w:r>
          </w:p>
        </w:tc>
      </w:tr>
      <w:tr w:rsidR="006016B9" w:rsidRPr="0087752B" w14:paraId="7F41F7A9" w14:textId="77777777" w:rsidTr="00D65DDE">
        <w:trPr>
          <w:cantSplit/>
        </w:trPr>
        <w:tc>
          <w:tcPr>
            <w:tcW w:w="2405" w:type="pct"/>
            <w:gridSpan w:val="3"/>
            <w:shd w:val="clear" w:color="auto" w:fill="auto"/>
            <w:vAlign w:val="center"/>
          </w:tcPr>
          <w:p w14:paraId="1A8C091C" w14:textId="77777777" w:rsidR="006016B9" w:rsidRPr="0087752B" w:rsidRDefault="006016B9" w:rsidP="00D65DDE">
            <w:pPr>
              <w:pStyle w:val="DETTableTextFinancial"/>
            </w:pPr>
            <w:r w:rsidRPr="0087752B">
              <w:t>Parent satisfaction with secondary schooling on a 100-point scale</w:t>
            </w:r>
          </w:p>
        </w:tc>
        <w:tc>
          <w:tcPr>
            <w:tcW w:w="571" w:type="pct"/>
            <w:shd w:val="clear" w:color="auto" w:fill="auto"/>
          </w:tcPr>
          <w:p w14:paraId="09464780" w14:textId="77777777" w:rsidR="006016B9" w:rsidRPr="0087752B" w:rsidRDefault="006016B9" w:rsidP="00D65DDE">
            <w:pPr>
              <w:pStyle w:val="DETTableTextFinancial"/>
            </w:pPr>
            <w:r w:rsidRPr="0087752B">
              <w:t>100-point scale</w:t>
            </w:r>
          </w:p>
        </w:tc>
        <w:tc>
          <w:tcPr>
            <w:tcW w:w="475" w:type="pct"/>
            <w:gridSpan w:val="2"/>
            <w:shd w:val="clear" w:color="auto" w:fill="auto"/>
          </w:tcPr>
          <w:p w14:paraId="6831A22F" w14:textId="77777777" w:rsidR="006016B9" w:rsidRPr="0087752B" w:rsidRDefault="006016B9" w:rsidP="00D65DDE">
            <w:pPr>
              <w:pStyle w:val="DETTableTextFinancial"/>
              <w:jc w:val="right"/>
            </w:pPr>
            <w:r w:rsidRPr="0087752B">
              <w:t>75</w:t>
            </w:r>
          </w:p>
        </w:tc>
        <w:tc>
          <w:tcPr>
            <w:tcW w:w="476" w:type="pct"/>
            <w:shd w:val="clear" w:color="auto" w:fill="auto"/>
          </w:tcPr>
          <w:p w14:paraId="5327D71D" w14:textId="77777777" w:rsidR="006016B9" w:rsidRPr="0087752B" w:rsidRDefault="006016B9" w:rsidP="00D65DDE">
            <w:pPr>
              <w:pStyle w:val="DETTableTextFinancial"/>
              <w:jc w:val="right"/>
            </w:pPr>
            <w:r w:rsidRPr="0087752B">
              <w:t>77</w:t>
            </w:r>
          </w:p>
        </w:tc>
        <w:tc>
          <w:tcPr>
            <w:tcW w:w="572" w:type="pct"/>
            <w:shd w:val="clear" w:color="auto" w:fill="auto"/>
          </w:tcPr>
          <w:p w14:paraId="3A745EE8" w14:textId="77777777" w:rsidR="006016B9" w:rsidRPr="0087752B" w:rsidRDefault="006016B9" w:rsidP="00D65DDE">
            <w:pPr>
              <w:pStyle w:val="DETTableTextFinancial"/>
              <w:jc w:val="right"/>
            </w:pPr>
            <w:r w:rsidRPr="0087752B">
              <w:t>2.7</w:t>
            </w:r>
          </w:p>
        </w:tc>
        <w:tc>
          <w:tcPr>
            <w:tcW w:w="501" w:type="pct"/>
            <w:shd w:val="clear" w:color="auto" w:fill="auto"/>
          </w:tcPr>
          <w:p w14:paraId="1D69CF49" w14:textId="77777777" w:rsidR="006016B9" w:rsidRPr="005C767D" w:rsidRDefault="006016B9" w:rsidP="00D65DDE">
            <w:pPr>
              <w:jc w:val="right"/>
            </w:pPr>
            <w:r w:rsidRPr="005C767D">
              <w:sym w:font="Wingdings" w:char="F0FC"/>
            </w:r>
          </w:p>
        </w:tc>
      </w:tr>
      <w:tr w:rsidR="006016B9" w:rsidRPr="0087752B" w14:paraId="0F6DF692"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20C70DED" w14:textId="77777777" w:rsidR="006016B9" w:rsidRPr="0087752B" w:rsidRDefault="006016B9" w:rsidP="00D65DDE">
            <w:pPr>
              <w:pStyle w:val="DETTableTextFinancial"/>
            </w:pPr>
            <w:r w:rsidRPr="0087752B">
              <w:rPr>
                <w:i/>
              </w:rPr>
              <w:t>This performance measure refers to government schools only. Data is drawn from the Parent Opinion Survey, where a higher score represents a higher level of satisfaction</w:t>
            </w:r>
            <w:r w:rsidRPr="0087752B">
              <w:t>.</w:t>
            </w:r>
          </w:p>
        </w:tc>
      </w:tr>
      <w:tr w:rsidR="006016B9" w:rsidRPr="0087752B" w14:paraId="54985050" w14:textId="77777777" w:rsidTr="00D65DDE">
        <w:trPr>
          <w:cantSplit/>
        </w:trPr>
        <w:tc>
          <w:tcPr>
            <w:tcW w:w="2405" w:type="pct"/>
            <w:gridSpan w:val="3"/>
            <w:shd w:val="clear" w:color="auto" w:fill="auto"/>
            <w:vAlign w:val="center"/>
          </w:tcPr>
          <w:p w14:paraId="0898FEBB" w14:textId="77777777" w:rsidR="006016B9" w:rsidRPr="0087752B" w:rsidRDefault="006016B9" w:rsidP="00D65DDE">
            <w:pPr>
              <w:pStyle w:val="DETTableTextFinancial"/>
            </w:pPr>
            <w:r w:rsidRPr="0087752B">
              <w:t>Percentage of Indigenous students above the bottom three bands for numeracy in Year 7 (NAPLAN testing)</w:t>
            </w:r>
          </w:p>
        </w:tc>
        <w:tc>
          <w:tcPr>
            <w:tcW w:w="571" w:type="pct"/>
            <w:shd w:val="clear" w:color="auto" w:fill="auto"/>
          </w:tcPr>
          <w:p w14:paraId="70710E8B" w14:textId="77777777" w:rsidR="006016B9" w:rsidRPr="0087752B" w:rsidRDefault="006016B9" w:rsidP="00D65DDE">
            <w:pPr>
              <w:pStyle w:val="DETTableTextFinancial"/>
            </w:pPr>
            <w:r w:rsidRPr="0087752B">
              <w:t>per cent</w:t>
            </w:r>
          </w:p>
        </w:tc>
        <w:tc>
          <w:tcPr>
            <w:tcW w:w="475" w:type="pct"/>
            <w:gridSpan w:val="2"/>
            <w:shd w:val="clear" w:color="auto" w:fill="auto"/>
          </w:tcPr>
          <w:p w14:paraId="3C47D6B1" w14:textId="77777777" w:rsidR="006016B9" w:rsidRPr="0087752B" w:rsidRDefault="006016B9" w:rsidP="00D65DDE">
            <w:pPr>
              <w:pStyle w:val="DETTableTextFinancial"/>
              <w:jc w:val="right"/>
            </w:pPr>
            <w:r w:rsidRPr="0087752B">
              <w:t>26.4</w:t>
            </w:r>
          </w:p>
        </w:tc>
        <w:tc>
          <w:tcPr>
            <w:tcW w:w="476" w:type="pct"/>
            <w:shd w:val="clear" w:color="auto" w:fill="auto"/>
          </w:tcPr>
          <w:p w14:paraId="2B04293B" w14:textId="77777777" w:rsidR="006016B9" w:rsidRPr="0087752B" w:rsidRDefault="006016B9" w:rsidP="00D65DDE">
            <w:pPr>
              <w:pStyle w:val="DETTableTextFinancial"/>
              <w:jc w:val="right"/>
            </w:pPr>
            <w:r w:rsidRPr="0087752B">
              <w:t>24.4</w:t>
            </w:r>
          </w:p>
        </w:tc>
        <w:tc>
          <w:tcPr>
            <w:tcW w:w="572" w:type="pct"/>
          </w:tcPr>
          <w:p w14:paraId="59AE899C" w14:textId="77777777" w:rsidR="006016B9" w:rsidRPr="0087752B" w:rsidRDefault="006016B9" w:rsidP="00D65DDE">
            <w:pPr>
              <w:pStyle w:val="DETTableTextFinancial"/>
              <w:jc w:val="right"/>
            </w:pPr>
            <w:r w:rsidRPr="0087752B">
              <w:t>-7.6</w:t>
            </w:r>
          </w:p>
        </w:tc>
        <w:tc>
          <w:tcPr>
            <w:tcW w:w="501" w:type="pct"/>
          </w:tcPr>
          <w:p w14:paraId="17E202F6" w14:textId="77777777" w:rsidR="006016B9" w:rsidRPr="005C767D" w:rsidRDefault="006016B9" w:rsidP="00D65DDE">
            <w:pPr>
              <w:jc w:val="right"/>
            </w:pPr>
            <w:r w:rsidRPr="00F4634E">
              <w:sym w:font="Wingdings" w:char="F0FC"/>
            </w:r>
          </w:p>
        </w:tc>
      </w:tr>
      <w:tr w:rsidR="006016B9" w:rsidRPr="0087752B" w14:paraId="61A97AB8"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724DE8B2" w14:textId="77777777" w:rsidR="006016B9" w:rsidRPr="0087752B" w:rsidRDefault="006016B9" w:rsidP="00D65DDE">
            <w:pPr>
              <w:pStyle w:val="DETTableTextFinancial"/>
              <w:rPr>
                <w:i/>
              </w:rPr>
            </w:pPr>
            <w:r w:rsidRPr="0087752B">
              <w:rPr>
                <w:i/>
              </w:rPr>
              <w:t>This performance measure relates to student performance assessed in May 2015.</w:t>
            </w:r>
          </w:p>
          <w:p w14:paraId="31E4FA7D" w14:textId="21ED178D" w:rsidR="006016B9" w:rsidRPr="0087752B" w:rsidRDefault="006016B9" w:rsidP="00D65DDE">
            <w:pPr>
              <w:pStyle w:val="DETTableTextFinancial"/>
              <w:rPr>
                <w:i/>
              </w:rPr>
            </w:pPr>
            <w:r w:rsidRPr="0087752B">
              <w:rPr>
                <w:i/>
              </w:rPr>
              <w:lastRenderedPageBreak/>
              <w:t>When interpreting results, a 95 per cent confidence interval of +/- 3.06 percentage points needs to be considered as the reported number is an estimate of the student ability for which there is associated measurement error, standard to any such assessment. The 2015–16 Actual result is within the confidence interval and has met the 2015</w:t>
            </w:r>
            <w:r w:rsidR="0099330E" w:rsidRPr="0087752B">
              <w:rPr>
                <w:i/>
              </w:rPr>
              <w:t>–</w:t>
            </w:r>
            <w:r w:rsidRPr="0087752B">
              <w:rPr>
                <w:i/>
              </w:rPr>
              <w:t>16 Target.</w:t>
            </w:r>
          </w:p>
          <w:p w14:paraId="386A50C5"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48766853" w14:textId="77777777" w:rsidTr="00D65DDE">
        <w:trPr>
          <w:cantSplit/>
        </w:trPr>
        <w:tc>
          <w:tcPr>
            <w:tcW w:w="2405" w:type="pct"/>
            <w:gridSpan w:val="3"/>
            <w:shd w:val="clear" w:color="auto" w:fill="auto"/>
            <w:vAlign w:val="center"/>
          </w:tcPr>
          <w:p w14:paraId="3DD5C6ED" w14:textId="77777777" w:rsidR="006016B9" w:rsidRPr="0087752B" w:rsidRDefault="006016B9" w:rsidP="00D65DDE">
            <w:pPr>
              <w:pStyle w:val="DETTableTextFinancial"/>
            </w:pPr>
            <w:r w:rsidRPr="0087752B">
              <w:lastRenderedPageBreak/>
              <w:t>Percentage of Indigenous students above the bottom three bands for numeracy in Year 9 (NAPLAN testing)</w:t>
            </w:r>
          </w:p>
        </w:tc>
        <w:tc>
          <w:tcPr>
            <w:tcW w:w="571" w:type="pct"/>
            <w:shd w:val="clear" w:color="auto" w:fill="auto"/>
          </w:tcPr>
          <w:p w14:paraId="4D3D4305" w14:textId="77777777" w:rsidR="006016B9" w:rsidRPr="0087752B" w:rsidRDefault="006016B9" w:rsidP="00D65DDE">
            <w:pPr>
              <w:pStyle w:val="DETTableTextFinancial"/>
            </w:pPr>
            <w:r w:rsidRPr="0087752B">
              <w:t>per cent</w:t>
            </w:r>
          </w:p>
        </w:tc>
        <w:tc>
          <w:tcPr>
            <w:tcW w:w="475" w:type="pct"/>
            <w:gridSpan w:val="2"/>
            <w:shd w:val="clear" w:color="auto" w:fill="auto"/>
          </w:tcPr>
          <w:p w14:paraId="4240F740" w14:textId="77777777" w:rsidR="006016B9" w:rsidRPr="0087752B" w:rsidRDefault="006016B9" w:rsidP="00D65DDE">
            <w:pPr>
              <w:pStyle w:val="DETTableTextFinancial"/>
              <w:jc w:val="right"/>
            </w:pPr>
            <w:r w:rsidRPr="0087752B">
              <w:t>24.3</w:t>
            </w:r>
          </w:p>
        </w:tc>
        <w:tc>
          <w:tcPr>
            <w:tcW w:w="476" w:type="pct"/>
            <w:shd w:val="clear" w:color="auto" w:fill="auto"/>
          </w:tcPr>
          <w:p w14:paraId="515A2352" w14:textId="77777777" w:rsidR="006016B9" w:rsidRPr="0087752B" w:rsidRDefault="006016B9" w:rsidP="00D65DDE">
            <w:pPr>
              <w:pStyle w:val="DETTableTextFinancial"/>
              <w:jc w:val="right"/>
            </w:pPr>
            <w:r w:rsidRPr="0087752B">
              <w:t>24.3</w:t>
            </w:r>
          </w:p>
        </w:tc>
        <w:tc>
          <w:tcPr>
            <w:tcW w:w="572" w:type="pct"/>
          </w:tcPr>
          <w:p w14:paraId="0A09EF29" w14:textId="77777777" w:rsidR="006016B9" w:rsidRPr="0087752B" w:rsidRDefault="006016B9" w:rsidP="00D65DDE">
            <w:pPr>
              <w:pStyle w:val="DETTableTextFinancial"/>
              <w:jc w:val="right"/>
            </w:pPr>
            <w:r w:rsidRPr="0087752B">
              <w:t>0.0</w:t>
            </w:r>
          </w:p>
        </w:tc>
        <w:tc>
          <w:tcPr>
            <w:tcW w:w="501" w:type="pct"/>
          </w:tcPr>
          <w:p w14:paraId="3A28C0BA" w14:textId="77777777" w:rsidR="006016B9" w:rsidRPr="005C767D" w:rsidRDefault="006016B9" w:rsidP="00D65DDE">
            <w:pPr>
              <w:jc w:val="right"/>
            </w:pPr>
            <w:r w:rsidRPr="005C767D">
              <w:sym w:font="Wingdings" w:char="F0FC"/>
            </w:r>
          </w:p>
        </w:tc>
      </w:tr>
      <w:tr w:rsidR="006016B9" w:rsidRPr="0087752B" w14:paraId="4646E7CA" w14:textId="77777777" w:rsidTr="006016B9">
        <w:tblPrEx>
          <w:tblBorders>
            <w:bottom w:val="single" w:sz="12" w:space="0" w:color="777777"/>
          </w:tblBorders>
        </w:tblPrEx>
        <w:trPr>
          <w:cantSplit/>
        </w:trPr>
        <w:tc>
          <w:tcPr>
            <w:tcW w:w="5000" w:type="pct"/>
            <w:gridSpan w:val="9"/>
            <w:shd w:val="clear" w:color="auto" w:fill="auto"/>
            <w:vAlign w:val="center"/>
          </w:tcPr>
          <w:p w14:paraId="018D204F" w14:textId="77777777" w:rsidR="006016B9" w:rsidRPr="0087752B" w:rsidRDefault="006016B9" w:rsidP="00D65DDE">
            <w:pPr>
              <w:pStyle w:val="DETTableTextFinancial"/>
              <w:rPr>
                <w:i/>
              </w:rPr>
            </w:pPr>
            <w:r w:rsidRPr="0087752B">
              <w:rPr>
                <w:i/>
              </w:rPr>
              <w:t>This performance measure relates to student performance assessed in May 2015.</w:t>
            </w:r>
          </w:p>
          <w:p w14:paraId="1E1D163F" w14:textId="77777777" w:rsidR="006016B9" w:rsidRPr="0087752B" w:rsidRDefault="006016B9" w:rsidP="00D65DDE">
            <w:pPr>
              <w:pStyle w:val="DETTableTextFinancial"/>
              <w:rPr>
                <w:i/>
              </w:rPr>
            </w:pPr>
            <w:r w:rsidRPr="0087752B">
              <w:rPr>
                <w:i/>
              </w:rPr>
              <w:t xml:space="preserve">When interpreting results, a 95 per cent confidence interval of +/- 3.90 percentage points needs to be considered as the reported number is an estimate of the student ability for which there is associated measurement error, standard to any such assessment. </w:t>
            </w:r>
          </w:p>
          <w:p w14:paraId="5CEB346B" w14:textId="77777777" w:rsidR="006016B9" w:rsidRPr="0087752B" w:rsidRDefault="006016B9" w:rsidP="00D65DDE">
            <w:pPr>
              <w:pStyle w:val="DETTableTextFinancial"/>
            </w:pPr>
            <w:r w:rsidRPr="0087752B">
              <w:rPr>
                <w:i/>
              </w:rPr>
              <w:t xml:space="preserve">Improvement resulting from Education State initiatives is not reflected in NAPLAN </w:t>
            </w:r>
            <w:r w:rsidRPr="0087752B">
              <w:rPr>
                <w:rFonts w:eastAsiaTheme="minorEastAsia"/>
                <w:i/>
              </w:rPr>
              <w:t xml:space="preserve">2015–16 </w:t>
            </w:r>
            <w:r w:rsidRPr="0087752B">
              <w:rPr>
                <w:i/>
              </w:rPr>
              <w:t>results, as testing was undertaken prior to the implementation of these significant reforms.</w:t>
            </w:r>
          </w:p>
        </w:tc>
      </w:tr>
      <w:tr w:rsidR="006016B9" w:rsidRPr="0087752B" w14:paraId="556D07B9" w14:textId="77777777" w:rsidTr="00D65DDE">
        <w:trPr>
          <w:cantSplit/>
        </w:trPr>
        <w:tc>
          <w:tcPr>
            <w:tcW w:w="2405" w:type="pct"/>
            <w:gridSpan w:val="3"/>
            <w:shd w:val="clear" w:color="auto" w:fill="auto"/>
            <w:vAlign w:val="center"/>
          </w:tcPr>
          <w:p w14:paraId="29371CBB" w14:textId="77777777" w:rsidR="006016B9" w:rsidRPr="0087752B" w:rsidRDefault="006016B9" w:rsidP="00D65DDE">
            <w:pPr>
              <w:pStyle w:val="DETTableTextFinancial"/>
            </w:pPr>
            <w:r w:rsidRPr="0087752B">
              <w:t>Percentage of Indigenous students above the bottom three bands for reading in Year 7 (NAPLAN testing)</w:t>
            </w:r>
          </w:p>
        </w:tc>
        <w:tc>
          <w:tcPr>
            <w:tcW w:w="571" w:type="pct"/>
            <w:shd w:val="clear" w:color="auto" w:fill="auto"/>
          </w:tcPr>
          <w:p w14:paraId="4255FE70" w14:textId="77777777" w:rsidR="006016B9" w:rsidRPr="0087752B" w:rsidRDefault="006016B9" w:rsidP="00D65DDE">
            <w:pPr>
              <w:pStyle w:val="DETTableTextFinancial"/>
            </w:pPr>
            <w:r w:rsidRPr="0087752B">
              <w:t>per cent</w:t>
            </w:r>
          </w:p>
        </w:tc>
        <w:tc>
          <w:tcPr>
            <w:tcW w:w="475" w:type="pct"/>
            <w:gridSpan w:val="2"/>
            <w:shd w:val="clear" w:color="auto" w:fill="auto"/>
          </w:tcPr>
          <w:p w14:paraId="780ED39E" w14:textId="77777777" w:rsidR="006016B9" w:rsidRPr="0087752B" w:rsidRDefault="006016B9" w:rsidP="00D65DDE">
            <w:pPr>
              <w:pStyle w:val="DETTableTextFinancial"/>
              <w:jc w:val="right"/>
            </w:pPr>
            <w:r w:rsidRPr="0087752B">
              <w:t>29.2</w:t>
            </w:r>
          </w:p>
        </w:tc>
        <w:tc>
          <w:tcPr>
            <w:tcW w:w="476" w:type="pct"/>
            <w:shd w:val="clear" w:color="auto" w:fill="auto"/>
          </w:tcPr>
          <w:p w14:paraId="6BD958CB" w14:textId="77777777" w:rsidR="006016B9" w:rsidRPr="0087752B" w:rsidRDefault="006016B9" w:rsidP="00D65DDE">
            <w:pPr>
              <w:pStyle w:val="DETTableTextFinancial"/>
              <w:jc w:val="right"/>
            </w:pPr>
            <w:r w:rsidRPr="0087752B">
              <w:t>28.1</w:t>
            </w:r>
          </w:p>
        </w:tc>
        <w:tc>
          <w:tcPr>
            <w:tcW w:w="572" w:type="pct"/>
          </w:tcPr>
          <w:p w14:paraId="0C306274" w14:textId="77777777" w:rsidR="006016B9" w:rsidRPr="0087752B" w:rsidRDefault="006016B9" w:rsidP="00D65DDE">
            <w:pPr>
              <w:pStyle w:val="DETTableTextFinancial"/>
              <w:jc w:val="right"/>
            </w:pPr>
            <w:r w:rsidRPr="0087752B">
              <w:t>-3.8</w:t>
            </w:r>
          </w:p>
        </w:tc>
        <w:tc>
          <w:tcPr>
            <w:tcW w:w="501" w:type="pct"/>
          </w:tcPr>
          <w:p w14:paraId="373DB59D" w14:textId="77777777" w:rsidR="006016B9" w:rsidRPr="005C767D" w:rsidRDefault="006016B9" w:rsidP="00D65DDE">
            <w:pPr>
              <w:jc w:val="right"/>
            </w:pPr>
            <w:r w:rsidRPr="00F4634E">
              <w:sym w:font="Wingdings" w:char="F0FC"/>
            </w:r>
          </w:p>
        </w:tc>
      </w:tr>
      <w:tr w:rsidR="006016B9" w:rsidRPr="0087752B" w14:paraId="69C87ACB" w14:textId="77777777" w:rsidTr="006016B9">
        <w:tblPrEx>
          <w:tblBorders>
            <w:bottom w:val="single" w:sz="12" w:space="0" w:color="777777"/>
          </w:tblBorders>
        </w:tblPrEx>
        <w:trPr>
          <w:cantSplit/>
        </w:trPr>
        <w:tc>
          <w:tcPr>
            <w:tcW w:w="5000" w:type="pct"/>
            <w:gridSpan w:val="9"/>
            <w:shd w:val="clear" w:color="auto" w:fill="auto"/>
            <w:vAlign w:val="center"/>
          </w:tcPr>
          <w:p w14:paraId="52CE2D2E" w14:textId="77777777" w:rsidR="006016B9" w:rsidRPr="0087752B" w:rsidRDefault="006016B9" w:rsidP="00D65DDE">
            <w:pPr>
              <w:pStyle w:val="DETTableTextFinancial"/>
              <w:rPr>
                <w:i/>
              </w:rPr>
            </w:pPr>
            <w:r w:rsidRPr="0087752B">
              <w:rPr>
                <w:i/>
              </w:rPr>
              <w:t>This performance measure relates to student performance assessed in May 2015.</w:t>
            </w:r>
          </w:p>
          <w:p w14:paraId="4AA829E8" w14:textId="49A8FC51" w:rsidR="006016B9" w:rsidRPr="0087752B" w:rsidRDefault="006016B9" w:rsidP="00D65DDE">
            <w:pPr>
              <w:pStyle w:val="DETTableTextFinancial"/>
              <w:rPr>
                <w:i/>
              </w:rPr>
            </w:pPr>
            <w:r w:rsidRPr="0087752B">
              <w:rPr>
                <w:i/>
              </w:rPr>
              <w:t>When interpreting results, a 95 per cent confidence interval of +/- 2.90 percentage points needs to be considered as the reported number is an estimate of the student ability for which there is associated measurement error, standard to any such assessment. The 2015–16 Actual result is within the confidence interval and has met the 2015</w:t>
            </w:r>
            <w:r w:rsidR="0099330E" w:rsidRPr="0087752B">
              <w:rPr>
                <w:i/>
              </w:rPr>
              <w:t>–</w:t>
            </w:r>
            <w:r w:rsidRPr="0087752B">
              <w:rPr>
                <w:i/>
              </w:rPr>
              <w:t>16 Target.</w:t>
            </w:r>
          </w:p>
          <w:p w14:paraId="305C8E36"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56A94CF1" w14:textId="77777777" w:rsidTr="00237FCA">
        <w:trPr>
          <w:cantSplit/>
        </w:trPr>
        <w:tc>
          <w:tcPr>
            <w:tcW w:w="2405" w:type="pct"/>
            <w:gridSpan w:val="3"/>
            <w:shd w:val="clear" w:color="auto" w:fill="auto"/>
            <w:vAlign w:val="center"/>
          </w:tcPr>
          <w:p w14:paraId="4B1B9B08" w14:textId="77777777" w:rsidR="006016B9" w:rsidRPr="0087752B" w:rsidRDefault="006016B9" w:rsidP="00D65DDE">
            <w:pPr>
              <w:pStyle w:val="DETTableTextFinancial"/>
            </w:pPr>
            <w:r w:rsidRPr="0087752B">
              <w:t>Percentage of Indigenous students above the bottom three bands for reading in Year 9 (NAPLAN testing)</w:t>
            </w:r>
          </w:p>
        </w:tc>
        <w:tc>
          <w:tcPr>
            <w:tcW w:w="571" w:type="pct"/>
            <w:shd w:val="clear" w:color="auto" w:fill="auto"/>
          </w:tcPr>
          <w:p w14:paraId="7D176136" w14:textId="77777777" w:rsidR="006016B9" w:rsidRPr="0087752B" w:rsidRDefault="006016B9" w:rsidP="00D65DDE">
            <w:pPr>
              <w:pStyle w:val="DETTableTextFinancial"/>
            </w:pPr>
            <w:r w:rsidRPr="0087752B">
              <w:t>per cent</w:t>
            </w:r>
          </w:p>
        </w:tc>
        <w:tc>
          <w:tcPr>
            <w:tcW w:w="475" w:type="pct"/>
            <w:gridSpan w:val="2"/>
            <w:shd w:val="clear" w:color="auto" w:fill="auto"/>
          </w:tcPr>
          <w:p w14:paraId="04F9569F" w14:textId="77777777" w:rsidR="006016B9" w:rsidRPr="0087752B" w:rsidRDefault="006016B9" w:rsidP="00D65DDE">
            <w:pPr>
              <w:pStyle w:val="DETTableTextFinancial"/>
              <w:jc w:val="right"/>
            </w:pPr>
            <w:r w:rsidRPr="0087752B">
              <w:t>26.3</w:t>
            </w:r>
          </w:p>
        </w:tc>
        <w:tc>
          <w:tcPr>
            <w:tcW w:w="476" w:type="pct"/>
            <w:shd w:val="clear" w:color="auto" w:fill="auto"/>
          </w:tcPr>
          <w:p w14:paraId="6C7CCAEE" w14:textId="77777777" w:rsidR="006016B9" w:rsidRPr="0087752B" w:rsidRDefault="006016B9" w:rsidP="00D65DDE">
            <w:pPr>
              <w:pStyle w:val="DETTableTextFinancial"/>
              <w:jc w:val="right"/>
            </w:pPr>
            <w:r w:rsidRPr="0087752B">
              <w:t>24.6</w:t>
            </w:r>
          </w:p>
        </w:tc>
        <w:tc>
          <w:tcPr>
            <w:tcW w:w="572" w:type="pct"/>
          </w:tcPr>
          <w:p w14:paraId="0A81FD02" w14:textId="77777777" w:rsidR="006016B9" w:rsidRPr="0087752B" w:rsidRDefault="006016B9" w:rsidP="00D65DDE">
            <w:pPr>
              <w:pStyle w:val="DETTableTextFinancial"/>
              <w:jc w:val="right"/>
            </w:pPr>
            <w:r w:rsidRPr="0087752B">
              <w:t>-6.5</w:t>
            </w:r>
          </w:p>
        </w:tc>
        <w:tc>
          <w:tcPr>
            <w:tcW w:w="501" w:type="pct"/>
          </w:tcPr>
          <w:p w14:paraId="37D3E29C" w14:textId="77777777" w:rsidR="006016B9" w:rsidRPr="005C767D" w:rsidRDefault="006016B9" w:rsidP="00D65DDE">
            <w:pPr>
              <w:jc w:val="right"/>
            </w:pPr>
            <w:r w:rsidRPr="00F4634E">
              <w:sym w:font="Wingdings" w:char="F0FC"/>
            </w:r>
          </w:p>
        </w:tc>
      </w:tr>
      <w:tr w:rsidR="006016B9" w:rsidRPr="0087752B" w14:paraId="7DFE0A73" w14:textId="77777777" w:rsidTr="00237FCA">
        <w:tblPrEx>
          <w:tblBorders>
            <w:bottom w:val="single" w:sz="12" w:space="0" w:color="777777"/>
          </w:tblBorders>
        </w:tblPrEx>
        <w:trPr>
          <w:cantSplit/>
        </w:trPr>
        <w:tc>
          <w:tcPr>
            <w:tcW w:w="5000" w:type="pct"/>
            <w:gridSpan w:val="9"/>
            <w:tcBorders>
              <w:bottom w:val="nil"/>
            </w:tcBorders>
            <w:shd w:val="clear" w:color="auto" w:fill="auto"/>
            <w:vAlign w:val="center"/>
          </w:tcPr>
          <w:p w14:paraId="37F9A453" w14:textId="77777777" w:rsidR="006016B9" w:rsidRPr="0087752B" w:rsidRDefault="006016B9" w:rsidP="00D65DDE">
            <w:pPr>
              <w:pStyle w:val="DETTableTextFinancial"/>
              <w:rPr>
                <w:i/>
              </w:rPr>
            </w:pPr>
            <w:r w:rsidRPr="0087752B">
              <w:rPr>
                <w:i/>
              </w:rPr>
              <w:t>This performance measure relates to student performance assessed in May 2015.</w:t>
            </w:r>
          </w:p>
          <w:p w14:paraId="7F21D7C5" w14:textId="77777777" w:rsidR="006016B9" w:rsidRPr="0087752B" w:rsidRDefault="006016B9" w:rsidP="00D65DDE">
            <w:pPr>
              <w:pStyle w:val="DETTableTextFinancial"/>
              <w:rPr>
                <w:i/>
              </w:rPr>
            </w:pPr>
            <w:r w:rsidRPr="0087752B">
              <w:rPr>
                <w:i/>
              </w:rPr>
              <w:t>When interpreting results, a 95 per cent confidence interval of +/- 3.71 percentage points needs to be considered as the reported number is an estimate of the student ability for which there is associated measurement error, standard to any such assessment. The 2015–16 Actual result is within the confidence interval and has met the 2015–16 Target.</w:t>
            </w:r>
          </w:p>
          <w:p w14:paraId="505F95AE"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2F7970FA" w14:textId="77777777" w:rsidTr="00237FCA">
        <w:trPr>
          <w:cantSplit/>
        </w:trPr>
        <w:tc>
          <w:tcPr>
            <w:tcW w:w="2405" w:type="pct"/>
            <w:gridSpan w:val="3"/>
            <w:shd w:val="clear" w:color="auto" w:fill="auto"/>
            <w:vAlign w:val="center"/>
          </w:tcPr>
          <w:p w14:paraId="15E3E09B" w14:textId="77777777" w:rsidR="006016B9" w:rsidRPr="0087752B" w:rsidRDefault="006016B9" w:rsidP="00D65DDE">
            <w:pPr>
              <w:pStyle w:val="DETTableTextFinancial"/>
            </w:pPr>
            <w:r w:rsidRPr="0087752B">
              <w:t>Percentage of Victorian Certificate of Applied Learning Certificates satisfactorily completed by school students</w:t>
            </w:r>
          </w:p>
        </w:tc>
        <w:tc>
          <w:tcPr>
            <w:tcW w:w="571" w:type="pct"/>
            <w:shd w:val="clear" w:color="auto" w:fill="auto"/>
          </w:tcPr>
          <w:p w14:paraId="622C537A" w14:textId="77777777" w:rsidR="006016B9" w:rsidRPr="0087752B" w:rsidRDefault="006016B9" w:rsidP="00D65DDE">
            <w:pPr>
              <w:pStyle w:val="DETTableTextFinancial"/>
            </w:pPr>
            <w:r w:rsidRPr="0087752B">
              <w:t>per cent</w:t>
            </w:r>
          </w:p>
        </w:tc>
        <w:tc>
          <w:tcPr>
            <w:tcW w:w="475" w:type="pct"/>
            <w:gridSpan w:val="2"/>
            <w:shd w:val="clear" w:color="auto" w:fill="auto"/>
          </w:tcPr>
          <w:p w14:paraId="598B5FDD" w14:textId="77777777" w:rsidR="006016B9" w:rsidRPr="0087752B" w:rsidRDefault="006016B9" w:rsidP="00D65DDE">
            <w:pPr>
              <w:pStyle w:val="DETTableTextFinancial"/>
              <w:jc w:val="right"/>
            </w:pPr>
            <w:r w:rsidRPr="0087752B">
              <w:t>78</w:t>
            </w:r>
          </w:p>
        </w:tc>
        <w:tc>
          <w:tcPr>
            <w:tcW w:w="476" w:type="pct"/>
            <w:shd w:val="clear" w:color="auto" w:fill="auto"/>
          </w:tcPr>
          <w:p w14:paraId="52E97461" w14:textId="77777777" w:rsidR="006016B9" w:rsidRPr="0087752B" w:rsidRDefault="006016B9" w:rsidP="00D65DDE">
            <w:pPr>
              <w:pStyle w:val="DETTableTextFinancial"/>
              <w:jc w:val="right"/>
            </w:pPr>
            <w:r w:rsidRPr="0087752B">
              <w:t>76.9</w:t>
            </w:r>
          </w:p>
        </w:tc>
        <w:tc>
          <w:tcPr>
            <w:tcW w:w="572" w:type="pct"/>
          </w:tcPr>
          <w:p w14:paraId="612297EF" w14:textId="77777777" w:rsidR="006016B9" w:rsidRPr="0087752B" w:rsidRDefault="006016B9" w:rsidP="00D65DDE">
            <w:pPr>
              <w:pStyle w:val="DETTableTextFinancial"/>
              <w:jc w:val="right"/>
            </w:pPr>
            <w:r w:rsidRPr="0087752B">
              <w:t>-1.4</w:t>
            </w:r>
          </w:p>
        </w:tc>
        <w:tc>
          <w:tcPr>
            <w:tcW w:w="501" w:type="pct"/>
          </w:tcPr>
          <w:p w14:paraId="072B9ED8" w14:textId="77777777" w:rsidR="006016B9" w:rsidRPr="005C767D" w:rsidRDefault="006016B9" w:rsidP="00D65DDE">
            <w:pPr>
              <w:jc w:val="right"/>
            </w:pPr>
            <w:r w:rsidRPr="005C767D">
              <w:sym w:font="Wingdings" w:char="F06E"/>
            </w:r>
          </w:p>
        </w:tc>
      </w:tr>
      <w:tr w:rsidR="006016B9" w:rsidRPr="0087752B" w14:paraId="71BAEC0C" w14:textId="77777777" w:rsidTr="006016B9">
        <w:tblPrEx>
          <w:tblBorders>
            <w:bottom w:val="single" w:sz="12" w:space="0" w:color="777777"/>
          </w:tblBorders>
        </w:tblPrEx>
        <w:trPr>
          <w:cantSplit/>
        </w:trPr>
        <w:tc>
          <w:tcPr>
            <w:tcW w:w="5000" w:type="pct"/>
            <w:gridSpan w:val="9"/>
            <w:shd w:val="clear" w:color="auto" w:fill="auto"/>
            <w:vAlign w:val="center"/>
          </w:tcPr>
          <w:p w14:paraId="60EFFC9D" w14:textId="77777777" w:rsidR="006016B9" w:rsidRPr="0087752B" w:rsidRDefault="006016B9" w:rsidP="00D65DDE">
            <w:pPr>
              <w:pStyle w:val="DETTableTextFinancial"/>
              <w:rPr>
                <w:i/>
                <w:highlight w:val="yellow"/>
              </w:rPr>
            </w:pPr>
            <w:r w:rsidRPr="0087752B">
              <w:rPr>
                <w:i/>
              </w:rPr>
              <w:t>The 2015–16 Actual is marginally lower than the 2015–16 Target due to a larger percentage of students leaving school prior to certificate completion for employment and alternative training.</w:t>
            </w:r>
          </w:p>
        </w:tc>
      </w:tr>
      <w:tr w:rsidR="006016B9" w:rsidRPr="0087752B" w14:paraId="5B4F9ED0" w14:textId="77777777" w:rsidTr="00D65DDE">
        <w:trPr>
          <w:cantSplit/>
        </w:trPr>
        <w:tc>
          <w:tcPr>
            <w:tcW w:w="2405" w:type="pct"/>
            <w:gridSpan w:val="3"/>
            <w:shd w:val="clear" w:color="auto" w:fill="auto"/>
            <w:vAlign w:val="center"/>
          </w:tcPr>
          <w:p w14:paraId="2AFE8079" w14:textId="77777777" w:rsidR="006016B9" w:rsidRPr="00D95C09" w:rsidRDefault="006016B9" w:rsidP="00D65DDE">
            <w:pPr>
              <w:pStyle w:val="DETTableTextFinancial"/>
            </w:pPr>
            <w:r w:rsidRPr="00D95C09">
              <w:t>Percentage of school leavers completing a VCE VET program in a school progressing to further education, training or work</w:t>
            </w:r>
          </w:p>
        </w:tc>
        <w:tc>
          <w:tcPr>
            <w:tcW w:w="571" w:type="pct"/>
            <w:shd w:val="clear" w:color="auto" w:fill="auto"/>
          </w:tcPr>
          <w:p w14:paraId="00935C08" w14:textId="77777777" w:rsidR="006016B9" w:rsidRPr="00D95C09" w:rsidRDefault="006016B9" w:rsidP="00D65DDE">
            <w:pPr>
              <w:pStyle w:val="DETTableTextFinancial"/>
            </w:pPr>
            <w:r w:rsidRPr="00D95C09">
              <w:t>per cent</w:t>
            </w:r>
          </w:p>
        </w:tc>
        <w:tc>
          <w:tcPr>
            <w:tcW w:w="475" w:type="pct"/>
            <w:gridSpan w:val="2"/>
            <w:shd w:val="clear" w:color="auto" w:fill="auto"/>
          </w:tcPr>
          <w:p w14:paraId="303E499E" w14:textId="77777777" w:rsidR="006016B9" w:rsidRPr="00D95C09" w:rsidRDefault="006016B9" w:rsidP="00D65DDE">
            <w:pPr>
              <w:pStyle w:val="DETTableTextFinancial"/>
              <w:jc w:val="right"/>
            </w:pPr>
            <w:r w:rsidRPr="00D95C09">
              <w:t>93</w:t>
            </w:r>
          </w:p>
        </w:tc>
        <w:tc>
          <w:tcPr>
            <w:tcW w:w="476" w:type="pct"/>
            <w:shd w:val="clear" w:color="auto" w:fill="auto"/>
          </w:tcPr>
          <w:p w14:paraId="609AFA67" w14:textId="32BCA579" w:rsidR="006016B9" w:rsidRPr="00D95C09" w:rsidRDefault="00E825B4" w:rsidP="00D65DDE">
            <w:pPr>
              <w:pStyle w:val="DETTableTextFinancial"/>
              <w:jc w:val="right"/>
            </w:pPr>
            <w:r w:rsidRPr="00D95C09">
              <w:t>96</w:t>
            </w:r>
          </w:p>
        </w:tc>
        <w:tc>
          <w:tcPr>
            <w:tcW w:w="572" w:type="pct"/>
          </w:tcPr>
          <w:p w14:paraId="34853C1D" w14:textId="664E5976" w:rsidR="006016B9" w:rsidRPr="00D95C09" w:rsidRDefault="00E825B4" w:rsidP="00D65DDE">
            <w:pPr>
              <w:pStyle w:val="DETTableTextFinancial"/>
              <w:jc w:val="right"/>
            </w:pPr>
            <w:r w:rsidRPr="00D95C09">
              <w:t>3</w:t>
            </w:r>
            <w:r w:rsidR="006016B9" w:rsidRPr="00D95C09">
              <w:t>.2</w:t>
            </w:r>
          </w:p>
        </w:tc>
        <w:tc>
          <w:tcPr>
            <w:tcW w:w="501" w:type="pct"/>
          </w:tcPr>
          <w:p w14:paraId="765FFBE6" w14:textId="77777777" w:rsidR="006016B9" w:rsidRPr="00D95C09" w:rsidRDefault="006016B9" w:rsidP="00D65DDE">
            <w:pPr>
              <w:jc w:val="right"/>
            </w:pPr>
            <w:r w:rsidRPr="00D95C09">
              <w:sym w:font="Wingdings" w:char="F0FC"/>
            </w:r>
          </w:p>
        </w:tc>
      </w:tr>
      <w:tr w:rsidR="006016B9" w:rsidRPr="0087752B" w14:paraId="6666A42B" w14:textId="77777777" w:rsidTr="005914AE">
        <w:tblPrEx>
          <w:tblBorders>
            <w:bottom w:val="single" w:sz="12" w:space="0" w:color="777777"/>
          </w:tblBorders>
        </w:tblPrEx>
        <w:trPr>
          <w:cantSplit/>
        </w:trPr>
        <w:tc>
          <w:tcPr>
            <w:tcW w:w="5000" w:type="pct"/>
            <w:gridSpan w:val="9"/>
            <w:tcBorders>
              <w:bottom w:val="nil"/>
            </w:tcBorders>
            <w:shd w:val="clear" w:color="auto" w:fill="auto"/>
            <w:vAlign w:val="center"/>
          </w:tcPr>
          <w:p w14:paraId="739641C9" w14:textId="618AFD2D" w:rsidR="006016B9" w:rsidRPr="003846DA" w:rsidRDefault="006016B9" w:rsidP="00D65DDE">
            <w:pPr>
              <w:pStyle w:val="DETTableTextFinancial"/>
              <w:rPr>
                <w:highlight w:val="lightGray"/>
              </w:rPr>
            </w:pPr>
          </w:p>
        </w:tc>
      </w:tr>
      <w:tr w:rsidR="006016B9" w:rsidRPr="0087752B" w14:paraId="0974E114" w14:textId="77777777" w:rsidTr="00D95C09">
        <w:trPr>
          <w:cantSplit/>
        </w:trPr>
        <w:tc>
          <w:tcPr>
            <w:tcW w:w="2405" w:type="pct"/>
            <w:gridSpan w:val="3"/>
            <w:shd w:val="clear" w:color="auto" w:fill="auto"/>
            <w:vAlign w:val="center"/>
          </w:tcPr>
          <w:p w14:paraId="0AB4F20C" w14:textId="52D6EE75" w:rsidR="006016B9" w:rsidRPr="00D95C09" w:rsidRDefault="006016B9" w:rsidP="00D65DDE">
            <w:pPr>
              <w:pStyle w:val="DETTableTextFinancial"/>
            </w:pPr>
            <w:r w:rsidRPr="00D95C09">
              <w:t>Percentage of school leavers completing an Intermediate or Senior Victorian Certificate of Applied Learning in a school progressing to furth</w:t>
            </w:r>
            <w:r w:rsidR="009474D4" w:rsidRPr="00D95C09">
              <w:t>er education, training or work</w:t>
            </w:r>
          </w:p>
        </w:tc>
        <w:tc>
          <w:tcPr>
            <w:tcW w:w="571" w:type="pct"/>
            <w:shd w:val="clear" w:color="auto" w:fill="auto"/>
          </w:tcPr>
          <w:p w14:paraId="5AB66377" w14:textId="77777777" w:rsidR="006016B9" w:rsidRPr="00D95C09" w:rsidRDefault="006016B9" w:rsidP="00D65DDE">
            <w:pPr>
              <w:pStyle w:val="DETTableTextFinancial"/>
            </w:pPr>
            <w:r w:rsidRPr="00D95C09">
              <w:t>per cent</w:t>
            </w:r>
          </w:p>
        </w:tc>
        <w:tc>
          <w:tcPr>
            <w:tcW w:w="475" w:type="pct"/>
            <w:gridSpan w:val="2"/>
            <w:shd w:val="clear" w:color="auto" w:fill="auto"/>
          </w:tcPr>
          <w:p w14:paraId="2212B369" w14:textId="77777777" w:rsidR="006016B9" w:rsidRPr="00D95C09" w:rsidRDefault="006016B9" w:rsidP="00D65DDE">
            <w:pPr>
              <w:pStyle w:val="DETTableTextFinancial"/>
              <w:jc w:val="right"/>
            </w:pPr>
            <w:r w:rsidRPr="00D95C09">
              <w:t>80</w:t>
            </w:r>
          </w:p>
        </w:tc>
        <w:tc>
          <w:tcPr>
            <w:tcW w:w="476" w:type="pct"/>
            <w:shd w:val="clear" w:color="auto" w:fill="auto"/>
          </w:tcPr>
          <w:p w14:paraId="42797B31" w14:textId="07461E91" w:rsidR="006016B9" w:rsidRPr="00D95C09" w:rsidRDefault="00A06FDE" w:rsidP="00D65DDE">
            <w:pPr>
              <w:pStyle w:val="DETTableTextFinancial"/>
              <w:jc w:val="right"/>
            </w:pPr>
            <w:r w:rsidRPr="00D95C09">
              <w:t>84.9</w:t>
            </w:r>
          </w:p>
        </w:tc>
        <w:tc>
          <w:tcPr>
            <w:tcW w:w="572" w:type="pct"/>
            <w:shd w:val="clear" w:color="auto" w:fill="auto"/>
          </w:tcPr>
          <w:p w14:paraId="4977DB8B" w14:textId="16FF24FE" w:rsidR="006016B9" w:rsidRPr="00D95C09" w:rsidRDefault="00A06FDE" w:rsidP="00D65DDE">
            <w:pPr>
              <w:pStyle w:val="DETTableTextFinancial"/>
              <w:jc w:val="right"/>
            </w:pPr>
            <w:r w:rsidRPr="00D95C09">
              <w:t>6.1</w:t>
            </w:r>
          </w:p>
        </w:tc>
        <w:tc>
          <w:tcPr>
            <w:tcW w:w="501" w:type="pct"/>
            <w:shd w:val="clear" w:color="auto" w:fill="auto"/>
          </w:tcPr>
          <w:p w14:paraId="162E4E0C" w14:textId="77777777" w:rsidR="006016B9" w:rsidRPr="00D95C09" w:rsidRDefault="006016B9" w:rsidP="00D65DDE">
            <w:pPr>
              <w:jc w:val="right"/>
            </w:pPr>
            <w:r w:rsidRPr="00D95C09">
              <w:sym w:font="Wingdings" w:char="F0FC"/>
            </w:r>
          </w:p>
        </w:tc>
      </w:tr>
      <w:tr w:rsidR="006016B9" w:rsidRPr="0087752B" w14:paraId="72BE2DC1" w14:textId="77777777" w:rsidTr="006016B9">
        <w:tblPrEx>
          <w:tblBorders>
            <w:bottom w:val="single" w:sz="12" w:space="0" w:color="777777"/>
          </w:tblBorders>
        </w:tblPrEx>
        <w:trPr>
          <w:cantSplit/>
        </w:trPr>
        <w:tc>
          <w:tcPr>
            <w:tcW w:w="5000" w:type="pct"/>
            <w:gridSpan w:val="9"/>
            <w:shd w:val="clear" w:color="auto" w:fill="auto"/>
            <w:vAlign w:val="center"/>
          </w:tcPr>
          <w:p w14:paraId="029D9733" w14:textId="4C5C406E" w:rsidR="006016B9" w:rsidRPr="003846DA" w:rsidRDefault="00A06FDE" w:rsidP="00D65DDE">
            <w:pPr>
              <w:pStyle w:val="DETTableTextFinancial"/>
              <w:rPr>
                <w:i/>
                <w:highlight w:val="lightGray"/>
              </w:rPr>
            </w:pPr>
            <w:r w:rsidRPr="00D95C09">
              <w:rPr>
                <w:i/>
              </w:rPr>
              <w:t>The 2015–16 actual is higher the 2015–16 Target due to sustained growth in the proportion of students undertaking the Victorian Certificate of Applied Learning (VCAL)at Intermediate and Senior levels as VCAL becomes more established as an alternative qualification to the Victorian Certificate of Education.</w:t>
            </w:r>
          </w:p>
        </w:tc>
      </w:tr>
      <w:tr w:rsidR="006016B9" w:rsidRPr="0087752B" w14:paraId="3386E20E" w14:textId="77777777" w:rsidTr="00D65DDE">
        <w:trPr>
          <w:cantSplit/>
        </w:trPr>
        <w:tc>
          <w:tcPr>
            <w:tcW w:w="2405" w:type="pct"/>
            <w:gridSpan w:val="3"/>
            <w:shd w:val="clear" w:color="auto" w:fill="auto"/>
            <w:vAlign w:val="center"/>
          </w:tcPr>
          <w:p w14:paraId="04EE4818" w14:textId="77777777" w:rsidR="006016B9" w:rsidRPr="0087752B" w:rsidRDefault="006016B9" w:rsidP="00D65DDE">
            <w:pPr>
              <w:pStyle w:val="DETTableTextFinancial"/>
            </w:pPr>
            <w:r w:rsidRPr="0087752B">
              <w:t>Percentage of students above the bottom three bands for numeracy in Year 7 (NAPLAN testing)</w:t>
            </w:r>
          </w:p>
        </w:tc>
        <w:tc>
          <w:tcPr>
            <w:tcW w:w="571" w:type="pct"/>
            <w:shd w:val="clear" w:color="auto" w:fill="auto"/>
          </w:tcPr>
          <w:p w14:paraId="44507864" w14:textId="77777777" w:rsidR="006016B9" w:rsidRPr="0087752B" w:rsidRDefault="006016B9" w:rsidP="00D65DDE">
            <w:pPr>
              <w:pStyle w:val="DETTableTextFinancial"/>
            </w:pPr>
            <w:r w:rsidRPr="0087752B">
              <w:t>per cent</w:t>
            </w:r>
          </w:p>
        </w:tc>
        <w:tc>
          <w:tcPr>
            <w:tcW w:w="475" w:type="pct"/>
            <w:gridSpan w:val="2"/>
            <w:shd w:val="clear" w:color="auto" w:fill="auto"/>
          </w:tcPr>
          <w:p w14:paraId="5E276C98" w14:textId="77777777" w:rsidR="006016B9" w:rsidRPr="0087752B" w:rsidRDefault="006016B9" w:rsidP="00D65DDE">
            <w:pPr>
              <w:pStyle w:val="DETTableTextFinancial"/>
              <w:jc w:val="right"/>
            </w:pPr>
            <w:r w:rsidRPr="0087752B">
              <w:t>55.1</w:t>
            </w:r>
          </w:p>
        </w:tc>
        <w:tc>
          <w:tcPr>
            <w:tcW w:w="476" w:type="pct"/>
            <w:shd w:val="clear" w:color="auto" w:fill="auto"/>
          </w:tcPr>
          <w:p w14:paraId="297DDC03" w14:textId="77777777" w:rsidR="006016B9" w:rsidRPr="0087752B" w:rsidRDefault="006016B9" w:rsidP="00D65DDE">
            <w:pPr>
              <w:pStyle w:val="DETTableTextFinancial"/>
              <w:jc w:val="right"/>
            </w:pPr>
            <w:r w:rsidRPr="0087752B">
              <w:t>56.4</w:t>
            </w:r>
          </w:p>
        </w:tc>
        <w:tc>
          <w:tcPr>
            <w:tcW w:w="572" w:type="pct"/>
          </w:tcPr>
          <w:p w14:paraId="5C6E1BEE" w14:textId="77777777" w:rsidR="006016B9" w:rsidRPr="0087752B" w:rsidRDefault="006016B9" w:rsidP="00D65DDE">
            <w:pPr>
              <w:pStyle w:val="DETTableTextFinancial"/>
              <w:jc w:val="right"/>
            </w:pPr>
            <w:r w:rsidRPr="0087752B">
              <w:t>2.4</w:t>
            </w:r>
          </w:p>
        </w:tc>
        <w:tc>
          <w:tcPr>
            <w:tcW w:w="501" w:type="pct"/>
          </w:tcPr>
          <w:p w14:paraId="07326630" w14:textId="77777777" w:rsidR="006016B9" w:rsidRPr="005C767D" w:rsidRDefault="006016B9" w:rsidP="00D65DDE">
            <w:pPr>
              <w:jc w:val="right"/>
            </w:pPr>
            <w:r w:rsidRPr="005C767D">
              <w:sym w:font="Wingdings" w:char="F0FC"/>
            </w:r>
          </w:p>
        </w:tc>
      </w:tr>
      <w:tr w:rsidR="006016B9" w:rsidRPr="0087752B" w14:paraId="6C1F7BB6" w14:textId="77777777" w:rsidTr="006016B9">
        <w:tblPrEx>
          <w:tblBorders>
            <w:bottom w:val="single" w:sz="12" w:space="0" w:color="777777"/>
          </w:tblBorders>
        </w:tblPrEx>
        <w:trPr>
          <w:cantSplit/>
        </w:trPr>
        <w:tc>
          <w:tcPr>
            <w:tcW w:w="5000" w:type="pct"/>
            <w:gridSpan w:val="9"/>
            <w:shd w:val="clear" w:color="auto" w:fill="auto"/>
            <w:vAlign w:val="center"/>
          </w:tcPr>
          <w:p w14:paraId="589B09C7" w14:textId="77777777" w:rsidR="006016B9" w:rsidRPr="0087752B" w:rsidRDefault="006016B9" w:rsidP="00D65DDE">
            <w:pPr>
              <w:pStyle w:val="DETTableTextFinancial"/>
              <w:rPr>
                <w:i/>
              </w:rPr>
            </w:pPr>
            <w:r w:rsidRPr="0087752B">
              <w:rPr>
                <w:i/>
              </w:rPr>
              <w:t xml:space="preserve">This performance measure relates to student performance assessed in May 2015. </w:t>
            </w:r>
          </w:p>
          <w:p w14:paraId="4ED2F733" w14:textId="77777777" w:rsidR="006016B9" w:rsidRPr="0087752B" w:rsidRDefault="006016B9" w:rsidP="00D65DDE">
            <w:pPr>
              <w:pStyle w:val="DETTableTextFinancial"/>
              <w:rPr>
                <w:i/>
              </w:rPr>
            </w:pPr>
            <w:r w:rsidRPr="0087752B">
              <w:rPr>
                <w:i/>
              </w:rPr>
              <w:t xml:space="preserve">When interpreting results, a 95 per cent confidence interval of +/- 1.68 percentage points needs to be considered as the reported number is an estimate of the student ability for which there is associated measurement error, standard to any such assessment. </w:t>
            </w:r>
          </w:p>
          <w:p w14:paraId="0E624C8D" w14:textId="133B521C" w:rsidR="006016B9" w:rsidRPr="0087752B" w:rsidRDefault="006016B9" w:rsidP="00D65DDE">
            <w:pPr>
              <w:pStyle w:val="DETTableTextFinancial"/>
            </w:pPr>
            <w:r w:rsidRPr="0087752B">
              <w:rPr>
                <w:i/>
              </w:rPr>
              <w:t>Improvement resulting from Education State initiatives is not reflected in NAPLAN 2015</w:t>
            </w:r>
            <w:r w:rsidR="009D478E" w:rsidRPr="0087752B">
              <w:rPr>
                <w:i/>
              </w:rPr>
              <w:t>–</w:t>
            </w:r>
            <w:r w:rsidRPr="0087752B">
              <w:rPr>
                <w:i/>
              </w:rPr>
              <w:t>16 results, as testing was undertaken prior to the implementation of these significant reforms.</w:t>
            </w:r>
          </w:p>
        </w:tc>
      </w:tr>
      <w:tr w:rsidR="006016B9" w:rsidRPr="0087752B" w14:paraId="53324331" w14:textId="77777777" w:rsidTr="00D65DDE">
        <w:trPr>
          <w:cantSplit/>
        </w:trPr>
        <w:tc>
          <w:tcPr>
            <w:tcW w:w="2405" w:type="pct"/>
            <w:gridSpan w:val="3"/>
            <w:shd w:val="clear" w:color="auto" w:fill="auto"/>
            <w:vAlign w:val="center"/>
          </w:tcPr>
          <w:p w14:paraId="0ED9E1B1" w14:textId="77777777" w:rsidR="006016B9" w:rsidRPr="0087752B" w:rsidRDefault="006016B9" w:rsidP="00D65DDE">
            <w:pPr>
              <w:pStyle w:val="DETTableTextFinancial"/>
            </w:pPr>
            <w:r w:rsidRPr="0087752B">
              <w:t>Percentage of students above the bottom three bands for numeracy in Year 9 (NAPLAN testing)</w:t>
            </w:r>
          </w:p>
        </w:tc>
        <w:tc>
          <w:tcPr>
            <w:tcW w:w="571" w:type="pct"/>
            <w:shd w:val="clear" w:color="auto" w:fill="auto"/>
          </w:tcPr>
          <w:p w14:paraId="57B3FE6B" w14:textId="77777777" w:rsidR="006016B9" w:rsidRPr="0087752B" w:rsidRDefault="006016B9" w:rsidP="00D65DDE">
            <w:pPr>
              <w:pStyle w:val="DETTableTextFinancial"/>
            </w:pPr>
            <w:r w:rsidRPr="0087752B">
              <w:t>per cent</w:t>
            </w:r>
          </w:p>
        </w:tc>
        <w:tc>
          <w:tcPr>
            <w:tcW w:w="475" w:type="pct"/>
            <w:gridSpan w:val="2"/>
            <w:shd w:val="clear" w:color="auto" w:fill="auto"/>
          </w:tcPr>
          <w:p w14:paraId="2F3434C6" w14:textId="77777777" w:rsidR="006016B9" w:rsidRPr="0087752B" w:rsidRDefault="006016B9" w:rsidP="00D65DDE">
            <w:pPr>
              <w:pStyle w:val="DETTableTextFinancial"/>
              <w:jc w:val="right"/>
            </w:pPr>
            <w:r w:rsidRPr="0087752B">
              <w:t>50.5</w:t>
            </w:r>
          </w:p>
        </w:tc>
        <w:tc>
          <w:tcPr>
            <w:tcW w:w="476" w:type="pct"/>
            <w:shd w:val="clear" w:color="auto" w:fill="auto"/>
          </w:tcPr>
          <w:p w14:paraId="00D96AF9" w14:textId="77777777" w:rsidR="006016B9" w:rsidRPr="0087752B" w:rsidRDefault="006016B9" w:rsidP="00D65DDE">
            <w:pPr>
              <w:pStyle w:val="DETTableTextFinancial"/>
              <w:jc w:val="right"/>
            </w:pPr>
            <w:r w:rsidRPr="0087752B">
              <w:t>54.0</w:t>
            </w:r>
          </w:p>
        </w:tc>
        <w:tc>
          <w:tcPr>
            <w:tcW w:w="572" w:type="pct"/>
          </w:tcPr>
          <w:p w14:paraId="2FE97A2C" w14:textId="77777777" w:rsidR="006016B9" w:rsidRPr="0087752B" w:rsidRDefault="006016B9" w:rsidP="00D65DDE">
            <w:pPr>
              <w:pStyle w:val="DETTableTextFinancial"/>
              <w:jc w:val="right"/>
            </w:pPr>
            <w:r w:rsidRPr="0087752B">
              <w:t>6.9</w:t>
            </w:r>
          </w:p>
        </w:tc>
        <w:tc>
          <w:tcPr>
            <w:tcW w:w="501" w:type="pct"/>
          </w:tcPr>
          <w:p w14:paraId="2B00A7CE" w14:textId="77777777" w:rsidR="006016B9" w:rsidRPr="005C767D" w:rsidRDefault="006016B9" w:rsidP="00D65DDE">
            <w:pPr>
              <w:jc w:val="right"/>
            </w:pPr>
            <w:r w:rsidRPr="005C767D">
              <w:sym w:font="Wingdings" w:char="F0FC"/>
            </w:r>
          </w:p>
        </w:tc>
      </w:tr>
      <w:tr w:rsidR="006016B9" w:rsidRPr="0087752B" w14:paraId="5478CC6C" w14:textId="77777777" w:rsidTr="006016B9">
        <w:tblPrEx>
          <w:tblBorders>
            <w:bottom w:val="single" w:sz="12" w:space="0" w:color="777777"/>
          </w:tblBorders>
        </w:tblPrEx>
        <w:trPr>
          <w:cantSplit/>
        </w:trPr>
        <w:tc>
          <w:tcPr>
            <w:tcW w:w="5000" w:type="pct"/>
            <w:gridSpan w:val="9"/>
            <w:shd w:val="clear" w:color="auto" w:fill="auto"/>
            <w:vAlign w:val="center"/>
          </w:tcPr>
          <w:p w14:paraId="4A489D95" w14:textId="77777777" w:rsidR="006016B9" w:rsidRPr="0087752B" w:rsidRDefault="006016B9" w:rsidP="00D65DDE">
            <w:pPr>
              <w:pStyle w:val="DETTableTextFinancial"/>
              <w:rPr>
                <w:i/>
              </w:rPr>
            </w:pPr>
            <w:r w:rsidRPr="0087752B">
              <w:rPr>
                <w:i/>
              </w:rPr>
              <w:t>This performance measure relates to student performance assessed in May 2015.</w:t>
            </w:r>
          </w:p>
          <w:p w14:paraId="5ED23924" w14:textId="77777777" w:rsidR="006016B9" w:rsidRPr="0087752B" w:rsidRDefault="006016B9" w:rsidP="00D65DDE">
            <w:pPr>
              <w:pStyle w:val="DETTableTextFinancial"/>
              <w:rPr>
                <w:i/>
              </w:rPr>
            </w:pPr>
            <w:r w:rsidRPr="0087752B">
              <w:rPr>
                <w:i/>
              </w:rPr>
              <w:t xml:space="preserve">When interpreting results, a 95 per cent confidence interval of +/- 2.01 percentage points needs to be considered as the reported number is an estimate of the student ability for which there is associated measurement error, standard to any such assessment. </w:t>
            </w:r>
          </w:p>
          <w:p w14:paraId="41E6F604"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2D40E5C3" w14:textId="77777777" w:rsidTr="00D65DDE">
        <w:trPr>
          <w:cantSplit/>
        </w:trPr>
        <w:tc>
          <w:tcPr>
            <w:tcW w:w="2405" w:type="pct"/>
            <w:gridSpan w:val="3"/>
            <w:shd w:val="clear" w:color="auto" w:fill="auto"/>
            <w:vAlign w:val="center"/>
          </w:tcPr>
          <w:p w14:paraId="39472453" w14:textId="65C9BFA5" w:rsidR="006016B9" w:rsidRPr="0087752B" w:rsidRDefault="006016B9" w:rsidP="00D65DDE">
            <w:pPr>
              <w:pStyle w:val="DETTableTextFinancial"/>
            </w:pPr>
            <w:r w:rsidRPr="0087752B">
              <w:t>Percentage of students above the bottom three bands for reading in Year 7 (</w:t>
            </w:r>
            <w:r w:rsidR="009D478E" w:rsidRPr="0087752B">
              <w:t>NAPLAN testing</w:t>
            </w:r>
            <w:r w:rsidRPr="0087752B">
              <w:t>)</w:t>
            </w:r>
          </w:p>
        </w:tc>
        <w:tc>
          <w:tcPr>
            <w:tcW w:w="571" w:type="pct"/>
            <w:shd w:val="clear" w:color="auto" w:fill="auto"/>
          </w:tcPr>
          <w:p w14:paraId="79495CDD" w14:textId="77777777" w:rsidR="006016B9" w:rsidRPr="0087752B" w:rsidRDefault="006016B9" w:rsidP="00D65DDE">
            <w:pPr>
              <w:pStyle w:val="DETTableTextFinancial"/>
            </w:pPr>
            <w:r w:rsidRPr="0087752B">
              <w:t>per cent</w:t>
            </w:r>
          </w:p>
        </w:tc>
        <w:tc>
          <w:tcPr>
            <w:tcW w:w="475" w:type="pct"/>
            <w:gridSpan w:val="2"/>
            <w:shd w:val="clear" w:color="auto" w:fill="auto"/>
          </w:tcPr>
          <w:p w14:paraId="0E7C8CE3" w14:textId="77777777" w:rsidR="006016B9" w:rsidRPr="0087752B" w:rsidRDefault="006016B9" w:rsidP="00D65DDE">
            <w:pPr>
              <w:pStyle w:val="DETTableTextFinancial"/>
              <w:jc w:val="right"/>
            </w:pPr>
            <w:r w:rsidRPr="0087752B">
              <w:t>59.5</w:t>
            </w:r>
          </w:p>
        </w:tc>
        <w:tc>
          <w:tcPr>
            <w:tcW w:w="476" w:type="pct"/>
            <w:shd w:val="clear" w:color="auto" w:fill="auto"/>
          </w:tcPr>
          <w:p w14:paraId="5B35AB04" w14:textId="77777777" w:rsidR="006016B9" w:rsidRPr="0087752B" w:rsidRDefault="006016B9" w:rsidP="00D65DDE">
            <w:pPr>
              <w:pStyle w:val="DETTableTextFinancial"/>
              <w:jc w:val="right"/>
            </w:pPr>
            <w:r w:rsidRPr="0087752B">
              <w:t>59.5</w:t>
            </w:r>
          </w:p>
        </w:tc>
        <w:tc>
          <w:tcPr>
            <w:tcW w:w="572" w:type="pct"/>
          </w:tcPr>
          <w:p w14:paraId="34EEAE64" w14:textId="77777777" w:rsidR="006016B9" w:rsidRPr="0087752B" w:rsidRDefault="006016B9" w:rsidP="00D65DDE">
            <w:pPr>
              <w:pStyle w:val="DETTableTextFinancial"/>
              <w:jc w:val="right"/>
            </w:pPr>
            <w:r w:rsidRPr="0087752B">
              <w:t>0.0</w:t>
            </w:r>
          </w:p>
        </w:tc>
        <w:tc>
          <w:tcPr>
            <w:tcW w:w="501" w:type="pct"/>
          </w:tcPr>
          <w:p w14:paraId="43A5086C" w14:textId="77777777" w:rsidR="006016B9" w:rsidRPr="005C767D" w:rsidRDefault="006016B9" w:rsidP="00D65DDE">
            <w:pPr>
              <w:jc w:val="right"/>
            </w:pPr>
            <w:r w:rsidRPr="005C767D">
              <w:sym w:font="Wingdings" w:char="F0FC"/>
            </w:r>
          </w:p>
        </w:tc>
      </w:tr>
      <w:tr w:rsidR="006016B9" w:rsidRPr="0087752B" w14:paraId="3E58BB7E" w14:textId="77777777" w:rsidTr="006016B9">
        <w:tblPrEx>
          <w:tblBorders>
            <w:bottom w:val="single" w:sz="12" w:space="0" w:color="777777"/>
          </w:tblBorders>
        </w:tblPrEx>
        <w:trPr>
          <w:cantSplit/>
        </w:trPr>
        <w:tc>
          <w:tcPr>
            <w:tcW w:w="5000" w:type="pct"/>
            <w:gridSpan w:val="9"/>
            <w:shd w:val="clear" w:color="auto" w:fill="auto"/>
            <w:vAlign w:val="center"/>
          </w:tcPr>
          <w:p w14:paraId="2DBB2B1B" w14:textId="77777777" w:rsidR="006016B9" w:rsidRPr="0087752B" w:rsidRDefault="006016B9" w:rsidP="00D65DDE">
            <w:pPr>
              <w:pStyle w:val="DETTableTextFinancial"/>
              <w:rPr>
                <w:i/>
              </w:rPr>
            </w:pPr>
            <w:r w:rsidRPr="0087752B">
              <w:rPr>
                <w:i/>
              </w:rPr>
              <w:t>This performance measure relates to student performance assessed in May 2015.</w:t>
            </w:r>
          </w:p>
          <w:p w14:paraId="0071664E" w14:textId="77777777" w:rsidR="006016B9" w:rsidRPr="0087752B" w:rsidRDefault="006016B9" w:rsidP="00D65DDE">
            <w:pPr>
              <w:pStyle w:val="DETTableTextFinancial"/>
              <w:rPr>
                <w:i/>
              </w:rPr>
            </w:pPr>
            <w:r w:rsidRPr="0087752B">
              <w:rPr>
                <w:i/>
              </w:rPr>
              <w:t>When interpreting results, a 95 per cent confidence interval of +/- 1.53 percentage points needs to be considered as the reported number is an estimate of the student ability for which there is associated measurement error, standard to any such assessment.</w:t>
            </w:r>
          </w:p>
          <w:p w14:paraId="196E7A5B" w14:textId="77777777" w:rsidR="006016B9" w:rsidRPr="0087752B" w:rsidRDefault="006016B9" w:rsidP="00D65DDE">
            <w:pPr>
              <w:pStyle w:val="DETTableTextFinancial"/>
              <w:rPr>
                <w:highlight w:val="yellow"/>
              </w:rPr>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359C3517" w14:textId="77777777" w:rsidTr="00D65DDE">
        <w:trPr>
          <w:cantSplit/>
        </w:trPr>
        <w:tc>
          <w:tcPr>
            <w:tcW w:w="2405" w:type="pct"/>
            <w:gridSpan w:val="3"/>
            <w:shd w:val="clear" w:color="auto" w:fill="auto"/>
            <w:vAlign w:val="center"/>
          </w:tcPr>
          <w:p w14:paraId="6D1DAC39" w14:textId="07C9F95F" w:rsidR="006016B9" w:rsidRPr="0087752B" w:rsidRDefault="006016B9" w:rsidP="00D65DDE">
            <w:pPr>
              <w:pStyle w:val="DETTableTextFinancial"/>
            </w:pPr>
            <w:r w:rsidRPr="0087752B">
              <w:t>Percentage of students above the bottom three bands for reading in Year 9 (</w:t>
            </w:r>
            <w:r w:rsidR="009D478E" w:rsidRPr="0087752B">
              <w:t>NAPLAN testing</w:t>
            </w:r>
            <w:r w:rsidRPr="0087752B">
              <w:t>)</w:t>
            </w:r>
          </w:p>
        </w:tc>
        <w:tc>
          <w:tcPr>
            <w:tcW w:w="571" w:type="pct"/>
            <w:shd w:val="clear" w:color="auto" w:fill="auto"/>
          </w:tcPr>
          <w:p w14:paraId="2664E7F7" w14:textId="77777777" w:rsidR="006016B9" w:rsidRPr="0087752B" w:rsidRDefault="006016B9" w:rsidP="00D65DDE">
            <w:pPr>
              <w:pStyle w:val="DETTableTextFinancial"/>
            </w:pPr>
            <w:r w:rsidRPr="0087752B">
              <w:t>per cent</w:t>
            </w:r>
          </w:p>
        </w:tc>
        <w:tc>
          <w:tcPr>
            <w:tcW w:w="475" w:type="pct"/>
            <w:gridSpan w:val="2"/>
            <w:shd w:val="clear" w:color="auto" w:fill="auto"/>
          </w:tcPr>
          <w:p w14:paraId="0823BFE2" w14:textId="77777777" w:rsidR="006016B9" w:rsidRPr="0087752B" w:rsidRDefault="006016B9" w:rsidP="00D65DDE">
            <w:pPr>
              <w:pStyle w:val="DETTableTextFinancial"/>
              <w:jc w:val="right"/>
            </w:pPr>
            <w:r w:rsidRPr="0087752B">
              <w:t>50</w:t>
            </w:r>
          </w:p>
        </w:tc>
        <w:tc>
          <w:tcPr>
            <w:tcW w:w="476" w:type="pct"/>
            <w:shd w:val="clear" w:color="auto" w:fill="auto"/>
          </w:tcPr>
          <w:p w14:paraId="5E84E9B6" w14:textId="77777777" w:rsidR="006016B9" w:rsidRPr="0087752B" w:rsidRDefault="006016B9" w:rsidP="00D65DDE">
            <w:pPr>
              <w:pStyle w:val="DETTableTextFinancial"/>
              <w:jc w:val="right"/>
            </w:pPr>
            <w:r w:rsidRPr="0087752B">
              <w:t>50.2</w:t>
            </w:r>
          </w:p>
        </w:tc>
        <w:tc>
          <w:tcPr>
            <w:tcW w:w="572" w:type="pct"/>
          </w:tcPr>
          <w:p w14:paraId="2C06D631" w14:textId="77777777" w:rsidR="006016B9" w:rsidRPr="0087752B" w:rsidRDefault="006016B9" w:rsidP="00D65DDE">
            <w:pPr>
              <w:pStyle w:val="DETTableTextFinancial"/>
              <w:jc w:val="right"/>
            </w:pPr>
            <w:r w:rsidRPr="0087752B">
              <w:t>0.4</w:t>
            </w:r>
          </w:p>
        </w:tc>
        <w:tc>
          <w:tcPr>
            <w:tcW w:w="501" w:type="pct"/>
          </w:tcPr>
          <w:p w14:paraId="1D53DEEF" w14:textId="77777777" w:rsidR="006016B9" w:rsidRPr="005C767D" w:rsidRDefault="006016B9" w:rsidP="00D65DDE">
            <w:pPr>
              <w:jc w:val="right"/>
            </w:pPr>
            <w:r w:rsidRPr="005C767D">
              <w:sym w:font="Wingdings" w:char="F0FC"/>
            </w:r>
          </w:p>
        </w:tc>
      </w:tr>
      <w:tr w:rsidR="006016B9" w:rsidRPr="0087752B" w14:paraId="1C70F7B3" w14:textId="77777777" w:rsidTr="006016B9">
        <w:tblPrEx>
          <w:tblBorders>
            <w:bottom w:val="single" w:sz="12" w:space="0" w:color="777777"/>
          </w:tblBorders>
        </w:tblPrEx>
        <w:trPr>
          <w:cantSplit/>
        </w:trPr>
        <w:tc>
          <w:tcPr>
            <w:tcW w:w="5000" w:type="pct"/>
            <w:gridSpan w:val="9"/>
            <w:shd w:val="clear" w:color="auto" w:fill="auto"/>
            <w:vAlign w:val="center"/>
          </w:tcPr>
          <w:p w14:paraId="44AD8B06" w14:textId="77777777" w:rsidR="006016B9" w:rsidRPr="0087752B" w:rsidRDefault="006016B9" w:rsidP="00D65DDE">
            <w:pPr>
              <w:pStyle w:val="DETTableTextFinancial"/>
              <w:rPr>
                <w:i/>
              </w:rPr>
            </w:pPr>
            <w:r w:rsidRPr="0087752B">
              <w:rPr>
                <w:i/>
              </w:rPr>
              <w:t>This performance measure relates to student performance assessed in May 2015.</w:t>
            </w:r>
          </w:p>
          <w:p w14:paraId="50BB2C96" w14:textId="77777777" w:rsidR="006016B9" w:rsidRPr="0087752B" w:rsidRDefault="006016B9" w:rsidP="00D65DDE">
            <w:pPr>
              <w:pStyle w:val="DETTableTextFinancial"/>
              <w:rPr>
                <w:i/>
              </w:rPr>
            </w:pPr>
            <w:r w:rsidRPr="0087752B">
              <w:rPr>
                <w:i/>
              </w:rPr>
              <w:t>When interpreting results, a 95 per cent confidence interval of +/- 1.73 percentage points needs to be considered as the reported number is an estimate of the student ability for which there is associated measurement error, standard to any such assessment.</w:t>
            </w:r>
          </w:p>
          <w:p w14:paraId="37AA544E" w14:textId="77777777" w:rsidR="006016B9" w:rsidRPr="0087752B" w:rsidRDefault="006016B9" w:rsidP="00D65DDE">
            <w:pPr>
              <w:pStyle w:val="DETTableTextFinancial"/>
              <w:rPr>
                <w:highlight w:val="yellow"/>
              </w:rPr>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67B7953D" w14:textId="77777777" w:rsidTr="00237FCA">
        <w:trPr>
          <w:cantSplit/>
        </w:trPr>
        <w:tc>
          <w:tcPr>
            <w:tcW w:w="2405" w:type="pct"/>
            <w:gridSpan w:val="3"/>
            <w:shd w:val="clear" w:color="auto" w:fill="auto"/>
            <w:vAlign w:val="center"/>
          </w:tcPr>
          <w:p w14:paraId="34DB4CD1" w14:textId="77777777" w:rsidR="006016B9" w:rsidRPr="0087752B" w:rsidRDefault="006016B9" w:rsidP="00D65DDE">
            <w:pPr>
              <w:pStyle w:val="DETTableTextFinancial"/>
            </w:pPr>
            <w:r w:rsidRPr="0087752B">
              <w:t>Percentage of students in the top two bands for numeracy in Year 7 (NAPLAN testing)</w:t>
            </w:r>
          </w:p>
        </w:tc>
        <w:tc>
          <w:tcPr>
            <w:tcW w:w="571" w:type="pct"/>
            <w:shd w:val="clear" w:color="auto" w:fill="auto"/>
          </w:tcPr>
          <w:p w14:paraId="5C1ED001" w14:textId="77777777" w:rsidR="006016B9" w:rsidRPr="0087752B" w:rsidRDefault="006016B9" w:rsidP="00D65DDE">
            <w:pPr>
              <w:pStyle w:val="DETTableTextFinancial"/>
            </w:pPr>
            <w:r w:rsidRPr="0087752B">
              <w:t>per cent</w:t>
            </w:r>
          </w:p>
        </w:tc>
        <w:tc>
          <w:tcPr>
            <w:tcW w:w="475" w:type="pct"/>
            <w:gridSpan w:val="2"/>
            <w:shd w:val="clear" w:color="auto" w:fill="auto"/>
          </w:tcPr>
          <w:p w14:paraId="251EADA7" w14:textId="77777777" w:rsidR="006016B9" w:rsidRPr="0087752B" w:rsidRDefault="006016B9" w:rsidP="00D65DDE">
            <w:pPr>
              <w:pStyle w:val="DETTableTextFinancial"/>
              <w:jc w:val="right"/>
            </w:pPr>
            <w:r w:rsidRPr="0087752B">
              <w:t>28</w:t>
            </w:r>
          </w:p>
        </w:tc>
        <w:tc>
          <w:tcPr>
            <w:tcW w:w="476" w:type="pct"/>
            <w:shd w:val="clear" w:color="auto" w:fill="auto"/>
          </w:tcPr>
          <w:p w14:paraId="24F899BD" w14:textId="77777777" w:rsidR="006016B9" w:rsidRPr="0087752B" w:rsidRDefault="006016B9" w:rsidP="00D65DDE">
            <w:pPr>
              <w:pStyle w:val="DETTableTextFinancial"/>
              <w:jc w:val="right"/>
            </w:pPr>
            <w:r w:rsidRPr="0087752B">
              <w:t>27.8</w:t>
            </w:r>
          </w:p>
        </w:tc>
        <w:tc>
          <w:tcPr>
            <w:tcW w:w="572" w:type="pct"/>
          </w:tcPr>
          <w:p w14:paraId="702EB8BB" w14:textId="77777777" w:rsidR="006016B9" w:rsidRPr="0087752B" w:rsidRDefault="006016B9" w:rsidP="00D65DDE">
            <w:pPr>
              <w:pStyle w:val="DETTableTextFinancial"/>
              <w:jc w:val="right"/>
            </w:pPr>
            <w:r w:rsidRPr="0087752B">
              <w:t>-0.7</w:t>
            </w:r>
          </w:p>
        </w:tc>
        <w:tc>
          <w:tcPr>
            <w:tcW w:w="501" w:type="pct"/>
          </w:tcPr>
          <w:p w14:paraId="4B71CC4D" w14:textId="77777777" w:rsidR="006016B9" w:rsidRPr="005C767D" w:rsidRDefault="006016B9" w:rsidP="00D65DDE">
            <w:pPr>
              <w:jc w:val="right"/>
            </w:pPr>
            <w:r w:rsidRPr="005C767D">
              <w:sym w:font="Wingdings" w:char="F0FC"/>
            </w:r>
          </w:p>
        </w:tc>
      </w:tr>
      <w:tr w:rsidR="006016B9" w:rsidRPr="0087752B" w14:paraId="6B40F30A" w14:textId="77777777" w:rsidTr="00237FCA">
        <w:tblPrEx>
          <w:tblBorders>
            <w:bottom w:val="single" w:sz="12" w:space="0" w:color="777777"/>
          </w:tblBorders>
        </w:tblPrEx>
        <w:trPr>
          <w:cantSplit/>
        </w:trPr>
        <w:tc>
          <w:tcPr>
            <w:tcW w:w="5000" w:type="pct"/>
            <w:gridSpan w:val="9"/>
            <w:tcBorders>
              <w:bottom w:val="nil"/>
            </w:tcBorders>
            <w:shd w:val="clear" w:color="auto" w:fill="auto"/>
            <w:vAlign w:val="center"/>
          </w:tcPr>
          <w:p w14:paraId="08E53B40" w14:textId="77777777" w:rsidR="006016B9" w:rsidRPr="0087752B" w:rsidRDefault="006016B9" w:rsidP="00D65DDE">
            <w:pPr>
              <w:pStyle w:val="DETTableTextFinancial"/>
              <w:rPr>
                <w:i/>
              </w:rPr>
            </w:pPr>
            <w:r w:rsidRPr="0087752B">
              <w:rPr>
                <w:i/>
              </w:rPr>
              <w:t xml:space="preserve">This performance measure relates to student performance assessed in May 2015. </w:t>
            </w:r>
          </w:p>
          <w:p w14:paraId="5D1EC3EA" w14:textId="77777777" w:rsidR="006016B9" w:rsidRPr="0087752B" w:rsidRDefault="006016B9" w:rsidP="00D65DDE">
            <w:pPr>
              <w:pStyle w:val="DETTableTextFinancial"/>
              <w:rPr>
                <w:i/>
              </w:rPr>
            </w:pPr>
            <w:r w:rsidRPr="0087752B">
              <w:rPr>
                <w:i/>
              </w:rPr>
              <w:t>When interpreting results, a 95 per cent confidence interval of +/- 1.63 percentage points needs to be considered as the reported number is an estimate of the student ability for which there is associated measurement error, standard to any such assessment. The 2015–16 Actual result is within the confidence interval and has met the 2015–16 Target.</w:t>
            </w:r>
          </w:p>
          <w:p w14:paraId="004ED4A8" w14:textId="77777777" w:rsidR="006016B9" w:rsidRPr="0087752B" w:rsidRDefault="006016B9" w:rsidP="00D65DDE">
            <w:pPr>
              <w:pStyle w:val="DETTableTextFinancial"/>
              <w:rPr>
                <w:highlight w:val="yellow"/>
              </w:rPr>
            </w:pPr>
            <w:r w:rsidRPr="0087752B">
              <w:rPr>
                <w:i/>
              </w:rPr>
              <w:lastRenderedPageBreak/>
              <w:t>Improvement resulting from Education State initiatives is not reflected in NAPLAN 2015–16 results, as testing was undertaken prior to the implementation of these significant reforms.</w:t>
            </w:r>
          </w:p>
        </w:tc>
      </w:tr>
      <w:tr w:rsidR="006016B9" w:rsidRPr="0087752B" w14:paraId="6E5A4343" w14:textId="77777777" w:rsidTr="00237FCA">
        <w:trPr>
          <w:cantSplit/>
        </w:trPr>
        <w:tc>
          <w:tcPr>
            <w:tcW w:w="2405" w:type="pct"/>
            <w:gridSpan w:val="3"/>
            <w:shd w:val="clear" w:color="auto" w:fill="auto"/>
            <w:vAlign w:val="center"/>
          </w:tcPr>
          <w:p w14:paraId="35B8C7D0" w14:textId="77777777" w:rsidR="006016B9" w:rsidRPr="0087752B" w:rsidRDefault="006016B9" w:rsidP="00D65DDE">
            <w:pPr>
              <w:pStyle w:val="DETTableTextFinancial"/>
            </w:pPr>
            <w:r w:rsidRPr="0087752B">
              <w:lastRenderedPageBreak/>
              <w:t>Percentage of students in the top two bands for numeracy in Year 9 (NAPLAN testing)</w:t>
            </w:r>
          </w:p>
        </w:tc>
        <w:tc>
          <w:tcPr>
            <w:tcW w:w="571" w:type="pct"/>
            <w:shd w:val="clear" w:color="auto" w:fill="auto"/>
          </w:tcPr>
          <w:p w14:paraId="0CD63E1F" w14:textId="77777777" w:rsidR="006016B9" w:rsidRPr="0087752B" w:rsidRDefault="006016B9" w:rsidP="00D65DDE">
            <w:pPr>
              <w:pStyle w:val="DETTableTextFinancial"/>
            </w:pPr>
            <w:r w:rsidRPr="0087752B">
              <w:t>per cent</w:t>
            </w:r>
          </w:p>
        </w:tc>
        <w:tc>
          <w:tcPr>
            <w:tcW w:w="475" w:type="pct"/>
            <w:gridSpan w:val="2"/>
            <w:shd w:val="clear" w:color="auto" w:fill="auto"/>
          </w:tcPr>
          <w:p w14:paraId="1219F0A6" w14:textId="77777777" w:rsidR="006016B9" w:rsidRPr="0087752B" w:rsidRDefault="006016B9" w:rsidP="00D65DDE">
            <w:pPr>
              <w:pStyle w:val="DETTableTextFinancial"/>
              <w:jc w:val="right"/>
            </w:pPr>
            <w:r w:rsidRPr="0087752B">
              <w:t>25</w:t>
            </w:r>
          </w:p>
        </w:tc>
        <w:tc>
          <w:tcPr>
            <w:tcW w:w="476" w:type="pct"/>
            <w:shd w:val="clear" w:color="auto" w:fill="auto"/>
          </w:tcPr>
          <w:p w14:paraId="0831CB6D" w14:textId="77777777" w:rsidR="006016B9" w:rsidRPr="0087752B" w:rsidRDefault="006016B9" w:rsidP="00D65DDE">
            <w:pPr>
              <w:pStyle w:val="DETTableTextFinancial"/>
              <w:jc w:val="right"/>
            </w:pPr>
            <w:r w:rsidRPr="0087752B">
              <w:t>26.1</w:t>
            </w:r>
          </w:p>
        </w:tc>
        <w:tc>
          <w:tcPr>
            <w:tcW w:w="572" w:type="pct"/>
          </w:tcPr>
          <w:p w14:paraId="7955D422" w14:textId="77777777" w:rsidR="006016B9" w:rsidRPr="0087752B" w:rsidRDefault="006016B9" w:rsidP="00D65DDE">
            <w:pPr>
              <w:pStyle w:val="DETTableTextFinancial"/>
              <w:jc w:val="right"/>
            </w:pPr>
            <w:r w:rsidRPr="0087752B">
              <w:t>4.4</w:t>
            </w:r>
          </w:p>
        </w:tc>
        <w:tc>
          <w:tcPr>
            <w:tcW w:w="501" w:type="pct"/>
          </w:tcPr>
          <w:p w14:paraId="6CB81DC0" w14:textId="77777777" w:rsidR="006016B9" w:rsidRPr="005C767D" w:rsidRDefault="006016B9" w:rsidP="00D65DDE">
            <w:pPr>
              <w:jc w:val="right"/>
            </w:pPr>
            <w:r w:rsidRPr="005C767D">
              <w:sym w:font="Wingdings" w:char="F0FC"/>
            </w:r>
          </w:p>
        </w:tc>
      </w:tr>
      <w:tr w:rsidR="006016B9" w:rsidRPr="0087752B" w14:paraId="2DE26C6F" w14:textId="77777777" w:rsidTr="006016B9">
        <w:tblPrEx>
          <w:tblBorders>
            <w:bottom w:val="single" w:sz="12" w:space="0" w:color="777777"/>
          </w:tblBorders>
        </w:tblPrEx>
        <w:trPr>
          <w:cantSplit/>
        </w:trPr>
        <w:tc>
          <w:tcPr>
            <w:tcW w:w="5000" w:type="pct"/>
            <w:gridSpan w:val="9"/>
            <w:shd w:val="clear" w:color="auto" w:fill="auto"/>
            <w:vAlign w:val="center"/>
          </w:tcPr>
          <w:p w14:paraId="17D34C91" w14:textId="77777777" w:rsidR="006016B9" w:rsidRPr="0087752B" w:rsidRDefault="006016B9" w:rsidP="00D65DDE">
            <w:pPr>
              <w:pStyle w:val="DETTableTextFinancial"/>
              <w:rPr>
                <w:i/>
              </w:rPr>
            </w:pPr>
            <w:r w:rsidRPr="0087752B">
              <w:rPr>
                <w:i/>
              </w:rPr>
              <w:t xml:space="preserve">This performance measure relates to student performance assessed in May 2015. </w:t>
            </w:r>
          </w:p>
          <w:p w14:paraId="202D0775" w14:textId="77777777" w:rsidR="006016B9" w:rsidRPr="0087752B" w:rsidRDefault="006016B9" w:rsidP="00D65DDE">
            <w:pPr>
              <w:pStyle w:val="DETTableTextFinancial"/>
              <w:rPr>
                <w:i/>
              </w:rPr>
            </w:pPr>
            <w:r w:rsidRPr="0087752B">
              <w:rPr>
                <w:i/>
              </w:rPr>
              <w:t xml:space="preserve">When interpreting results, a 95 per cent confidence interval of +/- 2.02 percentage points needs to be considered as the reported number is an estimate of the student ability for which there is associated measurement error, standard to any such assessment. </w:t>
            </w:r>
          </w:p>
          <w:p w14:paraId="7A83D07E" w14:textId="77777777" w:rsidR="006016B9" w:rsidRPr="0087752B" w:rsidRDefault="006016B9" w:rsidP="00D65DDE">
            <w:pPr>
              <w:pStyle w:val="DETTableTextFinancial"/>
              <w:rPr>
                <w:highlight w:val="yellow"/>
              </w:rPr>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4E3F50A1" w14:textId="77777777" w:rsidTr="00D65DDE">
        <w:trPr>
          <w:cantSplit/>
        </w:trPr>
        <w:tc>
          <w:tcPr>
            <w:tcW w:w="2405" w:type="pct"/>
            <w:gridSpan w:val="3"/>
            <w:shd w:val="clear" w:color="auto" w:fill="auto"/>
            <w:vAlign w:val="center"/>
          </w:tcPr>
          <w:p w14:paraId="62669F23" w14:textId="77777777" w:rsidR="006016B9" w:rsidRPr="0087752B" w:rsidRDefault="006016B9" w:rsidP="00D65DDE">
            <w:pPr>
              <w:pStyle w:val="DETTableTextFinancial"/>
            </w:pPr>
            <w:r w:rsidRPr="0087752B">
              <w:t>Percentage of students in the top two bands for reading in Year 7 (NAPLAN testing)</w:t>
            </w:r>
          </w:p>
        </w:tc>
        <w:tc>
          <w:tcPr>
            <w:tcW w:w="571" w:type="pct"/>
            <w:shd w:val="clear" w:color="auto" w:fill="auto"/>
          </w:tcPr>
          <w:p w14:paraId="15F3E021" w14:textId="77777777" w:rsidR="006016B9" w:rsidRPr="0087752B" w:rsidRDefault="006016B9" w:rsidP="00D65DDE">
            <w:pPr>
              <w:pStyle w:val="DETTableTextFinancial"/>
            </w:pPr>
            <w:r w:rsidRPr="0087752B">
              <w:t>per cent</w:t>
            </w:r>
          </w:p>
        </w:tc>
        <w:tc>
          <w:tcPr>
            <w:tcW w:w="475" w:type="pct"/>
            <w:gridSpan w:val="2"/>
            <w:shd w:val="clear" w:color="auto" w:fill="auto"/>
          </w:tcPr>
          <w:p w14:paraId="47EA005E" w14:textId="77777777" w:rsidR="006016B9" w:rsidRPr="0087752B" w:rsidRDefault="006016B9" w:rsidP="00D65DDE">
            <w:pPr>
              <w:pStyle w:val="DETTableTextFinancial"/>
              <w:jc w:val="right"/>
            </w:pPr>
            <w:r w:rsidRPr="0087752B">
              <w:t>29</w:t>
            </w:r>
          </w:p>
        </w:tc>
        <w:tc>
          <w:tcPr>
            <w:tcW w:w="476" w:type="pct"/>
            <w:shd w:val="clear" w:color="auto" w:fill="auto"/>
          </w:tcPr>
          <w:p w14:paraId="771D00B2" w14:textId="77777777" w:rsidR="006016B9" w:rsidRPr="0087752B" w:rsidRDefault="006016B9" w:rsidP="00D65DDE">
            <w:pPr>
              <w:pStyle w:val="DETTableTextFinancial"/>
              <w:jc w:val="right"/>
            </w:pPr>
            <w:r w:rsidRPr="0087752B">
              <w:t>30.1</w:t>
            </w:r>
          </w:p>
        </w:tc>
        <w:tc>
          <w:tcPr>
            <w:tcW w:w="572" w:type="pct"/>
          </w:tcPr>
          <w:p w14:paraId="2EB091BE" w14:textId="77777777" w:rsidR="006016B9" w:rsidRPr="0087752B" w:rsidRDefault="006016B9" w:rsidP="00D65DDE">
            <w:pPr>
              <w:pStyle w:val="DETTableTextFinancial"/>
              <w:jc w:val="right"/>
            </w:pPr>
            <w:r w:rsidRPr="0087752B">
              <w:t>3.8</w:t>
            </w:r>
          </w:p>
        </w:tc>
        <w:tc>
          <w:tcPr>
            <w:tcW w:w="501" w:type="pct"/>
          </w:tcPr>
          <w:p w14:paraId="46D40136" w14:textId="77777777" w:rsidR="006016B9" w:rsidRPr="005C767D" w:rsidRDefault="006016B9" w:rsidP="00D65DDE">
            <w:pPr>
              <w:jc w:val="right"/>
            </w:pPr>
            <w:r w:rsidRPr="005C767D">
              <w:sym w:font="Wingdings" w:char="F0FC"/>
            </w:r>
          </w:p>
        </w:tc>
      </w:tr>
      <w:tr w:rsidR="006016B9" w:rsidRPr="0087752B" w14:paraId="3BF294A9" w14:textId="77777777" w:rsidTr="006016B9">
        <w:tblPrEx>
          <w:tblBorders>
            <w:bottom w:val="single" w:sz="12" w:space="0" w:color="777777"/>
          </w:tblBorders>
        </w:tblPrEx>
        <w:trPr>
          <w:cantSplit/>
        </w:trPr>
        <w:tc>
          <w:tcPr>
            <w:tcW w:w="5000" w:type="pct"/>
            <w:gridSpan w:val="9"/>
            <w:shd w:val="clear" w:color="auto" w:fill="auto"/>
            <w:vAlign w:val="center"/>
          </w:tcPr>
          <w:p w14:paraId="6E050C6C" w14:textId="77777777" w:rsidR="006016B9" w:rsidRPr="0087752B" w:rsidRDefault="006016B9" w:rsidP="00D65DDE">
            <w:pPr>
              <w:pStyle w:val="DETTableTextFinancial"/>
              <w:rPr>
                <w:i/>
              </w:rPr>
            </w:pPr>
            <w:r w:rsidRPr="0087752B">
              <w:rPr>
                <w:i/>
              </w:rPr>
              <w:t xml:space="preserve">This performance measure relates to student performance assessed in May 2015. </w:t>
            </w:r>
          </w:p>
          <w:p w14:paraId="52BA8691" w14:textId="77777777" w:rsidR="006016B9" w:rsidRPr="0087752B" w:rsidRDefault="006016B9" w:rsidP="00D65DDE">
            <w:pPr>
              <w:pStyle w:val="DETTableTextFinancial"/>
              <w:rPr>
                <w:i/>
              </w:rPr>
            </w:pPr>
            <w:r w:rsidRPr="0087752B">
              <w:rPr>
                <w:i/>
              </w:rPr>
              <w:t>When interpreting results, a 95 per cent confidence interval of +/- 1.44 percentage points needs to be considered as the reported number is an estimate of the student ability for which there is associated measurement error, standard to any such assessment.</w:t>
            </w:r>
          </w:p>
          <w:p w14:paraId="58C941EA"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6DB9CB0E" w14:textId="77777777" w:rsidTr="00D65DDE">
        <w:trPr>
          <w:cantSplit/>
        </w:trPr>
        <w:tc>
          <w:tcPr>
            <w:tcW w:w="2405" w:type="pct"/>
            <w:gridSpan w:val="3"/>
            <w:shd w:val="clear" w:color="auto" w:fill="auto"/>
            <w:vAlign w:val="center"/>
          </w:tcPr>
          <w:p w14:paraId="643DEB63" w14:textId="77777777" w:rsidR="006016B9" w:rsidRPr="0087752B" w:rsidRDefault="006016B9" w:rsidP="00D65DDE">
            <w:pPr>
              <w:pStyle w:val="DETTableTextFinancial"/>
            </w:pPr>
            <w:r w:rsidRPr="0087752B">
              <w:t>Percentage of students in the top two bands for reading in Year 9 (NAPLAN testing)</w:t>
            </w:r>
          </w:p>
        </w:tc>
        <w:tc>
          <w:tcPr>
            <w:tcW w:w="571" w:type="pct"/>
            <w:shd w:val="clear" w:color="auto" w:fill="auto"/>
          </w:tcPr>
          <w:p w14:paraId="367C268F" w14:textId="77777777" w:rsidR="006016B9" w:rsidRPr="0087752B" w:rsidRDefault="006016B9" w:rsidP="00D65DDE">
            <w:pPr>
              <w:pStyle w:val="DETTableTextFinancial"/>
            </w:pPr>
            <w:r w:rsidRPr="0087752B">
              <w:t>number</w:t>
            </w:r>
          </w:p>
        </w:tc>
        <w:tc>
          <w:tcPr>
            <w:tcW w:w="475" w:type="pct"/>
            <w:gridSpan w:val="2"/>
            <w:shd w:val="clear" w:color="auto" w:fill="auto"/>
          </w:tcPr>
          <w:p w14:paraId="53DFFD83" w14:textId="77777777" w:rsidR="006016B9" w:rsidRPr="0087752B" w:rsidRDefault="006016B9" w:rsidP="00D65DDE">
            <w:pPr>
              <w:pStyle w:val="DETTableTextFinancial"/>
              <w:jc w:val="right"/>
            </w:pPr>
            <w:r w:rsidRPr="0087752B">
              <w:t>21</w:t>
            </w:r>
          </w:p>
        </w:tc>
        <w:tc>
          <w:tcPr>
            <w:tcW w:w="476" w:type="pct"/>
            <w:shd w:val="clear" w:color="auto" w:fill="auto"/>
          </w:tcPr>
          <w:p w14:paraId="530D61F5" w14:textId="77777777" w:rsidR="006016B9" w:rsidRPr="0087752B" w:rsidRDefault="006016B9" w:rsidP="00D65DDE">
            <w:pPr>
              <w:pStyle w:val="DETTableTextFinancial"/>
              <w:jc w:val="right"/>
            </w:pPr>
            <w:r w:rsidRPr="0087752B">
              <w:t>22.8</w:t>
            </w:r>
          </w:p>
        </w:tc>
        <w:tc>
          <w:tcPr>
            <w:tcW w:w="572" w:type="pct"/>
          </w:tcPr>
          <w:p w14:paraId="4373C5E7" w14:textId="77777777" w:rsidR="006016B9" w:rsidRPr="0087752B" w:rsidRDefault="006016B9" w:rsidP="00D65DDE">
            <w:pPr>
              <w:pStyle w:val="DETTableTextFinancial"/>
              <w:jc w:val="right"/>
            </w:pPr>
            <w:r w:rsidRPr="0087752B">
              <w:t>8.6</w:t>
            </w:r>
          </w:p>
        </w:tc>
        <w:tc>
          <w:tcPr>
            <w:tcW w:w="501" w:type="pct"/>
          </w:tcPr>
          <w:p w14:paraId="4B7BF6D9" w14:textId="77777777" w:rsidR="006016B9" w:rsidRPr="005C767D" w:rsidRDefault="006016B9" w:rsidP="00D65DDE">
            <w:pPr>
              <w:jc w:val="right"/>
            </w:pPr>
            <w:r w:rsidRPr="005C767D">
              <w:sym w:font="Wingdings" w:char="F0FC"/>
            </w:r>
          </w:p>
        </w:tc>
      </w:tr>
      <w:tr w:rsidR="006016B9" w:rsidRPr="0087752B" w14:paraId="508EE5E6" w14:textId="77777777" w:rsidTr="006016B9">
        <w:tblPrEx>
          <w:tblBorders>
            <w:bottom w:val="single" w:sz="12" w:space="0" w:color="777777"/>
          </w:tblBorders>
        </w:tblPrEx>
        <w:trPr>
          <w:cantSplit/>
        </w:trPr>
        <w:tc>
          <w:tcPr>
            <w:tcW w:w="5000" w:type="pct"/>
            <w:gridSpan w:val="9"/>
            <w:shd w:val="clear" w:color="auto" w:fill="auto"/>
            <w:vAlign w:val="center"/>
          </w:tcPr>
          <w:p w14:paraId="0BAFCB54" w14:textId="77777777" w:rsidR="006016B9" w:rsidRPr="0087752B" w:rsidRDefault="006016B9" w:rsidP="00D65DDE">
            <w:pPr>
              <w:pStyle w:val="DETTableTextFinancial"/>
              <w:rPr>
                <w:i/>
              </w:rPr>
            </w:pPr>
            <w:r w:rsidRPr="0087752B">
              <w:rPr>
                <w:i/>
              </w:rPr>
              <w:t xml:space="preserve">This performance measure relates to student performance assessed in May 2015. </w:t>
            </w:r>
          </w:p>
          <w:p w14:paraId="72181713" w14:textId="77777777" w:rsidR="006016B9" w:rsidRPr="0087752B" w:rsidRDefault="006016B9" w:rsidP="00D65DDE">
            <w:pPr>
              <w:pStyle w:val="DETTableTextFinancial"/>
              <w:rPr>
                <w:i/>
              </w:rPr>
            </w:pPr>
            <w:r w:rsidRPr="0087752B">
              <w:rPr>
                <w:i/>
              </w:rPr>
              <w:t xml:space="preserve">When interpreting results, a 95 per cent confidence interval of +/- 1.57 percentage points needs to be considered as the reported number is an estimate of the student ability for which there is associated measurement error, standard to any such assessment. </w:t>
            </w:r>
          </w:p>
          <w:p w14:paraId="213A31A2" w14:textId="77777777" w:rsidR="006016B9" w:rsidRPr="0087752B" w:rsidRDefault="006016B9" w:rsidP="00D65DDE">
            <w:pPr>
              <w:pStyle w:val="DETTableTextFinancial"/>
            </w:pPr>
            <w:r w:rsidRPr="0087752B">
              <w:rPr>
                <w:i/>
              </w:rPr>
              <w:t>Improvement resulting from Education State initiatives is not reflected in NAPLAN 2015–16 results, as testing was undertaken prior to the implementation of these significant reforms.</w:t>
            </w:r>
          </w:p>
        </w:tc>
      </w:tr>
      <w:tr w:rsidR="006016B9" w:rsidRPr="0087752B" w14:paraId="326B75F7" w14:textId="77777777" w:rsidTr="00D65DDE">
        <w:trPr>
          <w:cantSplit/>
        </w:trPr>
        <w:tc>
          <w:tcPr>
            <w:tcW w:w="2405" w:type="pct"/>
            <w:gridSpan w:val="3"/>
            <w:shd w:val="clear" w:color="auto" w:fill="auto"/>
            <w:vAlign w:val="center"/>
          </w:tcPr>
          <w:p w14:paraId="15167E6D" w14:textId="77777777" w:rsidR="006016B9" w:rsidRPr="0087752B" w:rsidRDefault="006016B9" w:rsidP="00D65DDE">
            <w:pPr>
              <w:pStyle w:val="DETTableTextFinancial"/>
            </w:pPr>
            <w:r w:rsidRPr="0087752B">
              <w:t>Percentage of students who remain at school from Year 7 to Year 12</w:t>
            </w:r>
          </w:p>
        </w:tc>
        <w:tc>
          <w:tcPr>
            <w:tcW w:w="571" w:type="pct"/>
            <w:shd w:val="clear" w:color="auto" w:fill="auto"/>
          </w:tcPr>
          <w:p w14:paraId="1AFCD538" w14:textId="77777777" w:rsidR="006016B9" w:rsidRPr="0087752B" w:rsidRDefault="006016B9" w:rsidP="00D65DDE">
            <w:pPr>
              <w:pStyle w:val="DETTableTextFinancial"/>
            </w:pPr>
            <w:r w:rsidRPr="0087752B">
              <w:t>per cent</w:t>
            </w:r>
          </w:p>
        </w:tc>
        <w:tc>
          <w:tcPr>
            <w:tcW w:w="475" w:type="pct"/>
            <w:gridSpan w:val="2"/>
            <w:shd w:val="clear" w:color="auto" w:fill="auto"/>
          </w:tcPr>
          <w:p w14:paraId="708C92F8" w14:textId="77777777" w:rsidR="006016B9" w:rsidRPr="0087752B" w:rsidRDefault="006016B9" w:rsidP="00D65DDE">
            <w:pPr>
              <w:pStyle w:val="DETTableTextFinancial"/>
              <w:jc w:val="right"/>
            </w:pPr>
            <w:r w:rsidRPr="0087752B">
              <w:t>88</w:t>
            </w:r>
          </w:p>
        </w:tc>
        <w:tc>
          <w:tcPr>
            <w:tcW w:w="476" w:type="pct"/>
            <w:shd w:val="clear" w:color="auto" w:fill="auto"/>
          </w:tcPr>
          <w:p w14:paraId="5BEF14D3" w14:textId="77777777" w:rsidR="006016B9" w:rsidRPr="0087752B" w:rsidRDefault="006016B9" w:rsidP="00D65DDE">
            <w:pPr>
              <w:pStyle w:val="DETTableTextFinancial"/>
              <w:jc w:val="right"/>
            </w:pPr>
            <w:r w:rsidRPr="0087752B">
              <w:t>90.6</w:t>
            </w:r>
          </w:p>
        </w:tc>
        <w:tc>
          <w:tcPr>
            <w:tcW w:w="572" w:type="pct"/>
          </w:tcPr>
          <w:p w14:paraId="7DFECFAB" w14:textId="77777777" w:rsidR="006016B9" w:rsidRPr="0087752B" w:rsidRDefault="006016B9" w:rsidP="00D65DDE">
            <w:pPr>
              <w:pStyle w:val="DETTableTextFinancial"/>
              <w:jc w:val="right"/>
            </w:pPr>
            <w:r w:rsidRPr="0087752B">
              <w:t>3.0</w:t>
            </w:r>
          </w:p>
        </w:tc>
        <w:tc>
          <w:tcPr>
            <w:tcW w:w="501" w:type="pct"/>
          </w:tcPr>
          <w:p w14:paraId="3371DE57" w14:textId="77777777" w:rsidR="006016B9" w:rsidRPr="005C767D" w:rsidRDefault="006016B9" w:rsidP="00D65DDE">
            <w:pPr>
              <w:jc w:val="right"/>
            </w:pPr>
            <w:r w:rsidRPr="005C767D">
              <w:sym w:font="Wingdings" w:char="F0FC"/>
            </w:r>
          </w:p>
        </w:tc>
      </w:tr>
      <w:tr w:rsidR="006016B9" w:rsidRPr="0087752B" w14:paraId="174715D0" w14:textId="77777777" w:rsidTr="006016B9">
        <w:tblPrEx>
          <w:tblBorders>
            <w:bottom w:val="single" w:sz="12" w:space="0" w:color="777777"/>
          </w:tblBorders>
        </w:tblPrEx>
        <w:trPr>
          <w:cantSplit/>
        </w:trPr>
        <w:tc>
          <w:tcPr>
            <w:tcW w:w="5000" w:type="pct"/>
            <w:gridSpan w:val="9"/>
            <w:shd w:val="clear" w:color="auto" w:fill="auto"/>
            <w:vAlign w:val="center"/>
          </w:tcPr>
          <w:p w14:paraId="5F994DB6" w14:textId="77777777" w:rsidR="006016B9" w:rsidRPr="0087752B" w:rsidRDefault="006016B9" w:rsidP="006016B9"/>
        </w:tc>
      </w:tr>
      <w:tr w:rsidR="006016B9" w:rsidRPr="0087752B" w14:paraId="1A6675D0" w14:textId="77777777" w:rsidTr="00D65DDE">
        <w:trPr>
          <w:cantSplit/>
        </w:trPr>
        <w:tc>
          <w:tcPr>
            <w:tcW w:w="2405" w:type="pct"/>
            <w:gridSpan w:val="3"/>
            <w:shd w:val="clear" w:color="auto" w:fill="auto"/>
            <w:vAlign w:val="center"/>
          </w:tcPr>
          <w:p w14:paraId="1D1C861C" w14:textId="77777777" w:rsidR="006016B9" w:rsidRPr="0087752B" w:rsidRDefault="006016B9" w:rsidP="00D65DDE">
            <w:pPr>
              <w:pStyle w:val="DETTableTextFinancial"/>
            </w:pPr>
            <w:r w:rsidRPr="0087752B">
              <w:t>Years 7–9 students' opinion of their connectedness with the school</w:t>
            </w:r>
          </w:p>
        </w:tc>
        <w:tc>
          <w:tcPr>
            <w:tcW w:w="571" w:type="pct"/>
            <w:shd w:val="clear" w:color="auto" w:fill="auto"/>
          </w:tcPr>
          <w:p w14:paraId="6A51A6D4" w14:textId="77777777" w:rsidR="006016B9" w:rsidRPr="0087752B" w:rsidRDefault="006016B9" w:rsidP="00D65DDE">
            <w:pPr>
              <w:pStyle w:val="DETTableTextFinancial"/>
            </w:pPr>
            <w:r w:rsidRPr="0087752B">
              <w:t>5-point scale</w:t>
            </w:r>
          </w:p>
        </w:tc>
        <w:tc>
          <w:tcPr>
            <w:tcW w:w="475" w:type="pct"/>
            <w:gridSpan w:val="2"/>
            <w:shd w:val="clear" w:color="auto" w:fill="auto"/>
          </w:tcPr>
          <w:p w14:paraId="5979F7DE" w14:textId="77777777" w:rsidR="006016B9" w:rsidRPr="0087752B" w:rsidRDefault="006016B9" w:rsidP="00D65DDE">
            <w:pPr>
              <w:pStyle w:val="DETTableTextFinancial"/>
              <w:jc w:val="right"/>
            </w:pPr>
            <w:r w:rsidRPr="0087752B">
              <w:t>3.7</w:t>
            </w:r>
          </w:p>
        </w:tc>
        <w:tc>
          <w:tcPr>
            <w:tcW w:w="476" w:type="pct"/>
            <w:shd w:val="clear" w:color="auto" w:fill="auto"/>
          </w:tcPr>
          <w:p w14:paraId="3726EC38" w14:textId="77777777" w:rsidR="006016B9" w:rsidRPr="0087752B" w:rsidRDefault="006016B9" w:rsidP="00D65DDE">
            <w:pPr>
              <w:pStyle w:val="DETTableTextFinancial"/>
              <w:jc w:val="right"/>
            </w:pPr>
            <w:r w:rsidRPr="0087752B">
              <w:t>3.7</w:t>
            </w:r>
          </w:p>
        </w:tc>
        <w:tc>
          <w:tcPr>
            <w:tcW w:w="572" w:type="pct"/>
          </w:tcPr>
          <w:p w14:paraId="6B4101C0" w14:textId="77777777" w:rsidR="006016B9" w:rsidRPr="0087752B" w:rsidRDefault="006016B9" w:rsidP="00D65DDE">
            <w:pPr>
              <w:pStyle w:val="DETTableTextFinancial"/>
              <w:jc w:val="right"/>
            </w:pPr>
            <w:r w:rsidRPr="0087752B">
              <w:t>0.0</w:t>
            </w:r>
          </w:p>
        </w:tc>
        <w:tc>
          <w:tcPr>
            <w:tcW w:w="501" w:type="pct"/>
          </w:tcPr>
          <w:p w14:paraId="37ED01AF" w14:textId="77777777" w:rsidR="006016B9" w:rsidRPr="005C767D" w:rsidRDefault="006016B9" w:rsidP="00D65DDE">
            <w:pPr>
              <w:jc w:val="right"/>
            </w:pPr>
            <w:r w:rsidRPr="005C767D">
              <w:sym w:font="Wingdings" w:char="F0FC"/>
            </w:r>
          </w:p>
        </w:tc>
      </w:tr>
      <w:tr w:rsidR="006016B9" w:rsidRPr="0087752B" w14:paraId="2624DA3B" w14:textId="77777777" w:rsidTr="006016B9">
        <w:tblPrEx>
          <w:tblBorders>
            <w:bottom w:val="single" w:sz="12" w:space="0" w:color="777777"/>
          </w:tblBorders>
        </w:tblPrEx>
        <w:trPr>
          <w:cantSplit/>
        </w:trPr>
        <w:tc>
          <w:tcPr>
            <w:tcW w:w="5000" w:type="pct"/>
            <w:gridSpan w:val="9"/>
            <w:tcBorders>
              <w:bottom w:val="single" w:sz="6" w:space="0" w:color="777777"/>
            </w:tcBorders>
            <w:shd w:val="clear" w:color="auto" w:fill="auto"/>
            <w:vAlign w:val="center"/>
          </w:tcPr>
          <w:p w14:paraId="67C25ADE" w14:textId="77777777" w:rsidR="006016B9" w:rsidRPr="0087752B" w:rsidRDefault="006016B9" w:rsidP="00D65DDE">
            <w:pPr>
              <w:pStyle w:val="DETTableTextFinancial"/>
              <w:rPr>
                <w:i/>
                <w:highlight w:val="yellow"/>
              </w:rPr>
            </w:pPr>
            <w:r w:rsidRPr="0087752B">
              <w:rPr>
                <w:i/>
              </w:rPr>
              <w:t>This performance measure refers to government schools only. Data is drawn from the Attitudes to School Survey, where responses are provided on a scale of 1 to 5 and a higher score represents a higher level of connectedness (that is, students feel they belong and enjoy attending school).</w:t>
            </w:r>
          </w:p>
        </w:tc>
      </w:tr>
      <w:tr w:rsidR="006016B9" w:rsidRPr="0087752B" w14:paraId="74AD4DCD" w14:textId="77777777" w:rsidTr="006016B9">
        <w:tblPrEx>
          <w:tblBorders>
            <w:bottom w:val="single" w:sz="12" w:space="0" w:color="777777"/>
          </w:tblBorders>
        </w:tblPrEx>
        <w:trPr>
          <w:cantSplit/>
        </w:trPr>
        <w:tc>
          <w:tcPr>
            <w:tcW w:w="5000" w:type="pct"/>
            <w:gridSpan w:val="9"/>
            <w:tcBorders>
              <w:top w:val="single" w:sz="6" w:space="0" w:color="777777"/>
              <w:bottom w:val="nil"/>
            </w:tcBorders>
            <w:shd w:val="clear" w:color="auto" w:fill="auto"/>
            <w:vAlign w:val="center"/>
          </w:tcPr>
          <w:p w14:paraId="6ED4CC44" w14:textId="77777777" w:rsidR="006016B9" w:rsidRPr="0087752B" w:rsidRDefault="006016B9" w:rsidP="00D65DDE">
            <w:pPr>
              <w:pStyle w:val="DETTableTextFinancial"/>
              <w:rPr>
                <w:b/>
              </w:rPr>
            </w:pPr>
            <w:r w:rsidRPr="0087752B">
              <w:rPr>
                <w:b/>
              </w:rPr>
              <w:t>Cost</w:t>
            </w:r>
          </w:p>
        </w:tc>
      </w:tr>
      <w:tr w:rsidR="006016B9" w:rsidRPr="0087752B" w14:paraId="51B2D2FB" w14:textId="77777777" w:rsidTr="00D65DDE">
        <w:trPr>
          <w:cantSplit/>
        </w:trPr>
        <w:tc>
          <w:tcPr>
            <w:tcW w:w="2405" w:type="pct"/>
            <w:gridSpan w:val="3"/>
            <w:shd w:val="clear" w:color="auto" w:fill="auto"/>
            <w:vAlign w:val="center"/>
          </w:tcPr>
          <w:p w14:paraId="378EB07A" w14:textId="77777777" w:rsidR="006016B9" w:rsidRPr="0087752B" w:rsidRDefault="006016B9" w:rsidP="00D65DDE">
            <w:pPr>
              <w:pStyle w:val="DETTableTextFinancial"/>
            </w:pPr>
            <w:r w:rsidRPr="0087752B">
              <w:t>Total output cost</w:t>
            </w:r>
          </w:p>
        </w:tc>
        <w:tc>
          <w:tcPr>
            <w:tcW w:w="571" w:type="pct"/>
            <w:shd w:val="clear" w:color="auto" w:fill="auto"/>
          </w:tcPr>
          <w:p w14:paraId="78150DA9" w14:textId="77777777" w:rsidR="006016B9" w:rsidRPr="0087752B" w:rsidRDefault="006016B9" w:rsidP="00D65DDE">
            <w:pPr>
              <w:pStyle w:val="DETTableTextFinancial"/>
            </w:pPr>
            <w:r w:rsidRPr="0087752B">
              <w:t>$ million</w:t>
            </w:r>
          </w:p>
        </w:tc>
        <w:tc>
          <w:tcPr>
            <w:tcW w:w="475" w:type="pct"/>
            <w:gridSpan w:val="2"/>
            <w:shd w:val="clear" w:color="auto" w:fill="auto"/>
          </w:tcPr>
          <w:p w14:paraId="5ABA0853" w14:textId="77777777" w:rsidR="006016B9" w:rsidRPr="0087752B" w:rsidRDefault="006016B9" w:rsidP="00D65DDE">
            <w:pPr>
              <w:pStyle w:val="DETTableTextFinancial"/>
              <w:jc w:val="right"/>
            </w:pPr>
            <w:r w:rsidRPr="0087752B">
              <w:t>3,866.2</w:t>
            </w:r>
          </w:p>
        </w:tc>
        <w:tc>
          <w:tcPr>
            <w:tcW w:w="476" w:type="pct"/>
            <w:shd w:val="clear" w:color="auto" w:fill="auto"/>
          </w:tcPr>
          <w:p w14:paraId="2DDE42C7" w14:textId="149CA80E" w:rsidR="006016B9" w:rsidRPr="00B327EB" w:rsidRDefault="00B327EB" w:rsidP="00D65DDE">
            <w:pPr>
              <w:pStyle w:val="DETTableTextFinancial"/>
              <w:jc w:val="right"/>
            </w:pPr>
            <w:r w:rsidRPr="00B327EB">
              <w:t>3,837.3</w:t>
            </w:r>
          </w:p>
        </w:tc>
        <w:tc>
          <w:tcPr>
            <w:tcW w:w="572" w:type="pct"/>
          </w:tcPr>
          <w:p w14:paraId="42B491FA" w14:textId="3232E18B" w:rsidR="006016B9" w:rsidRPr="00B327EB" w:rsidRDefault="00B327EB" w:rsidP="00D65DDE">
            <w:pPr>
              <w:pStyle w:val="DETTableTextFinancial"/>
              <w:jc w:val="right"/>
            </w:pPr>
            <w:r w:rsidRPr="00B327EB">
              <w:t>-0.7</w:t>
            </w:r>
          </w:p>
        </w:tc>
        <w:tc>
          <w:tcPr>
            <w:tcW w:w="501" w:type="pct"/>
          </w:tcPr>
          <w:p w14:paraId="2450FAD0" w14:textId="79DD3178" w:rsidR="006016B9" w:rsidRPr="0087752B" w:rsidRDefault="00CF03E4" w:rsidP="00D65DDE">
            <w:pPr>
              <w:pStyle w:val="DETTableTextFinancial"/>
              <w:jc w:val="right"/>
              <w:rPr>
                <w:highlight w:val="yellow"/>
              </w:rPr>
            </w:pPr>
            <w:r w:rsidRPr="005C767D">
              <w:sym w:font="Wingdings" w:char="F0FC"/>
            </w:r>
          </w:p>
        </w:tc>
      </w:tr>
      <w:tr w:rsidR="006016B9" w:rsidRPr="0087752B" w14:paraId="52E55032" w14:textId="77777777" w:rsidTr="00237FCA">
        <w:tblPrEx>
          <w:tblBorders>
            <w:bottom w:val="single" w:sz="12" w:space="0" w:color="777777"/>
          </w:tblBorders>
        </w:tblPrEx>
        <w:trPr>
          <w:cantSplit/>
        </w:trPr>
        <w:tc>
          <w:tcPr>
            <w:tcW w:w="5000" w:type="pct"/>
            <w:gridSpan w:val="9"/>
            <w:tcBorders>
              <w:bottom w:val="single" w:sz="6" w:space="0" w:color="auto"/>
            </w:tcBorders>
            <w:shd w:val="clear" w:color="auto" w:fill="auto"/>
            <w:vAlign w:val="center"/>
          </w:tcPr>
          <w:p w14:paraId="5454C3B8" w14:textId="5340061A" w:rsidR="006016B9" w:rsidRPr="00B327EB" w:rsidRDefault="0082652C" w:rsidP="00D65DDE">
            <w:pPr>
              <w:pStyle w:val="DETTableTextFinancial"/>
              <w:rPr>
                <w:i/>
              </w:rPr>
            </w:pPr>
            <w:r>
              <w:rPr>
                <w:i/>
              </w:rPr>
              <w:t>The 2015–</w:t>
            </w:r>
            <w:r w:rsidR="00B327EB" w:rsidRPr="00B327EB">
              <w:rPr>
                <w:i/>
              </w:rPr>
              <w:t>1</w:t>
            </w:r>
            <w:r>
              <w:rPr>
                <w:i/>
              </w:rPr>
              <w:t>6 Actual is lower than the 2015–</w:t>
            </w:r>
            <w:r w:rsidR="00B327EB" w:rsidRPr="00B327EB">
              <w:rPr>
                <w:i/>
              </w:rPr>
              <w:t>16 Target primarily due to the timing in delivery of programs such as schools infrastructure including maintenance related projects.</w:t>
            </w:r>
          </w:p>
        </w:tc>
      </w:tr>
      <w:tr w:rsidR="006016B9" w:rsidRPr="0087752B" w14:paraId="23F7C765" w14:textId="77777777" w:rsidTr="00237FCA">
        <w:tblPrEx>
          <w:tblBorders>
            <w:top w:val="single" w:sz="6" w:space="0" w:color="auto"/>
            <w:bottom w:val="single" w:sz="12" w:space="0" w:color="7F7F7F" w:themeColor="text1" w:themeTint="80"/>
          </w:tblBorders>
        </w:tblPrEx>
        <w:trPr>
          <w:cantSplit/>
          <w:trHeight w:hRule="exact" w:val="524"/>
        </w:trPr>
        <w:tc>
          <w:tcPr>
            <w:tcW w:w="416" w:type="pct"/>
            <w:tcBorders>
              <w:top w:val="single" w:sz="6" w:space="0" w:color="auto"/>
              <w:bottom w:val="single" w:sz="4" w:space="0" w:color="auto"/>
            </w:tcBorders>
            <w:vAlign w:val="center"/>
          </w:tcPr>
          <w:p w14:paraId="42426CA6" w14:textId="77777777" w:rsidR="006016B9" w:rsidRPr="0087752B" w:rsidRDefault="006016B9" w:rsidP="006016B9">
            <w:pPr>
              <w:rPr>
                <w:sz w:val="16"/>
                <w:szCs w:val="16"/>
              </w:rPr>
            </w:pPr>
            <w:r w:rsidRPr="0087752B">
              <w:rPr>
                <w:sz w:val="16"/>
                <w:szCs w:val="16"/>
              </w:rPr>
              <w:t>Key:</w:t>
            </w:r>
          </w:p>
        </w:tc>
        <w:tc>
          <w:tcPr>
            <w:tcW w:w="1141" w:type="pct"/>
            <w:tcBorders>
              <w:top w:val="single" w:sz="6" w:space="0" w:color="auto"/>
              <w:bottom w:val="single" w:sz="4" w:space="0" w:color="auto"/>
            </w:tcBorders>
            <w:shd w:val="clear" w:color="auto" w:fill="auto"/>
            <w:vAlign w:val="center"/>
          </w:tcPr>
          <w:p w14:paraId="094EF805" w14:textId="77777777" w:rsidR="006016B9" w:rsidRPr="005C767D" w:rsidRDefault="006016B9" w:rsidP="006016B9">
            <w:r w:rsidRPr="005C767D">
              <w:sym w:font="Wingdings" w:char="F0FC"/>
            </w:r>
            <w:r w:rsidRPr="005C767D">
              <w:t xml:space="preserve"> </w:t>
            </w:r>
            <w:r w:rsidRPr="00790749">
              <w:rPr>
                <w:sz w:val="16"/>
                <w:szCs w:val="16"/>
              </w:rPr>
              <w:t>Target achieved or exceeded</w:t>
            </w:r>
          </w:p>
        </w:tc>
        <w:tc>
          <w:tcPr>
            <w:tcW w:w="1712" w:type="pct"/>
            <w:gridSpan w:val="3"/>
            <w:tcBorders>
              <w:top w:val="single" w:sz="6" w:space="0" w:color="auto"/>
              <w:bottom w:val="single" w:sz="4" w:space="0" w:color="auto"/>
            </w:tcBorders>
            <w:shd w:val="clear" w:color="auto" w:fill="auto"/>
            <w:vAlign w:val="center"/>
          </w:tcPr>
          <w:p w14:paraId="358D97E2" w14:textId="77777777" w:rsidR="006016B9" w:rsidRPr="0087752B" w:rsidRDefault="006016B9" w:rsidP="006016B9">
            <w:r w:rsidRPr="005C767D">
              <w:sym w:font="Wingdings" w:char="F06E"/>
            </w:r>
            <w:r w:rsidRPr="005C767D">
              <w:t xml:space="preserve"> </w:t>
            </w:r>
            <w:r w:rsidRPr="0087752B">
              <w:rPr>
                <w:sz w:val="16"/>
                <w:szCs w:val="16"/>
              </w:rPr>
              <w:t>Target not achieved—less than 5% variance</w:t>
            </w:r>
          </w:p>
        </w:tc>
        <w:tc>
          <w:tcPr>
            <w:tcW w:w="1731" w:type="pct"/>
            <w:gridSpan w:val="4"/>
            <w:tcBorders>
              <w:top w:val="single" w:sz="6" w:space="0" w:color="auto"/>
              <w:bottom w:val="single" w:sz="4" w:space="0" w:color="auto"/>
            </w:tcBorders>
            <w:shd w:val="clear" w:color="auto" w:fill="auto"/>
            <w:vAlign w:val="center"/>
          </w:tcPr>
          <w:p w14:paraId="14087832" w14:textId="77777777" w:rsidR="006016B9" w:rsidRPr="0087752B" w:rsidRDefault="006016B9" w:rsidP="006016B9">
            <w:r w:rsidRPr="005C767D">
              <w:sym w:font="Wingdings" w:char="F0FB"/>
            </w:r>
            <w:r w:rsidRPr="005C767D">
              <w:t xml:space="preserve"> </w:t>
            </w:r>
            <w:r w:rsidRPr="0087752B">
              <w:rPr>
                <w:sz w:val="16"/>
                <w:szCs w:val="16"/>
              </w:rPr>
              <w:t>Target not achieved—more than 5% variance</w:t>
            </w:r>
          </w:p>
        </w:tc>
      </w:tr>
    </w:tbl>
    <w:p w14:paraId="38D8FB03" w14:textId="77777777" w:rsidR="00354573" w:rsidRDefault="00354573" w:rsidP="00FC0484">
      <w:pPr>
        <w:pStyle w:val="Heading3"/>
      </w:pPr>
    </w:p>
    <w:p w14:paraId="7E3BCAAF" w14:textId="77777777" w:rsidR="00354573" w:rsidRDefault="00354573">
      <w:pPr>
        <w:spacing w:after="200" w:line="276" w:lineRule="auto"/>
        <w:rPr>
          <w:rFonts w:cs="Arial"/>
          <w:bCs/>
          <w:sz w:val="22"/>
          <w:szCs w:val="19"/>
        </w:rPr>
      </w:pPr>
      <w:r>
        <w:br w:type="page"/>
      </w:r>
    </w:p>
    <w:p w14:paraId="73A92E20" w14:textId="772269A5" w:rsidR="006016B9" w:rsidRPr="0087752B" w:rsidRDefault="006016B9" w:rsidP="00FC0484">
      <w:pPr>
        <w:pStyle w:val="Heading3"/>
      </w:pPr>
      <w:r w:rsidRPr="0087752B">
        <w:lastRenderedPageBreak/>
        <w:t>Higher Education and Skills</w:t>
      </w:r>
    </w:p>
    <w:p w14:paraId="3C5B89EC" w14:textId="77777777" w:rsidR="006016B9" w:rsidRPr="0087752B" w:rsidRDefault="006016B9" w:rsidP="006016B9">
      <w:r w:rsidRPr="0087752B">
        <w:t>The Higher Education and Skills output responds to the labour and skills needs of individuals and industry. This output covers the system design, contracting and monitoring of VET services. It also involves the development and implementation of effective strategies for accredited and pre-accredited VET through adult community education. This output group contributes towards providing and improving services to support all the Department’s objectives of Achievement, Engagement, Wellbeing and Productivity.</w:t>
      </w:r>
    </w:p>
    <w:p w14:paraId="1EC6E5CC" w14:textId="2E267DC9" w:rsidR="006016B9" w:rsidRPr="0087752B" w:rsidRDefault="006016B9" w:rsidP="00D95C09">
      <w:pPr>
        <w:spacing w:after="200" w:line="276" w:lineRule="auto"/>
      </w:pPr>
      <w:r w:rsidRPr="0087752B">
        <w:t>Except where indicated, these performance measures relate to the 2015 calendar year rather than the 2015–16 financial year.</w:t>
      </w:r>
    </w:p>
    <w:tbl>
      <w:tblPr>
        <w:tblW w:w="5000" w:type="pct"/>
        <w:tblLayout w:type="fixed"/>
        <w:tblCellMar>
          <w:left w:w="45" w:type="dxa"/>
          <w:right w:w="45" w:type="dxa"/>
        </w:tblCellMar>
        <w:tblLook w:val="0000" w:firstRow="0" w:lastRow="0" w:firstColumn="0" w:lastColumn="0" w:noHBand="0" w:noVBand="0"/>
      </w:tblPr>
      <w:tblGrid>
        <w:gridCol w:w="611"/>
        <w:gridCol w:w="1701"/>
        <w:gridCol w:w="1419"/>
        <w:gridCol w:w="850"/>
        <w:gridCol w:w="285"/>
        <w:gridCol w:w="424"/>
        <w:gridCol w:w="709"/>
        <w:gridCol w:w="849"/>
        <w:gridCol w:w="612"/>
      </w:tblGrid>
      <w:tr w:rsidR="006016B9" w:rsidRPr="0087752B" w14:paraId="7A16E9D7" w14:textId="77777777" w:rsidTr="00790749">
        <w:trPr>
          <w:cantSplit/>
          <w:tblHeader/>
        </w:trPr>
        <w:tc>
          <w:tcPr>
            <w:tcW w:w="2501" w:type="pct"/>
            <w:gridSpan w:val="3"/>
            <w:shd w:val="clear" w:color="auto" w:fill="7F7F7F" w:themeFill="text1" w:themeFillTint="80"/>
          </w:tcPr>
          <w:p w14:paraId="4F6A8C63" w14:textId="77777777" w:rsidR="006016B9" w:rsidRPr="0087752B" w:rsidRDefault="006016B9" w:rsidP="000519EF">
            <w:pPr>
              <w:pStyle w:val="DETTablecolumnheading"/>
            </w:pPr>
            <w:r w:rsidRPr="0087752B">
              <w:t>Performance measures</w:t>
            </w:r>
          </w:p>
        </w:tc>
        <w:tc>
          <w:tcPr>
            <w:tcW w:w="570" w:type="pct"/>
            <w:shd w:val="clear" w:color="auto" w:fill="7F7F7F" w:themeFill="text1" w:themeFillTint="80"/>
          </w:tcPr>
          <w:p w14:paraId="4598A488" w14:textId="77777777" w:rsidR="006016B9" w:rsidRPr="0087752B" w:rsidRDefault="006016B9" w:rsidP="000519EF">
            <w:pPr>
              <w:pStyle w:val="DETTablecolumnheading"/>
            </w:pPr>
            <w:r w:rsidRPr="0087752B">
              <w:t>Unit of measure</w:t>
            </w:r>
          </w:p>
        </w:tc>
        <w:tc>
          <w:tcPr>
            <w:tcW w:w="475" w:type="pct"/>
            <w:gridSpan w:val="2"/>
            <w:shd w:val="clear" w:color="auto" w:fill="7F7F7F" w:themeFill="text1" w:themeFillTint="80"/>
          </w:tcPr>
          <w:p w14:paraId="0BECC4D5" w14:textId="77777777" w:rsidR="006016B9" w:rsidRPr="0087752B" w:rsidRDefault="006016B9" w:rsidP="000519EF">
            <w:pPr>
              <w:pStyle w:val="DETTablecolumnheading"/>
              <w:rPr>
                <w:sz w:val="15"/>
                <w:szCs w:val="15"/>
              </w:rPr>
            </w:pPr>
            <w:r w:rsidRPr="0087752B">
              <w:rPr>
                <w:sz w:val="15"/>
                <w:szCs w:val="15"/>
              </w:rPr>
              <w:t>2015–16 Target</w:t>
            </w:r>
          </w:p>
        </w:tc>
        <w:tc>
          <w:tcPr>
            <w:tcW w:w="475" w:type="pct"/>
            <w:shd w:val="clear" w:color="auto" w:fill="7F7F7F" w:themeFill="text1" w:themeFillTint="80"/>
          </w:tcPr>
          <w:p w14:paraId="1547E78A" w14:textId="77777777" w:rsidR="006016B9" w:rsidRPr="0087752B" w:rsidRDefault="006016B9" w:rsidP="000519EF">
            <w:pPr>
              <w:pStyle w:val="DETTablecolumnheading"/>
              <w:rPr>
                <w:sz w:val="15"/>
                <w:szCs w:val="15"/>
              </w:rPr>
            </w:pPr>
            <w:r w:rsidRPr="0087752B">
              <w:rPr>
                <w:sz w:val="15"/>
                <w:szCs w:val="15"/>
              </w:rPr>
              <w:t>2015–16 Actual</w:t>
            </w:r>
          </w:p>
        </w:tc>
        <w:tc>
          <w:tcPr>
            <w:tcW w:w="569" w:type="pct"/>
            <w:shd w:val="clear" w:color="auto" w:fill="7F7F7F" w:themeFill="text1" w:themeFillTint="80"/>
          </w:tcPr>
          <w:p w14:paraId="028A498A" w14:textId="77777777" w:rsidR="006016B9" w:rsidRPr="0087752B" w:rsidRDefault="006016B9" w:rsidP="000519EF">
            <w:pPr>
              <w:pStyle w:val="DETTablecolumnheading"/>
              <w:rPr>
                <w:sz w:val="15"/>
                <w:szCs w:val="15"/>
              </w:rPr>
            </w:pPr>
            <w:r w:rsidRPr="0087752B">
              <w:rPr>
                <w:sz w:val="15"/>
                <w:szCs w:val="15"/>
              </w:rPr>
              <w:t>% variation</w:t>
            </w:r>
          </w:p>
        </w:tc>
        <w:tc>
          <w:tcPr>
            <w:tcW w:w="410" w:type="pct"/>
            <w:shd w:val="clear" w:color="auto" w:fill="7F7F7F" w:themeFill="text1" w:themeFillTint="80"/>
          </w:tcPr>
          <w:p w14:paraId="0E33F3A6" w14:textId="77777777" w:rsidR="006016B9" w:rsidRPr="0087752B" w:rsidRDefault="006016B9" w:rsidP="000519EF">
            <w:pPr>
              <w:pStyle w:val="DETTablecolumnheading"/>
            </w:pPr>
            <w:r w:rsidRPr="0087752B">
              <w:t>Result</w:t>
            </w:r>
          </w:p>
        </w:tc>
      </w:tr>
      <w:tr w:rsidR="006016B9" w:rsidRPr="0087752B" w14:paraId="4D3F9860" w14:textId="77777777" w:rsidTr="006016B9">
        <w:tblPrEx>
          <w:tblBorders>
            <w:bottom w:val="single" w:sz="12" w:space="0" w:color="777777"/>
          </w:tblBorders>
        </w:tblPrEx>
        <w:trPr>
          <w:cantSplit/>
        </w:trPr>
        <w:tc>
          <w:tcPr>
            <w:tcW w:w="5000" w:type="pct"/>
            <w:gridSpan w:val="9"/>
            <w:shd w:val="clear" w:color="auto" w:fill="auto"/>
            <w:vAlign w:val="center"/>
          </w:tcPr>
          <w:p w14:paraId="5C15D956" w14:textId="77777777" w:rsidR="006016B9" w:rsidRPr="0087752B" w:rsidRDefault="006016B9" w:rsidP="000519EF">
            <w:pPr>
              <w:pStyle w:val="DETTableTextFinancial"/>
              <w:rPr>
                <w:b/>
              </w:rPr>
            </w:pPr>
            <w:r w:rsidRPr="0087752B">
              <w:rPr>
                <w:b/>
              </w:rPr>
              <w:t>Quantity</w:t>
            </w:r>
          </w:p>
        </w:tc>
      </w:tr>
      <w:tr w:rsidR="006016B9" w:rsidRPr="0087752B" w14:paraId="1B827EB9" w14:textId="77777777" w:rsidTr="00790749">
        <w:trPr>
          <w:cantSplit/>
        </w:trPr>
        <w:tc>
          <w:tcPr>
            <w:tcW w:w="2501" w:type="pct"/>
            <w:gridSpan w:val="3"/>
            <w:shd w:val="clear" w:color="auto" w:fill="auto"/>
            <w:vAlign w:val="center"/>
          </w:tcPr>
          <w:p w14:paraId="1BC57671" w14:textId="77777777" w:rsidR="006016B9" w:rsidRPr="0087752B" w:rsidRDefault="006016B9" w:rsidP="000519EF">
            <w:pPr>
              <w:pStyle w:val="DETTableTextFinancial"/>
            </w:pPr>
            <w:r w:rsidRPr="0087752B">
              <w:t>Annual government-subsidised module enrolments</w:t>
            </w:r>
          </w:p>
        </w:tc>
        <w:tc>
          <w:tcPr>
            <w:tcW w:w="570" w:type="pct"/>
            <w:shd w:val="clear" w:color="auto" w:fill="auto"/>
          </w:tcPr>
          <w:p w14:paraId="015D7F2F" w14:textId="77777777" w:rsidR="006016B9" w:rsidRPr="0087752B" w:rsidRDefault="006016B9" w:rsidP="000519EF">
            <w:pPr>
              <w:pStyle w:val="DETTableTextFinancial"/>
            </w:pPr>
            <w:r w:rsidRPr="0087752B">
              <w:t xml:space="preserve">number (million) </w:t>
            </w:r>
          </w:p>
        </w:tc>
        <w:tc>
          <w:tcPr>
            <w:tcW w:w="475" w:type="pct"/>
            <w:gridSpan w:val="2"/>
            <w:shd w:val="clear" w:color="auto" w:fill="auto"/>
          </w:tcPr>
          <w:p w14:paraId="7AE4CF0A" w14:textId="77777777" w:rsidR="006016B9" w:rsidRPr="0087752B" w:rsidRDefault="006016B9" w:rsidP="000519EF">
            <w:pPr>
              <w:pStyle w:val="DETTableTextFinancial"/>
              <w:jc w:val="right"/>
            </w:pPr>
            <w:r w:rsidRPr="0087752B">
              <w:t>5.3</w:t>
            </w:r>
          </w:p>
        </w:tc>
        <w:tc>
          <w:tcPr>
            <w:tcW w:w="475" w:type="pct"/>
            <w:shd w:val="clear" w:color="auto" w:fill="auto"/>
          </w:tcPr>
          <w:p w14:paraId="36E7AFD7" w14:textId="77777777" w:rsidR="006016B9" w:rsidRPr="0087752B" w:rsidRDefault="006016B9" w:rsidP="000519EF">
            <w:pPr>
              <w:pStyle w:val="DETTableTextFinancial"/>
              <w:jc w:val="right"/>
            </w:pPr>
            <w:r w:rsidRPr="0087752B">
              <w:t>4.5</w:t>
            </w:r>
          </w:p>
        </w:tc>
        <w:tc>
          <w:tcPr>
            <w:tcW w:w="569" w:type="pct"/>
          </w:tcPr>
          <w:p w14:paraId="71519E33" w14:textId="77777777" w:rsidR="006016B9" w:rsidRPr="0087752B" w:rsidRDefault="006016B9" w:rsidP="000519EF">
            <w:pPr>
              <w:pStyle w:val="DETTableTextFinancial"/>
              <w:jc w:val="right"/>
            </w:pPr>
            <w:r w:rsidRPr="0087752B">
              <w:t>-15.1</w:t>
            </w:r>
          </w:p>
        </w:tc>
        <w:tc>
          <w:tcPr>
            <w:tcW w:w="410" w:type="pct"/>
          </w:tcPr>
          <w:p w14:paraId="632EF539" w14:textId="77777777" w:rsidR="006016B9" w:rsidRPr="005C767D" w:rsidRDefault="006016B9" w:rsidP="000519EF">
            <w:pPr>
              <w:jc w:val="right"/>
            </w:pPr>
            <w:r w:rsidRPr="005C767D">
              <w:sym w:font="Wingdings" w:char="F0FB"/>
            </w:r>
          </w:p>
        </w:tc>
      </w:tr>
      <w:tr w:rsidR="006016B9" w:rsidRPr="0087752B" w14:paraId="700D9F0E" w14:textId="77777777" w:rsidTr="006016B9">
        <w:tblPrEx>
          <w:tblBorders>
            <w:bottom w:val="single" w:sz="12" w:space="0" w:color="777777"/>
          </w:tblBorders>
        </w:tblPrEx>
        <w:trPr>
          <w:cantSplit/>
        </w:trPr>
        <w:tc>
          <w:tcPr>
            <w:tcW w:w="5000" w:type="pct"/>
            <w:gridSpan w:val="9"/>
            <w:shd w:val="clear" w:color="auto" w:fill="auto"/>
            <w:vAlign w:val="center"/>
          </w:tcPr>
          <w:p w14:paraId="78445213" w14:textId="77777777" w:rsidR="006016B9" w:rsidRPr="0087752B" w:rsidRDefault="006016B9" w:rsidP="000519EF">
            <w:pPr>
              <w:pStyle w:val="DETTableTextFinancial"/>
              <w:rPr>
                <w:i/>
              </w:rPr>
            </w:pPr>
            <w:r w:rsidRPr="0087752B">
              <w:rPr>
                <w:i/>
              </w:rPr>
              <w:t>The 2015–16 Actual is lower than the 2015–16 Target due to past policy changes such as tightened eligibility to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0F106CD6" w14:textId="77777777" w:rsidTr="00790749">
        <w:trPr>
          <w:cantSplit/>
        </w:trPr>
        <w:tc>
          <w:tcPr>
            <w:tcW w:w="2501" w:type="pct"/>
            <w:gridSpan w:val="3"/>
            <w:shd w:val="clear" w:color="auto" w:fill="auto"/>
            <w:vAlign w:val="center"/>
          </w:tcPr>
          <w:p w14:paraId="559BDB8A" w14:textId="77777777" w:rsidR="006016B9" w:rsidRPr="0087752B" w:rsidRDefault="006016B9" w:rsidP="000519EF">
            <w:pPr>
              <w:pStyle w:val="DETTableTextFinancial"/>
            </w:pPr>
            <w:r w:rsidRPr="0087752B">
              <w:t>Government-subsidised student contact hours of training and further education provided</w:t>
            </w:r>
          </w:p>
        </w:tc>
        <w:tc>
          <w:tcPr>
            <w:tcW w:w="570" w:type="pct"/>
            <w:shd w:val="clear" w:color="auto" w:fill="auto"/>
          </w:tcPr>
          <w:p w14:paraId="574215EC" w14:textId="77777777" w:rsidR="006016B9" w:rsidRPr="0087752B" w:rsidRDefault="006016B9" w:rsidP="000519EF">
            <w:pPr>
              <w:pStyle w:val="DETTableTextFinancial"/>
            </w:pPr>
            <w:r w:rsidRPr="0087752B">
              <w:t>number (million)</w:t>
            </w:r>
          </w:p>
        </w:tc>
        <w:tc>
          <w:tcPr>
            <w:tcW w:w="475" w:type="pct"/>
            <w:gridSpan w:val="2"/>
            <w:shd w:val="clear" w:color="auto" w:fill="auto"/>
          </w:tcPr>
          <w:p w14:paraId="1D4FE1F1" w14:textId="77777777" w:rsidR="006016B9" w:rsidRPr="0087752B" w:rsidRDefault="006016B9" w:rsidP="000519EF">
            <w:pPr>
              <w:pStyle w:val="DETTableTextFinancial"/>
              <w:jc w:val="right"/>
            </w:pPr>
            <w:r w:rsidRPr="0087752B">
              <w:t>181</w:t>
            </w:r>
          </w:p>
        </w:tc>
        <w:tc>
          <w:tcPr>
            <w:tcW w:w="475" w:type="pct"/>
            <w:shd w:val="clear" w:color="auto" w:fill="auto"/>
          </w:tcPr>
          <w:p w14:paraId="1C9BA0E9" w14:textId="77777777" w:rsidR="006016B9" w:rsidRPr="0087752B" w:rsidRDefault="006016B9" w:rsidP="000519EF">
            <w:pPr>
              <w:pStyle w:val="DETTableTextFinancial"/>
              <w:jc w:val="right"/>
            </w:pPr>
            <w:r w:rsidRPr="0087752B">
              <w:t>154</w:t>
            </w:r>
          </w:p>
        </w:tc>
        <w:tc>
          <w:tcPr>
            <w:tcW w:w="569" w:type="pct"/>
          </w:tcPr>
          <w:p w14:paraId="1978D3A1" w14:textId="77777777" w:rsidR="006016B9" w:rsidRPr="0087752B" w:rsidRDefault="006016B9" w:rsidP="000519EF">
            <w:pPr>
              <w:pStyle w:val="DETTableTextFinancial"/>
              <w:jc w:val="right"/>
            </w:pPr>
            <w:r w:rsidRPr="0087752B">
              <w:t>-14.9%</w:t>
            </w:r>
          </w:p>
        </w:tc>
        <w:tc>
          <w:tcPr>
            <w:tcW w:w="410" w:type="pct"/>
          </w:tcPr>
          <w:p w14:paraId="4B5B77D1" w14:textId="77777777" w:rsidR="006016B9" w:rsidRPr="005C767D" w:rsidRDefault="006016B9" w:rsidP="000519EF">
            <w:pPr>
              <w:jc w:val="right"/>
            </w:pPr>
            <w:r w:rsidRPr="005C767D">
              <w:sym w:font="Wingdings" w:char="F0FB"/>
            </w:r>
          </w:p>
        </w:tc>
      </w:tr>
      <w:tr w:rsidR="006016B9" w:rsidRPr="0087752B" w14:paraId="2A1771E9" w14:textId="77777777" w:rsidTr="006016B9">
        <w:tblPrEx>
          <w:tblBorders>
            <w:bottom w:val="single" w:sz="12" w:space="0" w:color="777777"/>
          </w:tblBorders>
        </w:tblPrEx>
        <w:trPr>
          <w:cantSplit/>
        </w:trPr>
        <w:tc>
          <w:tcPr>
            <w:tcW w:w="5000" w:type="pct"/>
            <w:gridSpan w:val="9"/>
            <w:shd w:val="clear" w:color="auto" w:fill="auto"/>
            <w:vAlign w:val="center"/>
          </w:tcPr>
          <w:p w14:paraId="042C1467" w14:textId="77777777" w:rsidR="006016B9" w:rsidRPr="0087752B" w:rsidRDefault="006016B9" w:rsidP="000519EF">
            <w:pPr>
              <w:pStyle w:val="DETTableTextFinancial"/>
              <w:rPr>
                <w:i/>
              </w:rPr>
            </w:pPr>
            <w:r w:rsidRPr="0087752B">
              <w:rPr>
                <w:i/>
              </w:rPr>
              <w:t>The 2015–16 Actual is lower than the 2015–16 Target due to past policy changes such as tightened eligibility to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401F74C2" w14:textId="77777777" w:rsidTr="00790749">
        <w:trPr>
          <w:cantSplit/>
        </w:trPr>
        <w:tc>
          <w:tcPr>
            <w:tcW w:w="2501" w:type="pct"/>
            <w:gridSpan w:val="3"/>
            <w:shd w:val="clear" w:color="auto" w:fill="auto"/>
            <w:vAlign w:val="center"/>
          </w:tcPr>
          <w:p w14:paraId="6079BDDA" w14:textId="77777777" w:rsidR="006016B9" w:rsidRPr="0087752B" w:rsidRDefault="006016B9" w:rsidP="000519EF">
            <w:pPr>
              <w:pStyle w:val="DETTableTextFinancial"/>
            </w:pPr>
            <w:r w:rsidRPr="0087752B">
              <w:t>Number of apprenticeship/ traineeship commencements by new employees</w:t>
            </w:r>
          </w:p>
        </w:tc>
        <w:tc>
          <w:tcPr>
            <w:tcW w:w="570" w:type="pct"/>
            <w:shd w:val="clear" w:color="auto" w:fill="auto"/>
          </w:tcPr>
          <w:p w14:paraId="3975359A" w14:textId="77777777" w:rsidR="006016B9" w:rsidRPr="0087752B" w:rsidRDefault="006016B9" w:rsidP="000519EF">
            <w:pPr>
              <w:pStyle w:val="DETTableTextFinancial"/>
              <w:jc w:val="right"/>
            </w:pPr>
            <w:r w:rsidRPr="0087752B">
              <w:t>number</w:t>
            </w:r>
          </w:p>
        </w:tc>
        <w:tc>
          <w:tcPr>
            <w:tcW w:w="475" w:type="pct"/>
            <w:gridSpan w:val="2"/>
            <w:shd w:val="clear" w:color="auto" w:fill="auto"/>
          </w:tcPr>
          <w:p w14:paraId="609633E1" w14:textId="77777777" w:rsidR="006016B9" w:rsidRPr="0087752B" w:rsidRDefault="006016B9" w:rsidP="000519EF">
            <w:pPr>
              <w:pStyle w:val="DETTableTextFinancial"/>
              <w:jc w:val="right"/>
            </w:pPr>
            <w:r w:rsidRPr="0087752B">
              <w:t>40,000</w:t>
            </w:r>
          </w:p>
        </w:tc>
        <w:tc>
          <w:tcPr>
            <w:tcW w:w="475" w:type="pct"/>
            <w:shd w:val="clear" w:color="auto" w:fill="auto"/>
          </w:tcPr>
          <w:p w14:paraId="7D511DE5" w14:textId="77777777" w:rsidR="006016B9" w:rsidRPr="0087752B" w:rsidRDefault="006016B9" w:rsidP="000519EF">
            <w:pPr>
              <w:pStyle w:val="DETTableTextFinancial"/>
              <w:jc w:val="right"/>
            </w:pPr>
            <w:r w:rsidRPr="0087752B">
              <w:t>38,272</w:t>
            </w:r>
          </w:p>
        </w:tc>
        <w:tc>
          <w:tcPr>
            <w:tcW w:w="569" w:type="pct"/>
          </w:tcPr>
          <w:p w14:paraId="2BF4CE42" w14:textId="77777777" w:rsidR="006016B9" w:rsidRPr="0087752B" w:rsidRDefault="006016B9" w:rsidP="000519EF">
            <w:pPr>
              <w:pStyle w:val="DETTableTextFinancial"/>
              <w:jc w:val="right"/>
            </w:pPr>
            <w:r w:rsidRPr="0087752B">
              <w:t>-4.32</w:t>
            </w:r>
          </w:p>
        </w:tc>
        <w:tc>
          <w:tcPr>
            <w:tcW w:w="410" w:type="pct"/>
          </w:tcPr>
          <w:p w14:paraId="69997B63" w14:textId="77777777" w:rsidR="006016B9" w:rsidRPr="005C767D" w:rsidRDefault="006016B9" w:rsidP="000519EF">
            <w:pPr>
              <w:jc w:val="right"/>
            </w:pPr>
            <w:r w:rsidRPr="005C767D">
              <w:sym w:font="Wingdings" w:char="F06E"/>
            </w:r>
          </w:p>
        </w:tc>
      </w:tr>
      <w:tr w:rsidR="00EB2ECF" w:rsidRPr="0087752B" w14:paraId="30BD9193" w14:textId="77777777" w:rsidTr="00EB2ECF">
        <w:trPr>
          <w:cantSplit/>
        </w:trPr>
        <w:tc>
          <w:tcPr>
            <w:tcW w:w="3070" w:type="pct"/>
            <w:gridSpan w:val="4"/>
            <w:shd w:val="clear" w:color="auto" w:fill="auto"/>
            <w:vAlign w:val="center"/>
          </w:tcPr>
          <w:p w14:paraId="1D9B7A6A" w14:textId="5C203561" w:rsidR="00EB2ECF" w:rsidRPr="0087752B" w:rsidRDefault="00EB2ECF" w:rsidP="00EB2ECF">
            <w:pPr>
              <w:pStyle w:val="DETTableTextFinancial"/>
            </w:pPr>
            <w:r w:rsidRPr="00EB2ECF">
              <w:rPr>
                <w:i/>
              </w:rPr>
              <w:t>This performance measure relates to the financial year.</w:t>
            </w:r>
          </w:p>
        </w:tc>
        <w:tc>
          <w:tcPr>
            <w:tcW w:w="475" w:type="pct"/>
            <w:gridSpan w:val="2"/>
            <w:shd w:val="clear" w:color="auto" w:fill="auto"/>
          </w:tcPr>
          <w:p w14:paraId="70B3EC7A" w14:textId="77777777" w:rsidR="00EB2ECF" w:rsidRPr="0087752B" w:rsidRDefault="00EB2ECF" w:rsidP="000519EF">
            <w:pPr>
              <w:pStyle w:val="DETTableTextFinancial"/>
              <w:jc w:val="right"/>
            </w:pPr>
          </w:p>
        </w:tc>
        <w:tc>
          <w:tcPr>
            <w:tcW w:w="475" w:type="pct"/>
            <w:shd w:val="clear" w:color="auto" w:fill="auto"/>
          </w:tcPr>
          <w:p w14:paraId="4183F876" w14:textId="77777777" w:rsidR="00EB2ECF" w:rsidRPr="0087752B" w:rsidRDefault="00EB2ECF" w:rsidP="000519EF">
            <w:pPr>
              <w:pStyle w:val="DETTableTextFinancial"/>
              <w:jc w:val="right"/>
            </w:pPr>
          </w:p>
        </w:tc>
        <w:tc>
          <w:tcPr>
            <w:tcW w:w="569" w:type="pct"/>
          </w:tcPr>
          <w:p w14:paraId="7EDF8F2B" w14:textId="77777777" w:rsidR="00EB2ECF" w:rsidRPr="0087752B" w:rsidRDefault="00EB2ECF" w:rsidP="000519EF">
            <w:pPr>
              <w:pStyle w:val="DETTableTextFinancial"/>
              <w:jc w:val="right"/>
            </w:pPr>
          </w:p>
        </w:tc>
        <w:tc>
          <w:tcPr>
            <w:tcW w:w="410" w:type="pct"/>
          </w:tcPr>
          <w:p w14:paraId="61846FB0" w14:textId="77777777" w:rsidR="00EB2ECF" w:rsidRPr="005C767D" w:rsidRDefault="00EB2ECF" w:rsidP="000519EF">
            <w:pPr>
              <w:jc w:val="right"/>
            </w:pPr>
          </w:p>
        </w:tc>
      </w:tr>
      <w:tr w:rsidR="006016B9" w:rsidRPr="0087752B" w14:paraId="18B570C7" w14:textId="77777777" w:rsidTr="00790749">
        <w:trPr>
          <w:cantSplit/>
        </w:trPr>
        <w:tc>
          <w:tcPr>
            <w:tcW w:w="2501" w:type="pct"/>
            <w:gridSpan w:val="3"/>
            <w:shd w:val="clear" w:color="auto" w:fill="auto"/>
            <w:vAlign w:val="center"/>
          </w:tcPr>
          <w:p w14:paraId="11CF109E" w14:textId="77777777" w:rsidR="006016B9" w:rsidRPr="0087752B" w:rsidRDefault="006016B9" w:rsidP="000519EF">
            <w:pPr>
              <w:pStyle w:val="DETTableTextFinancial"/>
            </w:pPr>
            <w:r w:rsidRPr="0087752B">
              <w:t>Number of government subsidised course enrolments</w:t>
            </w:r>
          </w:p>
        </w:tc>
        <w:tc>
          <w:tcPr>
            <w:tcW w:w="570" w:type="pct"/>
            <w:shd w:val="clear" w:color="auto" w:fill="auto"/>
          </w:tcPr>
          <w:p w14:paraId="4FBD4494" w14:textId="77777777" w:rsidR="006016B9" w:rsidRPr="0087752B" w:rsidRDefault="006016B9" w:rsidP="000519EF">
            <w:pPr>
              <w:pStyle w:val="DETTableTextFinancial"/>
              <w:jc w:val="right"/>
            </w:pPr>
            <w:r w:rsidRPr="0087752B">
              <w:t>number</w:t>
            </w:r>
          </w:p>
        </w:tc>
        <w:tc>
          <w:tcPr>
            <w:tcW w:w="475" w:type="pct"/>
            <w:gridSpan w:val="2"/>
            <w:shd w:val="clear" w:color="auto" w:fill="auto"/>
          </w:tcPr>
          <w:p w14:paraId="2AFCD109" w14:textId="77777777" w:rsidR="006016B9" w:rsidRPr="0087752B" w:rsidRDefault="006016B9" w:rsidP="000519EF">
            <w:pPr>
              <w:pStyle w:val="DETTableTextFinancial"/>
              <w:jc w:val="right"/>
            </w:pPr>
            <w:r w:rsidRPr="0087752B">
              <w:t>557,846</w:t>
            </w:r>
          </w:p>
        </w:tc>
        <w:tc>
          <w:tcPr>
            <w:tcW w:w="475" w:type="pct"/>
            <w:shd w:val="clear" w:color="auto" w:fill="auto"/>
          </w:tcPr>
          <w:p w14:paraId="3FEC15FE" w14:textId="77777777" w:rsidR="006016B9" w:rsidRPr="0087752B" w:rsidRDefault="006016B9" w:rsidP="000519EF">
            <w:pPr>
              <w:pStyle w:val="DETTableTextFinancial"/>
              <w:jc w:val="right"/>
            </w:pPr>
            <w:r w:rsidRPr="0087752B">
              <w:t>466,681</w:t>
            </w:r>
          </w:p>
        </w:tc>
        <w:tc>
          <w:tcPr>
            <w:tcW w:w="569" w:type="pct"/>
          </w:tcPr>
          <w:p w14:paraId="5F14954D" w14:textId="77777777" w:rsidR="006016B9" w:rsidRPr="0087752B" w:rsidRDefault="006016B9" w:rsidP="000519EF">
            <w:pPr>
              <w:pStyle w:val="DETTableTextFinancial"/>
              <w:jc w:val="right"/>
            </w:pPr>
            <w:r w:rsidRPr="0087752B">
              <w:t>-16.3</w:t>
            </w:r>
          </w:p>
        </w:tc>
        <w:tc>
          <w:tcPr>
            <w:tcW w:w="410" w:type="pct"/>
          </w:tcPr>
          <w:p w14:paraId="33B0979F" w14:textId="77777777" w:rsidR="006016B9" w:rsidRPr="005C767D" w:rsidRDefault="006016B9" w:rsidP="000519EF">
            <w:pPr>
              <w:jc w:val="right"/>
            </w:pPr>
            <w:r w:rsidRPr="005C767D">
              <w:sym w:font="Wingdings" w:char="F0FB"/>
            </w:r>
          </w:p>
        </w:tc>
      </w:tr>
      <w:tr w:rsidR="006016B9" w:rsidRPr="0087752B" w14:paraId="33A4F68F" w14:textId="77777777" w:rsidTr="006016B9">
        <w:tblPrEx>
          <w:tblBorders>
            <w:bottom w:val="single" w:sz="12" w:space="0" w:color="777777"/>
          </w:tblBorders>
        </w:tblPrEx>
        <w:trPr>
          <w:cantSplit/>
        </w:trPr>
        <w:tc>
          <w:tcPr>
            <w:tcW w:w="5000" w:type="pct"/>
            <w:gridSpan w:val="9"/>
            <w:shd w:val="clear" w:color="auto" w:fill="auto"/>
            <w:vAlign w:val="center"/>
          </w:tcPr>
          <w:p w14:paraId="03B436BF" w14:textId="623CE527" w:rsidR="006016B9" w:rsidRPr="0087752B" w:rsidRDefault="006016B9" w:rsidP="000519EF">
            <w:pPr>
              <w:pStyle w:val="DETTableTextFinancial"/>
              <w:rPr>
                <w:i/>
              </w:rPr>
            </w:pPr>
            <w:r w:rsidRPr="0087752B">
              <w:rPr>
                <w:i/>
              </w:rPr>
              <w:t>The 2015-16 Actual is lower than the 2015</w:t>
            </w:r>
            <w:r w:rsidR="009D478E" w:rsidRPr="0087752B">
              <w:rPr>
                <w:i/>
              </w:rPr>
              <w:t>–</w:t>
            </w:r>
            <w:r w:rsidRPr="0087752B">
              <w:rPr>
                <w:i/>
              </w:rPr>
              <w:t>16 Target due to past policy changes such as tightened eligibility for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18F378B1" w14:textId="77777777" w:rsidTr="00790749">
        <w:trPr>
          <w:cantSplit/>
        </w:trPr>
        <w:tc>
          <w:tcPr>
            <w:tcW w:w="2501" w:type="pct"/>
            <w:gridSpan w:val="3"/>
            <w:shd w:val="clear" w:color="auto" w:fill="auto"/>
            <w:vAlign w:val="center"/>
          </w:tcPr>
          <w:p w14:paraId="5A939620" w14:textId="552FF331" w:rsidR="006016B9" w:rsidRPr="0087752B" w:rsidRDefault="006016B9" w:rsidP="000519EF">
            <w:pPr>
              <w:pStyle w:val="DETTableTextFinancial"/>
            </w:pPr>
            <w:r w:rsidRPr="0087752B">
              <w:t>Number of pre-accredited module enrolments government subsidised through the Adult Community and Further Education (ACFE) Board</w:t>
            </w:r>
            <w:r w:rsidR="009D478E" w:rsidRPr="0087752B">
              <w:t>—</w:t>
            </w:r>
            <w:r w:rsidRPr="0087752B">
              <w:t>Adult Community Education organisations and Adult Education Institutes</w:t>
            </w:r>
          </w:p>
        </w:tc>
        <w:tc>
          <w:tcPr>
            <w:tcW w:w="570" w:type="pct"/>
            <w:shd w:val="clear" w:color="auto" w:fill="auto"/>
          </w:tcPr>
          <w:p w14:paraId="6AF34315" w14:textId="77777777" w:rsidR="006016B9" w:rsidRPr="0087752B" w:rsidRDefault="006016B9" w:rsidP="000519EF">
            <w:pPr>
              <w:pStyle w:val="DETTableTextFinancial"/>
              <w:jc w:val="right"/>
            </w:pPr>
            <w:r w:rsidRPr="0087752B">
              <w:t>number</w:t>
            </w:r>
          </w:p>
        </w:tc>
        <w:tc>
          <w:tcPr>
            <w:tcW w:w="475" w:type="pct"/>
            <w:gridSpan w:val="2"/>
            <w:shd w:val="clear" w:color="auto" w:fill="auto"/>
          </w:tcPr>
          <w:p w14:paraId="11616754" w14:textId="77777777" w:rsidR="006016B9" w:rsidRPr="0087752B" w:rsidRDefault="006016B9" w:rsidP="000519EF">
            <w:pPr>
              <w:pStyle w:val="DETTableTextFinancial"/>
              <w:jc w:val="right"/>
            </w:pPr>
            <w:r w:rsidRPr="0087752B">
              <w:t>45,000</w:t>
            </w:r>
          </w:p>
        </w:tc>
        <w:tc>
          <w:tcPr>
            <w:tcW w:w="475" w:type="pct"/>
            <w:shd w:val="clear" w:color="auto" w:fill="auto"/>
          </w:tcPr>
          <w:p w14:paraId="60C5CE2A" w14:textId="77777777" w:rsidR="006016B9" w:rsidRPr="0087752B" w:rsidRDefault="006016B9" w:rsidP="000519EF">
            <w:pPr>
              <w:pStyle w:val="DETTableTextFinancial"/>
              <w:jc w:val="right"/>
            </w:pPr>
            <w:r w:rsidRPr="0087752B">
              <w:t>46,801</w:t>
            </w:r>
          </w:p>
        </w:tc>
        <w:tc>
          <w:tcPr>
            <w:tcW w:w="569" w:type="pct"/>
          </w:tcPr>
          <w:p w14:paraId="1F831A7E" w14:textId="77777777" w:rsidR="006016B9" w:rsidRPr="0087752B" w:rsidRDefault="006016B9" w:rsidP="000519EF">
            <w:pPr>
              <w:pStyle w:val="DETTableTextFinancial"/>
              <w:jc w:val="right"/>
            </w:pPr>
            <w:r w:rsidRPr="0087752B">
              <w:t>4.0</w:t>
            </w:r>
          </w:p>
        </w:tc>
        <w:tc>
          <w:tcPr>
            <w:tcW w:w="410" w:type="pct"/>
          </w:tcPr>
          <w:p w14:paraId="039C2992" w14:textId="77777777" w:rsidR="006016B9" w:rsidRPr="005C767D" w:rsidRDefault="006016B9" w:rsidP="000519EF">
            <w:pPr>
              <w:jc w:val="right"/>
            </w:pPr>
            <w:r w:rsidRPr="005C767D">
              <w:sym w:font="Wingdings" w:char="F0FC"/>
            </w:r>
          </w:p>
        </w:tc>
      </w:tr>
      <w:tr w:rsidR="006016B9" w:rsidRPr="0087752B" w14:paraId="34BF52F4" w14:textId="77777777" w:rsidTr="00790749">
        <w:trPr>
          <w:cantSplit/>
        </w:trPr>
        <w:tc>
          <w:tcPr>
            <w:tcW w:w="2501" w:type="pct"/>
            <w:gridSpan w:val="3"/>
            <w:shd w:val="clear" w:color="auto" w:fill="auto"/>
            <w:vAlign w:val="center"/>
          </w:tcPr>
          <w:p w14:paraId="4F69F00C" w14:textId="77777777" w:rsidR="006016B9" w:rsidRPr="0087752B" w:rsidRDefault="006016B9" w:rsidP="000519EF">
            <w:pPr>
              <w:pStyle w:val="DETTableTextFinancial"/>
            </w:pPr>
            <w:r w:rsidRPr="0087752B">
              <w:t>Number of students enrolled in government subsidised courses</w:t>
            </w:r>
          </w:p>
        </w:tc>
        <w:tc>
          <w:tcPr>
            <w:tcW w:w="570" w:type="pct"/>
            <w:shd w:val="clear" w:color="auto" w:fill="auto"/>
          </w:tcPr>
          <w:p w14:paraId="2E2ADCB8" w14:textId="77777777" w:rsidR="006016B9" w:rsidRPr="0087752B" w:rsidRDefault="006016B9" w:rsidP="000519EF">
            <w:pPr>
              <w:pStyle w:val="DETTableTextFinancial"/>
              <w:jc w:val="right"/>
            </w:pPr>
            <w:r w:rsidRPr="0087752B">
              <w:t>number</w:t>
            </w:r>
          </w:p>
        </w:tc>
        <w:tc>
          <w:tcPr>
            <w:tcW w:w="475" w:type="pct"/>
            <w:gridSpan w:val="2"/>
            <w:shd w:val="clear" w:color="auto" w:fill="auto"/>
          </w:tcPr>
          <w:p w14:paraId="3D6248F3" w14:textId="77777777" w:rsidR="006016B9" w:rsidRPr="0087752B" w:rsidRDefault="006016B9" w:rsidP="000519EF">
            <w:pPr>
              <w:pStyle w:val="DETTableTextFinancial"/>
              <w:jc w:val="right"/>
            </w:pPr>
            <w:r w:rsidRPr="0087752B">
              <w:t>443,687</w:t>
            </w:r>
          </w:p>
        </w:tc>
        <w:tc>
          <w:tcPr>
            <w:tcW w:w="475" w:type="pct"/>
            <w:shd w:val="clear" w:color="auto" w:fill="auto"/>
          </w:tcPr>
          <w:p w14:paraId="7E955E67" w14:textId="77777777" w:rsidR="006016B9" w:rsidRPr="0087752B" w:rsidRDefault="006016B9" w:rsidP="000519EF">
            <w:pPr>
              <w:pStyle w:val="DETTableTextFinancial"/>
              <w:jc w:val="right"/>
            </w:pPr>
            <w:r w:rsidRPr="0087752B">
              <w:t>377,831</w:t>
            </w:r>
          </w:p>
        </w:tc>
        <w:tc>
          <w:tcPr>
            <w:tcW w:w="569" w:type="pct"/>
          </w:tcPr>
          <w:p w14:paraId="4353843D" w14:textId="77777777" w:rsidR="006016B9" w:rsidRPr="0087752B" w:rsidRDefault="006016B9" w:rsidP="000519EF">
            <w:pPr>
              <w:pStyle w:val="DETTableTextFinancial"/>
              <w:jc w:val="right"/>
            </w:pPr>
            <w:r w:rsidRPr="0087752B">
              <w:t>-14.8</w:t>
            </w:r>
          </w:p>
        </w:tc>
        <w:tc>
          <w:tcPr>
            <w:tcW w:w="410" w:type="pct"/>
          </w:tcPr>
          <w:p w14:paraId="7604E482" w14:textId="77777777" w:rsidR="006016B9" w:rsidRPr="005C767D" w:rsidRDefault="006016B9" w:rsidP="000519EF">
            <w:pPr>
              <w:jc w:val="right"/>
            </w:pPr>
            <w:r w:rsidRPr="005C767D">
              <w:sym w:font="Wingdings" w:char="F0FB"/>
            </w:r>
          </w:p>
        </w:tc>
      </w:tr>
      <w:tr w:rsidR="006016B9" w:rsidRPr="0087752B" w14:paraId="25B350D8" w14:textId="77777777" w:rsidTr="006016B9">
        <w:tblPrEx>
          <w:tblBorders>
            <w:bottom w:val="single" w:sz="12" w:space="0" w:color="777777"/>
          </w:tblBorders>
        </w:tblPrEx>
        <w:trPr>
          <w:cantSplit/>
        </w:trPr>
        <w:tc>
          <w:tcPr>
            <w:tcW w:w="5000" w:type="pct"/>
            <w:gridSpan w:val="9"/>
            <w:shd w:val="clear" w:color="auto" w:fill="auto"/>
            <w:vAlign w:val="center"/>
          </w:tcPr>
          <w:p w14:paraId="2ADE1AB5" w14:textId="06ED9BD5" w:rsidR="006016B9" w:rsidRPr="0087752B" w:rsidRDefault="006016B9" w:rsidP="000519EF">
            <w:pPr>
              <w:pStyle w:val="DETTableTextFinancial"/>
              <w:rPr>
                <w:i/>
              </w:rPr>
            </w:pPr>
            <w:r w:rsidRPr="0087752B">
              <w:rPr>
                <w:i/>
              </w:rPr>
              <w:t>The 2015</w:t>
            </w:r>
            <w:r w:rsidR="009D478E" w:rsidRPr="0087752B">
              <w:rPr>
                <w:i/>
              </w:rPr>
              <w:t>–</w:t>
            </w:r>
            <w:r w:rsidRPr="0087752B">
              <w:rPr>
                <w:i/>
              </w:rPr>
              <w:t>16 Actual is lower than the 2015</w:t>
            </w:r>
            <w:r w:rsidR="009D478E" w:rsidRPr="0087752B">
              <w:rPr>
                <w:i/>
              </w:rPr>
              <w:t>–</w:t>
            </w:r>
            <w:r w:rsidRPr="0087752B">
              <w:rPr>
                <w:i/>
              </w:rPr>
              <w:t>16 Target due to past policy changes such as tightened eligibility for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238C971C" w14:textId="77777777" w:rsidTr="00D95C09">
        <w:trPr>
          <w:cantSplit/>
        </w:trPr>
        <w:tc>
          <w:tcPr>
            <w:tcW w:w="2501" w:type="pct"/>
            <w:gridSpan w:val="3"/>
            <w:shd w:val="clear" w:color="auto" w:fill="auto"/>
            <w:vAlign w:val="center"/>
          </w:tcPr>
          <w:p w14:paraId="6B31460F" w14:textId="77777777" w:rsidR="006016B9" w:rsidRPr="0087752B" w:rsidRDefault="006016B9" w:rsidP="000519EF">
            <w:pPr>
              <w:pStyle w:val="DETTableTextFinancial"/>
            </w:pPr>
            <w:r w:rsidRPr="0087752B">
              <w:t>Number of students without Year 12, Certificate II or above enrolled in foundation courses</w:t>
            </w:r>
          </w:p>
        </w:tc>
        <w:tc>
          <w:tcPr>
            <w:tcW w:w="570" w:type="pct"/>
            <w:shd w:val="clear" w:color="auto" w:fill="auto"/>
          </w:tcPr>
          <w:p w14:paraId="5C599440" w14:textId="650EE907" w:rsidR="006016B9" w:rsidRPr="0087752B" w:rsidRDefault="007A3D07" w:rsidP="000519EF">
            <w:pPr>
              <w:pStyle w:val="DETTableTextFinancial"/>
            </w:pPr>
            <w:r>
              <w:t xml:space="preserve">    </w:t>
            </w:r>
            <w:r w:rsidR="006016B9" w:rsidRPr="0087752B">
              <w:t>number</w:t>
            </w:r>
          </w:p>
        </w:tc>
        <w:tc>
          <w:tcPr>
            <w:tcW w:w="475" w:type="pct"/>
            <w:gridSpan w:val="2"/>
            <w:shd w:val="clear" w:color="auto" w:fill="auto"/>
          </w:tcPr>
          <w:p w14:paraId="73993D2E" w14:textId="77777777" w:rsidR="006016B9" w:rsidRPr="0087752B" w:rsidRDefault="006016B9" w:rsidP="000519EF">
            <w:pPr>
              <w:pStyle w:val="DETTableTextFinancial"/>
              <w:jc w:val="right"/>
            </w:pPr>
            <w:r w:rsidRPr="0087752B">
              <w:t>26,762</w:t>
            </w:r>
          </w:p>
        </w:tc>
        <w:tc>
          <w:tcPr>
            <w:tcW w:w="475" w:type="pct"/>
            <w:shd w:val="clear" w:color="auto" w:fill="auto"/>
          </w:tcPr>
          <w:p w14:paraId="58CCF70F" w14:textId="77777777" w:rsidR="006016B9" w:rsidRPr="0087752B" w:rsidRDefault="006016B9" w:rsidP="000519EF">
            <w:pPr>
              <w:pStyle w:val="DETTableTextFinancial"/>
              <w:jc w:val="right"/>
            </w:pPr>
            <w:r w:rsidRPr="0087752B">
              <w:t>19,775</w:t>
            </w:r>
          </w:p>
        </w:tc>
        <w:tc>
          <w:tcPr>
            <w:tcW w:w="569" w:type="pct"/>
          </w:tcPr>
          <w:p w14:paraId="4A2EE346" w14:textId="77777777" w:rsidR="006016B9" w:rsidRPr="0087752B" w:rsidRDefault="006016B9" w:rsidP="000519EF">
            <w:pPr>
              <w:pStyle w:val="DETTableTextFinancial"/>
              <w:jc w:val="right"/>
            </w:pPr>
            <w:r w:rsidRPr="0087752B">
              <w:t>-26.1</w:t>
            </w:r>
          </w:p>
        </w:tc>
        <w:tc>
          <w:tcPr>
            <w:tcW w:w="410" w:type="pct"/>
          </w:tcPr>
          <w:p w14:paraId="03D1D2B2" w14:textId="77777777" w:rsidR="006016B9" w:rsidRPr="005C767D" w:rsidRDefault="006016B9" w:rsidP="000519EF">
            <w:pPr>
              <w:jc w:val="right"/>
            </w:pPr>
            <w:r w:rsidRPr="005C767D">
              <w:sym w:font="Wingdings" w:char="F0FB"/>
            </w:r>
          </w:p>
        </w:tc>
      </w:tr>
      <w:tr w:rsidR="006016B9" w:rsidRPr="0087752B" w14:paraId="53E1A6E9" w14:textId="77777777" w:rsidTr="00D95C09">
        <w:tblPrEx>
          <w:tblBorders>
            <w:bottom w:val="single" w:sz="12" w:space="0" w:color="777777"/>
          </w:tblBorders>
        </w:tblPrEx>
        <w:trPr>
          <w:cantSplit/>
        </w:trPr>
        <w:tc>
          <w:tcPr>
            <w:tcW w:w="5000" w:type="pct"/>
            <w:gridSpan w:val="9"/>
            <w:tcBorders>
              <w:bottom w:val="nil"/>
            </w:tcBorders>
            <w:shd w:val="clear" w:color="auto" w:fill="auto"/>
            <w:vAlign w:val="center"/>
          </w:tcPr>
          <w:p w14:paraId="4B0AB4C3" w14:textId="77777777" w:rsidR="006016B9" w:rsidRDefault="006016B9" w:rsidP="000519EF">
            <w:pPr>
              <w:pStyle w:val="DETTableTextFinancial"/>
              <w:rPr>
                <w:i/>
              </w:rPr>
            </w:pPr>
            <w:r w:rsidRPr="0087752B">
              <w:rPr>
                <w:i/>
              </w:rPr>
              <w:t>The 2015</w:t>
            </w:r>
            <w:r w:rsidR="009D478E" w:rsidRPr="0087752B">
              <w:rPr>
                <w:i/>
              </w:rPr>
              <w:t>–</w:t>
            </w:r>
            <w:r w:rsidRPr="0087752B">
              <w:rPr>
                <w:i/>
              </w:rPr>
              <w:t>16 Actual is lower than the 2015</w:t>
            </w:r>
            <w:r w:rsidR="009D478E" w:rsidRPr="0087752B">
              <w:rPr>
                <w:i/>
              </w:rPr>
              <w:t>–</w:t>
            </w:r>
            <w:r w:rsidRPr="0087752B">
              <w:rPr>
                <w:i/>
              </w:rPr>
              <w:t xml:space="preserve">16 Target due to past policy changes which reduced foundation course subsidy rates, tighter eligibility rules, </w:t>
            </w:r>
            <w:r w:rsidR="0098653C" w:rsidRPr="0087752B">
              <w:rPr>
                <w:i/>
              </w:rPr>
              <w:t xml:space="preserve">removing </w:t>
            </w:r>
            <w:r w:rsidRPr="0087752B">
              <w:rPr>
                <w:i/>
              </w:rPr>
              <w:t xml:space="preserve">the Certificate I in Vocational Preparation from the foundation course list, and </w:t>
            </w:r>
            <w:r w:rsidR="0098653C" w:rsidRPr="0087752B">
              <w:rPr>
                <w:i/>
              </w:rPr>
              <w:t xml:space="preserve">establishing </w:t>
            </w:r>
            <w:r w:rsidR="0098653C" w:rsidRPr="005C767D">
              <w:rPr>
                <w:i/>
              </w:rPr>
              <w:t xml:space="preserve">the </w:t>
            </w:r>
            <w:r w:rsidRPr="0087752B">
              <w:rPr>
                <w:i/>
              </w:rPr>
              <w:t xml:space="preserve">Foundation Skills approved provider list. Changes in 2015 that required providers to undertake </w:t>
            </w:r>
            <w:r w:rsidR="0098653C" w:rsidRPr="0087752B">
              <w:rPr>
                <w:i/>
              </w:rPr>
              <w:t xml:space="preserve">pre </w:t>
            </w:r>
            <w:r w:rsidRPr="0087752B">
              <w:rPr>
                <w:i/>
              </w:rPr>
              <w:t>and post assessment of students’ skills for particular foundation-skills courses, may have resulted in a slight decrease in enrolments, as students were directed to enrol in more suitable training for their skill needs. This result may also have been impacted by the shift of students to VET FEE-HELP funded training, and fewer enrolments in sub-standard training as part of the Government’s implementation of the Review of Quality Assurance.</w:t>
            </w:r>
          </w:p>
          <w:p w14:paraId="638DD999" w14:textId="460F10F7" w:rsidR="00354573" w:rsidRPr="0087752B" w:rsidRDefault="00354573" w:rsidP="000519EF">
            <w:pPr>
              <w:pStyle w:val="DETTableTextFinancial"/>
              <w:rPr>
                <w:i/>
              </w:rPr>
            </w:pPr>
          </w:p>
        </w:tc>
      </w:tr>
      <w:tr w:rsidR="006016B9" w:rsidRPr="0087752B" w14:paraId="6949E77F" w14:textId="77777777" w:rsidTr="00D95C09">
        <w:trPr>
          <w:cantSplit/>
        </w:trPr>
        <w:tc>
          <w:tcPr>
            <w:tcW w:w="2501" w:type="pct"/>
            <w:gridSpan w:val="3"/>
            <w:shd w:val="clear" w:color="auto" w:fill="auto"/>
            <w:vAlign w:val="center"/>
          </w:tcPr>
          <w:p w14:paraId="12CD1ACE" w14:textId="5D66453E" w:rsidR="006016B9" w:rsidRPr="0087752B" w:rsidRDefault="006016B9" w:rsidP="000519EF">
            <w:pPr>
              <w:pStyle w:val="DETTableTextFinancial"/>
            </w:pPr>
            <w:r w:rsidRPr="0087752B">
              <w:t>Participation rate of 15–24</w:t>
            </w:r>
            <w:r w:rsidR="0098653C" w:rsidRPr="0087752B">
              <w:t>-</w:t>
            </w:r>
            <w:r w:rsidRPr="0087752B">
              <w:t>year</w:t>
            </w:r>
            <w:r w:rsidR="0098653C" w:rsidRPr="0087752B">
              <w:t>-</w:t>
            </w:r>
            <w:r w:rsidRPr="0087752B">
              <w:t>olds in government subsidised training and further education in Victoria</w:t>
            </w:r>
          </w:p>
        </w:tc>
        <w:tc>
          <w:tcPr>
            <w:tcW w:w="570" w:type="pct"/>
            <w:shd w:val="clear" w:color="auto" w:fill="auto"/>
          </w:tcPr>
          <w:p w14:paraId="618A025D" w14:textId="77777777" w:rsidR="006016B9" w:rsidRPr="0087752B" w:rsidRDefault="006016B9" w:rsidP="000519EF">
            <w:pPr>
              <w:pStyle w:val="DETTableTextFinancial"/>
            </w:pPr>
            <w:r w:rsidRPr="0087752B">
              <w:t>per cent</w:t>
            </w:r>
          </w:p>
        </w:tc>
        <w:tc>
          <w:tcPr>
            <w:tcW w:w="475" w:type="pct"/>
            <w:gridSpan w:val="2"/>
            <w:shd w:val="clear" w:color="auto" w:fill="auto"/>
          </w:tcPr>
          <w:p w14:paraId="0689861A" w14:textId="77777777" w:rsidR="006016B9" w:rsidRPr="0087752B" w:rsidRDefault="006016B9" w:rsidP="000519EF">
            <w:pPr>
              <w:pStyle w:val="DETTableTextFinancial"/>
              <w:jc w:val="right"/>
            </w:pPr>
            <w:r w:rsidRPr="0087752B">
              <w:t>22.5</w:t>
            </w:r>
          </w:p>
        </w:tc>
        <w:tc>
          <w:tcPr>
            <w:tcW w:w="475" w:type="pct"/>
            <w:shd w:val="clear" w:color="auto" w:fill="auto"/>
          </w:tcPr>
          <w:p w14:paraId="64EA3E87" w14:textId="77777777" w:rsidR="006016B9" w:rsidRPr="0087752B" w:rsidRDefault="006016B9" w:rsidP="000519EF">
            <w:pPr>
              <w:pStyle w:val="DETTableTextFinancial"/>
              <w:jc w:val="right"/>
            </w:pPr>
            <w:r w:rsidRPr="0087752B">
              <w:t>18.7</w:t>
            </w:r>
          </w:p>
        </w:tc>
        <w:tc>
          <w:tcPr>
            <w:tcW w:w="569" w:type="pct"/>
          </w:tcPr>
          <w:p w14:paraId="096DABE5" w14:textId="77777777" w:rsidR="006016B9" w:rsidRPr="0087752B" w:rsidRDefault="006016B9" w:rsidP="000519EF">
            <w:pPr>
              <w:pStyle w:val="DETTableTextFinancial"/>
              <w:jc w:val="right"/>
            </w:pPr>
            <w:r w:rsidRPr="0087752B">
              <w:t>-16.9</w:t>
            </w:r>
          </w:p>
        </w:tc>
        <w:tc>
          <w:tcPr>
            <w:tcW w:w="410" w:type="pct"/>
          </w:tcPr>
          <w:p w14:paraId="4F68246A" w14:textId="77777777" w:rsidR="006016B9" w:rsidRPr="005C767D" w:rsidRDefault="006016B9" w:rsidP="000519EF">
            <w:pPr>
              <w:jc w:val="right"/>
            </w:pPr>
            <w:r w:rsidRPr="005C767D">
              <w:sym w:font="Wingdings" w:char="F0FB"/>
            </w:r>
          </w:p>
        </w:tc>
      </w:tr>
      <w:tr w:rsidR="006016B9" w:rsidRPr="0087752B" w14:paraId="49FFA7F8" w14:textId="77777777" w:rsidTr="006016B9">
        <w:tblPrEx>
          <w:tblBorders>
            <w:bottom w:val="single" w:sz="12" w:space="0" w:color="777777"/>
          </w:tblBorders>
        </w:tblPrEx>
        <w:trPr>
          <w:cantSplit/>
        </w:trPr>
        <w:tc>
          <w:tcPr>
            <w:tcW w:w="5000" w:type="pct"/>
            <w:gridSpan w:val="9"/>
            <w:shd w:val="clear" w:color="auto" w:fill="auto"/>
            <w:vAlign w:val="center"/>
          </w:tcPr>
          <w:p w14:paraId="5342F00B" w14:textId="1055B8F2" w:rsidR="006016B9" w:rsidRPr="0087752B" w:rsidRDefault="006016B9" w:rsidP="000519EF">
            <w:pPr>
              <w:pStyle w:val="DETTableTextFinancial"/>
              <w:rPr>
                <w:i/>
              </w:rPr>
            </w:pPr>
            <w:r w:rsidRPr="0087752B">
              <w:rPr>
                <w:i/>
              </w:rPr>
              <w:t>The 2015</w:t>
            </w:r>
            <w:r w:rsidR="0098653C" w:rsidRPr="0087752B">
              <w:rPr>
                <w:i/>
              </w:rPr>
              <w:t>–</w:t>
            </w:r>
            <w:r w:rsidRPr="0087752B">
              <w:rPr>
                <w:i/>
              </w:rPr>
              <w:t>16 Actual is lower than the 2015</w:t>
            </w:r>
            <w:r w:rsidR="0098653C" w:rsidRPr="0087752B">
              <w:rPr>
                <w:i/>
              </w:rPr>
              <w:t>–</w:t>
            </w:r>
            <w:r w:rsidRPr="0087752B">
              <w:rPr>
                <w:i/>
              </w:rPr>
              <w:t>16 Target due to past policy changes such as tightened eligibility for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3ABEB709" w14:textId="77777777" w:rsidTr="00790749">
        <w:trPr>
          <w:cantSplit/>
        </w:trPr>
        <w:tc>
          <w:tcPr>
            <w:tcW w:w="2501" w:type="pct"/>
            <w:gridSpan w:val="3"/>
            <w:shd w:val="clear" w:color="auto" w:fill="auto"/>
            <w:vAlign w:val="center"/>
          </w:tcPr>
          <w:p w14:paraId="6FDBA3FE" w14:textId="279D7F82" w:rsidR="006016B9" w:rsidRPr="0087752B" w:rsidRDefault="006016B9" w:rsidP="000519EF">
            <w:pPr>
              <w:pStyle w:val="DETTableTextFinancial"/>
            </w:pPr>
            <w:r w:rsidRPr="0087752B">
              <w:t>Participation rate of 25–64</w:t>
            </w:r>
            <w:r w:rsidR="0098653C" w:rsidRPr="0087752B">
              <w:t>-</w:t>
            </w:r>
            <w:r w:rsidRPr="0087752B">
              <w:t>year</w:t>
            </w:r>
            <w:r w:rsidR="0098653C" w:rsidRPr="0087752B">
              <w:t>-</w:t>
            </w:r>
            <w:r w:rsidRPr="0087752B">
              <w:t>olds in government subsidised training and further education in Victoria</w:t>
            </w:r>
          </w:p>
        </w:tc>
        <w:tc>
          <w:tcPr>
            <w:tcW w:w="570" w:type="pct"/>
            <w:shd w:val="clear" w:color="auto" w:fill="auto"/>
          </w:tcPr>
          <w:p w14:paraId="582F2B60" w14:textId="77777777" w:rsidR="006016B9" w:rsidRPr="0087752B" w:rsidRDefault="006016B9" w:rsidP="000519EF">
            <w:pPr>
              <w:pStyle w:val="DETTableTextFinancial"/>
            </w:pPr>
            <w:r w:rsidRPr="0087752B">
              <w:t>per cent</w:t>
            </w:r>
          </w:p>
        </w:tc>
        <w:tc>
          <w:tcPr>
            <w:tcW w:w="475" w:type="pct"/>
            <w:gridSpan w:val="2"/>
            <w:shd w:val="clear" w:color="auto" w:fill="auto"/>
          </w:tcPr>
          <w:p w14:paraId="249FF57E" w14:textId="77777777" w:rsidR="006016B9" w:rsidRPr="0087752B" w:rsidRDefault="006016B9" w:rsidP="000519EF">
            <w:pPr>
              <w:pStyle w:val="DETTableTextFinancial"/>
              <w:jc w:val="right"/>
            </w:pPr>
            <w:r w:rsidRPr="0087752B">
              <w:t>8</w:t>
            </w:r>
          </w:p>
        </w:tc>
        <w:tc>
          <w:tcPr>
            <w:tcW w:w="475" w:type="pct"/>
            <w:shd w:val="clear" w:color="auto" w:fill="auto"/>
          </w:tcPr>
          <w:p w14:paraId="2799A0AB" w14:textId="77777777" w:rsidR="006016B9" w:rsidRPr="0087752B" w:rsidRDefault="006016B9" w:rsidP="000519EF">
            <w:pPr>
              <w:pStyle w:val="DETTableTextFinancial"/>
              <w:jc w:val="right"/>
            </w:pPr>
            <w:r w:rsidRPr="0087752B">
              <w:t>6.7</w:t>
            </w:r>
          </w:p>
        </w:tc>
        <w:tc>
          <w:tcPr>
            <w:tcW w:w="569" w:type="pct"/>
          </w:tcPr>
          <w:p w14:paraId="4BB574F2" w14:textId="77777777" w:rsidR="006016B9" w:rsidRPr="0087752B" w:rsidRDefault="006016B9" w:rsidP="000519EF">
            <w:pPr>
              <w:pStyle w:val="DETTableTextFinancial"/>
              <w:jc w:val="right"/>
            </w:pPr>
            <w:r w:rsidRPr="0087752B">
              <w:t>-16.3</w:t>
            </w:r>
          </w:p>
        </w:tc>
        <w:tc>
          <w:tcPr>
            <w:tcW w:w="410" w:type="pct"/>
          </w:tcPr>
          <w:p w14:paraId="0B5443EE" w14:textId="77777777" w:rsidR="006016B9" w:rsidRPr="005C767D" w:rsidRDefault="006016B9" w:rsidP="000519EF">
            <w:pPr>
              <w:jc w:val="right"/>
            </w:pPr>
            <w:r w:rsidRPr="005C767D">
              <w:sym w:font="Wingdings" w:char="F0FB"/>
            </w:r>
          </w:p>
        </w:tc>
      </w:tr>
      <w:tr w:rsidR="006016B9" w:rsidRPr="0087752B" w14:paraId="7FE9623F" w14:textId="77777777" w:rsidTr="006016B9">
        <w:tblPrEx>
          <w:tblBorders>
            <w:bottom w:val="single" w:sz="12" w:space="0" w:color="777777"/>
          </w:tblBorders>
        </w:tblPrEx>
        <w:trPr>
          <w:cantSplit/>
        </w:trPr>
        <w:tc>
          <w:tcPr>
            <w:tcW w:w="5000" w:type="pct"/>
            <w:gridSpan w:val="9"/>
            <w:tcBorders>
              <w:bottom w:val="single" w:sz="6" w:space="0" w:color="777777"/>
            </w:tcBorders>
            <w:shd w:val="clear" w:color="auto" w:fill="auto"/>
            <w:vAlign w:val="center"/>
          </w:tcPr>
          <w:p w14:paraId="4180A93D" w14:textId="7D16F8CA" w:rsidR="006016B9" w:rsidRPr="0087752B" w:rsidRDefault="006016B9" w:rsidP="000519EF">
            <w:pPr>
              <w:pStyle w:val="DETTableTextFinancial"/>
              <w:rPr>
                <w:i/>
              </w:rPr>
            </w:pPr>
            <w:r w:rsidRPr="0087752B">
              <w:rPr>
                <w:i/>
              </w:rPr>
              <w:t>The 2015</w:t>
            </w:r>
            <w:r w:rsidR="0098653C" w:rsidRPr="0087752B">
              <w:rPr>
                <w:i/>
              </w:rPr>
              <w:t>–</w:t>
            </w:r>
            <w:r w:rsidRPr="0087752B">
              <w:rPr>
                <w:i/>
              </w:rPr>
              <w:t>16 Actual is lower than the 2015</w:t>
            </w:r>
            <w:r w:rsidR="0098653C" w:rsidRPr="0087752B">
              <w:rPr>
                <w:i/>
              </w:rPr>
              <w:t>–</w:t>
            </w:r>
            <w:r w:rsidRPr="0087752B">
              <w:rPr>
                <w:i/>
              </w:rPr>
              <w:t>16 Target due to past policy changes such as tightened eligibility for subsidised training and foundation courses, and reductions in subsidies. Enrolment numbers have also likely been impacted by the shift of students to VET FEE-HELP funded training, demand-driven places in Higher Education, and fewer enrolments in sub-standard training as part of the Government’s implementation of the Review of Quality Assurance.</w:t>
            </w:r>
          </w:p>
        </w:tc>
      </w:tr>
      <w:tr w:rsidR="006016B9" w:rsidRPr="0087752B" w14:paraId="206A24F8" w14:textId="77777777" w:rsidTr="006016B9">
        <w:tblPrEx>
          <w:tblBorders>
            <w:bottom w:val="single" w:sz="12" w:space="0" w:color="777777"/>
          </w:tblBorders>
        </w:tblPrEx>
        <w:trPr>
          <w:cantSplit/>
        </w:trPr>
        <w:tc>
          <w:tcPr>
            <w:tcW w:w="5000" w:type="pct"/>
            <w:gridSpan w:val="9"/>
            <w:tcBorders>
              <w:top w:val="single" w:sz="6" w:space="0" w:color="777777"/>
            </w:tcBorders>
            <w:shd w:val="clear" w:color="auto" w:fill="auto"/>
            <w:vAlign w:val="center"/>
          </w:tcPr>
          <w:p w14:paraId="376B09F7" w14:textId="77777777" w:rsidR="006016B9" w:rsidRPr="0087752B" w:rsidRDefault="006016B9" w:rsidP="000519EF">
            <w:pPr>
              <w:pStyle w:val="DETTableTextFinancial"/>
              <w:rPr>
                <w:b/>
              </w:rPr>
            </w:pPr>
            <w:r w:rsidRPr="0087752B">
              <w:rPr>
                <w:b/>
              </w:rPr>
              <w:t>Quality</w:t>
            </w:r>
          </w:p>
        </w:tc>
      </w:tr>
      <w:tr w:rsidR="006016B9" w:rsidRPr="0087752B" w14:paraId="5045AEFF" w14:textId="77777777" w:rsidTr="00790749">
        <w:trPr>
          <w:cantSplit/>
        </w:trPr>
        <w:tc>
          <w:tcPr>
            <w:tcW w:w="2501" w:type="pct"/>
            <w:gridSpan w:val="3"/>
            <w:shd w:val="clear" w:color="auto" w:fill="auto"/>
            <w:vAlign w:val="center"/>
          </w:tcPr>
          <w:p w14:paraId="23190893" w14:textId="77777777" w:rsidR="006016B9" w:rsidRPr="0087752B" w:rsidRDefault="006016B9" w:rsidP="000519EF">
            <w:pPr>
              <w:pStyle w:val="DETTableTextFinancial"/>
            </w:pPr>
            <w:r w:rsidRPr="0087752B">
              <w:t>Proportion of VET completers who are satisfied with their training</w:t>
            </w:r>
          </w:p>
        </w:tc>
        <w:tc>
          <w:tcPr>
            <w:tcW w:w="570" w:type="pct"/>
            <w:shd w:val="clear" w:color="auto" w:fill="auto"/>
          </w:tcPr>
          <w:p w14:paraId="126AB803" w14:textId="77777777" w:rsidR="006016B9" w:rsidRPr="0087752B" w:rsidRDefault="006016B9" w:rsidP="000519EF">
            <w:pPr>
              <w:pStyle w:val="DETTableTextFinancial"/>
            </w:pPr>
            <w:r w:rsidRPr="0087752B">
              <w:t>per cent</w:t>
            </w:r>
          </w:p>
        </w:tc>
        <w:tc>
          <w:tcPr>
            <w:tcW w:w="475" w:type="pct"/>
            <w:gridSpan w:val="2"/>
            <w:shd w:val="clear" w:color="auto" w:fill="auto"/>
          </w:tcPr>
          <w:p w14:paraId="2321FEF1" w14:textId="77777777" w:rsidR="006016B9" w:rsidRPr="0087752B" w:rsidRDefault="006016B9" w:rsidP="000519EF">
            <w:pPr>
              <w:pStyle w:val="DETTableTextFinancial"/>
              <w:jc w:val="right"/>
            </w:pPr>
            <w:r w:rsidRPr="0087752B">
              <w:t>87.6</w:t>
            </w:r>
          </w:p>
        </w:tc>
        <w:tc>
          <w:tcPr>
            <w:tcW w:w="475" w:type="pct"/>
            <w:shd w:val="clear" w:color="auto" w:fill="auto"/>
          </w:tcPr>
          <w:p w14:paraId="6A3E31B3" w14:textId="77777777" w:rsidR="006016B9" w:rsidRPr="0087752B" w:rsidRDefault="006016B9" w:rsidP="000519EF">
            <w:pPr>
              <w:pStyle w:val="DETTableTextFinancial"/>
              <w:jc w:val="right"/>
            </w:pPr>
            <w:r w:rsidRPr="0087752B">
              <w:t>78.4</w:t>
            </w:r>
          </w:p>
        </w:tc>
        <w:tc>
          <w:tcPr>
            <w:tcW w:w="569" w:type="pct"/>
          </w:tcPr>
          <w:p w14:paraId="6F058B2C" w14:textId="77777777" w:rsidR="006016B9" w:rsidRPr="0087752B" w:rsidRDefault="006016B9" w:rsidP="000519EF">
            <w:pPr>
              <w:pStyle w:val="DETTableTextFinancial"/>
              <w:jc w:val="right"/>
            </w:pPr>
            <w:r w:rsidRPr="0087752B">
              <w:t>-10.5</w:t>
            </w:r>
          </w:p>
        </w:tc>
        <w:tc>
          <w:tcPr>
            <w:tcW w:w="410" w:type="pct"/>
          </w:tcPr>
          <w:p w14:paraId="42B90D72" w14:textId="77777777" w:rsidR="006016B9" w:rsidRPr="005C767D" w:rsidRDefault="006016B9" w:rsidP="000519EF">
            <w:pPr>
              <w:jc w:val="right"/>
            </w:pPr>
            <w:r w:rsidRPr="005C767D">
              <w:sym w:font="Wingdings" w:char="F0FB"/>
            </w:r>
          </w:p>
        </w:tc>
      </w:tr>
      <w:tr w:rsidR="006016B9" w:rsidRPr="0087752B" w14:paraId="5BFDDF11" w14:textId="77777777" w:rsidTr="006016B9">
        <w:tblPrEx>
          <w:tblBorders>
            <w:bottom w:val="single" w:sz="12" w:space="0" w:color="777777"/>
          </w:tblBorders>
        </w:tblPrEx>
        <w:trPr>
          <w:cantSplit/>
        </w:trPr>
        <w:tc>
          <w:tcPr>
            <w:tcW w:w="5000" w:type="pct"/>
            <w:gridSpan w:val="9"/>
            <w:shd w:val="clear" w:color="auto" w:fill="auto"/>
            <w:vAlign w:val="center"/>
          </w:tcPr>
          <w:p w14:paraId="1C574BA6" w14:textId="75AE29BA" w:rsidR="006016B9" w:rsidRPr="0087752B" w:rsidRDefault="006016B9" w:rsidP="000519EF">
            <w:pPr>
              <w:pStyle w:val="DETTableTextFinancial"/>
              <w:rPr>
                <w:i/>
              </w:rPr>
            </w:pPr>
            <w:r w:rsidRPr="0087752B">
              <w:rPr>
                <w:i/>
              </w:rPr>
              <w:t>This performance measure relates to training completions in the 2014 calendar year. The 2015</w:t>
            </w:r>
            <w:r w:rsidR="0098653C" w:rsidRPr="0087752B">
              <w:rPr>
                <w:i/>
              </w:rPr>
              <w:t>–</w:t>
            </w:r>
            <w:r w:rsidRPr="0087752B">
              <w:rPr>
                <w:i/>
              </w:rPr>
              <w:t>16 Actual is lower than the 2015</w:t>
            </w:r>
            <w:r w:rsidR="0098653C" w:rsidRPr="0087752B">
              <w:rPr>
                <w:i/>
              </w:rPr>
              <w:t>–</w:t>
            </w:r>
            <w:r w:rsidRPr="0087752B">
              <w:rPr>
                <w:i/>
              </w:rPr>
              <w:t xml:space="preserve">16 Target partly as a result of poor provider practices which are now being addressed through the Government’s response to the Review of Quality Assurance. In </w:t>
            </w:r>
            <w:r w:rsidR="0098653C" w:rsidRPr="0087752B">
              <w:rPr>
                <w:i/>
              </w:rPr>
              <w:t>addition,</w:t>
            </w:r>
            <w:r w:rsidRPr="0087752B">
              <w:rPr>
                <w:i/>
              </w:rPr>
              <w:t xml:space="preserve"> the 2015</w:t>
            </w:r>
            <w:r w:rsidR="0098653C" w:rsidRPr="0087752B">
              <w:rPr>
                <w:i/>
              </w:rPr>
              <w:t>–</w:t>
            </w:r>
            <w:r w:rsidRPr="0087752B">
              <w:rPr>
                <w:i/>
              </w:rPr>
              <w:t>16 Target was estimated based on a small trial survey of VET students who completed training in 2013.</w:t>
            </w:r>
          </w:p>
        </w:tc>
      </w:tr>
      <w:tr w:rsidR="006016B9" w:rsidRPr="0087752B" w14:paraId="3BD8F734" w14:textId="77777777" w:rsidTr="00790749">
        <w:trPr>
          <w:cantSplit/>
        </w:trPr>
        <w:tc>
          <w:tcPr>
            <w:tcW w:w="2501" w:type="pct"/>
            <w:gridSpan w:val="3"/>
            <w:shd w:val="clear" w:color="auto" w:fill="auto"/>
            <w:vAlign w:val="center"/>
          </w:tcPr>
          <w:p w14:paraId="35637F1F" w14:textId="77777777" w:rsidR="006016B9" w:rsidRPr="0087752B" w:rsidRDefault="006016B9" w:rsidP="000519EF">
            <w:pPr>
              <w:pStyle w:val="DETTableTextFinancial"/>
            </w:pPr>
            <w:r w:rsidRPr="0087752B">
              <w:t>Proportion of VET completers with an improved employment status after training</w:t>
            </w:r>
          </w:p>
        </w:tc>
        <w:tc>
          <w:tcPr>
            <w:tcW w:w="570" w:type="pct"/>
            <w:shd w:val="clear" w:color="auto" w:fill="auto"/>
          </w:tcPr>
          <w:p w14:paraId="451089F9" w14:textId="77777777" w:rsidR="006016B9" w:rsidRPr="0087752B" w:rsidRDefault="006016B9" w:rsidP="000519EF">
            <w:pPr>
              <w:pStyle w:val="DETTableTextFinancial"/>
            </w:pPr>
            <w:r w:rsidRPr="0087752B">
              <w:t>per cent</w:t>
            </w:r>
          </w:p>
        </w:tc>
        <w:tc>
          <w:tcPr>
            <w:tcW w:w="475" w:type="pct"/>
            <w:gridSpan w:val="2"/>
            <w:shd w:val="clear" w:color="auto" w:fill="auto"/>
          </w:tcPr>
          <w:p w14:paraId="2689FAC3" w14:textId="77777777" w:rsidR="006016B9" w:rsidRPr="0087752B" w:rsidRDefault="006016B9" w:rsidP="000519EF">
            <w:pPr>
              <w:pStyle w:val="DETTableTextFinancial"/>
              <w:jc w:val="right"/>
            </w:pPr>
            <w:r w:rsidRPr="0087752B">
              <w:t>61.7</w:t>
            </w:r>
          </w:p>
        </w:tc>
        <w:tc>
          <w:tcPr>
            <w:tcW w:w="475" w:type="pct"/>
            <w:shd w:val="clear" w:color="auto" w:fill="auto"/>
          </w:tcPr>
          <w:p w14:paraId="1665D47F" w14:textId="77777777" w:rsidR="006016B9" w:rsidRPr="0087752B" w:rsidRDefault="006016B9" w:rsidP="000519EF">
            <w:pPr>
              <w:pStyle w:val="DETTableTextFinancial"/>
              <w:jc w:val="right"/>
            </w:pPr>
            <w:r w:rsidRPr="0087752B">
              <w:t>50.7</w:t>
            </w:r>
          </w:p>
        </w:tc>
        <w:tc>
          <w:tcPr>
            <w:tcW w:w="569" w:type="pct"/>
          </w:tcPr>
          <w:p w14:paraId="5B95D4D1" w14:textId="77777777" w:rsidR="006016B9" w:rsidRPr="0087752B" w:rsidRDefault="006016B9" w:rsidP="000519EF">
            <w:pPr>
              <w:pStyle w:val="DETTableTextFinancial"/>
              <w:jc w:val="right"/>
            </w:pPr>
            <w:r w:rsidRPr="0087752B">
              <w:t>-17.8</w:t>
            </w:r>
          </w:p>
        </w:tc>
        <w:tc>
          <w:tcPr>
            <w:tcW w:w="410" w:type="pct"/>
          </w:tcPr>
          <w:p w14:paraId="1E12371C" w14:textId="77777777" w:rsidR="006016B9" w:rsidRPr="005C767D" w:rsidRDefault="006016B9" w:rsidP="000519EF">
            <w:pPr>
              <w:jc w:val="right"/>
            </w:pPr>
            <w:r w:rsidRPr="005C767D">
              <w:sym w:font="Wingdings" w:char="F0FB"/>
            </w:r>
          </w:p>
        </w:tc>
      </w:tr>
      <w:tr w:rsidR="006016B9" w:rsidRPr="0087752B" w14:paraId="739BFE4C" w14:textId="77777777" w:rsidTr="006016B9">
        <w:tblPrEx>
          <w:tblBorders>
            <w:bottom w:val="single" w:sz="12" w:space="0" w:color="777777"/>
          </w:tblBorders>
        </w:tblPrEx>
        <w:trPr>
          <w:cantSplit/>
        </w:trPr>
        <w:tc>
          <w:tcPr>
            <w:tcW w:w="5000" w:type="pct"/>
            <w:gridSpan w:val="9"/>
            <w:shd w:val="clear" w:color="auto" w:fill="auto"/>
            <w:vAlign w:val="center"/>
          </w:tcPr>
          <w:p w14:paraId="0D904B0E" w14:textId="2FAA09F0" w:rsidR="006016B9" w:rsidRPr="0087752B" w:rsidRDefault="006016B9" w:rsidP="000519EF">
            <w:pPr>
              <w:pStyle w:val="DETTableTextFinancial"/>
              <w:rPr>
                <w:i/>
              </w:rPr>
            </w:pPr>
            <w:r w:rsidRPr="0087752B">
              <w:rPr>
                <w:i/>
              </w:rPr>
              <w:t>This performance measure relates to training completions in the 2014 calendar year. The 2015</w:t>
            </w:r>
            <w:r w:rsidR="0098653C" w:rsidRPr="0087752B">
              <w:rPr>
                <w:i/>
              </w:rPr>
              <w:t>–</w:t>
            </w:r>
            <w:r w:rsidRPr="0087752B">
              <w:rPr>
                <w:i/>
              </w:rPr>
              <w:t>16 Actual is lower than the 2015</w:t>
            </w:r>
            <w:r w:rsidR="0098653C" w:rsidRPr="0087752B">
              <w:rPr>
                <w:i/>
              </w:rPr>
              <w:t>–</w:t>
            </w:r>
            <w:r w:rsidRPr="0087752B">
              <w:rPr>
                <w:i/>
              </w:rPr>
              <w:t xml:space="preserve">16 Target partly as a result of poor provider practices which are now being addressed through the Government’s response to the Review of Quality Assurance. In </w:t>
            </w:r>
            <w:r w:rsidR="0098653C" w:rsidRPr="0087752B">
              <w:rPr>
                <w:i/>
              </w:rPr>
              <w:t>addition,</w:t>
            </w:r>
            <w:r w:rsidRPr="0087752B">
              <w:rPr>
                <w:i/>
              </w:rPr>
              <w:t xml:space="preserve"> the 2015</w:t>
            </w:r>
            <w:r w:rsidR="0098653C" w:rsidRPr="0087752B">
              <w:rPr>
                <w:i/>
              </w:rPr>
              <w:t>–</w:t>
            </w:r>
            <w:r w:rsidRPr="0087752B">
              <w:rPr>
                <w:i/>
              </w:rPr>
              <w:t>16 Target was estimated based on a small trial survey of VET students who completed training in 2013.</w:t>
            </w:r>
          </w:p>
        </w:tc>
      </w:tr>
      <w:tr w:rsidR="006016B9" w:rsidRPr="0087752B" w14:paraId="53A5B997" w14:textId="77777777" w:rsidTr="00790749">
        <w:trPr>
          <w:cantSplit/>
        </w:trPr>
        <w:tc>
          <w:tcPr>
            <w:tcW w:w="2501" w:type="pct"/>
            <w:gridSpan w:val="3"/>
            <w:shd w:val="clear" w:color="auto" w:fill="auto"/>
            <w:vAlign w:val="center"/>
          </w:tcPr>
          <w:p w14:paraId="42779BE0" w14:textId="77777777" w:rsidR="006016B9" w:rsidRPr="0087752B" w:rsidRDefault="006016B9" w:rsidP="000519EF">
            <w:pPr>
              <w:pStyle w:val="DETTableTextFinancial"/>
            </w:pPr>
            <w:r w:rsidRPr="0087752B">
              <w:lastRenderedPageBreak/>
              <w:t>Proportion of employers satisfied with the training provided by the Registered Training Organisation for apprenticeship and traineeship completers</w:t>
            </w:r>
          </w:p>
        </w:tc>
        <w:tc>
          <w:tcPr>
            <w:tcW w:w="570" w:type="pct"/>
            <w:shd w:val="clear" w:color="auto" w:fill="auto"/>
          </w:tcPr>
          <w:p w14:paraId="01A3BA5E" w14:textId="77777777" w:rsidR="006016B9" w:rsidRPr="0087752B" w:rsidRDefault="006016B9" w:rsidP="000519EF">
            <w:pPr>
              <w:pStyle w:val="DETTableTextFinancial"/>
            </w:pPr>
            <w:r w:rsidRPr="0087752B">
              <w:t>per cent</w:t>
            </w:r>
          </w:p>
        </w:tc>
        <w:tc>
          <w:tcPr>
            <w:tcW w:w="475" w:type="pct"/>
            <w:gridSpan w:val="2"/>
            <w:shd w:val="clear" w:color="auto" w:fill="auto"/>
          </w:tcPr>
          <w:p w14:paraId="01316166" w14:textId="77777777" w:rsidR="006016B9" w:rsidRPr="0087752B" w:rsidRDefault="006016B9" w:rsidP="000519EF">
            <w:pPr>
              <w:pStyle w:val="DETTableTextFinancial"/>
              <w:jc w:val="right"/>
            </w:pPr>
            <w:r w:rsidRPr="0087752B">
              <w:t>81</w:t>
            </w:r>
          </w:p>
        </w:tc>
        <w:tc>
          <w:tcPr>
            <w:tcW w:w="475" w:type="pct"/>
            <w:shd w:val="clear" w:color="auto" w:fill="auto"/>
          </w:tcPr>
          <w:p w14:paraId="5E7230D7" w14:textId="77777777" w:rsidR="006016B9" w:rsidRPr="0087752B" w:rsidRDefault="006016B9" w:rsidP="000519EF">
            <w:pPr>
              <w:pStyle w:val="DETTableTextFinancial"/>
              <w:jc w:val="right"/>
            </w:pPr>
            <w:r w:rsidRPr="0087752B">
              <w:t>83</w:t>
            </w:r>
          </w:p>
        </w:tc>
        <w:tc>
          <w:tcPr>
            <w:tcW w:w="569" w:type="pct"/>
          </w:tcPr>
          <w:p w14:paraId="5DC88294" w14:textId="77777777" w:rsidR="006016B9" w:rsidRPr="0087752B" w:rsidRDefault="006016B9" w:rsidP="000519EF">
            <w:pPr>
              <w:pStyle w:val="DETTableTextFinancial"/>
              <w:jc w:val="right"/>
            </w:pPr>
            <w:r w:rsidRPr="0087752B">
              <w:t>2.5</w:t>
            </w:r>
          </w:p>
        </w:tc>
        <w:tc>
          <w:tcPr>
            <w:tcW w:w="410" w:type="pct"/>
          </w:tcPr>
          <w:p w14:paraId="70464A85" w14:textId="77777777" w:rsidR="006016B9" w:rsidRPr="005C767D" w:rsidRDefault="006016B9" w:rsidP="000519EF">
            <w:pPr>
              <w:jc w:val="right"/>
            </w:pPr>
            <w:r w:rsidRPr="005C767D">
              <w:sym w:font="Wingdings" w:char="F0FC"/>
            </w:r>
          </w:p>
        </w:tc>
      </w:tr>
      <w:tr w:rsidR="006016B9" w:rsidRPr="0087752B" w14:paraId="33BB6100" w14:textId="77777777" w:rsidTr="00790749">
        <w:trPr>
          <w:cantSplit/>
        </w:trPr>
        <w:tc>
          <w:tcPr>
            <w:tcW w:w="2501" w:type="pct"/>
            <w:gridSpan w:val="3"/>
            <w:shd w:val="clear" w:color="auto" w:fill="auto"/>
            <w:vAlign w:val="center"/>
          </w:tcPr>
          <w:p w14:paraId="17CDB7A4" w14:textId="77777777" w:rsidR="006016B9" w:rsidRPr="0087752B" w:rsidRDefault="006016B9" w:rsidP="000519EF">
            <w:pPr>
              <w:pStyle w:val="DETTableTextFinancial"/>
            </w:pPr>
            <w:r w:rsidRPr="0087752B">
              <w:t>Successful training completions as measured by module load completion rate</w:t>
            </w:r>
          </w:p>
        </w:tc>
        <w:tc>
          <w:tcPr>
            <w:tcW w:w="570" w:type="pct"/>
            <w:shd w:val="clear" w:color="auto" w:fill="auto"/>
          </w:tcPr>
          <w:p w14:paraId="4A0AC3A1" w14:textId="77777777" w:rsidR="006016B9" w:rsidRPr="0087752B" w:rsidRDefault="006016B9" w:rsidP="000519EF">
            <w:pPr>
              <w:pStyle w:val="DETTableTextFinancial"/>
            </w:pPr>
            <w:r w:rsidRPr="0087752B">
              <w:t>per cent</w:t>
            </w:r>
          </w:p>
        </w:tc>
        <w:tc>
          <w:tcPr>
            <w:tcW w:w="475" w:type="pct"/>
            <w:gridSpan w:val="2"/>
            <w:shd w:val="clear" w:color="auto" w:fill="auto"/>
          </w:tcPr>
          <w:p w14:paraId="19FFC20B" w14:textId="77777777" w:rsidR="006016B9" w:rsidRPr="0087752B" w:rsidRDefault="006016B9" w:rsidP="000519EF">
            <w:pPr>
              <w:pStyle w:val="DETTableTextFinancial"/>
              <w:jc w:val="right"/>
            </w:pPr>
            <w:r w:rsidRPr="0087752B">
              <w:t>81.5</w:t>
            </w:r>
          </w:p>
        </w:tc>
        <w:tc>
          <w:tcPr>
            <w:tcW w:w="475" w:type="pct"/>
            <w:shd w:val="clear" w:color="auto" w:fill="auto"/>
          </w:tcPr>
          <w:p w14:paraId="03C3EF93" w14:textId="77777777" w:rsidR="006016B9" w:rsidRPr="0087752B" w:rsidRDefault="006016B9" w:rsidP="000519EF">
            <w:pPr>
              <w:pStyle w:val="DETTableTextFinancial"/>
              <w:jc w:val="right"/>
            </w:pPr>
            <w:r w:rsidRPr="0087752B">
              <w:t>80.7</w:t>
            </w:r>
          </w:p>
        </w:tc>
        <w:tc>
          <w:tcPr>
            <w:tcW w:w="569" w:type="pct"/>
          </w:tcPr>
          <w:p w14:paraId="0ECA8A23" w14:textId="77777777" w:rsidR="006016B9" w:rsidRPr="0087752B" w:rsidRDefault="006016B9" w:rsidP="000519EF">
            <w:pPr>
              <w:pStyle w:val="DETTableTextFinancial"/>
              <w:jc w:val="right"/>
            </w:pPr>
            <w:r w:rsidRPr="0087752B">
              <w:t>-1.0</w:t>
            </w:r>
          </w:p>
        </w:tc>
        <w:tc>
          <w:tcPr>
            <w:tcW w:w="410" w:type="pct"/>
          </w:tcPr>
          <w:p w14:paraId="0B2208E1" w14:textId="77777777" w:rsidR="006016B9" w:rsidRPr="005C767D" w:rsidRDefault="006016B9" w:rsidP="000519EF">
            <w:pPr>
              <w:jc w:val="right"/>
            </w:pPr>
            <w:r w:rsidRPr="005C767D">
              <w:sym w:font="Wingdings" w:char="F06E"/>
            </w:r>
          </w:p>
        </w:tc>
      </w:tr>
      <w:tr w:rsidR="006016B9" w:rsidRPr="0087752B" w14:paraId="2BFD99F1" w14:textId="77777777" w:rsidTr="006016B9">
        <w:tblPrEx>
          <w:tblBorders>
            <w:bottom w:val="single" w:sz="12" w:space="0" w:color="777777"/>
          </w:tblBorders>
        </w:tblPrEx>
        <w:trPr>
          <w:cantSplit/>
        </w:trPr>
        <w:tc>
          <w:tcPr>
            <w:tcW w:w="5000" w:type="pct"/>
            <w:gridSpan w:val="9"/>
            <w:shd w:val="clear" w:color="auto" w:fill="auto"/>
            <w:vAlign w:val="center"/>
          </w:tcPr>
          <w:p w14:paraId="36851EDB" w14:textId="66A83FB4" w:rsidR="006016B9" w:rsidRPr="0087752B" w:rsidRDefault="006016B9" w:rsidP="000519EF">
            <w:pPr>
              <w:pStyle w:val="DETTableTextFinancial"/>
              <w:rPr>
                <w:i/>
              </w:rPr>
            </w:pPr>
            <w:r w:rsidRPr="0087752B">
              <w:rPr>
                <w:i/>
              </w:rPr>
              <w:t>The 2015</w:t>
            </w:r>
            <w:r w:rsidR="0098653C" w:rsidRPr="0087752B">
              <w:rPr>
                <w:i/>
              </w:rPr>
              <w:t>–</w:t>
            </w:r>
            <w:r w:rsidRPr="0087752B">
              <w:rPr>
                <w:i/>
              </w:rPr>
              <w:t>16 Actual is lower than the 2015</w:t>
            </w:r>
            <w:r w:rsidR="0098653C" w:rsidRPr="0087752B">
              <w:rPr>
                <w:i/>
              </w:rPr>
              <w:t>–</w:t>
            </w:r>
            <w:r w:rsidRPr="0087752B">
              <w:rPr>
                <w:i/>
              </w:rPr>
              <w:t>16 Target due to issues with poor quality training provision which is being addressed through the Government's quality initiatives.</w:t>
            </w:r>
          </w:p>
        </w:tc>
      </w:tr>
      <w:tr w:rsidR="006016B9" w:rsidRPr="0087752B" w14:paraId="28B92B7F" w14:textId="77777777" w:rsidTr="006016B9">
        <w:tblPrEx>
          <w:tblBorders>
            <w:bottom w:val="single" w:sz="12" w:space="0" w:color="777777"/>
          </w:tblBorders>
        </w:tblPrEx>
        <w:trPr>
          <w:cantSplit/>
        </w:trPr>
        <w:tc>
          <w:tcPr>
            <w:tcW w:w="5000" w:type="pct"/>
            <w:gridSpan w:val="9"/>
            <w:tcBorders>
              <w:top w:val="single" w:sz="6" w:space="0" w:color="777777"/>
            </w:tcBorders>
            <w:shd w:val="clear" w:color="auto" w:fill="auto"/>
            <w:vAlign w:val="center"/>
          </w:tcPr>
          <w:p w14:paraId="3B0778FC" w14:textId="77777777" w:rsidR="006016B9" w:rsidRPr="0087752B" w:rsidRDefault="006016B9" w:rsidP="000519EF">
            <w:pPr>
              <w:pStyle w:val="DETTableTextFinancial"/>
              <w:rPr>
                <w:b/>
              </w:rPr>
            </w:pPr>
            <w:r w:rsidRPr="0087752B">
              <w:rPr>
                <w:b/>
              </w:rPr>
              <w:t>Cost</w:t>
            </w:r>
          </w:p>
        </w:tc>
      </w:tr>
      <w:tr w:rsidR="006016B9" w:rsidRPr="0087752B" w14:paraId="3105F1AE" w14:textId="77777777" w:rsidTr="00790749">
        <w:trPr>
          <w:cantSplit/>
        </w:trPr>
        <w:tc>
          <w:tcPr>
            <w:tcW w:w="2501" w:type="pct"/>
            <w:gridSpan w:val="3"/>
            <w:shd w:val="clear" w:color="auto" w:fill="auto"/>
            <w:vAlign w:val="center"/>
          </w:tcPr>
          <w:p w14:paraId="62C679B5" w14:textId="77777777" w:rsidR="006016B9" w:rsidRPr="0087752B" w:rsidRDefault="006016B9" w:rsidP="000519EF">
            <w:pPr>
              <w:pStyle w:val="DETTableTextFinancial"/>
            </w:pPr>
            <w:r w:rsidRPr="0087752B">
              <w:t>Total output cost</w:t>
            </w:r>
          </w:p>
        </w:tc>
        <w:tc>
          <w:tcPr>
            <w:tcW w:w="570" w:type="pct"/>
            <w:shd w:val="clear" w:color="auto" w:fill="auto"/>
          </w:tcPr>
          <w:p w14:paraId="7337F509" w14:textId="77777777" w:rsidR="006016B9" w:rsidRPr="0087752B" w:rsidRDefault="006016B9" w:rsidP="000519EF">
            <w:pPr>
              <w:pStyle w:val="DETTableTextFinancial"/>
            </w:pPr>
            <w:r w:rsidRPr="0087752B">
              <w:t>$ million</w:t>
            </w:r>
          </w:p>
        </w:tc>
        <w:tc>
          <w:tcPr>
            <w:tcW w:w="475" w:type="pct"/>
            <w:gridSpan w:val="2"/>
            <w:shd w:val="clear" w:color="auto" w:fill="auto"/>
          </w:tcPr>
          <w:p w14:paraId="44C043C5" w14:textId="77777777" w:rsidR="006016B9" w:rsidRPr="0087752B" w:rsidRDefault="006016B9" w:rsidP="000519EF">
            <w:pPr>
              <w:pStyle w:val="DETTableTextFinancial"/>
              <w:jc w:val="right"/>
            </w:pPr>
            <w:r w:rsidRPr="0087752B">
              <w:t>2,476.3</w:t>
            </w:r>
          </w:p>
        </w:tc>
        <w:tc>
          <w:tcPr>
            <w:tcW w:w="475" w:type="pct"/>
            <w:shd w:val="clear" w:color="auto" w:fill="auto"/>
          </w:tcPr>
          <w:p w14:paraId="1EF4ACD1" w14:textId="65C62905" w:rsidR="006016B9" w:rsidRPr="007C7287" w:rsidRDefault="007C7287" w:rsidP="000519EF">
            <w:pPr>
              <w:pStyle w:val="DETTableTextFinancial"/>
              <w:jc w:val="right"/>
            </w:pPr>
            <w:r w:rsidRPr="007C7287">
              <w:t>2</w:t>
            </w:r>
            <w:r>
              <w:t>026</w:t>
            </w:r>
            <w:r w:rsidRPr="007C7287">
              <w:t>.2</w:t>
            </w:r>
          </w:p>
        </w:tc>
        <w:tc>
          <w:tcPr>
            <w:tcW w:w="569" w:type="pct"/>
          </w:tcPr>
          <w:p w14:paraId="2B969602" w14:textId="6A67029F" w:rsidR="006016B9" w:rsidRPr="007C7287" w:rsidRDefault="007C7287" w:rsidP="000519EF">
            <w:pPr>
              <w:pStyle w:val="DETTableTextFinancial"/>
              <w:jc w:val="right"/>
            </w:pPr>
            <w:r w:rsidRPr="007C7287">
              <w:t>-18.2</w:t>
            </w:r>
          </w:p>
        </w:tc>
        <w:tc>
          <w:tcPr>
            <w:tcW w:w="410" w:type="pct"/>
          </w:tcPr>
          <w:p w14:paraId="4B059A86" w14:textId="303059D1" w:rsidR="006016B9" w:rsidRPr="0087752B" w:rsidRDefault="00564733" w:rsidP="000519EF">
            <w:pPr>
              <w:pStyle w:val="DETTableTextFinancial"/>
              <w:jc w:val="right"/>
              <w:rPr>
                <w:highlight w:val="yellow"/>
              </w:rPr>
            </w:pPr>
            <w:r w:rsidRPr="005C767D">
              <w:sym w:font="Wingdings" w:char="F0FC"/>
            </w:r>
          </w:p>
        </w:tc>
      </w:tr>
      <w:tr w:rsidR="006016B9" w:rsidRPr="0087752B" w14:paraId="6B6BBF42" w14:textId="77777777" w:rsidTr="00D95C09">
        <w:tblPrEx>
          <w:tblBorders>
            <w:bottom w:val="single" w:sz="12" w:space="0" w:color="777777"/>
          </w:tblBorders>
        </w:tblPrEx>
        <w:trPr>
          <w:cantSplit/>
        </w:trPr>
        <w:tc>
          <w:tcPr>
            <w:tcW w:w="5000" w:type="pct"/>
            <w:gridSpan w:val="9"/>
            <w:tcBorders>
              <w:bottom w:val="single" w:sz="6" w:space="0" w:color="auto"/>
            </w:tcBorders>
            <w:shd w:val="clear" w:color="auto" w:fill="auto"/>
            <w:vAlign w:val="center"/>
          </w:tcPr>
          <w:p w14:paraId="4C15625F" w14:textId="4A42062F" w:rsidR="006016B9" w:rsidRPr="0087752B" w:rsidRDefault="007C7287" w:rsidP="000318AC">
            <w:pPr>
              <w:pStyle w:val="DETTableTextFinancial"/>
              <w:rPr>
                <w:i/>
              </w:rPr>
            </w:pPr>
            <w:r w:rsidRPr="007C7287">
              <w:rPr>
                <w:i/>
              </w:rPr>
              <w:t>This performance measure relates t</w:t>
            </w:r>
            <w:r>
              <w:rPr>
                <w:i/>
              </w:rPr>
              <w:t>o the financial year. The 2015-–</w:t>
            </w:r>
            <w:r w:rsidR="00CA223B">
              <w:rPr>
                <w:i/>
              </w:rPr>
              <w:t>1</w:t>
            </w:r>
            <w:r>
              <w:rPr>
                <w:i/>
              </w:rPr>
              <w:t>6 Actual is lower than the 2015–</w:t>
            </w:r>
            <w:r w:rsidRPr="007C7287">
              <w:rPr>
                <w:i/>
              </w:rPr>
              <w:t>16 Target primarily due to past policy changes including tightened eligibility for subsidised training and foun</w:t>
            </w:r>
            <w:r w:rsidR="00BA4210">
              <w:rPr>
                <w:i/>
              </w:rPr>
              <w:t>dation courses, and reduction in subsidies. It has</w:t>
            </w:r>
            <w:r w:rsidRPr="007C7287">
              <w:rPr>
                <w:i/>
              </w:rPr>
              <w:t xml:space="preserve"> also been impacted by the shift of students to VET FEE-HELP funded training, demand-driven places in Higher Education, and fewer enrolments in sub-standard training as part of the Government’s implementation of the Review of Quality Assurance. </w:t>
            </w:r>
            <w:r w:rsidR="000318AC">
              <w:rPr>
                <w:i/>
              </w:rPr>
              <w:t>The 2015–16 Actual is also lower due to adjustments in the timing of certain programs, and reinvestment in training and workforce development initiatives in future years.</w:t>
            </w:r>
          </w:p>
        </w:tc>
      </w:tr>
      <w:tr w:rsidR="006016B9" w:rsidRPr="0087752B" w14:paraId="6786A2E8" w14:textId="77777777" w:rsidTr="00D95C09">
        <w:tblPrEx>
          <w:tblBorders>
            <w:top w:val="single" w:sz="6" w:space="0" w:color="auto"/>
            <w:bottom w:val="single" w:sz="12" w:space="0" w:color="7F7F7F" w:themeColor="text1" w:themeTint="80"/>
          </w:tblBorders>
        </w:tblPrEx>
        <w:trPr>
          <w:cantSplit/>
          <w:trHeight w:hRule="exact" w:val="457"/>
        </w:trPr>
        <w:tc>
          <w:tcPr>
            <w:tcW w:w="410" w:type="pct"/>
            <w:tcBorders>
              <w:top w:val="single" w:sz="6" w:space="0" w:color="auto"/>
              <w:bottom w:val="single" w:sz="4" w:space="0" w:color="auto"/>
            </w:tcBorders>
            <w:vAlign w:val="center"/>
          </w:tcPr>
          <w:p w14:paraId="1F9544A2" w14:textId="77777777" w:rsidR="006016B9" w:rsidRPr="005C767D" w:rsidRDefault="006016B9" w:rsidP="006016B9">
            <w:pPr>
              <w:rPr>
                <w:highlight w:val="yellow"/>
              </w:rPr>
            </w:pPr>
            <w:r w:rsidRPr="00790749">
              <w:rPr>
                <w:rFonts w:eastAsiaTheme="minorHAnsi" w:cs="Arial"/>
                <w:bCs/>
                <w:color w:val="auto"/>
                <w:sz w:val="16"/>
                <w:szCs w:val="52"/>
              </w:rPr>
              <w:t>Key:</w:t>
            </w:r>
          </w:p>
        </w:tc>
        <w:tc>
          <w:tcPr>
            <w:tcW w:w="1140" w:type="pct"/>
            <w:tcBorders>
              <w:top w:val="single" w:sz="6" w:space="0" w:color="auto"/>
              <w:bottom w:val="single" w:sz="4" w:space="0" w:color="auto"/>
            </w:tcBorders>
            <w:shd w:val="clear" w:color="auto" w:fill="auto"/>
            <w:vAlign w:val="center"/>
          </w:tcPr>
          <w:p w14:paraId="3C76C5DB" w14:textId="77777777" w:rsidR="006016B9" w:rsidRPr="005C767D" w:rsidRDefault="006016B9" w:rsidP="000519EF">
            <w:pPr>
              <w:pStyle w:val="DETTableTextFinancial"/>
            </w:pPr>
            <w:r w:rsidRPr="005C767D">
              <w:sym w:font="Wingdings" w:char="F0FC"/>
            </w:r>
            <w:r w:rsidRPr="005C767D">
              <w:t xml:space="preserve"> Target achieved or exceeded</w:t>
            </w:r>
          </w:p>
        </w:tc>
        <w:tc>
          <w:tcPr>
            <w:tcW w:w="1712" w:type="pct"/>
            <w:gridSpan w:val="3"/>
            <w:tcBorders>
              <w:top w:val="single" w:sz="6" w:space="0" w:color="auto"/>
              <w:bottom w:val="single" w:sz="4" w:space="0" w:color="auto"/>
            </w:tcBorders>
            <w:shd w:val="clear" w:color="auto" w:fill="auto"/>
            <w:vAlign w:val="center"/>
          </w:tcPr>
          <w:p w14:paraId="33913595" w14:textId="77777777" w:rsidR="006016B9" w:rsidRPr="005C767D" w:rsidRDefault="006016B9" w:rsidP="000519EF">
            <w:pPr>
              <w:pStyle w:val="DETTableTextFinancial"/>
            </w:pPr>
            <w:r w:rsidRPr="005C767D">
              <w:sym w:font="Wingdings" w:char="F06E"/>
            </w:r>
            <w:r w:rsidRPr="005C767D">
              <w:t xml:space="preserve"> Target not achieved—less than 5% variance</w:t>
            </w:r>
          </w:p>
        </w:tc>
        <w:tc>
          <w:tcPr>
            <w:tcW w:w="1739" w:type="pct"/>
            <w:gridSpan w:val="4"/>
            <w:tcBorders>
              <w:top w:val="single" w:sz="6" w:space="0" w:color="auto"/>
              <w:bottom w:val="single" w:sz="4" w:space="0" w:color="auto"/>
            </w:tcBorders>
            <w:shd w:val="clear" w:color="auto" w:fill="auto"/>
            <w:vAlign w:val="center"/>
          </w:tcPr>
          <w:p w14:paraId="64C1527E" w14:textId="77777777" w:rsidR="006016B9" w:rsidRPr="005C767D" w:rsidRDefault="006016B9" w:rsidP="000519EF">
            <w:pPr>
              <w:pStyle w:val="DETTableTextFinancial"/>
            </w:pPr>
            <w:r w:rsidRPr="005C767D">
              <w:sym w:font="Wingdings" w:char="F0FB"/>
            </w:r>
            <w:r w:rsidRPr="005C767D">
              <w:t xml:space="preserve"> Target not achieved—more than 5% variance</w:t>
            </w:r>
          </w:p>
        </w:tc>
      </w:tr>
    </w:tbl>
    <w:p w14:paraId="252D7419" w14:textId="77777777" w:rsidR="00354573" w:rsidRDefault="00354573" w:rsidP="000519EF">
      <w:pPr>
        <w:pStyle w:val="Heading3"/>
      </w:pPr>
    </w:p>
    <w:p w14:paraId="30890D83" w14:textId="77777777" w:rsidR="00354573" w:rsidRDefault="00354573">
      <w:pPr>
        <w:spacing w:after="200" w:line="276" w:lineRule="auto"/>
        <w:rPr>
          <w:rFonts w:cs="Arial"/>
          <w:bCs/>
          <w:sz w:val="22"/>
          <w:szCs w:val="19"/>
        </w:rPr>
      </w:pPr>
      <w:r>
        <w:br w:type="page"/>
      </w:r>
    </w:p>
    <w:p w14:paraId="33249724" w14:textId="5BCBB26E" w:rsidR="006016B9" w:rsidRPr="0087752B" w:rsidRDefault="006016B9" w:rsidP="000519EF">
      <w:pPr>
        <w:pStyle w:val="Heading3"/>
      </w:pPr>
      <w:r w:rsidRPr="0087752B">
        <w:lastRenderedPageBreak/>
        <w:t>Support Services Delivery</w:t>
      </w:r>
    </w:p>
    <w:p w14:paraId="1DC71965" w14:textId="77777777" w:rsidR="006016B9" w:rsidRPr="0087752B" w:rsidRDefault="006016B9" w:rsidP="006016B9">
      <w:r w:rsidRPr="0087752B">
        <w:t>The Support Services Delivery output group covers the Department’s Regional Services Group and provides student welfare and support, student transport (excluding transport for special needs students) and health services. This output group contributes towards providing and improving services to support all the Department’s objectives of Achievement, Engagement, Wellbeing and Productivity.</w:t>
      </w:r>
    </w:p>
    <w:p w14:paraId="7A25FEF2" w14:textId="77777777" w:rsidR="006016B9" w:rsidRPr="0087752B" w:rsidRDefault="006016B9" w:rsidP="006016B9">
      <w:r w:rsidRPr="0087752B">
        <w:t>Except where indicated, these performance measures relate to the 2015 calendar year rather than the 2015–16 financial year.</w:t>
      </w:r>
    </w:p>
    <w:tbl>
      <w:tblPr>
        <w:tblW w:w="5000" w:type="pct"/>
        <w:tblLayout w:type="fixed"/>
        <w:tblCellMar>
          <w:left w:w="45" w:type="dxa"/>
          <w:right w:w="45" w:type="dxa"/>
        </w:tblCellMar>
        <w:tblLook w:val="0000" w:firstRow="0" w:lastRow="0" w:firstColumn="0" w:lastColumn="0" w:noHBand="0" w:noVBand="0"/>
      </w:tblPr>
      <w:tblGrid>
        <w:gridCol w:w="472"/>
        <w:gridCol w:w="1843"/>
        <w:gridCol w:w="1558"/>
        <w:gridCol w:w="850"/>
        <w:gridCol w:w="146"/>
        <w:gridCol w:w="562"/>
        <w:gridCol w:w="683"/>
        <w:gridCol w:w="734"/>
        <w:gridCol w:w="612"/>
      </w:tblGrid>
      <w:tr w:rsidR="006016B9" w:rsidRPr="0087752B" w14:paraId="04159673" w14:textId="77777777" w:rsidTr="000519EF">
        <w:trPr>
          <w:cantSplit/>
          <w:tblHeader/>
        </w:trPr>
        <w:tc>
          <w:tcPr>
            <w:tcW w:w="2595" w:type="pct"/>
            <w:gridSpan w:val="3"/>
            <w:shd w:val="clear" w:color="auto" w:fill="7F7F7F" w:themeFill="text1" w:themeFillTint="80"/>
          </w:tcPr>
          <w:p w14:paraId="1EB28027" w14:textId="77777777" w:rsidR="006016B9" w:rsidRPr="0087752B" w:rsidRDefault="006016B9" w:rsidP="000519EF">
            <w:pPr>
              <w:pStyle w:val="DETTablecolumnheading"/>
              <w:jc w:val="left"/>
            </w:pPr>
            <w:r w:rsidRPr="0087752B">
              <w:t>Performance measures</w:t>
            </w:r>
          </w:p>
        </w:tc>
        <w:tc>
          <w:tcPr>
            <w:tcW w:w="570" w:type="pct"/>
            <w:shd w:val="clear" w:color="auto" w:fill="7F7F7F" w:themeFill="text1" w:themeFillTint="80"/>
          </w:tcPr>
          <w:p w14:paraId="40EB23EC" w14:textId="77777777" w:rsidR="006016B9" w:rsidRPr="0087752B" w:rsidRDefault="006016B9" w:rsidP="000519EF">
            <w:pPr>
              <w:pStyle w:val="DETTablecolumnheading"/>
            </w:pPr>
            <w:r w:rsidRPr="0087752B">
              <w:t>Unit of measure</w:t>
            </w:r>
          </w:p>
        </w:tc>
        <w:tc>
          <w:tcPr>
            <w:tcW w:w="475" w:type="pct"/>
            <w:gridSpan w:val="2"/>
            <w:shd w:val="clear" w:color="auto" w:fill="7F7F7F" w:themeFill="text1" w:themeFillTint="80"/>
          </w:tcPr>
          <w:p w14:paraId="17CDE0B7" w14:textId="64367C80" w:rsidR="006016B9" w:rsidRPr="0087752B" w:rsidRDefault="00EB2ECF" w:rsidP="000519EF">
            <w:pPr>
              <w:pStyle w:val="DETTablecolumnheading"/>
              <w:rPr>
                <w:sz w:val="15"/>
                <w:szCs w:val="15"/>
              </w:rPr>
            </w:pPr>
            <w:r>
              <w:rPr>
                <w:sz w:val="15"/>
                <w:szCs w:val="15"/>
              </w:rPr>
              <w:t>2015–16</w:t>
            </w:r>
            <w:r w:rsidR="006016B9" w:rsidRPr="0087752B">
              <w:rPr>
                <w:sz w:val="15"/>
                <w:szCs w:val="15"/>
              </w:rPr>
              <w:t xml:space="preserve"> Target</w:t>
            </w:r>
          </w:p>
        </w:tc>
        <w:tc>
          <w:tcPr>
            <w:tcW w:w="458" w:type="pct"/>
            <w:shd w:val="clear" w:color="auto" w:fill="7F7F7F" w:themeFill="text1" w:themeFillTint="80"/>
          </w:tcPr>
          <w:p w14:paraId="50328700" w14:textId="19DFB93C" w:rsidR="006016B9" w:rsidRPr="0087752B" w:rsidRDefault="00EB2ECF" w:rsidP="000519EF">
            <w:pPr>
              <w:pStyle w:val="DETTablecolumnheading"/>
              <w:rPr>
                <w:sz w:val="15"/>
                <w:szCs w:val="15"/>
              </w:rPr>
            </w:pPr>
            <w:r>
              <w:rPr>
                <w:sz w:val="15"/>
                <w:szCs w:val="15"/>
              </w:rPr>
              <w:t>2015–16</w:t>
            </w:r>
            <w:r w:rsidR="006016B9" w:rsidRPr="0087752B">
              <w:rPr>
                <w:sz w:val="15"/>
                <w:szCs w:val="15"/>
              </w:rPr>
              <w:t xml:space="preserve"> Actual</w:t>
            </w:r>
          </w:p>
        </w:tc>
        <w:tc>
          <w:tcPr>
            <w:tcW w:w="492" w:type="pct"/>
            <w:shd w:val="clear" w:color="auto" w:fill="7F7F7F" w:themeFill="text1" w:themeFillTint="80"/>
          </w:tcPr>
          <w:p w14:paraId="3D71DF85" w14:textId="77777777" w:rsidR="006016B9" w:rsidRPr="0087752B" w:rsidRDefault="006016B9" w:rsidP="000519EF">
            <w:pPr>
              <w:pStyle w:val="DETTablecolumnheading"/>
              <w:rPr>
                <w:sz w:val="15"/>
                <w:szCs w:val="15"/>
              </w:rPr>
            </w:pPr>
            <w:r w:rsidRPr="0087752B">
              <w:rPr>
                <w:sz w:val="15"/>
                <w:szCs w:val="15"/>
              </w:rPr>
              <w:t>% variation</w:t>
            </w:r>
          </w:p>
        </w:tc>
        <w:tc>
          <w:tcPr>
            <w:tcW w:w="410" w:type="pct"/>
            <w:shd w:val="clear" w:color="auto" w:fill="7F7F7F" w:themeFill="text1" w:themeFillTint="80"/>
          </w:tcPr>
          <w:p w14:paraId="5498C6F5" w14:textId="77777777" w:rsidR="006016B9" w:rsidRPr="0087752B" w:rsidRDefault="006016B9" w:rsidP="000519EF">
            <w:pPr>
              <w:pStyle w:val="DETTablecolumnheading"/>
            </w:pPr>
            <w:r w:rsidRPr="0087752B">
              <w:t>Result</w:t>
            </w:r>
          </w:p>
        </w:tc>
      </w:tr>
      <w:tr w:rsidR="006016B9" w:rsidRPr="0087752B" w14:paraId="7526E806" w14:textId="77777777" w:rsidTr="006016B9">
        <w:tblPrEx>
          <w:tblBorders>
            <w:bottom w:val="single" w:sz="12" w:space="0" w:color="777777"/>
          </w:tblBorders>
        </w:tblPrEx>
        <w:trPr>
          <w:cantSplit/>
        </w:trPr>
        <w:tc>
          <w:tcPr>
            <w:tcW w:w="5000" w:type="pct"/>
            <w:gridSpan w:val="9"/>
            <w:tcBorders>
              <w:top w:val="nil"/>
              <w:bottom w:val="nil"/>
            </w:tcBorders>
            <w:shd w:val="clear" w:color="auto" w:fill="auto"/>
            <w:vAlign w:val="center"/>
          </w:tcPr>
          <w:p w14:paraId="4B396D67" w14:textId="77777777" w:rsidR="006016B9" w:rsidRPr="0087752B" w:rsidRDefault="006016B9" w:rsidP="000519EF">
            <w:pPr>
              <w:pStyle w:val="DETTableTextFinancial"/>
              <w:rPr>
                <w:b/>
              </w:rPr>
            </w:pPr>
            <w:r w:rsidRPr="0087752B">
              <w:rPr>
                <w:b/>
              </w:rPr>
              <w:t>Quantity</w:t>
            </w:r>
          </w:p>
        </w:tc>
      </w:tr>
      <w:tr w:rsidR="006016B9" w:rsidRPr="0087752B" w14:paraId="0BB4180C" w14:textId="77777777" w:rsidTr="006016B9">
        <w:trPr>
          <w:cantSplit/>
        </w:trPr>
        <w:tc>
          <w:tcPr>
            <w:tcW w:w="2595" w:type="pct"/>
            <w:gridSpan w:val="3"/>
            <w:shd w:val="clear" w:color="auto" w:fill="auto"/>
            <w:vAlign w:val="center"/>
          </w:tcPr>
          <w:p w14:paraId="70A025B0" w14:textId="77777777" w:rsidR="006016B9" w:rsidRPr="0087752B" w:rsidRDefault="006016B9" w:rsidP="000519EF">
            <w:pPr>
              <w:pStyle w:val="DETTableTextFinancial"/>
            </w:pPr>
            <w:r w:rsidRPr="0087752B">
              <w:t>Investment in student welfare and support</w:t>
            </w:r>
          </w:p>
        </w:tc>
        <w:tc>
          <w:tcPr>
            <w:tcW w:w="570" w:type="pct"/>
            <w:shd w:val="clear" w:color="auto" w:fill="auto"/>
          </w:tcPr>
          <w:p w14:paraId="4AD2C65A" w14:textId="77777777" w:rsidR="006016B9" w:rsidRPr="0087752B" w:rsidRDefault="006016B9" w:rsidP="000519EF">
            <w:pPr>
              <w:pStyle w:val="DETTableTextFinancial"/>
            </w:pPr>
            <w:r w:rsidRPr="0087752B">
              <w:t>$ million</w:t>
            </w:r>
          </w:p>
        </w:tc>
        <w:tc>
          <w:tcPr>
            <w:tcW w:w="475" w:type="pct"/>
            <w:gridSpan w:val="2"/>
            <w:shd w:val="clear" w:color="auto" w:fill="auto"/>
          </w:tcPr>
          <w:p w14:paraId="13103673" w14:textId="77777777" w:rsidR="006016B9" w:rsidRPr="0087752B" w:rsidRDefault="006016B9" w:rsidP="000519EF">
            <w:pPr>
              <w:pStyle w:val="DETTableTextFinancial"/>
              <w:jc w:val="right"/>
            </w:pPr>
            <w:r w:rsidRPr="0087752B">
              <w:t>261.5</w:t>
            </w:r>
          </w:p>
        </w:tc>
        <w:tc>
          <w:tcPr>
            <w:tcW w:w="458" w:type="pct"/>
            <w:shd w:val="clear" w:color="auto" w:fill="auto"/>
          </w:tcPr>
          <w:p w14:paraId="7005A5C1" w14:textId="7F668C3B" w:rsidR="006016B9" w:rsidRPr="007C7287" w:rsidRDefault="007C7287" w:rsidP="000519EF">
            <w:pPr>
              <w:pStyle w:val="DETTableTextFinancial"/>
              <w:jc w:val="right"/>
            </w:pPr>
            <w:r w:rsidRPr="007C7287">
              <w:t>301.9</w:t>
            </w:r>
          </w:p>
        </w:tc>
        <w:tc>
          <w:tcPr>
            <w:tcW w:w="492" w:type="pct"/>
          </w:tcPr>
          <w:p w14:paraId="23B4BDFF" w14:textId="75150F7B" w:rsidR="006016B9" w:rsidRPr="007C7287" w:rsidRDefault="007C7287" w:rsidP="000519EF">
            <w:pPr>
              <w:pStyle w:val="DETTableTextFinancial"/>
              <w:jc w:val="right"/>
            </w:pPr>
            <w:r w:rsidRPr="007C7287">
              <w:t>15.5</w:t>
            </w:r>
          </w:p>
        </w:tc>
        <w:tc>
          <w:tcPr>
            <w:tcW w:w="410" w:type="pct"/>
          </w:tcPr>
          <w:p w14:paraId="67E9B43B" w14:textId="0345D756" w:rsidR="006016B9" w:rsidRPr="0087752B" w:rsidRDefault="00564733" w:rsidP="00564733">
            <w:pPr>
              <w:pStyle w:val="DETTableTextFinancial"/>
              <w:jc w:val="right"/>
              <w:rPr>
                <w:highlight w:val="yellow"/>
              </w:rPr>
            </w:pPr>
            <w:r w:rsidRPr="005C767D">
              <w:sym w:font="Wingdings" w:char="F0FB"/>
            </w:r>
          </w:p>
        </w:tc>
      </w:tr>
      <w:tr w:rsidR="006016B9" w:rsidRPr="0087752B" w14:paraId="27553CCB" w14:textId="77777777" w:rsidTr="006016B9">
        <w:tblPrEx>
          <w:tblBorders>
            <w:bottom w:val="single" w:sz="12" w:space="0" w:color="777777"/>
          </w:tblBorders>
        </w:tblPrEx>
        <w:trPr>
          <w:cantSplit/>
        </w:trPr>
        <w:tc>
          <w:tcPr>
            <w:tcW w:w="5000" w:type="pct"/>
            <w:gridSpan w:val="9"/>
            <w:shd w:val="clear" w:color="auto" w:fill="auto"/>
            <w:vAlign w:val="center"/>
          </w:tcPr>
          <w:p w14:paraId="170B4B52" w14:textId="1EDB265A" w:rsidR="006016B9" w:rsidRPr="007C7287" w:rsidRDefault="007C7287" w:rsidP="007C7287">
            <w:pPr>
              <w:pStyle w:val="DETTableTextFinancial"/>
              <w:rPr>
                <w:rFonts w:ascii="Calibri" w:eastAsia="Times New Roman" w:hAnsi="Calibri"/>
                <w:color w:val="000000"/>
                <w:sz w:val="18"/>
                <w:szCs w:val="18"/>
              </w:rPr>
            </w:pPr>
            <w:r>
              <w:rPr>
                <w:i/>
              </w:rPr>
              <w:t>The 2015–</w:t>
            </w:r>
            <w:r w:rsidRPr="007C7287">
              <w:rPr>
                <w:i/>
              </w:rPr>
              <w:t>16</w:t>
            </w:r>
            <w:r>
              <w:rPr>
                <w:i/>
              </w:rPr>
              <w:t xml:space="preserve"> Actual is higher than the 2015–</w:t>
            </w:r>
            <w:r w:rsidRPr="007C7287">
              <w:rPr>
                <w:i/>
              </w:rPr>
              <w:t>16 Target primarily due to the timing in delivery of programs such as the Camps, Sports and Excursion Fund.</w:t>
            </w:r>
          </w:p>
        </w:tc>
      </w:tr>
      <w:tr w:rsidR="006016B9" w:rsidRPr="0087752B" w14:paraId="784125A5" w14:textId="77777777" w:rsidTr="006016B9">
        <w:trPr>
          <w:cantSplit/>
        </w:trPr>
        <w:tc>
          <w:tcPr>
            <w:tcW w:w="2595" w:type="pct"/>
            <w:gridSpan w:val="3"/>
            <w:shd w:val="clear" w:color="auto" w:fill="auto"/>
            <w:vAlign w:val="center"/>
          </w:tcPr>
          <w:p w14:paraId="0C09ED79" w14:textId="77777777" w:rsidR="006016B9" w:rsidRPr="0087752B" w:rsidRDefault="006016B9" w:rsidP="000519EF">
            <w:pPr>
              <w:pStyle w:val="DETTableTextFinancial"/>
            </w:pPr>
            <w:r w:rsidRPr="0087752B">
              <w:t>Investment in travelling allowances and transport support (not including special needs students)</w:t>
            </w:r>
          </w:p>
        </w:tc>
        <w:tc>
          <w:tcPr>
            <w:tcW w:w="570" w:type="pct"/>
            <w:shd w:val="clear" w:color="auto" w:fill="auto"/>
          </w:tcPr>
          <w:p w14:paraId="73E7F77F" w14:textId="77777777" w:rsidR="006016B9" w:rsidRPr="0087752B" w:rsidRDefault="006016B9" w:rsidP="000519EF">
            <w:pPr>
              <w:pStyle w:val="DETTableTextFinancial"/>
            </w:pPr>
            <w:r w:rsidRPr="0087752B">
              <w:t>$ million</w:t>
            </w:r>
          </w:p>
        </w:tc>
        <w:tc>
          <w:tcPr>
            <w:tcW w:w="475" w:type="pct"/>
            <w:gridSpan w:val="2"/>
            <w:shd w:val="clear" w:color="auto" w:fill="auto"/>
          </w:tcPr>
          <w:p w14:paraId="250EBA59" w14:textId="77777777" w:rsidR="006016B9" w:rsidRPr="0087752B" w:rsidRDefault="006016B9" w:rsidP="000519EF">
            <w:pPr>
              <w:pStyle w:val="DETTableTextFinancial"/>
              <w:jc w:val="right"/>
            </w:pPr>
            <w:r w:rsidRPr="0087752B">
              <w:t>44.3</w:t>
            </w:r>
          </w:p>
        </w:tc>
        <w:tc>
          <w:tcPr>
            <w:tcW w:w="458" w:type="pct"/>
            <w:shd w:val="clear" w:color="auto" w:fill="auto"/>
          </w:tcPr>
          <w:p w14:paraId="410FC1DF" w14:textId="133E7408" w:rsidR="006016B9" w:rsidRPr="006C32D4" w:rsidRDefault="006C32D4" w:rsidP="000519EF">
            <w:pPr>
              <w:pStyle w:val="DETTableTextFinancial"/>
              <w:jc w:val="right"/>
            </w:pPr>
            <w:r w:rsidRPr="006C32D4">
              <w:t>41.0</w:t>
            </w:r>
          </w:p>
        </w:tc>
        <w:tc>
          <w:tcPr>
            <w:tcW w:w="492" w:type="pct"/>
          </w:tcPr>
          <w:p w14:paraId="148D642D" w14:textId="3C429FF2" w:rsidR="006016B9" w:rsidRPr="006C32D4" w:rsidRDefault="006C32D4" w:rsidP="000519EF">
            <w:pPr>
              <w:pStyle w:val="DETTableTextFinancial"/>
              <w:jc w:val="right"/>
            </w:pPr>
            <w:r w:rsidRPr="006C32D4">
              <w:t>-7.5</w:t>
            </w:r>
          </w:p>
        </w:tc>
        <w:tc>
          <w:tcPr>
            <w:tcW w:w="410" w:type="pct"/>
          </w:tcPr>
          <w:p w14:paraId="0F48D5DD" w14:textId="50103B1C" w:rsidR="006016B9" w:rsidRPr="0087752B" w:rsidRDefault="00564733" w:rsidP="000519EF">
            <w:pPr>
              <w:pStyle w:val="DETTableTextFinancial"/>
              <w:jc w:val="right"/>
              <w:rPr>
                <w:highlight w:val="yellow"/>
              </w:rPr>
            </w:pPr>
            <w:r w:rsidRPr="005C767D">
              <w:sym w:font="Wingdings" w:char="F0FC"/>
            </w:r>
          </w:p>
        </w:tc>
      </w:tr>
      <w:tr w:rsidR="006016B9" w:rsidRPr="0087752B" w14:paraId="2FD9FC31" w14:textId="77777777" w:rsidTr="006016B9">
        <w:tblPrEx>
          <w:tblBorders>
            <w:bottom w:val="single" w:sz="12" w:space="0" w:color="777777"/>
          </w:tblBorders>
        </w:tblPrEx>
        <w:trPr>
          <w:cantSplit/>
        </w:trPr>
        <w:tc>
          <w:tcPr>
            <w:tcW w:w="5000" w:type="pct"/>
            <w:gridSpan w:val="9"/>
            <w:shd w:val="clear" w:color="auto" w:fill="auto"/>
            <w:vAlign w:val="center"/>
          </w:tcPr>
          <w:p w14:paraId="764E2B24" w14:textId="0E1F8D9B" w:rsidR="006016B9" w:rsidRPr="006C32D4" w:rsidRDefault="006C32D4" w:rsidP="006C32D4">
            <w:pPr>
              <w:pStyle w:val="DETTableTextFinancial"/>
              <w:rPr>
                <w:rFonts w:ascii="Calibri" w:eastAsia="Times New Roman" w:hAnsi="Calibri"/>
                <w:color w:val="000000"/>
                <w:sz w:val="18"/>
                <w:szCs w:val="18"/>
              </w:rPr>
            </w:pPr>
            <w:r w:rsidRPr="006C32D4">
              <w:rPr>
                <w:i/>
              </w:rPr>
              <w:t xml:space="preserve">The </w:t>
            </w:r>
            <w:r>
              <w:rPr>
                <w:i/>
              </w:rPr>
              <w:t>2015–</w:t>
            </w:r>
            <w:r w:rsidRPr="006C32D4">
              <w:rPr>
                <w:i/>
              </w:rPr>
              <w:t>1</w:t>
            </w:r>
            <w:r>
              <w:rPr>
                <w:i/>
              </w:rPr>
              <w:t>6 Actual is lower than the 2015–</w:t>
            </w:r>
            <w:r w:rsidRPr="006C32D4">
              <w:rPr>
                <w:i/>
              </w:rPr>
              <w:t>16 Target due to schools using an online application system which has enabled greater accuracy for determining the number of eligible students.</w:t>
            </w:r>
          </w:p>
        </w:tc>
      </w:tr>
      <w:tr w:rsidR="006016B9" w:rsidRPr="0087752B" w14:paraId="0DE8DC0D" w14:textId="77777777" w:rsidTr="006016B9">
        <w:trPr>
          <w:cantSplit/>
        </w:trPr>
        <w:tc>
          <w:tcPr>
            <w:tcW w:w="2595" w:type="pct"/>
            <w:gridSpan w:val="3"/>
            <w:shd w:val="clear" w:color="auto" w:fill="auto"/>
            <w:vAlign w:val="center"/>
          </w:tcPr>
          <w:p w14:paraId="58AC9DDE" w14:textId="77777777" w:rsidR="006016B9" w:rsidRPr="0087752B" w:rsidRDefault="006016B9" w:rsidP="000519EF">
            <w:pPr>
              <w:pStyle w:val="DETTableTextFinancial"/>
            </w:pPr>
            <w:r w:rsidRPr="0087752B">
              <w:t>Prep-aged students assessed by school nurses</w:t>
            </w:r>
          </w:p>
        </w:tc>
        <w:tc>
          <w:tcPr>
            <w:tcW w:w="570" w:type="pct"/>
            <w:shd w:val="clear" w:color="auto" w:fill="auto"/>
          </w:tcPr>
          <w:p w14:paraId="71314515" w14:textId="77777777" w:rsidR="006016B9" w:rsidRPr="0087752B" w:rsidRDefault="006016B9" w:rsidP="000519EF">
            <w:pPr>
              <w:pStyle w:val="DETTableTextFinancial"/>
            </w:pPr>
            <w:r w:rsidRPr="0087752B">
              <w:t>number</w:t>
            </w:r>
          </w:p>
        </w:tc>
        <w:tc>
          <w:tcPr>
            <w:tcW w:w="475" w:type="pct"/>
            <w:gridSpan w:val="2"/>
            <w:shd w:val="clear" w:color="auto" w:fill="auto"/>
          </w:tcPr>
          <w:p w14:paraId="0A342500" w14:textId="77777777" w:rsidR="006016B9" w:rsidRPr="0087752B" w:rsidRDefault="006016B9" w:rsidP="000519EF">
            <w:pPr>
              <w:pStyle w:val="DETTableTextFinancial"/>
              <w:jc w:val="right"/>
            </w:pPr>
            <w:r w:rsidRPr="0087752B">
              <w:t>57,500</w:t>
            </w:r>
          </w:p>
        </w:tc>
        <w:tc>
          <w:tcPr>
            <w:tcW w:w="458" w:type="pct"/>
            <w:shd w:val="clear" w:color="auto" w:fill="auto"/>
          </w:tcPr>
          <w:p w14:paraId="0D7C39E9" w14:textId="77777777" w:rsidR="006016B9" w:rsidRPr="0087752B" w:rsidRDefault="006016B9" w:rsidP="000519EF">
            <w:pPr>
              <w:pStyle w:val="DETTableTextFinancial"/>
              <w:jc w:val="right"/>
            </w:pPr>
            <w:r w:rsidRPr="0087752B">
              <w:t>63,330</w:t>
            </w:r>
          </w:p>
        </w:tc>
        <w:tc>
          <w:tcPr>
            <w:tcW w:w="492" w:type="pct"/>
          </w:tcPr>
          <w:p w14:paraId="71C64901" w14:textId="77777777" w:rsidR="006016B9" w:rsidRPr="0087752B" w:rsidRDefault="006016B9" w:rsidP="000519EF">
            <w:pPr>
              <w:pStyle w:val="DETTableTextFinancial"/>
              <w:jc w:val="right"/>
            </w:pPr>
            <w:r w:rsidRPr="0087752B">
              <w:t>10.1</w:t>
            </w:r>
          </w:p>
        </w:tc>
        <w:tc>
          <w:tcPr>
            <w:tcW w:w="410" w:type="pct"/>
          </w:tcPr>
          <w:p w14:paraId="5EEB8F64" w14:textId="77777777" w:rsidR="006016B9" w:rsidRPr="005C767D" w:rsidRDefault="006016B9" w:rsidP="000519EF">
            <w:pPr>
              <w:jc w:val="right"/>
            </w:pPr>
            <w:r w:rsidRPr="005C767D">
              <w:sym w:font="Wingdings" w:char="F0FC"/>
            </w:r>
          </w:p>
        </w:tc>
      </w:tr>
      <w:tr w:rsidR="006016B9" w:rsidRPr="0087752B" w14:paraId="0A72B48A" w14:textId="77777777" w:rsidTr="006016B9">
        <w:tblPrEx>
          <w:tblBorders>
            <w:bottom w:val="single" w:sz="12" w:space="0" w:color="777777"/>
          </w:tblBorders>
        </w:tblPrEx>
        <w:trPr>
          <w:cantSplit/>
        </w:trPr>
        <w:tc>
          <w:tcPr>
            <w:tcW w:w="5000" w:type="pct"/>
            <w:gridSpan w:val="9"/>
            <w:shd w:val="clear" w:color="auto" w:fill="auto"/>
            <w:vAlign w:val="center"/>
          </w:tcPr>
          <w:p w14:paraId="394EA7B4" w14:textId="77777777" w:rsidR="006016B9" w:rsidRPr="0087752B" w:rsidRDefault="006016B9" w:rsidP="000519EF">
            <w:pPr>
              <w:pStyle w:val="DETTableTextFinancial"/>
              <w:rPr>
                <w:i/>
              </w:rPr>
            </w:pPr>
            <w:r w:rsidRPr="0087752B">
              <w:rPr>
                <w:i/>
              </w:rPr>
              <w:t xml:space="preserve">This performance measure includes government and non-government schools. </w:t>
            </w:r>
          </w:p>
          <w:p w14:paraId="19847B16" w14:textId="77777777" w:rsidR="006016B9" w:rsidRPr="0087752B" w:rsidRDefault="006016B9" w:rsidP="000519EF">
            <w:pPr>
              <w:pStyle w:val="DETTableTextFinancial"/>
              <w:rPr>
                <w:i/>
              </w:rPr>
            </w:pPr>
            <w:r w:rsidRPr="0087752B">
              <w:rPr>
                <w:i/>
              </w:rPr>
              <w:t>The 2015–16 Actual is higher than the 2015–16 target due to population growth and increased demand on services of the Primary School Nursing Program.</w:t>
            </w:r>
          </w:p>
        </w:tc>
      </w:tr>
      <w:tr w:rsidR="006016B9" w:rsidRPr="0087752B" w14:paraId="5A66EAC2" w14:textId="77777777" w:rsidTr="006016B9">
        <w:trPr>
          <w:cantSplit/>
        </w:trPr>
        <w:tc>
          <w:tcPr>
            <w:tcW w:w="2595" w:type="pct"/>
            <w:gridSpan w:val="3"/>
            <w:shd w:val="clear" w:color="auto" w:fill="auto"/>
            <w:vAlign w:val="center"/>
          </w:tcPr>
          <w:p w14:paraId="6D84D8CA" w14:textId="77777777" w:rsidR="006016B9" w:rsidRPr="0087752B" w:rsidRDefault="006016B9" w:rsidP="000519EF">
            <w:pPr>
              <w:pStyle w:val="DETTableTextFinancial"/>
            </w:pPr>
            <w:r w:rsidRPr="0087752B">
              <w:t>School students (government) supported by conveyance allowance</w:t>
            </w:r>
          </w:p>
        </w:tc>
        <w:tc>
          <w:tcPr>
            <w:tcW w:w="570" w:type="pct"/>
            <w:shd w:val="clear" w:color="auto" w:fill="auto"/>
          </w:tcPr>
          <w:p w14:paraId="1C7DA23D" w14:textId="77777777" w:rsidR="006016B9" w:rsidRPr="0087752B" w:rsidRDefault="006016B9" w:rsidP="000519EF">
            <w:pPr>
              <w:pStyle w:val="DETTableTextFinancial"/>
            </w:pPr>
            <w:r w:rsidRPr="0087752B">
              <w:t>number</w:t>
            </w:r>
          </w:p>
        </w:tc>
        <w:tc>
          <w:tcPr>
            <w:tcW w:w="475" w:type="pct"/>
            <w:gridSpan w:val="2"/>
            <w:shd w:val="clear" w:color="auto" w:fill="auto"/>
          </w:tcPr>
          <w:p w14:paraId="1AC5C485" w14:textId="4AA30BF2" w:rsidR="006016B9" w:rsidRPr="0087752B" w:rsidRDefault="006016B9" w:rsidP="000519EF">
            <w:pPr>
              <w:pStyle w:val="DETTableTextFinancial"/>
              <w:jc w:val="right"/>
            </w:pPr>
            <w:r w:rsidRPr="0087752B">
              <w:t>9</w:t>
            </w:r>
            <w:r w:rsidR="0098653C" w:rsidRPr="0087752B">
              <w:t>,</w:t>
            </w:r>
            <w:r w:rsidRPr="0087752B">
              <w:t>700</w:t>
            </w:r>
          </w:p>
        </w:tc>
        <w:tc>
          <w:tcPr>
            <w:tcW w:w="458" w:type="pct"/>
            <w:shd w:val="clear" w:color="auto" w:fill="auto"/>
          </w:tcPr>
          <w:p w14:paraId="3010EB4C" w14:textId="5406BAA0" w:rsidR="006016B9" w:rsidRPr="0087752B" w:rsidRDefault="006016B9" w:rsidP="000519EF">
            <w:pPr>
              <w:pStyle w:val="DETTableTextFinancial"/>
              <w:jc w:val="right"/>
            </w:pPr>
            <w:r w:rsidRPr="0087752B">
              <w:t>9</w:t>
            </w:r>
            <w:r w:rsidR="0098653C" w:rsidRPr="0087752B">
              <w:t>,</w:t>
            </w:r>
            <w:r w:rsidRPr="0087752B">
              <w:t>503</w:t>
            </w:r>
          </w:p>
        </w:tc>
        <w:tc>
          <w:tcPr>
            <w:tcW w:w="492" w:type="pct"/>
          </w:tcPr>
          <w:p w14:paraId="141F994E" w14:textId="77777777" w:rsidR="006016B9" w:rsidRPr="0087752B" w:rsidRDefault="006016B9" w:rsidP="000519EF">
            <w:pPr>
              <w:pStyle w:val="DETTableTextFinancial"/>
              <w:jc w:val="right"/>
            </w:pPr>
            <w:r w:rsidRPr="0087752B">
              <w:t>-2.0</w:t>
            </w:r>
          </w:p>
        </w:tc>
        <w:tc>
          <w:tcPr>
            <w:tcW w:w="410" w:type="pct"/>
          </w:tcPr>
          <w:p w14:paraId="1B48FEE2" w14:textId="77777777" w:rsidR="006016B9" w:rsidRPr="005C767D" w:rsidRDefault="006016B9" w:rsidP="000519EF">
            <w:pPr>
              <w:jc w:val="right"/>
            </w:pPr>
            <w:r w:rsidRPr="005C767D">
              <w:sym w:font="Wingdings" w:char="F06E"/>
            </w:r>
          </w:p>
        </w:tc>
      </w:tr>
      <w:tr w:rsidR="006016B9" w:rsidRPr="0087752B" w14:paraId="3F91F816"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3948F955" w14:textId="77777777" w:rsidR="006016B9" w:rsidRPr="0087752B" w:rsidRDefault="006016B9" w:rsidP="000519EF">
            <w:pPr>
              <w:pStyle w:val="DETTableTextFinancial"/>
              <w:rPr>
                <w:i/>
              </w:rPr>
            </w:pPr>
            <w:r w:rsidRPr="0087752B">
              <w:rPr>
                <w:i/>
              </w:rPr>
              <w:t xml:space="preserve">The 2015–16 Actual is marginally lower than the 2015–16 Target due to schools using an online application system which has enabled greater accuracy for determining the number of eligible students. </w:t>
            </w:r>
          </w:p>
        </w:tc>
      </w:tr>
      <w:tr w:rsidR="006016B9" w:rsidRPr="0087752B" w14:paraId="247DF1A6" w14:textId="77777777" w:rsidTr="006016B9">
        <w:trPr>
          <w:cantSplit/>
        </w:trPr>
        <w:tc>
          <w:tcPr>
            <w:tcW w:w="2595" w:type="pct"/>
            <w:gridSpan w:val="3"/>
            <w:shd w:val="clear" w:color="auto" w:fill="auto"/>
            <w:vAlign w:val="center"/>
          </w:tcPr>
          <w:p w14:paraId="5DE74566" w14:textId="77777777" w:rsidR="006016B9" w:rsidRPr="0087752B" w:rsidRDefault="006016B9" w:rsidP="000519EF">
            <w:pPr>
              <w:pStyle w:val="DETTableTextFinancial"/>
            </w:pPr>
            <w:r w:rsidRPr="0087752B">
              <w:t>School students (non-government) supported by conveyance allowance</w:t>
            </w:r>
          </w:p>
        </w:tc>
        <w:tc>
          <w:tcPr>
            <w:tcW w:w="570" w:type="pct"/>
            <w:shd w:val="clear" w:color="auto" w:fill="auto"/>
          </w:tcPr>
          <w:p w14:paraId="0C5E38FE" w14:textId="77777777" w:rsidR="006016B9" w:rsidRPr="0087752B" w:rsidRDefault="006016B9" w:rsidP="000519EF">
            <w:pPr>
              <w:pStyle w:val="DETTableTextFinancial"/>
            </w:pPr>
            <w:r w:rsidRPr="0087752B">
              <w:t>number</w:t>
            </w:r>
          </w:p>
        </w:tc>
        <w:tc>
          <w:tcPr>
            <w:tcW w:w="475" w:type="pct"/>
            <w:gridSpan w:val="2"/>
            <w:shd w:val="clear" w:color="auto" w:fill="auto"/>
          </w:tcPr>
          <w:p w14:paraId="15BD2112" w14:textId="77777777" w:rsidR="006016B9" w:rsidRPr="0087752B" w:rsidRDefault="006016B9" w:rsidP="000519EF">
            <w:pPr>
              <w:pStyle w:val="DETTableTextFinancial"/>
              <w:jc w:val="right"/>
            </w:pPr>
            <w:r w:rsidRPr="0087752B">
              <w:t>30,000</w:t>
            </w:r>
          </w:p>
        </w:tc>
        <w:tc>
          <w:tcPr>
            <w:tcW w:w="458" w:type="pct"/>
            <w:shd w:val="clear" w:color="auto" w:fill="auto"/>
          </w:tcPr>
          <w:p w14:paraId="13AA7D3E" w14:textId="77777777" w:rsidR="006016B9" w:rsidRPr="0087752B" w:rsidRDefault="006016B9" w:rsidP="000519EF">
            <w:pPr>
              <w:pStyle w:val="DETTableTextFinancial"/>
              <w:jc w:val="right"/>
            </w:pPr>
            <w:r w:rsidRPr="0087752B">
              <w:t>29,990</w:t>
            </w:r>
          </w:p>
        </w:tc>
        <w:tc>
          <w:tcPr>
            <w:tcW w:w="492" w:type="pct"/>
          </w:tcPr>
          <w:p w14:paraId="0E9374DD" w14:textId="77777777" w:rsidR="006016B9" w:rsidRPr="0087752B" w:rsidRDefault="006016B9" w:rsidP="000519EF">
            <w:pPr>
              <w:pStyle w:val="DETTableTextFinancial"/>
              <w:jc w:val="right"/>
            </w:pPr>
            <w:r w:rsidRPr="0087752B">
              <w:t>0.0</w:t>
            </w:r>
          </w:p>
        </w:tc>
        <w:tc>
          <w:tcPr>
            <w:tcW w:w="410" w:type="pct"/>
          </w:tcPr>
          <w:p w14:paraId="49F704BF" w14:textId="77777777" w:rsidR="006016B9" w:rsidRPr="005C767D" w:rsidRDefault="006016B9" w:rsidP="000519EF">
            <w:pPr>
              <w:jc w:val="right"/>
            </w:pPr>
            <w:r w:rsidRPr="005C767D">
              <w:sym w:font="Wingdings" w:char="F06E"/>
            </w:r>
          </w:p>
        </w:tc>
      </w:tr>
      <w:tr w:rsidR="006016B9" w:rsidRPr="0087752B" w14:paraId="7F5808F5" w14:textId="77777777" w:rsidTr="006016B9">
        <w:tblPrEx>
          <w:tblBorders>
            <w:bottom w:val="single" w:sz="12" w:space="0" w:color="777777"/>
          </w:tblBorders>
        </w:tblPrEx>
        <w:trPr>
          <w:cantSplit/>
        </w:trPr>
        <w:tc>
          <w:tcPr>
            <w:tcW w:w="5000" w:type="pct"/>
            <w:gridSpan w:val="9"/>
            <w:shd w:val="clear" w:color="auto" w:fill="auto"/>
            <w:vAlign w:val="center"/>
          </w:tcPr>
          <w:p w14:paraId="0EAC341E" w14:textId="77777777" w:rsidR="006016B9" w:rsidRPr="00EB2ECF" w:rsidRDefault="006016B9" w:rsidP="000519EF">
            <w:pPr>
              <w:pStyle w:val="DETTableTextFinancial"/>
              <w:rPr>
                <w:i/>
              </w:rPr>
            </w:pPr>
            <w:r w:rsidRPr="00EB2ECF">
              <w:rPr>
                <w:i/>
              </w:rPr>
              <w:t>The 2015–16 Actual is marginally lower than the 2015–16 Target due to schools using an online application system which has enabled greater accuracy for determining the number of eligible students.</w:t>
            </w:r>
          </w:p>
        </w:tc>
      </w:tr>
      <w:tr w:rsidR="006016B9" w:rsidRPr="0087752B" w14:paraId="5E22D452" w14:textId="77777777" w:rsidTr="006016B9">
        <w:trPr>
          <w:cantSplit/>
        </w:trPr>
        <w:tc>
          <w:tcPr>
            <w:tcW w:w="2595" w:type="pct"/>
            <w:gridSpan w:val="3"/>
            <w:shd w:val="clear" w:color="auto" w:fill="auto"/>
            <w:vAlign w:val="center"/>
          </w:tcPr>
          <w:p w14:paraId="6F5CA9B2" w14:textId="77777777" w:rsidR="006016B9" w:rsidRPr="0087752B" w:rsidRDefault="006016B9" w:rsidP="000519EF">
            <w:pPr>
              <w:pStyle w:val="DETTableTextFinancial"/>
            </w:pPr>
            <w:r w:rsidRPr="0087752B">
              <w:t>Schools allocated a nurse through the Secondary School Nursing Program</w:t>
            </w:r>
          </w:p>
        </w:tc>
        <w:tc>
          <w:tcPr>
            <w:tcW w:w="570" w:type="pct"/>
            <w:shd w:val="clear" w:color="auto" w:fill="auto"/>
          </w:tcPr>
          <w:p w14:paraId="50E6F3E5" w14:textId="77777777" w:rsidR="006016B9" w:rsidRPr="0087752B" w:rsidRDefault="006016B9" w:rsidP="000519EF">
            <w:pPr>
              <w:pStyle w:val="DETTableTextFinancial"/>
            </w:pPr>
            <w:r w:rsidRPr="0087752B">
              <w:t>number</w:t>
            </w:r>
          </w:p>
        </w:tc>
        <w:tc>
          <w:tcPr>
            <w:tcW w:w="475" w:type="pct"/>
            <w:gridSpan w:val="2"/>
            <w:shd w:val="clear" w:color="auto" w:fill="auto"/>
          </w:tcPr>
          <w:p w14:paraId="47277720" w14:textId="77777777" w:rsidR="006016B9" w:rsidRPr="0087752B" w:rsidRDefault="006016B9" w:rsidP="000519EF">
            <w:pPr>
              <w:pStyle w:val="DETTableTextFinancial"/>
              <w:jc w:val="right"/>
            </w:pPr>
            <w:r w:rsidRPr="0087752B">
              <w:t>193</w:t>
            </w:r>
          </w:p>
        </w:tc>
        <w:tc>
          <w:tcPr>
            <w:tcW w:w="458" w:type="pct"/>
            <w:shd w:val="clear" w:color="auto" w:fill="auto"/>
          </w:tcPr>
          <w:p w14:paraId="5011E5C9" w14:textId="77777777" w:rsidR="006016B9" w:rsidRPr="0087752B" w:rsidRDefault="006016B9" w:rsidP="000519EF">
            <w:pPr>
              <w:pStyle w:val="DETTableTextFinancial"/>
              <w:jc w:val="right"/>
            </w:pPr>
            <w:r w:rsidRPr="0087752B">
              <w:t>200</w:t>
            </w:r>
          </w:p>
        </w:tc>
        <w:tc>
          <w:tcPr>
            <w:tcW w:w="492" w:type="pct"/>
          </w:tcPr>
          <w:p w14:paraId="59A91DB8" w14:textId="77777777" w:rsidR="006016B9" w:rsidRPr="0087752B" w:rsidRDefault="006016B9" w:rsidP="000519EF">
            <w:pPr>
              <w:pStyle w:val="DETTableTextFinancial"/>
              <w:jc w:val="right"/>
            </w:pPr>
            <w:r w:rsidRPr="0087752B">
              <w:t>3.6</w:t>
            </w:r>
          </w:p>
        </w:tc>
        <w:tc>
          <w:tcPr>
            <w:tcW w:w="410" w:type="pct"/>
          </w:tcPr>
          <w:p w14:paraId="47E6038B" w14:textId="77777777" w:rsidR="006016B9" w:rsidRPr="005C767D" w:rsidRDefault="006016B9" w:rsidP="000519EF">
            <w:pPr>
              <w:jc w:val="right"/>
            </w:pPr>
            <w:r w:rsidRPr="005C767D">
              <w:sym w:font="Wingdings" w:char="F0FC"/>
            </w:r>
          </w:p>
        </w:tc>
      </w:tr>
      <w:tr w:rsidR="006016B9" w:rsidRPr="0087752B" w14:paraId="7AFEB587"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79382C0C" w14:textId="77777777" w:rsidR="006016B9" w:rsidRPr="0087752B" w:rsidRDefault="006016B9" w:rsidP="000519EF">
            <w:pPr>
              <w:pStyle w:val="DETTableTextFinancial"/>
              <w:rPr>
                <w:i/>
              </w:rPr>
            </w:pPr>
            <w:r w:rsidRPr="0087752B">
              <w:rPr>
                <w:i/>
              </w:rPr>
              <w:t>This performance measure refers to government schools only.</w:t>
            </w:r>
          </w:p>
        </w:tc>
      </w:tr>
      <w:tr w:rsidR="006016B9" w:rsidRPr="0087752B" w14:paraId="34604E2D" w14:textId="77777777" w:rsidTr="006016B9">
        <w:trPr>
          <w:cantSplit/>
        </w:trPr>
        <w:tc>
          <w:tcPr>
            <w:tcW w:w="2595" w:type="pct"/>
            <w:gridSpan w:val="3"/>
            <w:shd w:val="clear" w:color="auto" w:fill="auto"/>
            <w:vAlign w:val="center"/>
          </w:tcPr>
          <w:p w14:paraId="1886EEE9" w14:textId="77777777" w:rsidR="006016B9" w:rsidRPr="0087752B" w:rsidRDefault="006016B9" w:rsidP="000519EF">
            <w:pPr>
              <w:pStyle w:val="DETTableTextFinancial"/>
            </w:pPr>
            <w:r w:rsidRPr="0087752B">
              <w:t>Schools funded for primary welfare officers</w:t>
            </w:r>
          </w:p>
        </w:tc>
        <w:tc>
          <w:tcPr>
            <w:tcW w:w="570" w:type="pct"/>
            <w:shd w:val="clear" w:color="auto" w:fill="auto"/>
          </w:tcPr>
          <w:p w14:paraId="0B8825A8" w14:textId="77777777" w:rsidR="006016B9" w:rsidRPr="0087752B" w:rsidRDefault="006016B9" w:rsidP="000519EF">
            <w:pPr>
              <w:pStyle w:val="DETTableTextFinancial"/>
            </w:pPr>
            <w:r w:rsidRPr="0087752B">
              <w:t>number</w:t>
            </w:r>
          </w:p>
        </w:tc>
        <w:tc>
          <w:tcPr>
            <w:tcW w:w="475" w:type="pct"/>
            <w:gridSpan w:val="2"/>
            <w:shd w:val="clear" w:color="auto" w:fill="auto"/>
          </w:tcPr>
          <w:p w14:paraId="01195CAD" w14:textId="77777777" w:rsidR="006016B9" w:rsidRPr="0087752B" w:rsidRDefault="006016B9" w:rsidP="000519EF">
            <w:pPr>
              <w:pStyle w:val="DETTableTextFinancial"/>
              <w:jc w:val="right"/>
            </w:pPr>
            <w:r w:rsidRPr="0087752B">
              <w:t>806</w:t>
            </w:r>
          </w:p>
        </w:tc>
        <w:tc>
          <w:tcPr>
            <w:tcW w:w="458" w:type="pct"/>
            <w:shd w:val="clear" w:color="auto" w:fill="auto"/>
          </w:tcPr>
          <w:p w14:paraId="450506A1" w14:textId="77777777" w:rsidR="006016B9" w:rsidRPr="0087752B" w:rsidRDefault="006016B9" w:rsidP="000519EF">
            <w:pPr>
              <w:pStyle w:val="DETTableTextFinancial"/>
              <w:jc w:val="right"/>
            </w:pPr>
            <w:r w:rsidRPr="0087752B">
              <w:t>806</w:t>
            </w:r>
          </w:p>
        </w:tc>
        <w:tc>
          <w:tcPr>
            <w:tcW w:w="492" w:type="pct"/>
          </w:tcPr>
          <w:p w14:paraId="6CDC27A7" w14:textId="77777777" w:rsidR="006016B9" w:rsidRPr="0087752B" w:rsidRDefault="006016B9" w:rsidP="000519EF">
            <w:pPr>
              <w:pStyle w:val="DETTableTextFinancial"/>
              <w:jc w:val="right"/>
            </w:pPr>
            <w:r w:rsidRPr="0087752B">
              <w:t>0.0</w:t>
            </w:r>
          </w:p>
        </w:tc>
        <w:tc>
          <w:tcPr>
            <w:tcW w:w="410" w:type="pct"/>
          </w:tcPr>
          <w:p w14:paraId="54EA1CD1" w14:textId="77777777" w:rsidR="006016B9" w:rsidRPr="005C767D" w:rsidRDefault="006016B9" w:rsidP="000519EF">
            <w:pPr>
              <w:jc w:val="right"/>
            </w:pPr>
            <w:r w:rsidRPr="005C767D">
              <w:sym w:font="Wingdings" w:char="F0FC"/>
            </w:r>
          </w:p>
        </w:tc>
      </w:tr>
      <w:tr w:rsidR="006016B9" w:rsidRPr="0087752B" w14:paraId="424C37C2" w14:textId="77777777" w:rsidTr="006016B9">
        <w:tblPrEx>
          <w:tblBorders>
            <w:bottom w:val="single" w:sz="12" w:space="0" w:color="777777"/>
          </w:tblBorders>
        </w:tblPrEx>
        <w:trPr>
          <w:cantSplit/>
        </w:trPr>
        <w:tc>
          <w:tcPr>
            <w:tcW w:w="5000" w:type="pct"/>
            <w:gridSpan w:val="9"/>
            <w:tcBorders>
              <w:bottom w:val="single" w:sz="6" w:space="0" w:color="777777"/>
            </w:tcBorders>
            <w:shd w:val="clear" w:color="auto" w:fill="auto"/>
            <w:vAlign w:val="center"/>
          </w:tcPr>
          <w:p w14:paraId="6DA3DC6D" w14:textId="77777777" w:rsidR="006016B9" w:rsidRPr="0087752B" w:rsidRDefault="006016B9" w:rsidP="000519EF">
            <w:pPr>
              <w:pStyle w:val="DETTableTextFinancial"/>
            </w:pPr>
            <w:r w:rsidRPr="0087752B">
              <w:t>This performance measure relates to the 2016 calendar year. This performance measure refers to government schools only.</w:t>
            </w:r>
          </w:p>
        </w:tc>
      </w:tr>
      <w:tr w:rsidR="006016B9" w:rsidRPr="0087752B" w14:paraId="1063025B" w14:textId="77777777" w:rsidTr="006016B9">
        <w:tblPrEx>
          <w:tblBorders>
            <w:bottom w:val="single" w:sz="12" w:space="0" w:color="777777"/>
          </w:tblBorders>
        </w:tblPrEx>
        <w:trPr>
          <w:cantSplit/>
        </w:trPr>
        <w:tc>
          <w:tcPr>
            <w:tcW w:w="5000" w:type="pct"/>
            <w:gridSpan w:val="9"/>
            <w:shd w:val="clear" w:color="auto" w:fill="auto"/>
            <w:vAlign w:val="center"/>
          </w:tcPr>
          <w:p w14:paraId="0103F88E" w14:textId="77777777" w:rsidR="006016B9" w:rsidRPr="0087752B" w:rsidRDefault="006016B9" w:rsidP="000519EF">
            <w:pPr>
              <w:pStyle w:val="DETTableTextFinancial"/>
              <w:rPr>
                <w:b/>
              </w:rPr>
            </w:pPr>
            <w:r w:rsidRPr="0087752B">
              <w:rPr>
                <w:b/>
              </w:rPr>
              <w:t>Quality</w:t>
            </w:r>
          </w:p>
        </w:tc>
      </w:tr>
      <w:tr w:rsidR="006016B9" w:rsidRPr="0087752B" w14:paraId="604BBE52" w14:textId="77777777" w:rsidTr="006016B9">
        <w:trPr>
          <w:cantSplit/>
        </w:trPr>
        <w:tc>
          <w:tcPr>
            <w:tcW w:w="2595" w:type="pct"/>
            <w:gridSpan w:val="3"/>
            <w:shd w:val="clear" w:color="auto" w:fill="auto"/>
            <w:vAlign w:val="center"/>
          </w:tcPr>
          <w:p w14:paraId="415E1B53" w14:textId="77777777" w:rsidR="006016B9" w:rsidRPr="0087752B" w:rsidRDefault="006016B9" w:rsidP="000519EF">
            <w:pPr>
              <w:pStyle w:val="DETTableTextFinancial"/>
            </w:pPr>
            <w:r w:rsidRPr="0087752B">
              <w:t>School satisfaction with student support services</w:t>
            </w:r>
          </w:p>
        </w:tc>
        <w:tc>
          <w:tcPr>
            <w:tcW w:w="570" w:type="pct"/>
            <w:shd w:val="clear" w:color="auto" w:fill="auto"/>
          </w:tcPr>
          <w:p w14:paraId="524B2252" w14:textId="77777777" w:rsidR="006016B9" w:rsidRPr="0087752B" w:rsidRDefault="006016B9" w:rsidP="000519EF">
            <w:pPr>
              <w:pStyle w:val="DETTableTextFinancial"/>
            </w:pPr>
            <w:r w:rsidRPr="0087752B">
              <w:t>per cent</w:t>
            </w:r>
          </w:p>
        </w:tc>
        <w:tc>
          <w:tcPr>
            <w:tcW w:w="475" w:type="pct"/>
            <w:gridSpan w:val="2"/>
            <w:shd w:val="clear" w:color="auto" w:fill="auto"/>
          </w:tcPr>
          <w:p w14:paraId="277079CF" w14:textId="77777777" w:rsidR="006016B9" w:rsidRPr="0087752B" w:rsidRDefault="006016B9" w:rsidP="000519EF">
            <w:pPr>
              <w:pStyle w:val="DETTableTextFinancial"/>
              <w:jc w:val="right"/>
            </w:pPr>
            <w:r w:rsidRPr="0087752B">
              <w:t>85</w:t>
            </w:r>
          </w:p>
        </w:tc>
        <w:tc>
          <w:tcPr>
            <w:tcW w:w="458" w:type="pct"/>
            <w:shd w:val="clear" w:color="auto" w:fill="auto"/>
          </w:tcPr>
          <w:p w14:paraId="20FDC1C2" w14:textId="77777777" w:rsidR="006016B9" w:rsidRPr="0087752B" w:rsidRDefault="006016B9" w:rsidP="000519EF">
            <w:pPr>
              <w:pStyle w:val="DETTableTextFinancial"/>
              <w:jc w:val="right"/>
            </w:pPr>
            <w:r w:rsidRPr="0087752B">
              <w:t>87.4</w:t>
            </w:r>
          </w:p>
        </w:tc>
        <w:tc>
          <w:tcPr>
            <w:tcW w:w="492" w:type="pct"/>
          </w:tcPr>
          <w:p w14:paraId="41FEF4DC" w14:textId="77777777" w:rsidR="006016B9" w:rsidRPr="0087752B" w:rsidRDefault="006016B9" w:rsidP="000519EF">
            <w:pPr>
              <w:pStyle w:val="DETTableTextFinancial"/>
              <w:jc w:val="right"/>
            </w:pPr>
            <w:r w:rsidRPr="0087752B">
              <w:t>2.8</w:t>
            </w:r>
          </w:p>
        </w:tc>
        <w:tc>
          <w:tcPr>
            <w:tcW w:w="410" w:type="pct"/>
          </w:tcPr>
          <w:p w14:paraId="6D047D67" w14:textId="77777777" w:rsidR="006016B9" w:rsidRPr="005C767D" w:rsidRDefault="006016B9" w:rsidP="000519EF">
            <w:pPr>
              <w:jc w:val="right"/>
            </w:pPr>
            <w:r w:rsidRPr="005C767D">
              <w:sym w:font="Wingdings" w:char="F0FC"/>
            </w:r>
          </w:p>
        </w:tc>
      </w:tr>
      <w:tr w:rsidR="006016B9" w:rsidRPr="0087752B" w14:paraId="7764D516" w14:textId="77777777" w:rsidTr="006016B9">
        <w:tblPrEx>
          <w:tblBorders>
            <w:bottom w:val="single" w:sz="12" w:space="0" w:color="777777"/>
          </w:tblBorders>
        </w:tblPrEx>
        <w:trPr>
          <w:cantSplit/>
        </w:trPr>
        <w:tc>
          <w:tcPr>
            <w:tcW w:w="5000" w:type="pct"/>
            <w:gridSpan w:val="9"/>
            <w:tcBorders>
              <w:bottom w:val="single" w:sz="6" w:space="0" w:color="777777"/>
            </w:tcBorders>
            <w:shd w:val="clear" w:color="auto" w:fill="auto"/>
            <w:vAlign w:val="center"/>
          </w:tcPr>
          <w:p w14:paraId="54D12AD3" w14:textId="77777777" w:rsidR="006016B9" w:rsidRPr="00EB2ECF" w:rsidRDefault="006016B9" w:rsidP="000519EF">
            <w:pPr>
              <w:pStyle w:val="DETTableTextFinancial"/>
              <w:rPr>
                <w:i/>
              </w:rPr>
            </w:pPr>
            <w:r w:rsidRPr="00EB2ECF">
              <w:rPr>
                <w:i/>
              </w:rPr>
              <w:t>This performance measure refers to government schools only.</w:t>
            </w:r>
          </w:p>
        </w:tc>
      </w:tr>
      <w:tr w:rsidR="006016B9" w:rsidRPr="0087752B" w14:paraId="7740D710" w14:textId="77777777" w:rsidTr="006016B9">
        <w:tblPrEx>
          <w:tblBorders>
            <w:bottom w:val="single" w:sz="12" w:space="0" w:color="777777"/>
          </w:tblBorders>
        </w:tblPrEx>
        <w:trPr>
          <w:cantSplit/>
        </w:trPr>
        <w:tc>
          <w:tcPr>
            <w:tcW w:w="5000" w:type="pct"/>
            <w:gridSpan w:val="9"/>
            <w:tcBorders>
              <w:top w:val="single" w:sz="6" w:space="0" w:color="777777"/>
            </w:tcBorders>
            <w:shd w:val="clear" w:color="auto" w:fill="auto"/>
            <w:vAlign w:val="center"/>
          </w:tcPr>
          <w:p w14:paraId="724FB788" w14:textId="77777777" w:rsidR="006016B9" w:rsidRPr="0087752B" w:rsidRDefault="006016B9" w:rsidP="000519EF">
            <w:pPr>
              <w:pStyle w:val="DETTableTextFinancial"/>
              <w:rPr>
                <w:b/>
              </w:rPr>
            </w:pPr>
            <w:r w:rsidRPr="0087752B">
              <w:rPr>
                <w:b/>
              </w:rPr>
              <w:t>Cost</w:t>
            </w:r>
          </w:p>
        </w:tc>
      </w:tr>
      <w:tr w:rsidR="006016B9" w:rsidRPr="0087752B" w14:paraId="6F8FDAD8" w14:textId="77777777" w:rsidTr="006016B9">
        <w:trPr>
          <w:cantSplit/>
        </w:trPr>
        <w:tc>
          <w:tcPr>
            <w:tcW w:w="2595" w:type="pct"/>
            <w:gridSpan w:val="3"/>
            <w:shd w:val="clear" w:color="auto" w:fill="auto"/>
            <w:vAlign w:val="center"/>
          </w:tcPr>
          <w:p w14:paraId="0D8767FE" w14:textId="77777777" w:rsidR="006016B9" w:rsidRPr="0087752B" w:rsidRDefault="006016B9" w:rsidP="000519EF">
            <w:pPr>
              <w:pStyle w:val="DETTableTextFinancial"/>
            </w:pPr>
            <w:r w:rsidRPr="0087752B">
              <w:t>Total output cost</w:t>
            </w:r>
          </w:p>
        </w:tc>
        <w:tc>
          <w:tcPr>
            <w:tcW w:w="570" w:type="pct"/>
            <w:shd w:val="clear" w:color="auto" w:fill="auto"/>
          </w:tcPr>
          <w:p w14:paraId="1EAD3366" w14:textId="77777777" w:rsidR="006016B9" w:rsidRPr="0087752B" w:rsidRDefault="006016B9" w:rsidP="000519EF">
            <w:pPr>
              <w:pStyle w:val="DETTableTextFinancial"/>
            </w:pPr>
            <w:r w:rsidRPr="0087752B">
              <w:t>$ million</w:t>
            </w:r>
          </w:p>
        </w:tc>
        <w:tc>
          <w:tcPr>
            <w:tcW w:w="475" w:type="pct"/>
            <w:gridSpan w:val="2"/>
            <w:shd w:val="clear" w:color="auto" w:fill="auto"/>
          </w:tcPr>
          <w:p w14:paraId="75998567" w14:textId="77777777" w:rsidR="006016B9" w:rsidRPr="0087752B" w:rsidRDefault="006016B9" w:rsidP="000519EF">
            <w:pPr>
              <w:pStyle w:val="DETTableTextFinancial"/>
              <w:jc w:val="right"/>
            </w:pPr>
            <w:r w:rsidRPr="0087752B">
              <w:t>305.8</w:t>
            </w:r>
          </w:p>
        </w:tc>
        <w:tc>
          <w:tcPr>
            <w:tcW w:w="458" w:type="pct"/>
            <w:shd w:val="clear" w:color="auto" w:fill="auto"/>
          </w:tcPr>
          <w:p w14:paraId="1D9FA6D9" w14:textId="032BD8F0" w:rsidR="006016B9" w:rsidRPr="00300A0D" w:rsidRDefault="00300A0D" w:rsidP="000519EF">
            <w:pPr>
              <w:pStyle w:val="DETTableTextFinancial"/>
              <w:jc w:val="right"/>
            </w:pPr>
            <w:r w:rsidRPr="00300A0D">
              <w:t>342.9</w:t>
            </w:r>
          </w:p>
        </w:tc>
        <w:tc>
          <w:tcPr>
            <w:tcW w:w="492" w:type="pct"/>
          </w:tcPr>
          <w:p w14:paraId="10D09200" w14:textId="0B938E03" w:rsidR="006016B9" w:rsidRPr="00300A0D" w:rsidRDefault="00300A0D" w:rsidP="000519EF">
            <w:pPr>
              <w:pStyle w:val="DETTableTextFinancial"/>
              <w:jc w:val="right"/>
            </w:pPr>
            <w:r w:rsidRPr="00300A0D">
              <w:t>12.1</w:t>
            </w:r>
          </w:p>
        </w:tc>
        <w:tc>
          <w:tcPr>
            <w:tcW w:w="410" w:type="pct"/>
          </w:tcPr>
          <w:p w14:paraId="2C7DC233" w14:textId="0C2E56B4" w:rsidR="006016B9" w:rsidRPr="0087752B" w:rsidRDefault="00564733" w:rsidP="000519EF">
            <w:pPr>
              <w:pStyle w:val="DETTableTextFinancial"/>
              <w:jc w:val="right"/>
              <w:rPr>
                <w:highlight w:val="yellow"/>
              </w:rPr>
            </w:pPr>
            <w:r w:rsidRPr="005C767D">
              <w:sym w:font="Wingdings" w:char="F0FB"/>
            </w:r>
          </w:p>
        </w:tc>
      </w:tr>
      <w:tr w:rsidR="006016B9" w:rsidRPr="0087752B" w14:paraId="23FEFBC2" w14:textId="77777777" w:rsidTr="00237FCA">
        <w:tblPrEx>
          <w:tblBorders>
            <w:bottom w:val="single" w:sz="12" w:space="0" w:color="777777"/>
          </w:tblBorders>
        </w:tblPrEx>
        <w:trPr>
          <w:cantSplit/>
        </w:trPr>
        <w:tc>
          <w:tcPr>
            <w:tcW w:w="5000" w:type="pct"/>
            <w:gridSpan w:val="9"/>
            <w:tcBorders>
              <w:bottom w:val="single" w:sz="6" w:space="0" w:color="auto"/>
            </w:tcBorders>
            <w:shd w:val="clear" w:color="auto" w:fill="auto"/>
            <w:vAlign w:val="center"/>
          </w:tcPr>
          <w:p w14:paraId="7CCB72C5" w14:textId="08F57B1C" w:rsidR="006016B9" w:rsidRPr="00300A0D" w:rsidRDefault="00300A0D" w:rsidP="00300A0D">
            <w:pPr>
              <w:pStyle w:val="DETTableTextFinancial"/>
              <w:rPr>
                <w:rFonts w:ascii="Calibri" w:hAnsi="Calibri"/>
                <w:color w:val="000000"/>
                <w:sz w:val="18"/>
                <w:szCs w:val="18"/>
              </w:rPr>
            </w:pPr>
            <w:r w:rsidRPr="00300A0D">
              <w:rPr>
                <w:i/>
              </w:rPr>
              <w:t xml:space="preserve">The </w:t>
            </w:r>
            <w:r>
              <w:rPr>
                <w:i/>
              </w:rPr>
              <w:t>2015–</w:t>
            </w:r>
            <w:r w:rsidRPr="00300A0D">
              <w:rPr>
                <w:i/>
              </w:rPr>
              <w:t>16</w:t>
            </w:r>
            <w:r>
              <w:rPr>
                <w:i/>
              </w:rPr>
              <w:t xml:space="preserve"> Actual is higher than the 2015–</w:t>
            </w:r>
            <w:r w:rsidRPr="00300A0D">
              <w:rPr>
                <w:i/>
              </w:rPr>
              <w:t>16 Target primarily due to the timing in delivery of programs such as the Camps, Sports and Excursion Fund.</w:t>
            </w:r>
          </w:p>
        </w:tc>
      </w:tr>
      <w:tr w:rsidR="006016B9" w:rsidRPr="0087752B" w14:paraId="2BE822A8" w14:textId="77777777" w:rsidTr="00237FCA">
        <w:tblPrEx>
          <w:tblBorders>
            <w:top w:val="single" w:sz="6" w:space="0" w:color="auto"/>
            <w:bottom w:val="single" w:sz="12" w:space="0" w:color="7F7F7F" w:themeColor="text1" w:themeTint="80"/>
          </w:tblBorders>
        </w:tblPrEx>
        <w:trPr>
          <w:cantSplit/>
          <w:trHeight w:hRule="exact" w:val="521"/>
        </w:trPr>
        <w:tc>
          <w:tcPr>
            <w:tcW w:w="316" w:type="pct"/>
            <w:tcBorders>
              <w:top w:val="single" w:sz="6" w:space="0" w:color="auto"/>
              <w:bottom w:val="single" w:sz="4" w:space="0" w:color="auto"/>
            </w:tcBorders>
            <w:vAlign w:val="center"/>
          </w:tcPr>
          <w:p w14:paraId="080D15A0" w14:textId="77777777" w:rsidR="006016B9" w:rsidRPr="0087752B" w:rsidRDefault="006016B9" w:rsidP="006016B9">
            <w:r w:rsidRPr="0087752B">
              <w:rPr>
                <w:sz w:val="16"/>
                <w:szCs w:val="16"/>
              </w:rPr>
              <w:t>Key</w:t>
            </w:r>
            <w:r w:rsidRPr="0087752B">
              <w:t>:</w:t>
            </w:r>
          </w:p>
        </w:tc>
        <w:tc>
          <w:tcPr>
            <w:tcW w:w="1235" w:type="pct"/>
            <w:tcBorders>
              <w:top w:val="single" w:sz="6" w:space="0" w:color="auto"/>
              <w:bottom w:val="single" w:sz="4" w:space="0" w:color="auto"/>
            </w:tcBorders>
            <w:shd w:val="clear" w:color="auto" w:fill="auto"/>
            <w:vAlign w:val="center"/>
          </w:tcPr>
          <w:p w14:paraId="79034DEC" w14:textId="77777777" w:rsidR="006016B9" w:rsidRPr="0087752B" w:rsidRDefault="006016B9" w:rsidP="006016B9">
            <w:r w:rsidRPr="005C767D">
              <w:sym w:font="Wingdings" w:char="F0FC"/>
            </w:r>
            <w:r w:rsidRPr="005C767D">
              <w:t xml:space="preserve"> </w:t>
            </w:r>
            <w:r w:rsidRPr="005C767D">
              <w:rPr>
                <w:sz w:val="16"/>
                <w:szCs w:val="16"/>
              </w:rPr>
              <w:t>Target achieved or exceeded</w:t>
            </w:r>
          </w:p>
        </w:tc>
        <w:tc>
          <w:tcPr>
            <w:tcW w:w="1712" w:type="pct"/>
            <w:gridSpan w:val="3"/>
            <w:tcBorders>
              <w:top w:val="single" w:sz="6" w:space="0" w:color="auto"/>
              <w:bottom w:val="single" w:sz="4" w:space="0" w:color="auto"/>
            </w:tcBorders>
            <w:shd w:val="clear" w:color="auto" w:fill="auto"/>
            <w:vAlign w:val="center"/>
          </w:tcPr>
          <w:p w14:paraId="0ED15CC9" w14:textId="77777777" w:rsidR="006016B9" w:rsidRPr="0087752B" w:rsidRDefault="006016B9" w:rsidP="006016B9">
            <w:r w:rsidRPr="005C767D">
              <w:sym w:font="Wingdings" w:char="F06E"/>
            </w:r>
            <w:r w:rsidRPr="005C767D">
              <w:t xml:space="preserve"> </w:t>
            </w:r>
            <w:r w:rsidRPr="005C767D">
              <w:rPr>
                <w:sz w:val="16"/>
                <w:szCs w:val="16"/>
              </w:rPr>
              <w:t>Target n</w:t>
            </w:r>
            <w:r w:rsidRPr="0087752B">
              <w:rPr>
                <w:sz w:val="16"/>
                <w:szCs w:val="16"/>
              </w:rPr>
              <w:t>ot achieved—less than 5% variance</w:t>
            </w:r>
          </w:p>
        </w:tc>
        <w:tc>
          <w:tcPr>
            <w:tcW w:w="1738" w:type="pct"/>
            <w:gridSpan w:val="4"/>
            <w:tcBorders>
              <w:top w:val="single" w:sz="6" w:space="0" w:color="auto"/>
              <w:bottom w:val="single" w:sz="4" w:space="0" w:color="auto"/>
            </w:tcBorders>
            <w:shd w:val="clear" w:color="auto" w:fill="auto"/>
            <w:vAlign w:val="center"/>
          </w:tcPr>
          <w:p w14:paraId="10E13CDA" w14:textId="77777777" w:rsidR="006016B9" w:rsidRPr="0087752B" w:rsidRDefault="006016B9" w:rsidP="006016B9">
            <w:r w:rsidRPr="005C767D">
              <w:sym w:font="Wingdings" w:char="F0FB"/>
            </w:r>
            <w:r w:rsidRPr="005C767D">
              <w:t xml:space="preserve"> </w:t>
            </w:r>
            <w:r w:rsidRPr="005C767D">
              <w:rPr>
                <w:sz w:val="16"/>
                <w:szCs w:val="16"/>
              </w:rPr>
              <w:t>Target not achieved—more than 5% variance</w:t>
            </w:r>
          </w:p>
        </w:tc>
      </w:tr>
    </w:tbl>
    <w:p w14:paraId="50BB653F" w14:textId="77777777" w:rsidR="00354573" w:rsidRDefault="00354573" w:rsidP="000519EF">
      <w:pPr>
        <w:pStyle w:val="Heading3"/>
      </w:pPr>
    </w:p>
    <w:p w14:paraId="5BFEBD10" w14:textId="77777777" w:rsidR="00354573" w:rsidRDefault="00354573">
      <w:pPr>
        <w:spacing w:after="200" w:line="276" w:lineRule="auto"/>
        <w:rPr>
          <w:rFonts w:cs="Arial"/>
          <w:bCs/>
          <w:sz w:val="22"/>
          <w:szCs w:val="19"/>
        </w:rPr>
      </w:pPr>
      <w:r>
        <w:br w:type="page"/>
      </w:r>
    </w:p>
    <w:p w14:paraId="5184C79E" w14:textId="4028101B" w:rsidR="006016B9" w:rsidRPr="0087752B" w:rsidRDefault="006016B9" w:rsidP="000519EF">
      <w:pPr>
        <w:pStyle w:val="Heading3"/>
      </w:pPr>
      <w:r w:rsidRPr="0087752B">
        <w:lastRenderedPageBreak/>
        <w:t>Support for Students with Disabilities</w:t>
      </w:r>
    </w:p>
    <w:p w14:paraId="6DEAEB43" w14:textId="77777777" w:rsidR="006016B9" w:rsidRPr="0087752B" w:rsidRDefault="006016B9" w:rsidP="006016B9">
      <w:r w:rsidRPr="0087752B">
        <w:t>The Support for Students with Disabilities output group covers the Program for Students with Disabilities, transport for special needs students and welfare and support services for students with special needs. This output group contributes towards providing and improving services to support all the Department’s objectives of Achievement, Engagement, Wellbeing and Productivity.</w:t>
      </w:r>
    </w:p>
    <w:p w14:paraId="685054A3" w14:textId="77777777" w:rsidR="006016B9" w:rsidRPr="0087752B" w:rsidRDefault="006016B9" w:rsidP="006016B9">
      <w:r w:rsidRPr="0087752B">
        <w:t>Except where indicated, these performance measures relate to the 2015 calendar year rather than the 2015–16 financial year. These performance measures relate to government schools.</w:t>
      </w:r>
    </w:p>
    <w:tbl>
      <w:tblPr>
        <w:tblW w:w="5000" w:type="pct"/>
        <w:tblLayout w:type="fixed"/>
        <w:tblCellMar>
          <w:left w:w="45" w:type="dxa"/>
          <w:right w:w="45" w:type="dxa"/>
        </w:tblCellMar>
        <w:tblLook w:val="0000" w:firstRow="0" w:lastRow="0" w:firstColumn="0" w:lastColumn="0" w:noHBand="0" w:noVBand="0"/>
      </w:tblPr>
      <w:tblGrid>
        <w:gridCol w:w="472"/>
        <w:gridCol w:w="1843"/>
        <w:gridCol w:w="1559"/>
        <w:gridCol w:w="850"/>
        <w:gridCol w:w="145"/>
        <w:gridCol w:w="564"/>
        <w:gridCol w:w="683"/>
        <w:gridCol w:w="734"/>
        <w:gridCol w:w="610"/>
      </w:tblGrid>
      <w:tr w:rsidR="006016B9" w:rsidRPr="0087752B" w14:paraId="00C6F401" w14:textId="77777777" w:rsidTr="00F56E38">
        <w:trPr>
          <w:cantSplit/>
          <w:tblHeader/>
        </w:trPr>
        <w:tc>
          <w:tcPr>
            <w:tcW w:w="2596" w:type="pct"/>
            <w:gridSpan w:val="3"/>
            <w:shd w:val="clear" w:color="auto" w:fill="7F7F7F" w:themeFill="text1" w:themeFillTint="80"/>
          </w:tcPr>
          <w:p w14:paraId="6CCBCF3F" w14:textId="77777777" w:rsidR="006016B9" w:rsidRPr="0087752B" w:rsidRDefault="006016B9" w:rsidP="00F56E38">
            <w:pPr>
              <w:pStyle w:val="DETTablecolumnheading"/>
              <w:jc w:val="left"/>
            </w:pPr>
            <w:r w:rsidRPr="0087752B">
              <w:t>Performance measures</w:t>
            </w:r>
          </w:p>
        </w:tc>
        <w:tc>
          <w:tcPr>
            <w:tcW w:w="570" w:type="pct"/>
            <w:shd w:val="clear" w:color="auto" w:fill="7F7F7F" w:themeFill="text1" w:themeFillTint="80"/>
          </w:tcPr>
          <w:p w14:paraId="61DAA284" w14:textId="77777777" w:rsidR="006016B9" w:rsidRPr="0087752B" w:rsidRDefault="006016B9" w:rsidP="00F56E38">
            <w:pPr>
              <w:pStyle w:val="DETTablecolumnheading"/>
            </w:pPr>
            <w:r w:rsidRPr="0087752B">
              <w:t>Unit of measure</w:t>
            </w:r>
          </w:p>
        </w:tc>
        <w:tc>
          <w:tcPr>
            <w:tcW w:w="475" w:type="pct"/>
            <w:gridSpan w:val="2"/>
            <w:shd w:val="clear" w:color="auto" w:fill="7F7F7F" w:themeFill="text1" w:themeFillTint="80"/>
          </w:tcPr>
          <w:p w14:paraId="1B997AE5" w14:textId="7475FFDA" w:rsidR="006016B9" w:rsidRPr="0087752B" w:rsidRDefault="00EB2ECF" w:rsidP="00F56E38">
            <w:pPr>
              <w:pStyle w:val="DETTablecolumnheading"/>
              <w:rPr>
                <w:sz w:val="15"/>
                <w:szCs w:val="15"/>
              </w:rPr>
            </w:pPr>
            <w:r>
              <w:rPr>
                <w:sz w:val="15"/>
                <w:szCs w:val="15"/>
              </w:rPr>
              <w:t>2015–16</w:t>
            </w:r>
            <w:r w:rsidR="006016B9" w:rsidRPr="0087752B">
              <w:rPr>
                <w:sz w:val="15"/>
                <w:szCs w:val="15"/>
              </w:rPr>
              <w:t xml:space="preserve"> Target</w:t>
            </w:r>
          </w:p>
        </w:tc>
        <w:tc>
          <w:tcPr>
            <w:tcW w:w="458" w:type="pct"/>
            <w:shd w:val="clear" w:color="auto" w:fill="7F7F7F" w:themeFill="text1" w:themeFillTint="80"/>
          </w:tcPr>
          <w:p w14:paraId="6A0C6DF8" w14:textId="3676298D" w:rsidR="006016B9" w:rsidRPr="0087752B" w:rsidRDefault="00EB2ECF" w:rsidP="00F56E38">
            <w:pPr>
              <w:pStyle w:val="DETTablecolumnheading"/>
              <w:rPr>
                <w:sz w:val="15"/>
                <w:szCs w:val="15"/>
              </w:rPr>
            </w:pPr>
            <w:r>
              <w:rPr>
                <w:sz w:val="15"/>
                <w:szCs w:val="15"/>
              </w:rPr>
              <w:t>2015–16</w:t>
            </w:r>
            <w:r w:rsidR="006016B9" w:rsidRPr="0087752B">
              <w:rPr>
                <w:sz w:val="15"/>
                <w:szCs w:val="15"/>
              </w:rPr>
              <w:t xml:space="preserve"> Actual</w:t>
            </w:r>
          </w:p>
        </w:tc>
        <w:tc>
          <w:tcPr>
            <w:tcW w:w="492" w:type="pct"/>
            <w:shd w:val="clear" w:color="auto" w:fill="7F7F7F" w:themeFill="text1" w:themeFillTint="80"/>
          </w:tcPr>
          <w:p w14:paraId="79E3A792" w14:textId="77777777" w:rsidR="006016B9" w:rsidRPr="0087752B" w:rsidRDefault="006016B9" w:rsidP="00F56E38">
            <w:pPr>
              <w:pStyle w:val="DETTablecolumnheading"/>
              <w:rPr>
                <w:sz w:val="15"/>
                <w:szCs w:val="15"/>
              </w:rPr>
            </w:pPr>
            <w:r w:rsidRPr="0087752B">
              <w:rPr>
                <w:sz w:val="15"/>
                <w:szCs w:val="15"/>
              </w:rPr>
              <w:t>% variation</w:t>
            </w:r>
          </w:p>
        </w:tc>
        <w:tc>
          <w:tcPr>
            <w:tcW w:w="410" w:type="pct"/>
            <w:shd w:val="clear" w:color="auto" w:fill="7F7F7F" w:themeFill="text1" w:themeFillTint="80"/>
          </w:tcPr>
          <w:p w14:paraId="2DA07C22" w14:textId="77777777" w:rsidR="006016B9" w:rsidRPr="0087752B" w:rsidRDefault="006016B9" w:rsidP="00F56E38">
            <w:pPr>
              <w:pStyle w:val="DETTablecolumnheading"/>
            </w:pPr>
            <w:r w:rsidRPr="0087752B">
              <w:t>Result</w:t>
            </w:r>
          </w:p>
        </w:tc>
      </w:tr>
      <w:tr w:rsidR="006016B9" w:rsidRPr="0087752B" w14:paraId="61E30D37" w14:textId="77777777" w:rsidTr="006016B9">
        <w:tblPrEx>
          <w:tblBorders>
            <w:bottom w:val="single" w:sz="12" w:space="0" w:color="777777"/>
          </w:tblBorders>
        </w:tblPrEx>
        <w:trPr>
          <w:cantSplit/>
        </w:trPr>
        <w:tc>
          <w:tcPr>
            <w:tcW w:w="5000" w:type="pct"/>
            <w:gridSpan w:val="9"/>
            <w:tcBorders>
              <w:top w:val="nil"/>
              <w:bottom w:val="nil"/>
            </w:tcBorders>
            <w:shd w:val="clear" w:color="auto" w:fill="auto"/>
            <w:vAlign w:val="center"/>
          </w:tcPr>
          <w:p w14:paraId="6B8B810F" w14:textId="77777777" w:rsidR="006016B9" w:rsidRPr="0087752B" w:rsidRDefault="006016B9" w:rsidP="00F56E38">
            <w:pPr>
              <w:pStyle w:val="DETTableTextFinancial"/>
              <w:rPr>
                <w:b/>
              </w:rPr>
            </w:pPr>
            <w:r w:rsidRPr="0087752B">
              <w:rPr>
                <w:b/>
              </w:rPr>
              <w:t>Quantity</w:t>
            </w:r>
          </w:p>
        </w:tc>
      </w:tr>
      <w:tr w:rsidR="006016B9" w:rsidRPr="0087752B" w14:paraId="28DC41E3" w14:textId="77777777" w:rsidTr="006016B9">
        <w:trPr>
          <w:cantSplit/>
        </w:trPr>
        <w:tc>
          <w:tcPr>
            <w:tcW w:w="2596" w:type="pct"/>
            <w:gridSpan w:val="3"/>
            <w:shd w:val="clear" w:color="auto" w:fill="auto"/>
            <w:vAlign w:val="center"/>
          </w:tcPr>
          <w:p w14:paraId="5E7EEA98" w14:textId="77777777" w:rsidR="006016B9" w:rsidRPr="0087752B" w:rsidRDefault="006016B9" w:rsidP="00F56E38">
            <w:pPr>
              <w:pStyle w:val="DETTableTextFinancial"/>
            </w:pPr>
            <w:r w:rsidRPr="0087752B">
              <w:t>Eligible special school students provided with appropriate travel</w:t>
            </w:r>
          </w:p>
        </w:tc>
        <w:tc>
          <w:tcPr>
            <w:tcW w:w="570" w:type="pct"/>
            <w:shd w:val="clear" w:color="auto" w:fill="auto"/>
          </w:tcPr>
          <w:p w14:paraId="45FAAD79" w14:textId="77777777" w:rsidR="006016B9" w:rsidRPr="0087752B" w:rsidRDefault="006016B9" w:rsidP="00F56E38">
            <w:pPr>
              <w:pStyle w:val="DETTableTextFinancial"/>
            </w:pPr>
            <w:r w:rsidRPr="0087752B">
              <w:t>number</w:t>
            </w:r>
          </w:p>
        </w:tc>
        <w:tc>
          <w:tcPr>
            <w:tcW w:w="475" w:type="pct"/>
            <w:gridSpan w:val="2"/>
            <w:shd w:val="clear" w:color="auto" w:fill="auto"/>
          </w:tcPr>
          <w:p w14:paraId="3CDDD625" w14:textId="01A30D01" w:rsidR="006016B9" w:rsidRPr="0087752B" w:rsidRDefault="006016B9" w:rsidP="00F56E38">
            <w:pPr>
              <w:pStyle w:val="DETTableTextFinancial"/>
              <w:jc w:val="right"/>
            </w:pPr>
            <w:r w:rsidRPr="0087752B">
              <w:t>8</w:t>
            </w:r>
            <w:r w:rsidR="0098653C" w:rsidRPr="0087752B">
              <w:t>,</w:t>
            </w:r>
            <w:r w:rsidRPr="0087752B">
              <w:t>900</w:t>
            </w:r>
          </w:p>
        </w:tc>
        <w:tc>
          <w:tcPr>
            <w:tcW w:w="458" w:type="pct"/>
            <w:shd w:val="clear" w:color="auto" w:fill="auto"/>
          </w:tcPr>
          <w:p w14:paraId="256D2575" w14:textId="342FD68C" w:rsidR="006016B9" w:rsidRPr="0087752B" w:rsidRDefault="006016B9" w:rsidP="00F56E38">
            <w:pPr>
              <w:pStyle w:val="DETTableTextFinancial"/>
              <w:jc w:val="right"/>
            </w:pPr>
            <w:r w:rsidRPr="0087752B">
              <w:t>8</w:t>
            </w:r>
            <w:r w:rsidR="0098653C" w:rsidRPr="0087752B">
              <w:t>,</w:t>
            </w:r>
            <w:r w:rsidRPr="0087752B">
              <w:t>846</w:t>
            </w:r>
          </w:p>
        </w:tc>
        <w:tc>
          <w:tcPr>
            <w:tcW w:w="492" w:type="pct"/>
          </w:tcPr>
          <w:p w14:paraId="6742AF13" w14:textId="77777777" w:rsidR="006016B9" w:rsidRPr="0087752B" w:rsidRDefault="006016B9" w:rsidP="00F56E38">
            <w:pPr>
              <w:pStyle w:val="DETTableTextFinancial"/>
              <w:jc w:val="right"/>
            </w:pPr>
            <w:r w:rsidRPr="0087752B">
              <w:t>-0.6</w:t>
            </w:r>
          </w:p>
        </w:tc>
        <w:tc>
          <w:tcPr>
            <w:tcW w:w="410" w:type="pct"/>
          </w:tcPr>
          <w:p w14:paraId="0443673D" w14:textId="77777777" w:rsidR="006016B9" w:rsidRPr="005C767D" w:rsidRDefault="006016B9" w:rsidP="00F56E38">
            <w:pPr>
              <w:jc w:val="right"/>
            </w:pPr>
            <w:r w:rsidRPr="0087752B">
              <w:t xml:space="preserve"> </w:t>
            </w:r>
            <w:r w:rsidRPr="005C767D">
              <w:sym w:font="Wingdings" w:char="F06E"/>
            </w:r>
            <w:r w:rsidRPr="005C767D">
              <w:t xml:space="preserve"> </w:t>
            </w:r>
          </w:p>
        </w:tc>
      </w:tr>
      <w:tr w:rsidR="006016B9" w:rsidRPr="0087752B" w14:paraId="1FD412F3"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24D87A2F" w14:textId="77777777" w:rsidR="006016B9" w:rsidRPr="0087752B" w:rsidRDefault="006016B9" w:rsidP="00F56E38">
            <w:pPr>
              <w:pStyle w:val="DETTableTextFinancial"/>
              <w:rPr>
                <w:i/>
              </w:rPr>
            </w:pPr>
            <w:r w:rsidRPr="0087752B">
              <w:rPr>
                <w:i/>
              </w:rPr>
              <w:t>The 2015–16 Actual is lower than 2015–16 Target due to increased focus on alternative travel assistance (e.g. Travel education and or Conveyance Allowance).</w:t>
            </w:r>
          </w:p>
        </w:tc>
      </w:tr>
      <w:tr w:rsidR="006016B9" w:rsidRPr="0087752B" w14:paraId="24E6A983" w14:textId="77777777" w:rsidTr="006016B9">
        <w:trPr>
          <w:cantSplit/>
        </w:trPr>
        <w:tc>
          <w:tcPr>
            <w:tcW w:w="2596" w:type="pct"/>
            <w:gridSpan w:val="3"/>
            <w:tcBorders>
              <w:bottom w:val="single" w:sz="4" w:space="0" w:color="auto"/>
            </w:tcBorders>
            <w:shd w:val="clear" w:color="auto" w:fill="auto"/>
            <w:vAlign w:val="center"/>
          </w:tcPr>
          <w:p w14:paraId="25E7BEC2" w14:textId="77777777" w:rsidR="006016B9" w:rsidRPr="0087752B" w:rsidRDefault="006016B9" w:rsidP="00F56E38">
            <w:pPr>
              <w:pStyle w:val="DETTableTextFinancial"/>
            </w:pPr>
            <w:r w:rsidRPr="0087752B">
              <w:t>Students funded under the disabilities program in government schools as a proportion of the total student population</w:t>
            </w:r>
          </w:p>
        </w:tc>
        <w:tc>
          <w:tcPr>
            <w:tcW w:w="570" w:type="pct"/>
            <w:tcBorders>
              <w:bottom w:val="single" w:sz="4" w:space="0" w:color="auto"/>
            </w:tcBorders>
            <w:shd w:val="clear" w:color="auto" w:fill="auto"/>
          </w:tcPr>
          <w:p w14:paraId="468DE115" w14:textId="77777777" w:rsidR="006016B9" w:rsidRPr="0087752B" w:rsidRDefault="006016B9" w:rsidP="00F56E38">
            <w:pPr>
              <w:pStyle w:val="DETTableTextFinancial"/>
            </w:pPr>
            <w:r w:rsidRPr="0087752B">
              <w:t>per cent</w:t>
            </w:r>
          </w:p>
        </w:tc>
        <w:tc>
          <w:tcPr>
            <w:tcW w:w="475" w:type="pct"/>
            <w:gridSpan w:val="2"/>
            <w:tcBorders>
              <w:bottom w:val="single" w:sz="4" w:space="0" w:color="auto"/>
            </w:tcBorders>
            <w:shd w:val="clear" w:color="auto" w:fill="auto"/>
          </w:tcPr>
          <w:p w14:paraId="4C00BCD8" w14:textId="77777777" w:rsidR="006016B9" w:rsidRPr="0087752B" w:rsidRDefault="006016B9" w:rsidP="00F56E38">
            <w:pPr>
              <w:pStyle w:val="DETTableTextFinancial"/>
              <w:jc w:val="right"/>
            </w:pPr>
            <w:r w:rsidRPr="0087752B">
              <w:t>4.1</w:t>
            </w:r>
          </w:p>
        </w:tc>
        <w:tc>
          <w:tcPr>
            <w:tcW w:w="458" w:type="pct"/>
            <w:tcBorders>
              <w:bottom w:val="single" w:sz="4" w:space="0" w:color="auto"/>
            </w:tcBorders>
            <w:shd w:val="clear" w:color="auto" w:fill="auto"/>
          </w:tcPr>
          <w:p w14:paraId="5359789E" w14:textId="77777777" w:rsidR="006016B9" w:rsidRPr="0087752B" w:rsidRDefault="006016B9" w:rsidP="00F56E38">
            <w:pPr>
              <w:pStyle w:val="DETTableTextFinancial"/>
              <w:jc w:val="right"/>
            </w:pPr>
            <w:r w:rsidRPr="0087752B">
              <w:t>4.2</w:t>
            </w:r>
          </w:p>
        </w:tc>
        <w:tc>
          <w:tcPr>
            <w:tcW w:w="492" w:type="pct"/>
            <w:tcBorders>
              <w:bottom w:val="single" w:sz="4" w:space="0" w:color="auto"/>
            </w:tcBorders>
          </w:tcPr>
          <w:p w14:paraId="2A75308C" w14:textId="77777777" w:rsidR="006016B9" w:rsidRPr="0087752B" w:rsidRDefault="006016B9" w:rsidP="00F56E38">
            <w:pPr>
              <w:pStyle w:val="DETTableTextFinancial"/>
              <w:jc w:val="right"/>
            </w:pPr>
            <w:r w:rsidRPr="0087752B">
              <w:t>2.4</w:t>
            </w:r>
          </w:p>
        </w:tc>
        <w:tc>
          <w:tcPr>
            <w:tcW w:w="410" w:type="pct"/>
            <w:tcBorders>
              <w:bottom w:val="single" w:sz="4" w:space="0" w:color="auto"/>
            </w:tcBorders>
          </w:tcPr>
          <w:p w14:paraId="6CD43AF5" w14:textId="77777777" w:rsidR="006016B9" w:rsidRPr="005C767D" w:rsidRDefault="006016B9" w:rsidP="00F56E38">
            <w:pPr>
              <w:jc w:val="right"/>
            </w:pPr>
            <w:r w:rsidRPr="005C767D">
              <w:sym w:font="Wingdings" w:char="F0FC"/>
            </w:r>
            <w:r w:rsidRPr="005C767D">
              <w:t xml:space="preserve"> </w:t>
            </w:r>
          </w:p>
        </w:tc>
      </w:tr>
      <w:tr w:rsidR="006016B9" w:rsidRPr="0087752B" w14:paraId="22C6B0BD" w14:textId="77777777" w:rsidTr="006016B9">
        <w:tblPrEx>
          <w:tblBorders>
            <w:bottom w:val="single" w:sz="12" w:space="0" w:color="777777"/>
          </w:tblBorders>
        </w:tblPrEx>
        <w:trPr>
          <w:cantSplit/>
        </w:trPr>
        <w:tc>
          <w:tcPr>
            <w:tcW w:w="5000" w:type="pct"/>
            <w:gridSpan w:val="9"/>
            <w:tcBorders>
              <w:top w:val="single" w:sz="4" w:space="0" w:color="auto"/>
              <w:bottom w:val="nil"/>
            </w:tcBorders>
            <w:shd w:val="clear" w:color="auto" w:fill="auto"/>
            <w:vAlign w:val="center"/>
          </w:tcPr>
          <w:p w14:paraId="4001DEA2" w14:textId="77777777" w:rsidR="006016B9" w:rsidRPr="0087752B" w:rsidRDefault="006016B9" w:rsidP="00F56E38">
            <w:pPr>
              <w:pStyle w:val="DETTableTextFinancial"/>
              <w:rPr>
                <w:b/>
              </w:rPr>
            </w:pPr>
            <w:r w:rsidRPr="0087752B">
              <w:rPr>
                <w:b/>
              </w:rPr>
              <w:t>Quality</w:t>
            </w:r>
          </w:p>
        </w:tc>
      </w:tr>
      <w:tr w:rsidR="006016B9" w:rsidRPr="0087752B" w14:paraId="541E2E75" w14:textId="77777777" w:rsidTr="006016B9">
        <w:trPr>
          <w:cantSplit/>
        </w:trPr>
        <w:tc>
          <w:tcPr>
            <w:tcW w:w="2596" w:type="pct"/>
            <w:gridSpan w:val="3"/>
            <w:shd w:val="clear" w:color="auto" w:fill="auto"/>
            <w:vAlign w:val="center"/>
          </w:tcPr>
          <w:p w14:paraId="3B770BDE" w14:textId="3831DD35" w:rsidR="006016B9" w:rsidRPr="0087752B" w:rsidRDefault="006016B9" w:rsidP="00F56E38">
            <w:pPr>
              <w:pStyle w:val="DETTableTextFinancial"/>
            </w:pPr>
            <w:r w:rsidRPr="0087752B">
              <w:t xml:space="preserve">Parent satisfaction with special education on a </w:t>
            </w:r>
            <w:r w:rsidR="0098653C" w:rsidRPr="0087752B">
              <w:br/>
            </w:r>
            <w:r w:rsidRPr="0087752B">
              <w:t>100-point scale</w:t>
            </w:r>
          </w:p>
        </w:tc>
        <w:tc>
          <w:tcPr>
            <w:tcW w:w="570" w:type="pct"/>
            <w:shd w:val="clear" w:color="auto" w:fill="auto"/>
          </w:tcPr>
          <w:p w14:paraId="610F08E1" w14:textId="77777777" w:rsidR="006016B9" w:rsidRPr="0087752B" w:rsidRDefault="006016B9" w:rsidP="00F56E38">
            <w:pPr>
              <w:pStyle w:val="DETTableTextFinancial"/>
            </w:pPr>
            <w:r w:rsidRPr="0087752B">
              <w:t>100-point scale</w:t>
            </w:r>
          </w:p>
        </w:tc>
        <w:tc>
          <w:tcPr>
            <w:tcW w:w="475" w:type="pct"/>
            <w:gridSpan w:val="2"/>
            <w:shd w:val="clear" w:color="auto" w:fill="auto"/>
          </w:tcPr>
          <w:p w14:paraId="18D499A6" w14:textId="77777777" w:rsidR="006016B9" w:rsidRPr="0087752B" w:rsidRDefault="006016B9" w:rsidP="00F56E38">
            <w:pPr>
              <w:pStyle w:val="DETTableTextFinancial"/>
              <w:jc w:val="right"/>
            </w:pPr>
            <w:r w:rsidRPr="0087752B">
              <w:t>85</w:t>
            </w:r>
          </w:p>
        </w:tc>
        <w:tc>
          <w:tcPr>
            <w:tcW w:w="458" w:type="pct"/>
            <w:shd w:val="clear" w:color="auto" w:fill="auto"/>
          </w:tcPr>
          <w:p w14:paraId="2F173D16" w14:textId="77777777" w:rsidR="006016B9" w:rsidRPr="0087752B" w:rsidRDefault="006016B9" w:rsidP="00F56E38">
            <w:pPr>
              <w:pStyle w:val="DETTableTextFinancial"/>
              <w:jc w:val="right"/>
            </w:pPr>
            <w:r w:rsidRPr="0087752B">
              <w:t>85</w:t>
            </w:r>
          </w:p>
        </w:tc>
        <w:tc>
          <w:tcPr>
            <w:tcW w:w="492" w:type="pct"/>
          </w:tcPr>
          <w:p w14:paraId="298F4F48" w14:textId="77777777" w:rsidR="006016B9" w:rsidRPr="0087752B" w:rsidRDefault="006016B9" w:rsidP="00F56E38">
            <w:pPr>
              <w:pStyle w:val="DETTableTextFinancial"/>
              <w:jc w:val="right"/>
            </w:pPr>
            <w:r w:rsidRPr="0087752B">
              <w:t>0.0</w:t>
            </w:r>
          </w:p>
        </w:tc>
        <w:tc>
          <w:tcPr>
            <w:tcW w:w="410" w:type="pct"/>
          </w:tcPr>
          <w:p w14:paraId="79E15246" w14:textId="77777777" w:rsidR="006016B9" w:rsidRPr="005C767D" w:rsidRDefault="006016B9" w:rsidP="00F56E38">
            <w:pPr>
              <w:jc w:val="right"/>
            </w:pPr>
            <w:r w:rsidRPr="005C767D">
              <w:sym w:font="Wingdings" w:char="F0FC"/>
            </w:r>
            <w:r w:rsidRPr="005C767D">
              <w:t xml:space="preserve"> </w:t>
            </w:r>
          </w:p>
        </w:tc>
      </w:tr>
      <w:tr w:rsidR="006016B9" w:rsidRPr="0087752B" w14:paraId="1BF349AE" w14:textId="77777777" w:rsidTr="006016B9">
        <w:tblPrEx>
          <w:tblBorders>
            <w:bottom w:val="single" w:sz="12" w:space="0" w:color="777777"/>
          </w:tblBorders>
        </w:tblPrEx>
        <w:trPr>
          <w:cantSplit/>
        </w:trPr>
        <w:tc>
          <w:tcPr>
            <w:tcW w:w="5000" w:type="pct"/>
            <w:gridSpan w:val="9"/>
            <w:tcBorders>
              <w:bottom w:val="nil"/>
            </w:tcBorders>
            <w:shd w:val="clear" w:color="auto" w:fill="auto"/>
            <w:vAlign w:val="center"/>
          </w:tcPr>
          <w:p w14:paraId="24E90F0E" w14:textId="77777777" w:rsidR="006016B9" w:rsidRPr="0087752B" w:rsidRDefault="006016B9" w:rsidP="00F56E38">
            <w:pPr>
              <w:pStyle w:val="DETTableTextFinancial"/>
            </w:pPr>
            <w:r w:rsidRPr="0087752B">
              <w:rPr>
                <w:i/>
              </w:rPr>
              <w:t>Data is drawn from the Parent Opinion Survey, where a higher score represents a higher level of satisfaction</w:t>
            </w:r>
            <w:r w:rsidRPr="0087752B">
              <w:t>.</w:t>
            </w:r>
          </w:p>
        </w:tc>
      </w:tr>
      <w:tr w:rsidR="006016B9" w:rsidRPr="0087752B" w14:paraId="41509C2D" w14:textId="77777777" w:rsidTr="006016B9">
        <w:tblPrEx>
          <w:tblBorders>
            <w:bottom w:val="single" w:sz="12" w:space="0" w:color="777777"/>
          </w:tblBorders>
        </w:tblPrEx>
        <w:trPr>
          <w:cantSplit/>
        </w:trPr>
        <w:tc>
          <w:tcPr>
            <w:tcW w:w="5000" w:type="pct"/>
            <w:gridSpan w:val="9"/>
            <w:tcBorders>
              <w:top w:val="single" w:sz="6" w:space="0" w:color="auto"/>
            </w:tcBorders>
            <w:shd w:val="clear" w:color="auto" w:fill="auto"/>
            <w:vAlign w:val="center"/>
          </w:tcPr>
          <w:p w14:paraId="5F5E5786" w14:textId="77777777" w:rsidR="006016B9" w:rsidRPr="0087752B" w:rsidRDefault="006016B9" w:rsidP="00F56E38">
            <w:pPr>
              <w:pStyle w:val="DETTableTextFinancial"/>
              <w:rPr>
                <w:b/>
              </w:rPr>
            </w:pPr>
            <w:r w:rsidRPr="0087752B">
              <w:rPr>
                <w:b/>
              </w:rPr>
              <w:t>Cost</w:t>
            </w:r>
          </w:p>
        </w:tc>
      </w:tr>
      <w:tr w:rsidR="006016B9" w:rsidRPr="0087752B" w14:paraId="21BAB22C" w14:textId="77777777" w:rsidTr="006016B9">
        <w:trPr>
          <w:cantSplit/>
        </w:trPr>
        <w:tc>
          <w:tcPr>
            <w:tcW w:w="2596" w:type="pct"/>
            <w:gridSpan w:val="3"/>
            <w:shd w:val="clear" w:color="auto" w:fill="auto"/>
            <w:vAlign w:val="center"/>
          </w:tcPr>
          <w:p w14:paraId="4C8444C9" w14:textId="77777777" w:rsidR="006016B9" w:rsidRPr="0087752B" w:rsidRDefault="006016B9" w:rsidP="00F56E38">
            <w:pPr>
              <w:pStyle w:val="DETTableTextFinancial"/>
            </w:pPr>
            <w:r w:rsidRPr="0087752B">
              <w:t>Total output cost</w:t>
            </w:r>
          </w:p>
        </w:tc>
        <w:tc>
          <w:tcPr>
            <w:tcW w:w="570" w:type="pct"/>
            <w:shd w:val="clear" w:color="auto" w:fill="auto"/>
          </w:tcPr>
          <w:p w14:paraId="094FB614" w14:textId="77777777" w:rsidR="006016B9" w:rsidRPr="0087752B" w:rsidRDefault="006016B9" w:rsidP="00F56E38">
            <w:pPr>
              <w:pStyle w:val="DETTableTextFinancial"/>
            </w:pPr>
            <w:r w:rsidRPr="0087752B">
              <w:t>$ million</w:t>
            </w:r>
          </w:p>
        </w:tc>
        <w:tc>
          <w:tcPr>
            <w:tcW w:w="475" w:type="pct"/>
            <w:gridSpan w:val="2"/>
            <w:shd w:val="clear" w:color="auto" w:fill="auto"/>
          </w:tcPr>
          <w:p w14:paraId="5208D5B0" w14:textId="77777777" w:rsidR="006016B9" w:rsidRPr="0087752B" w:rsidRDefault="006016B9" w:rsidP="00F56E38">
            <w:pPr>
              <w:pStyle w:val="DETTableTextFinancial"/>
              <w:jc w:val="right"/>
            </w:pPr>
            <w:r w:rsidRPr="0087752B">
              <w:t>860.4</w:t>
            </w:r>
          </w:p>
        </w:tc>
        <w:tc>
          <w:tcPr>
            <w:tcW w:w="458" w:type="pct"/>
            <w:shd w:val="clear" w:color="auto" w:fill="auto"/>
          </w:tcPr>
          <w:p w14:paraId="37FA9229" w14:textId="24C68479" w:rsidR="006016B9" w:rsidRPr="00283685" w:rsidRDefault="00283685" w:rsidP="00F56E38">
            <w:pPr>
              <w:pStyle w:val="DETTableTextFinancial"/>
              <w:jc w:val="right"/>
            </w:pPr>
            <w:r w:rsidRPr="00283685">
              <w:t>860.3</w:t>
            </w:r>
          </w:p>
        </w:tc>
        <w:tc>
          <w:tcPr>
            <w:tcW w:w="492" w:type="pct"/>
          </w:tcPr>
          <w:p w14:paraId="22C604D7" w14:textId="5EEADDCE" w:rsidR="006016B9" w:rsidRPr="00283685" w:rsidRDefault="00283685" w:rsidP="00F56E38">
            <w:pPr>
              <w:pStyle w:val="DETTableTextFinancial"/>
              <w:jc w:val="right"/>
            </w:pPr>
            <w:r w:rsidRPr="00283685">
              <w:t>0.0</w:t>
            </w:r>
          </w:p>
        </w:tc>
        <w:tc>
          <w:tcPr>
            <w:tcW w:w="410" w:type="pct"/>
          </w:tcPr>
          <w:p w14:paraId="21B46CB2" w14:textId="26ED7828" w:rsidR="006016B9" w:rsidRPr="0087752B" w:rsidRDefault="00564733" w:rsidP="00F56E38">
            <w:pPr>
              <w:pStyle w:val="DETTableTextFinancial"/>
              <w:jc w:val="right"/>
              <w:rPr>
                <w:highlight w:val="yellow"/>
              </w:rPr>
            </w:pPr>
            <w:r w:rsidRPr="005C767D">
              <w:sym w:font="Wingdings" w:char="F0FC"/>
            </w:r>
          </w:p>
        </w:tc>
      </w:tr>
      <w:tr w:rsidR="006016B9" w:rsidRPr="0087752B" w14:paraId="6E5954FE" w14:textId="77777777" w:rsidTr="00D95C09">
        <w:tblPrEx>
          <w:tblBorders>
            <w:bottom w:val="single" w:sz="12" w:space="0" w:color="777777"/>
          </w:tblBorders>
        </w:tblPrEx>
        <w:trPr>
          <w:cantSplit/>
        </w:trPr>
        <w:tc>
          <w:tcPr>
            <w:tcW w:w="5000" w:type="pct"/>
            <w:gridSpan w:val="9"/>
            <w:tcBorders>
              <w:bottom w:val="single" w:sz="6" w:space="0" w:color="auto"/>
            </w:tcBorders>
            <w:shd w:val="clear" w:color="auto" w:fill="auto"/>
            <w:vAlign w:val="center"/>
          </w:tcPr>
          <w:p w14:paraId="1251FCBB" w14:textId="46E09AF6" w:rsidR="006016B9" w:rsidRPr="00F97BF8" w:rsidRDefault="00F97BF8" w:rsidP="00F97BF8">
            <w:pPr>
              <w:pStyle w:val="DETTableTextFinancial"/>
              <w:rPr>
                <w:rFonts w:ascii="Calibri" w:eastAsia="Times New Roman" w:hAnsi="Calibri"/>
                <w:color w:val="000000"/>
                <w:sz w:val="18"/>
                <w:szCs w:val="18"/>
              </w:rPr>
            </w:pPr>
            <w:r w:rsidRPr="00F97BF8">
              <w:rPr>
                <w:i/>
              </w:rPr>
              <w:t>The 2015/16 Actual is lower than the 2015/16 Target primarily due to lapsing National Partnerships which is partly offset by the timing in delivery of programs such as 'More support for students with disabilities' as funding was received from the Commonwealth late last financial year.</w:t>
            </w:r>
          </w:p>
        </w:tc>
      </w:tr>
      <w:tr w:rsidR="006016B9" w:rsidRPr="0087752B" w14:paraId="334DBA0C" w14:textId="77777777" w:rsidTr="00D95C09">
        <w:tblPrEx>
          <w:tblBorders>
            <w:top w:val="single" w:sz="6" w:space="0" w:color="auto"/>
            <w:bottom w:val="single" w:sz="12" w:space="0" w:color="7F7F7F" w:themeColor="text1" w:themeTint="80"/>
          </w:tblBorders>
        </w:tblPrEx>
        <w:trPr>
          <w:cantSplit/>
          <w:trHeight w:hRule="exact" w:val="459"/>
        </w:trPr>
        <w:tc>
          <w:tcPr>
            <w:tcW w:w="316" w:type="pct"/>
            <w:tcBorders>
              <w:top w:val="single" w:sz="6" w:space="0" w:color="auto"/>
              <w:bottom w:val="single" w:sz="4" w:space="0" w:color="auto"/>
            </w:tcBorders>
            <w:vAlign w:val="center"/>
          </w:tcPr>
          <w:p w14:paraId="741E83EA" w14:textId="77777777" w:rsidR="006016B9" w:rsidRPr="0087752B" w:rsidRDefault="006016B9" w:rsidP="006016B9">
            <w:r w:rsidRPr="0087752B">
              <w:rPr>
                <w:sz w:val="16"/>
                <w:szCs w:val="16"/>
              </w:rPr>
              <w:t>Key</w:t>
            </w:r>
            <w:r w:rsidRPr="0087752B">
              <w:t>:</w:t>
            </w:r>
          </w:p>
        </w:tc>
        <w:tc>
          <w:tcPr>
            <w:tcW w:w="1235" w:type="pct"/>
            <w:tcBorders>
              <w:top w:val="single" w:sz="6" w:space="0" w:color="auto"/>
              <w:bottom w:val="single" w:sz="4" w:space="0" w:color="auto"/>
            </w:tcBorders>
            <w:shd w:val="clear" w:color="auto" w:fill="auto"/>
            <w:vAlign w:val="center"/>
          </w:tcPr>
          <w:p w14:paraId="51B79AB9" w14:textId="77777777" w:rsidR="006016B9" w:rsidRPr="0087752B" w:rsidRDefault="006016B9" w:rsidP="006016B9">
            <w:r w:rsidRPr="005C767D">
              <w:sym w:font="Wingdings" w:char="F0FC"/>
            </w:r>
            <w:r w:rsidRPr="005C767D">
              <w:t xml:space="preserve"> </w:t>
            </w:r>
            <w:r w:rsidRPr="0087752B">
              <w:rPr>
                <w:sz w:val="16"/>
                <w:szCs w:val="16"/>
              </w:rPr>
              <w:t>Target achieved or exceeded</w:t>
            </w:r>
          </w:p>
        </w:tc>
        <w:tc>
          <w:tcPr>
            <w:tcW w:w="1712" w:type="pct"/>
            <w:gridSpan w:val="3"/>
            <w:tcBorders>
              <w:top w:val="single" w:sz="6" w:space="0" w:color="auto"/>
              <w:bottom w:val="single" w:sz="4" w:space="0" w:color="auto"/>
            </w:tcBorders>
            <w:shd w:val="clear" w:color="auto" w:fill="auto"/>
            <w:vAlign w:val="center"/>
          </w:tcPr>
          <w:p w14:paraId="0BB788A5" w14:textId="77777777" w:rsidR="006016B9" w:rsidRPr="0087752B" w:rsidRDefault="006016B9" w:rsidP="006016B9">
            <w:r w:rsidRPr="005C767D">
              <w:sym w:font="Wingdings" w:char="F06E"/>
            </w:r>
            <w:r w:rsidRPr="005C767D">
              <w:t xml:space="preserve"> </w:t>
            </w:r>
            <w:r w:rsidRPr="0087752B">
              <w:rPr>
                <w:sz w:val="16"/>
                <w:szCs w:val="16"/>
              </w:rPr>
              <w:t>Target not achieved—less than 5% variance</w:t>
            </w:r>
          </w:p>
        </w:tc>
        <w:tc>
          <w:tcPr>
            <w:tcW w:w="1737" w:type="pct"/>
            <w:gridSpan w:val="4"/>
            <w:tcBorders>
              <w:top w:val="single" w:sz="6" w:space="0" w:color="auto"/>
              <w:bottom w:val="single" w:sz="4" w:space="0" w:color="auto"/>
            </w:tcBorders>
            <w:shd w:val="clear" w:color="auto" w:fill="auto"/>
            <w:vAlign w:val="center"/>
          </w:tcPr>
          <w:p w14:paraId="1B01E8D3" w14:textId="77777777" w:rsidR="006016B9" w:rsidRPr="0087752B" w:rsidRDefault="006016B9" w:rsidP="006016B9">
            <w:r w:rsidRPr="005C767D">
              <w:sym w:font="Wingdings" w:char="F0FB"/>
            </w:r>
            <w:r w:rsidRPr="005C767D">
              <w:t xml:space="preserve"> </w:t>
            </w:r>
            <w:r w:rsidRPr="0087752B">
              <w:rPr>
                <w:sz w:val="16"/>
                <w:szCs w:val="16"/>
              </w:rPr>
              <w:t>Target not achieved—more than 5% variance</w:t>
            </w:r>
          </w:p>
        </w:tc>
      </w:tr>
    </w:tbl>
    <w:p w14:paraId="47E73E91" w14:textId="77777777" w:rsidR="006016B9" w:rsidRPr="0087752B" w:rsidRDefault="006016B9" w:rsidP="006016B9"/>
    <w:p w14:paraId="7F77E0DD" w14:textId="77777777" w:rsidR="004E28FC" w:rsidRDefault="004E28FC">
      <w:pPr>
        <w:spacing w:after="200" w:line="276" w:lineRule="auto"/>
        <w:rPr>
          <w:rFonts w:cs="Arial"/>
          <w:bCs/>
          <w:sz w:val="22"/>
          <w:szCs w:val="19"/>
        </w:rPr>
      </w:pPr>
      <w:r>
        <w:br w:type="page"/>
      </w:r>
    </w:p>
    <w:p w14:paraId="5270CF81" w14:textId="7551D17E" w:rsidR="00232BA7" w:rsidRPr="00D95C09" w:rsidRDefault="00232BA7" w:rsidP="00232BA7">
      <w:pPr>
        <w:pStyle w:val="Heading3"/>
      </w:pPr>
      <w:r w:rsidRPr="00D95C09">
        <w:lastRenderedPageBreak/>
        <w:t xml:space="preserve">Discontinued </w:t>
      </w:r>
      <w:r w:rsidR="00571A53" w:rsidRPr="00D95C09">
        <w:t>measures</w:t>
      </w:r>
      <w:r w:rsidR="00170E98" w:rsidRPr="00D95C09">
        <w:t xml:space="preserve"> for 2015–16</w:t>
      </w:r>
    </w:p>
    <w:p w14:paraId="633483F8" w14:textId="48C9940B" w:rsidR="00170E98" w:rsidRPr="00D95C09" w:rsidRDefault="00170E98" w:rsidP="00354573">
      <w:r w:rsidRPr="00D95C09">
        <w:t>Following assessment by the Public Accounts and Estimates Committee, the 37 performance measures listed below have been discontinued for 2015–16.</w:t>
      </w:r>
    </w:p>
    <w:tbl>
      <w:tblPr>
        <w:tblW w:w="5000" w:type="pct"/>
        <w:tblLook w:val="04A0" w:firstRow="1" w:lastRow="0" w:firstColumn="1" w:lastColumn="0" w:noHBand="0" w:noVBand="1"/>
      </w:tblPr>
      <w:tblGrid>
        <w:gridCol w:w="1159"/>
        <w:gridCol w:w="6427"/>
      </w:tblGrid>
      <w:tr w:rsidR="00170E98" w:rsidRPr="00170E98" w14:paraId="44C1228A" w14:textId="77777777" w:rsidTr="00D95C09">
        <w:trPr>
          <w:trHeight w:val="300"/>
          <w:tblHeader/>
        </w:trPr>
        <w:tc>
          <w:tcPr>
            <w:tcW w:w="764" w:type="pct"/>
            <w:shd w:val="clear" w:color="auto" w:fill="7F7F7F" w:themeFill="text1" w:themeFillTint="80"/>
            <w:hideMark/>
          </w:tcPr>
          <w:p w14:paraId="2B0F233C" w14:textId="0FC4EAF8" w:rsidR="00170E98" w:rsidRPr="00D95C09" w:rsidRDefault="00170E98" w:rsidP="00D95C09">
            <w:pPr>
              <w:pStyle w:val="DETTablecolumnheading"/>
            </w:pPr>
            <w:r w:rsidRPr="00D95C09">
              <w:t xml:space="preserve">Output </w:t>
            </w:r>
            <w:r w:rsidR="00354573" w:rsidRPr="00D95C09">
              <w:t>g</w:t>
            </w:r>
            <w:r w:rsidRPr="00D95C09">
              <w:t>roup</w:t>
            </w:r>
          </w:p>
        </w:tc>
        <w:tc>
          <w:tcPr>
            <w:tcW w:w="4236" w:type="pct"/>
            <w:shd w:val="clear" w:color="auto" w:fill="7F7F7F" w:themeFill="text1" w:themeFillTint="80"/>
            <w:hideMark/>
          </w:tcPr>
          <w:p w14:paraId="7EC7742F" w14:textId="3E73D2CB" w:rsidR="00170E98" w:rsidRPr="00D95C09" w:rsidRDefault="00170E98" w:rsidP="00D95C09">
            <w:pPr>
              <w:pStyle w:val="DETTablecolumnheading"/>
            </w:pPr>
            <w:r w:rsidRPr="00D95C09">
              <w:t xml:space="preserve">Performance </w:t>
            </w:r>
            <w:r w:rsidR="00354573" w:rsidRPr="00D95C09">
              <w:t>measure n</w:t>
            </w:r>
            <w:r w:rsidRPr="00D95C09">
              <w:t>ame</w:t>
            </w:r>
          </w:p>
        </w:tc>
      </w:tr>
      <w:tr w:rsidR="00170E98" w:rsidRPr="00170E98" w14:paraId="2400C769" w14:textId="77777777" w:rsidTr="00E45BE4">
        <w:trPr>
          <w:trHeight w:val="690"/>
        </w:trPr>
        <w:tc>
          <w:tcPr>
            <w:tcW w:w="764" w:type="pct"/>
            <w:tcBorders>
              <w:bottom w:val="single" w:sz="4" w:space="0" w:color="7F7F7F" w:themeColor="text1" w:themeTint="80"/>
            </w:tcBorders>
            <w:shd w:val="clear" w:color="auto" w:fill="auto"/>
            <w:hideMark/>
          </w:tcPr>
          <w:p w14:paraId="4056DE87" w14:textId="77777777" w:rsidR="00170E98" w:rsidRPr="00D95C09" w:rsidRDefault="00170E98" w:rsidP="00D95C09">
            <w:pPr>
              <w:pStyle w:val="DETTableTextFinancial"/>
            </w:pPr>
            <w:r w:rsidRPr="00D95C09">
              <w:t>Strategy Review and Regulation</w:t>
            </w:r>
          </w:p>
        </w:tc>
        <w:tc>
          <w:tcPr>
            <w:tcW w:w="4236" w:type="pct"/>
            <w:tcBorders>
              <w:bottom w:val="single" w:sz="4" w:space="0" w:color="7F7F7F" w:themeColor="text1" w:themeTint="80"/>
            </w:tcBorders>
            <w:shd w:val="clear" w:color="auto" w:fill="auto"/>
            <w:hideMark/>
          </w:tcPr>
          <w:p w14:paraId="5FA3A514" w14:textId="77777777" w:rsidR="00170E98" w:rsidRPr="00D95C09" w:rsidRDefault="00170E98" w:rsidP="00D95C09">
            <w:pPr>
              <w:pStyle w:val="DETTableTextFinancial"/>
            </w:pPr>
            <w:r w:rsidRPr="00D95C09">
              <w:t>Participants benefiting from initiatives to increase the supply of trained/qualified teachers</w:t>
            </w:r>
          </w:p>
        </w:tc>
      </w:tr>
      <w:tr w:rsidR="00170E98" w:rsidRPr="00170E98" w14:paraId="099BFED5" w14:textId="77777777" w:rsidTr="00E45BE4">
        <w:trPr>
          <w:trHeight w:val="300"/>
        </w:trPr>
        <w:tc>
          <w:tcPr>
            <w:tcW w:w="764" w:type="pct"/>
            <w:vMerge w:val="restart"/>
            <w:tcBorders>
              <w:top w:val="single" w:sz="4" w:space="0" w:color="7F7F7F" w:themeColor="text1" w:themeTint="80"/>
            </w:tcBorders>
            <w:shd w:val="clear" w:color="auto" w:fill="auto"/>
            <w:hideMark/>
          </w:tcPr>
          <w:p w14:paraId="4CEEC423" w14:textId="77777777" w:rsidR="00170E98" w:rsidRPr="00D95C09" w:rsidRDefault="00170E98" w:rsidP="00D95C09">
            <w:pPr>
              <w:pStyle w:val="DETTableTextFinancial"/>
            </w:pPr>
            <w:r w:rsidRPr="00D95C09">
              <w:t>Early Childhood Development</w:t>
            </w:r>
          </w:p>
        </w:tc>
        <w:tc>
          <w:tcPr>
            <w:tcW w:w="4236" w:type="pct"/>
            <w:tcBorders>
              <w:top w:val="single" w:sz="4" w:space="0" w:color="7F7F7F" w:themeColor="text1" w:themeTint="80"/>
            </w:tcBorders>
            <w:shd w:val="clear" w:color="auto" w:fill="auto"/>
            <w:hideMark/>
          </w:tcPr>
          <w:p w14:paraId="7EE74701" w14:textId="77777777" w:rsidR="00170E98" w:rsidRPr="00D95C09" w:rsidRDefault="00170E98" w:rsidP="00D95C09">
            <w:pPr>
              <w:pStyle w:val="DETTableTextFinancial"/>
            </w:pPr>
            <w:r w:rsidRPr="00D95C09">
              <w:t>Number of Early Childhood Intervention Service places and packages funded annually</w:t>
            </w:r>
          </w:p>
        </w:tc>
      </w:tr>
      <w:tr w:rsidR="00170E98" w:rsidRPr="00170E98" w14:paraId="0938AF53" w14:textId="77777777" w:rsidTr="00E45BE4">
        <w:trPr>
          <w:trHeight w:val="615"/>
        </w:trPr>
        <w:tc>
          <w:tcPr>
            <w:tcW w:w="764" w:type="pct"/>
            <w:vMerge/>
            <w:tcBorders>
              <w:bottom w:val="single" w:sz="4" w:space="0" w:color="auto"/>
            </w:tcBorders>
            <w:vAlign w:val="center"/>
            <w:hideMark/>
          </w:tcPr>
          <w:p w14:paraId="408BE275" w14:textId="77777777" w:rsidR="00170E98" w:rsidRPr="00D95C09" w:rsidRDefault="00170E98" w:rsidP="00D95C09">
            <w:pPr>
              <w:pStyle w:val="DETTableTextFinancial"/>
            </w:pPr>
          </w:p>
        </w:tc>
        <w:tc>
          <w:tcPr>
            <w:tcW w:w="4236" w:type="pct"/>
            <w:tcBorders>
              <w:bottom w:val="single" w:sz="4" w:space="0" w:color="auto"/>
            </w:tcBorders>
            <w:shd w:val="clear" w:color="auto" w:fill="auto"/>
            <w:hideMark/>
          </w:tcPr>
          <w:p w14:paraId="517B7B5E" w14:textId="77777777" w:rsidR="00170E98" w:rsidRPr="00D95C09" w:rsidRDefault="00170E98" w:rsidP="00D95C09">
            <w:pPr>
              <w:pStyle w:val="DETTableTextFinancial"/>
            </w:pPr>
            <w:r w:rsidRPr="00D95C09">
              <w:t>Funded kindergarten services assessed under the National Quality Framework that have a quality assurance process</w:t>
            </w:r>
          </w:p>
        </w:tc>
      </w:tr>
      <w:tr w:rsidR="00170E98" w:rsidRPr="00170E98" w14:paraId="76014ABE" w14:textId="77777777" w:rsidTr="00E45BE4">
        <w:trPr>
          <w:trHeight w:val="300"/>
        </w:trPr>
        <w:tc>
          <w:tcPr>
            <w:tcW w:w="764" w:type="pct"/>
            <w:vMerge w:val="restart"/>
            <w:tcBorders>
              <w:top w:val="single" w:sz="4" w:space="0" w:color="auto"/>
            </w:tcBorders>
            <w:shd w:val="clear" w:color="auto" w:fill="auto"/>
            <w:hideMark/>
          </w:tcPr>
          <w:p w14:paraId="5EAAC563" w14:textId="1EFC4033" w:rsidR="00170E98" w:rsidRPr="00D95C09" w:rsidRDefault="00170E98" w:rsidP="00D95C09">
            <w:pPr>
              <w:pStyle w:val="DETTableTextFinancial"/>
            </w:pPr>
            <w:r w:rsidRPr="00D95C09">
              <w:t>School Education</w:t>
            </w:r>
            <w:r w:rsidR="00CE4E88" w:rsidRPr="00D95C09">
              <w:t>—</w:t>
            </w:r>
            <w:r w:rsidRPr="00D95C09">
              <w:t>Primary</w:t>
            </w:r>
          </w:p>
        </w:tc>
        <w:tc>
          <w:tcPr>
            <w:tcW w:w="4236" w:type="pct"/>
            <w:tcBorders>
              <w:top w:val="single" w:sz="4" w:space="0" w:color="auto"/>
            </w:tcBorders>
            <w:shd w:val="clear" w:color="auto" w:fill="auto"/>
            <w:hideMark/>
          </w:tcPr>
          <w:p w14:paraId="586356AF" w14:textId="148DF9B9" w:rsidR="00170E98" w:rsidRPr="00D95C09" w:rsidRDefault="00170E98" w:rsidP="00D95C09">
            <w:pPr>
              <w:pStyle w:val="DETTableTextFinancial"/>
            </w:pPr>
            <w:r w:rsidRPr="00D95C09">
              <w:t xml:space="preserve">Average </w:t>
            </w:r>
            <w:r w:rsidR="003344FC">
              <w:t>p</w:t>
            </w:r>
            <w:r w:rsidRPr="00D95C09">
              <w:t>rep</w:t>
            </w:r>
            <w:r w:rsidR="003344FC">
              <w:t>—y</w:t>
            </w:r>
            <w:r w:rsidRPr="00D95C09">
              <w:t>ear 2 class size</w:t>
            </w:r>
          </w:p>
        </w:tc>
      </w:tr>
      <w:tr w:rsidR="00170E98" w:rsidRPr="00170E98" w14:paraId="18A7A07F" w14:textId="77777777" w:rsidTr="00D95C09">
        <w:trPr>
          <w:trHeight w:val="300"/>
        </w:trPr>
        <w:tc>
          <w:tcPr>
            <w:tcW w:w="764" w:type="pct"/>
            <w:vMerge/>
            <w:vAlign w:val="center"/>
            <w:hideMark/>
          </w:tcPr>
          <w:p w14:paraId="2A9D4CB1" w14:textId="77777777" w:rsidR="00170E98" w:rsidRPr="00D95C09" w:rsidRDefault="00170E98" w:rsidP="00D95C09">
            <w:pPr>
              <w:pStyle w:val="DETTableTextFinancial"/>
            </w:pPr>
          </w:p>
        </w:tc>
        <w:tc>
          <w:tcPr>
            <w:tcW w:w="4236" w:type="pct"/>
            <w:shd w:val="clear" w:color="auto" w:fill="auto"/>
            <w:hideMark/>
          </w:tcPr>
          <w:p w14:paraId="6F93EAE7" w14:textId="77777777" w:rsidR="00170E98" w:rsidRPr="00D95C09" w:rsidRDefault="00170E98" w:rsidP="00D95C09">
            <w:pPr>
              <w:pStyle w:val="DETTableTextFinancial"/>
            </w:pPr>
            <w:r w:rsidRPr="00D95C09">
              <w:t>Average rate of student attendance at Year 5</w:t>
            </w:r>
          </w:p>
        </w:tc>
      </w:tr>
      <w:tr w:rsidR="00170E98" w:rsidRPr="00170E98" w14:paraId="44962538" w14:textId="77777777" w:rsidTr="00D95C09">
        <w:trPr>
          <w:trHeight w:val="300"/>
        </w:trPr>
        <w:tc>
          <w:tcPr>
            <w:tcW w:w="764" w:type="pct"/>
            <w:vMerge/>
            <w:vAlign w:val="center"/>
            <w:hideMark/>
          </w:tcPr>
          <w:p w14:paraId="71C4F649" w14:textId="77777777" w:rsidR="00170E98" w:rsidRPr="00D95C09" w:rsidRDefault="00170E98" w:rsidP="00D95C09">
            <w:pPr>
              <w:pStyle w:val="DETTableTextFinancial"/>
            </w:pPr>
          </w:p>
        </w:tc>
        <w:tc>
          <w:tcPr>
            <w:tcW w:w="4236" w:type="pct"/>
            <w:shd w:val="clear" w:color="auto" w:fill="auto"/>
            <w:hideMark/>
          </w:tcPr>
          <w:p w14:paraId="2C2939AB" w14:textId="77777777" w:rsidR="00170E98" w:rsidRPr="00D95C09" w:rsidRDefault="00170E98" w:rsidP="00D95C09">
            <w:pPr>
              <w:pStyle w:val="DETTableTextFinancial"/>
            </w:pPr>
            <w:r w:rsidRPr="00D95C09">
              <w:t>Average rate of student attendance at Year 6</w:t>
            </w:r>
          </w:p>
        </w:tc>
      </w:tr>
      <w:tr w:rsidR="00170E98" w:rsidRPr="00170E98" w14:paraId="11CD9C0C" w14:textId="77777777" w:rsidTr="00D95C09">
        <w:trPr>
          <w:trHeight w:val="600"/>
        </w:trPr>
        <w:tc>
          <w:tcPr>
            <w:tcW w:w="764" w:type="pct"/>
            <w:vMerge/>
            <w:vAlign w:val="center"/>
            <w:hideMark/>
          </w:tcPr>
          <w:p w14:paraId="4F1EB5DA" w14:textId="77777777" w:rsidR="00170E98" w:rsidRPr="00D95C09" w:rsidRDefault="00170E98" w:rsidP="00D95C09">
            <w:pPr>
              <w:pStyle w:val="DETTableTextFinancial"/>
            </w:pPr>
          </w:p>
        </w:tc>
        <w:tc>
          <w:tcPr>
            <w:tcW w:w="4236" w:type="pct"/>
            <w:shd w:val="clear" w:color="auto" w:fill="auto"/>
            <w:hideMark/>
          </w:tcPr>
          <w:p w14:paraId="6833443C" w14:textId="38FD7F1A" w:rsidR="00170E98" w:rsidRPr="00D95C09" w:rsidRDefault="00170E98" w:rsidP="00D95C09">
            <w:pPr>
              <w:pStyle w:val="DETTableTextFinancial"/>
            </w:pPr>
            <w:r w:rsidRPr="00D95C09">
              <w:t xml:space="preserve">Number of </w:t>
            </w:r>
            <w:r w:rsidR="003344FC">
              <w:t>Assistant P</w:t>
            </w:r>
            <w:r w:rsidR="00CE4E88" w:rsidRPr="00D95C09">
              <w:t>rincipals</w:t>
            </w:r>
            <w:r w:rsidRPr="00D95C09">
              <w:t>, aspiring leaders and leadership teams participating in leadership development programs</w:t>
            </w:r>
          </w:p>
        </w:tc>
      </w:tr>
      <w:tr w:rsidR="00170E98" w:rsidRPr="00170E98" w14:paraId="51E9EA30" w14:textId="77777777" w:rsidTr="00D95C09">
        <w:trPr>
          <w:trHeight w:val="300"/>
        </w:trPr>
        <w:tc>
          <w:tcPr>
            <w:tcW w:w="764" w:type="pct"/>
            <w:vMerge/>
            <w:vAlign w:val="center"/>
            <w:hideMark/>
          </w:tcPr>
          <w:p w14:paraId="17E84191" w14:textId="77777777" w:rsidR="00170E98" w:rsidRPr="00D95C09" w:rsidRDefault="00170E98" w:rsidP="00D95C09">
            <w:pPr>
              <w:pStyle w:val="DETTableTextFinancial"/>
            </w:pPr>
          </w:p>
        </w:tc>
        <w:tc>
          <w:tcPr>
            <w:tcW w:w="4236" w:type="pct"/>
            <w:shd w:val="clear" w:color="auto" w:fill="auto"/>
            <w:hideMark/>
          </w:tcPr>
          <w:p w14:paraId="44281CE9" w14:textId="6213261B" w:rsidR="00170E98" w:rsidRPr="00D95C09" w:rsidRDefault="003344FC" w:rsidP="00D95C09">
            <w:pPr>
              <w:pStyle w:val="DETTableTextFinancial"/>
            </w:pPr>
            <w:r>
              <w:t>Statewide compute</w:t>
            </w:r>
            <w:r w:rsidR="00A16B7C">
              <w:t>r</w:t>
            </w:r>
            <w:r w:rsidR="00C6493F">
              <w:t xml:space="preserve"> </w:t>
            </w:r>
            <w:r w:rsidR="00170E98" w:rsidRPr="00D95C09">
              <w:t>to</w:t>
            </w:r>
            <w:r w:rsidR="00C6493F">
              <w:t xml:space="preserve"> </w:t>
            </w:r>
            <w:r w:rsidR="00170E98" w:rsidRPr="00D95C09">
              <w:t>student ratio: primary</w:t>
            </w:r>
          </w:p>
        </w:tc>
      </w:tr>
      <w:tr w:rsidR="00170E98" w:rsidRPr="00170E98" w14:paraId="24C97CFE" w14:textId="77777777" w:rsidTr="00D95C09">
        <w:trPr>
          <w:trHeight w:val="600"/>
        </w:trPr>
        <w:tc>
          <w:tcPr>
            <w:tcW w:w="764" w:type="pct"/>
            <w:vMerge/>
            <w:vAlign w:val="center"/>
            <w:hideMark/>
          </w:tcPr>
          <w:p w14:paraId="15CA2196" w14:textId="77777777" w:rsidR="00170E98" w:rsidRPr="00D95C09" w:rsidRDefault="00170E98" w:rsidP="00D95C09">
            <w:pPr>
              <w:pStyle w:val="DETTableTextFinancial"/>
            </w:pPr>
          </w:p>
        </w:tc>
        <w:tc>
          <w:tcPr>
            <w:tcW w:w="4236" w:type="pct"/>
            <w:shd w:val="clear" w:color="auto" w:fill="auto"/>
            <w:hideMark/>
          </w:tcPr>
          <w:p w14:paraId="06772B6C" w14:textId="6C9A7709" w:rsidR="00170E98" w:rsidRPr="00D95C09" w:rsidRDefault="00170E98" w:rsidP="00D95C09">
            <w:pPr>
              <w:pStyle w:val="DETTableTextFinancial"/>
            </w:pPr>
            <w:r w:rsidRPr="00D95C09">
              <w:t>Percentage of Indigenous students meeting the national minimum standard for numeracy in Year 3 (National Assessment Program Literacy and Numeracy</w:t>
            </w:r>
            <w:r w:rsidR="00CE4E88" w:rsidRPr="00D95C09">
              <w:t>—</w:t>
            </w:r>
            <w:r w:rsidRPr="00D95C09">
              <w:t>NAPLAN testing)</w:t>
            </w:r>
          </w:p>
        </w:tc>
      </w:tr>
      <w:tr w:rsidR="00170E98" w:rsidRPr="00170E98" w14:paraId="1CAD3762" w14:textId="77777777" w:rsidTr="00D95C09">
        <w:trPr>
          <w:trHeight w:val="360"/>
        </w:trPr>
        <w:tc>
          <w:tcPr>
            <w:tcW w:w="764" w:type="pct"/>
            <w:vMerge/>
            <w:vAlign w:val="center"/>
            <w:hideMark/>
          </w:tcPr>
          <w:p w14:paraId="60CCDCEF" w14:textId="77777777" w:rsidR="00170E98" w:rsidRPr="00D95C09" w:rsidRDefault="00170E98" w:rsidP="00D95C09">
            <w:pPr>
              <w:pStyle w:val="DETTableTextFinancial"/>
            </w:pPr>
          </w:p>
        </w:tc>
        <w:tc>
          <w:tcPr>
            <w:tcW w:w="4236" w:type="pct"/>
            <w:shd w:val="clear" w:color="auto" w:fill="auto"/>
            <w:hideMark/>
          </w:tcPr>
          <w:p w14:paraId="2E44B3A9" w14:textId="77777777" w:rsidR="00170E98" w:rsidRPr="00D95C09" w:rsidRDefault="00170E98" w:rsidP="00D95C09">
            <w:pPr>
              <w:pStyle w:val="DETTableTextFinancial"/>
            </w:pPr>
            <w:r w:rsidRPr="00D95C09">
              <w:t>Percentage of Indigenous students meeting the national minimum standard for numeracy in Year 5 (NAPLAN testing)</w:t>
            </w:r>
          </w:p>
        </w:tc>
      </w:tr>
      <w:tr w:rsidR="00170E98" w:rsidRPr="00170E98" w14:paraId="1E57494A" w14:textId="77777777" w:rsidTr="00D95C09">
        <w:trPr>
          <w:trHeight w:val="600"/>
        </w:trPr>
        <w:tc>
          <w:tcPr>
            <w:tcW w:w="764" w:type="pct"/>
            <w:vMerge/>
            <w:vAlign w:val="center"/>
            <w:hideMark/>
          </w:tcPr>
          <w:p w14:paraId="3C326E0A" w14:textId="77777777" w:rsidR="00170E98" w:rsidRPr="00D95C09" w:rsidRDefault="00170E98" w:rsidP="00D95C09">
            <w:pPr>
              <w:pStyle w:val="DETTableTextFinancial"/>
            </w:pPr>
          </w:p>
        </w:tc>
        <w:tc>
          <w:tcPr>
            <w:tcW w:w="4236" w:type="pct"/>
            <w:shd w:val="clear" w:color="auto" w:fill="auto"/>
            <w:hideMark/>
          </w:tcPr>
          <w:p w14:paraId="75B43B63" w14:textId="77777777" w:rsidR="00170E98" w:rsidRPr="00D95C09" w:rsidRDefault="00170E98" w:rsidP="00D95C09">
            <w:pPr>
              <w:pStyle w:val="DETTableTextFinancial"/>
            </w:pPr>
            <w:r w:rsidRPr="00D95C09">
              <w:t>Percentage of Indigenous students meeting the national minimum standard for reading in Year 3 (NAPLAN testing)</w:t>
            </w:r>
          </w:p>
        </w:tc>
      </w:tr>
      <w:tr w:rsidR="00170E98" w:rsidRPr="00170E98" w14:paraId="57C16897" w14:textId="77777777" w:rsidTr="00D95C09">
        <w:trPr>
          <w:trHeight w:val="600"/>
        </w:trPr>
        <w:tc>
          <w:tcPr>
            <w:tcW w:w="764" w:type="pct"/>
            <w:vMerge/>
            <w:vAlign w:val="center"/>
            <w:hideMark/>
          </w:tcPr>
          <w:p w14:paraId="15A36D2F" w14:textId="77777777" w:rsidR="00170E98" w:rsidRPr="00D95C09" w:rsidRDefault="00170E98" w:rsidP="00D95C09">
            <w:pPr>
              <w:pStyle w:val="DETTableTextFinancial"/>
            </w:pPr>
          </w:p>
        </w:tc>
        <w:tc>
          <w:tcPr>
            <w:tcW w:w="4236" w:type="pct"/>
            <w:shd w:val="clear" w:color="auto" w:fill="auto"/>
            <w:hideMark/>
          </w:tcPr>
          <w:p w14:paraId="39A05A9F" w14:textId="77777777" w:rsidR="00170E98" w:rsidRPr="00D95C09" w:rsidRDefault="00170E98" w:rsidP="00D95C09">
            <w:pPr>
              <w:pStyle w:val="DETTableTextFinancial"/>
            </w:pPr>
            <w:r w:rsidRPr="00D95C09">
              <w:t>Percentage of Indigenous students meeting the national minimum standard for reading in Year 5 (NAPLAN testing)</w:t>
            </w:r>
          </w:p>
        </w:tc>
      </w:tr>
      <w:tr w:rsidR="00170E98" w:rsidRPr="00170E98" w14:paraId="2F5801F1" w14:textId="77777777" w:rsidTr="00D95C09">
        <w:trPr>
          <w:trHeight w:val="300"/>
        </w:trPr>
        <w:tc>
          <w:tcPr>
            <w:tcW w:w="764" w:type="pct"/>
            <w:vMerge/>
            <w:vAlign w:val="center"/>
            <w:hideMark/>
          </w:tcPr>
          <w:p w14:paraId="31D65919" w14:textId="77777777" w:rsidR="00170E98" w:rsidRPr="00D95C09" w:rsidRDefault="00170E98" w:rsidP="00D95C09">
            <w:pPr>
              <w:pStyle w:val="DETTableTextFinancial"/>
            </w:pPr>
          </w:p>
        </w:tc>
        <w:tc>
          <w:tcPr>
            <w:tcW w:w="4236" w:type="pct"/>
            <w:shd w:val="clear" w:color="auto" w:fill="auto"/>
            <w:hideMark/>
          </w:tcPr>
          <w:p w14:paraId="0724F1AC" w14:textId="77777777" w:rsidR="00170E98" w:rsidRPr="00D95C09" w:rsidRDefault="00170E98" w:rsidP="00D95C09">
            <w:pPr>
              <w:pStyle w:val="DETTableTextFinancial"/>
            </w:pPr>
            <w:r w:rsidRPr="00D95C09">
              <w:t>Percentage of students meeting the national minimum standard for numeracy in Year 3 (NAPLAN testing)</w:t>
            </w:r>
          </w:p>
        </w:tc>
      </w:tr>
      <w:tr w:rsidR="00170E98" w:rsidRPr="00170E98" w14:paraId="701E90D1" w14:textId="77777777" w:rsidTr="00D95C09">
        <w:trPr>
          <w:trHeight w:val="300"/>
        </w:trPr>
        <w:tc>
          <w:tcPr>
            <w:tcW w:w="764" w:type="pct"/>
            <w:vMerge/>
            <w:vAlign w:val="center"/>
            <w:hideMark/>
          </w:tcPr>
          <w:p w14:paraId="5E4F45B4" w14:textId="77777777" w:rsidR="00170E98" w:rsidRPr="00D95C09" w:rsidRDefault="00170E98" w:rsidP="00D95C09">
            <w:pPr>
              <w:pStyle w:val="DETTableTextFinancial"/>
            </w:pPr>
          </w:p>
        </w:tc>
        <w:tc>
          <w:tcPr>
            <w:tcW w:w="4236" w:type="pct"/>
            <w:shd w:val="clear" w:color="auto" w:fill="auto"/>
            <w:hideMark/>
          </w:tcPr>
          <w:p w14:paraId="2231EB5A" w14:textId="77777777" w:rsidR="00170E98" w:rsidRPr="00D95C09" w:rsidRDefault="00170E98" w:rsidP="00D95C09">
            <w:pPr>
              <w:pStyle w:val="DETTableTextFinancial"/>
            </w:pPr>
            <w:r w:rsidRPr="00D95C09">
              <w:t>Percentage of students meeting the national minimum standard for numeracy in Year 5 (NAPLAN testing)</w:t>
            </w:r>
          </w:p>
        </w:tc>
      </w:tr>
      <w:tr w:rsidR="00170E98" w:rsidRPr="00170E98" w14:paraId="40734BEC" w14:textId="77777777" w:rsidTr="00D95C09">
        <w:trPr>
          <w:trHeight w:val="300"/>
        </w:trPr>
        <w:tc>
          <w:tcPr>
            <w:tcW w:w="764" w:type="pct"/>
            <w:vMerge/>
            <w:vAlign w:val="center"/>
            <w:hideMark/>
          </w:tcPr>
          <w:p w14:paraId="5FA699CF" w14:textId="77777777" w:rsidR="00170E98" w:rsidRPr="00D95C09" w:rsidRDefault="00170E98" w:rsidP="00D95C09">
            <w:pPr>
              <w:pStyle w:val="DETTableTextFinancial"/>
            </w:pPr>
          </w:p>
        </w:tc>
        <w:tc>
          <w:tcPr>
            <w:tcW w:w="4236" w:type="pct"/>
            <w:shd w:val="clear" w:color="auto" w:fill="auto"/>
            <w:hideMark/>
          </w:tcPr>
          <w:p w14:paraId="15678C05" w14:textId="77777777" w:rsidR="00170E98" w:rsidRPr="00D95C09" w:rsidRDefault="00170E98" w:rsidP="00D95C09">
            <w:pPr>
              <w:pStyle w:val="DETTableTextFinancial"/>
            </w:pPr>
            <w:r w:rsidRPr="00D95C09">
              <w:t>Percentage of students meeting the national minimum standard for reading in Year 3 (NAPLAN testing)</w:t>
            </w:r>
          </w:p>
        </w:tc>
      </w:tr>
      <w:tr w:rsidR="00170E98" w:rsidRPr="00170E98" w14:paraId="78C746F0" w14:textId="77777777" w:rsidTr="00E45BE4">
        <w:trPr>
          <w:trHeight w:val="315"/>
        </w:trPr>
        <w:tc>
          <w:tcPr>
            <w:tcW w:w="764" w:type="pct"/>
            <w:vMerge/>
            <w:tcBorders>
              <w:bottom w:val="single" w:sz="4" w:space="0" w:color="auto"/>
            </w:tcBorders>
            <w:vAlign w:val="center"/>
            <w:hideMark/>
          </w:tcPr>
          <w:p w14:paraId="223467BD" w14:textId="77777777" w:rsidR="00170E98" w:rsidRPr="00D95C09" w:rsidRDefault="00170E98" w:rsidP="00D95C09">
            <w:pPr>
              <w:pStyle w:val="DETTableTextFinancial"/>
            </w:pPr>
          </w:p>
        </w:tc>
        <w:tc>
          <w:tcPr>
            <w:tcW w:w="4236" w:type="pct"/>
            <w:tcBorders>
              <w:bottom w:val="single" w:sz="4" w:space="0" w:color="auto"/>
            </w:tcBorders>
            <w:shd w:val="clear" w:color="auto" w:fill="auto"/>
            <w:hideMark/>
          </w:tcPr>
          <w:p w14:paraId="4F7C90AE" w14:textId="77777777" w:rsidR="00170E98" w:rsidRPr="00D95C09" w:rsidRDefault="00170E98" w:rsidP="00D95C09">
            <w:pPr>
              <w:pStyle w:val="DETTableTextFinancial"/>
            </w:pPr>
            <w:r w:rsidRPr="00D95C09">
              <w:t>Percentage of students meeting the national minimum standard for reading in Year 5 (NAPLAN testing)</w:t>
            </w:r>
          </w:p>
        </w:tc>
      </w:tr>
      <w:tr w:rsidR="00170E98" w:rsidRPr="00170E98" w14:paraId="7AD3EF9E" w14:textId="77777777" w:rsidTr="00E45BE4">
        <w:trPr>
          <w:trHeight w:val="300"/>
        </w:trPr>
        <w:tc>
          <w:tcPr>
            <w:tcW w:w="764" w:type="pct"/>
            <w:vMerge w:val="restart"/>
            <w:tcBorders>
              <w:top w:val="single" w:sz="4" w:space="0" w:color="auto"/>
            </w:tcBorders>
            <w:shd w:val="clear" w:color="auto" w:fill="auto"/>
            <w:hideMark/>
          </w:tcPr>
          <w:p w14:paraId="0FF95C54" w14:textId="23EDCE56" w:rsidR="00170E98" w:rsidRPr="00D95C09" w:rsidRDefault="00170E98" w:rsidP="00D95C09">
            <w:pPr>
              <w:pStyle w:val="DETTableTextFinancial"/>
            </w:pPr>
            <w:r w:rsidRPr="00D95C09">
              <w:t>School Education</w:t>
            </w:r>
            <w:r w:rsidR="00CE4E88" w:rsidRPr="00D95C09">
              <w:t>—</w:t>
            </w:r>
            <w:r w:rsidRPr="00D95C09">
              <w:t>Secondary</w:t>
            </w:r>
          </w:p>
        </w:tc>
        <w:tc>
          <w:tcPr>
            <w:tcW w:w="4236" w:type="pct"/>
            <w:tcBorders>
              <w:top w:val="single" w:sz="4" w:space="0" w:color="auto"/>
            </w:tcBorders>
            <w:shd w:val="clear" w:color="auto" w:fill="auto"/>
            <w:hideMark/>
          </w:tcPr>
          <w:p w14:paraId="6C57AEA5" w14:textId="77777777" w:rsidR="00170E98" w:rsidRPr="00D95C09" w:rsidRDefault="00170E98" w:rsidP="00D95C09">
            <w:pPr>
              <w:pStyle w:val="DETTableTextFinancial"/>
            </w:pPr>
            <w:r w:rsidRPr="00D95C09">
              <w:t>Number of certificate enrolments in accredited vocational programs in schools</w:t>
            </w:r>
          </w:p>
        </w:tc>
      </w:tr>
      <w:tr w:rsidR="00170E98" w:rsidRPr="00170E98" w14:paraId="635982C6" w14:textId="77777777" w:rsidTr="00D95C09">
        <w:trPr>
          <w:trHeight w:val="600"/>
        </w:trPr>
        <w:tc>
          <w:tcPr>
            <w:tcW w:w="764" w:type="pct"/>
            <w:vMerge/>
            <w:vAlign w:val="center"/>
            <w:hideMark/>
          </w:tcPr>
          <w:p w14:paraId="2F9C6E05" w14:textId="77777777" w:rsidR="00170E98" w:rsidRPr="00D95C09" w:rsidRDefault="00170E98" w:rsidP="00D95C09">
            <w:pPr>
              <w:pStyle w:val="DETTableTextFinancial"/>
            </w:pPr>
          </w:p>
        </w:tc>
        <w:tc>
          <w:tcPr>
            <w:tcW w:w="4236" w:type="pct"/>
            <w:shd w:val="clear" w:color="auto" w:fill="auto"/>
            <w:hideMark/>
          </w:tcPr>
          <w:p w14:paraId="1F3585C4" w14:textId="77777777" w:rsidR="00170E98" w:rsidRPr="00D95C09" w:rsidRDefault="00170E98" w:rsidP="00D95C09">
            <w:pPr>
              <w:pStyle w:val="DETTableTextFinancial"/>
            </w:pPr>
            <w:r w:rsidRPr="00D95C09">
              <w:t>Number of school students satisfactorily completing at least one Victorian Certificate of Applied Learning certificate</w:t>
            </w:r>
          </w:p>
        </w:tc>
      </w:tr>
      <w:tr w:rsidR="00170E98" w:rsidRPr="00170E98" w14:paraId="45EC2226" w14:textId="77777777" w:rsidTr="00D95C09">
        <w:trPr>
          <w:trHeight w:val="300"/>
        </w:trPr>
        <w:tc>
          <w:tcPr>
            <w:tcW w:w="764" w:type="pct"/>
            <w:vMerge/>
            <w:vAlign w:val="center"/>
            <w:hideMark/>
          </w:tcPr>
          <w:p w14:paraId="7BFAC636" w14:textId="77777777" w:rsidR="00170E98" w:rsidRPr="00D95C09" w:rsidRDefault="00170E98" w:rsidP="00D95C09">
            <w:pPr>
              <w:pStyle w:val="DETTableTextFinancial"/>
            </w:pPr>
          </w:p>
        </w:tc>
        <w:tc>
          <w:tcPr>
            <w:tcW w:w="4236" w:type="pct"/>
            <w:shd w:val="clear" w:color="auto" w:fill="auto"/>
            <w:hideMark/>
          </w:tcPr>
          <w:p w14:paraId="5E92EF1D" w14:textId="15365A7A" w:rsidR="00170E98" w:rsidRPr="00D95C09" w:rsidRDefault="003344FC" w:rsidP="00D95C09">
            <w:pPr>
              <w:pStyle w:val="DETTableTextFinancial"/>
            </w:pPr>
            <w:r>
              <w:t>Statewide compute</w:t>
            </w:r>
            <w:r w:rsidR="00A16B7C">
              <w:t>r</w:t>
            </w:r>
            <w:r w:rsidR="00C6493F">
              <w:t xml:space="preserve"> </w:t>
            </w:r>
            <w:r w:rsidR="00170E98" w:rsidRPr="00D95C09">
              <w:t>to</w:t>
            </w:r>
            <w:r w:rsidR="00C6493F">
              <w:t xml:space="preserve"> </w:t>
            </w:r>
            <w:r w:rsidR="00170E98" w:rsidRPr="00D95C09">
              <w:t>student ratio: secondary</w:t>
            </w:r>
          </w:p>
        </w:tc>
      </w:tr>
      <w:tr w:rsidR="00170E98" w:rsidRPr="00170E98" w14:paraId="7894A456" w14:textId="77777777" w:rsidTr="00D95C09">
        <w:trPr>
          <w:trHeight w:val="300"/>
        </w:trPr>
        <w:tc>
          <w:tcPr>
            <w:tcW w:w="764" w:type="pct"/>
            <w:vMerge/>
            <w:vAlign w:val="center"/>
            <w:hideMark/>
          </w:tcPr>
          <w:p w14:paraId="0EE6D3E4" w14:textId="77777777" w:rsidR="00170E98" w:rsidRPr="00D95C09" w:rsidRDefault="00170E98" w:rsidP="00D95C09">
            <w:pPr>
              <w:pStyle w:val="DETTableTextFinancial"/>
            </w:pPr>
          </w:p>
        </w:tc>
        <w:tc>
          <w:tcPr>
            <w:tcW w:w="4236" w:type="pct"/>
            <w:shd w:val="clear" w:color="auto" w:fill="auto"/>
            <w:hideMark/>
          </w:tcPr>
          <w:p w14:paraId="485B7B43" w14:textId="77777777" w:rsidR="00170E98" w:rsidRPr="00D95C09" w:rsidRDefault="00170E98" w:rsidP="00D95C09">
            <w:pPr>
              <w:pStyle w:val="DETTableTextFinancial"/>
            </w:pPr>
            <w:r w:rsidRPr="00D95C09">
              <w:t>Average rate of student attendance in Years 7–10</w:t>
            </w:r>
          </w:p>
        </w:tc>
      </w:tr>
      <w:tr w:rsidR="00170E98" w:rsidRPr="00170E98" w14:paraId="2E40A9E1" w14:textId="77777777" w:rsidTr="00D95C09">
        <w:trPr>
          <w:trHeight w:val="300"/>
        </w:trPr>
        <w:tc>
          <w:tcPr>
            <w:tcW w:w="764" w:type="pct"/>
            <w:vMerge/>
            <w:vAlign w:val="center"/>
            <w:hideMark/>
          </w:tcPr>
          <w:p w14:paraId="79715FC4" w14:textId="77777777" w:rsidR="00170E98" w:rsidRPr="00D95C09" w:rsidRDefault="00170E98" w:rsidP="00D95C09">
            <w:pPr>
              <w:pStyle w:val="DETTableTextFinancial"/>
            </w:pPr>
          </w:p>
        </w:tc>
        <w:tc>
          <w:tcPr>
            <w:tcW w:w="4236" w:type="pct"/>
            <w:shd w:val="clear" w:color="auto" w:fill="auto"/>
            <w:hideMark/>
          </w:tcPr>
          <w:p w14:paraId="0D73CB08" w14:textId="77777777" w:rsidR="00170E98" w:rsidRPr="00D95C09" w:rsidRDefault="00170E98" w:rsidP="00D95C09">
            <w:pPr>
              <w:pStyle w:val="DETTableTextFinancial"/>
            </w:pPr>
            <w:r w:rsidRPr="00D95C09">
              <w:t>Average rate of student attendance in Years 11 and 12</w:t>
            </w:r>
          </w:p>
        </w:tc>
      </w:tr>
      <w:tr w:rsidR="00170E98" w:rsidRPr="00170E98" w14:paraId="6C4DD2AE" w14:textId="77777777" w:rsidTr="00D95C09">
        <w:trPr>
          <w:trHeight w:val="600"/>
        </w:trPr>
        <w:tc>
          <w:tcPr>
            <w:tcW w:w="764" w:type="pct"/>
            <w:vMerge/>
            <w:vAlign w:val="center"/>
            <w:hideMark/>
          </w:tcPr>
          <w:p w14:paraId="01C1EA85" w14:textId="77777777" w:rsidR="00170E98" w:rsidRPr="00D95C09" w:rsidRDefault="00170E98" w:rsidP="00D95C09">
            <w:pPr>
              <w:pStyle w:val="DETTableTextFinancial"/>
            </w:pPr>
          </w:p>
        </w:tc>
        <w:tc>
          <w:tcPr>
            <w:tcW w:w="4236" w:type="pct"/>
            <w:shd w:val="clear" w:color="auto" w:fill="auto"/>
            <w:hideMark/>
          </w:tcPr>
          <w:p w14:paraId="074E9243" w14:textId="77777777" w:rsidR="00170E98" w:rsidRPr="00D95C09" w:rsidRDefault="00170E98" w:rsidP="00D95C09">
            <w:pPr>
              <w:pStyle w:val="DETTableTextFinancial"/>
            </w:pPr>
            <w:r w:rsidRPr="00D95C09">
              <w:t>Enrolments in units of accredited vocational programs in schools as a proportion of total VCE unit enrolments in schools</w:t>
            </w:r>
          </w:p>
        </w:tc>
      </w:tr>
      <w:tr w:rsidR="00170E98" w:rsidRPr="00170E98" w14:paraId="43F0F355" w14:textId="77777777" w:rsidTr="00D95C09">
        <w:trPr>
          <w:trHeight w:val="600"/>
        </w:trPr>
        <w:tc>
          <w:tcPr>
            <w:tcW w:w="764" w:type="pct"/>
            <w:vMerge/>
            <w:vAlign w:val="center"/>
            <w:hideMark/>
          </w:tcPr>
          <w:p w14:paraId="009852D8" w14:textId="77777777" w:rsidR="00170E98" w:rsidRPr="00D95C09" w:rsidRDefault="00170E98" w:rsidP="00D95C09">
            <w:pPr>
              <w:pStyle w:val="DETTableTextFinancial"/>
            </w:pPr>
          </w:p>
        </w:tc>
        <w:tc>
          <w:tcPr>
            <w:tcW w:w="4236" w:type="pct"/>
            <w:shd w:val="clear" w:color="auto" w:fill="auto"/>
            <w:hideMark/>
          </w:tcPr>
          <w:p w14:paraId="6EAED366" w14:textId="77777777" w:rsidR="00170E98" w:rsidRPr="00D95C09" w:rsidRDefault="00170E98" w:rsidP="00D95C09">
            <w:pPr>
              <w:pStyle w:val="DETTableTextFinancial"/>
            </w:pPr>
            <w:r w:rsidRPr="00D95C09">
              <w:t>Percentage of Indigenous students meeting the national minimum standard for numeracy in Year 7 (NAPLAN testing)</w:t>
            </w:r>
          </w:p>
        </w:tc>
      </w:tr>
      <w:tr w:rsidR="00170E98" w:rsidRPr="00170E98" w14:paraId="6190085D" w14:textId="77777777" w:rsidTr="00D95C09">
        <w:trPr>
          <w:trHeight w:val="600"/>
        </w:trPr>
        <w:tc>
          <w:tcPr>
            <w:tcW w:w="764" w:type="pct"/>
            <w:vMerge/>
            <w:vAlign w:val="center"/>
            <w:hideMark/>
          </w:tcPr>
          <w:p w14:paraId="0DB3CBE3" w14:textId="77777777" w:rsidR="00170E98" w:rsidRPr="00D95C09" w:rsidRDefault="00170E98" w:rsidP="00D95C09">
            <w:pPr>
              <w:pStyle w:val="DETTableTextFinancial"/>
            </w:pPr>
          </w:p>
        </w:tc>
        <w:tc>
          <w:tcPr>
            <w:tcW w:w="4236" w:type="pct"/>
            <w:shd w:val="clear" w:color="auto" w:fill="auto"/>
            <w:hideMark/>
          </w:tcPr>
          <w:p w14:paraId="45A18C4C" w14:textId="77777777" w:rsidR="00170E98" w:rsidRPr="00D95C09" w:rsidRDefault="00170E98" w:rsidP="00D95C09">
            <w:pPr>
              <w:pStyle w:val="DETTableTextFinancial"/>
            </w:pPr>
            <w:r w:rsidRPr="00D95C09">
              <w:t>Percentage of Indigenous students meeting the national minimum standard for numeracy in Year 9 (NAPLAN testing)</w:t>
            </w:r>
          </w:p>
        </w:tc>
      </w:tr>
      <w:tr w:rsidR="00170E98" w:rsidRPr="00170E98" w14:paraId="3FB124B1" w14:textId="77777777" w:rsidTr="00D95C09">
        <w:trPr>
          <w:trHeight w:val="600"/>
        </w:trPr>
        <w:tc>
          <w:tcPr>
            <w:tcW w:w="764" w:type="pct"/>
            <w:vMerge/>
            <w:vAlign w:val="center"/>
            <w:hideMark/>
          </w:tcPr>
          <w:p w14:paraId="6D9DBFEF" w14:textId="77777777" w:rsidR="00170E98" w:rsidRPr="00D95C09" w:rsidRDefault="00170E98" w:rsidP="00D95C09">
            <w:pPr>
              <w:pStyle w:val="DETTableTextFinancial"/>
            </w:pPr>
          </w:p>
        </w:tc>
        <w:tc>
          <w:tcPr>
            <w:tcW w:w="4236" w:type="pct"/>
            <w:shd w:val="clear" w:color="auto" w:fill="auto"/>
            <w:hideMark/>
          </w:tcPr>
          <w:p w14:paraId="57D92018" w14:textId="77777777" w:rsidR="00170E98" w:rsidRPr="00D95C09" w:rsidRDefault="00170E98" w:rsidP="00D95C09">
            <w:pPr>
              <w:pStyle w:val="DETTableTextFinancial"/>
            </w:pPr>
            <w:r w:rsidRPr="00D95C09">
              <w:t>Percentage of Indigenous students meeting the national minimum standard for reading in Year 7 (NAPLAN testing)</w:t>
            </w:r>
          </w:p>
        </w:tc>
      </w:tr>
      <w:tr w:rsidR="00170E98" w:rsidRPr="00170E98" w14:paraId="09232177" w14:textId="77777777" w:rsidTr="00D95C09">
        <w:trPr>
          <w:trHeight w:val="600"/>
        </w:trPr>
        <w:tc>
          <w:tcPr>
            <w:tcW w:w="764" w:type="pct"/>
            <w:vMerge/>
            <w:vAlign w:val="center"/>
            <w:hideMark/>
          </w:tcPr>
          <w:p w14:paraId="09D96A54" w14:textId="77777777" w:rsidR="00170E98" w:rsidRPr="00D95C09" w:rsidRDefault="00170E98" w:rsidP="00D95C09">
            <w:pPr>
              <w:pStyle w:val="DETTableTextFinancial"/>
            </w:pPr>
          </w:p>
        </w:tc>
        <w:tc>
          <w:tcPr>
            <w:tcW w:w="4236" w:type="pct"/>
            <w:shd w:val="clear" w:color="auto" w:fill="auto"/>
            <w:hideMark/>
          </w:tcPr>
          <w:p w14:paraId="74D0CBB0" w14:textId="77777777" w:rsidR="00170E98" w:rsidRPr="00D95C09" w:rsidRDefault="00170E98" w:rsidP="00D95C09">
            <w:pPr>
              <w:pStyle w:val="DETTableTextFinancial"/>
            </w:pPr>
            <w:r w:rsidRPr="00D95C09">
              <w:t>Percentage of Indigenous students meeting the national minimum standard for reading in Year 9 (NAPLAN testing)</w:t>
            </w:r>
          </w:p>
        </w:tc>
      </w:tr>
      <w:tr w:rsidR="00170E98" w:rsidRPr="00170E98" w14:paraId="351AAD97" w14:textId="77777777" w:rsidTr="00D95C09">
        <w:trPr>
          <w:trHeight w:val="300"/>
        </w:trPr>
        <w:tc>
          <w:tcPr>
            <w:tcW w:w="764" w:type="pct"/>
            <w:vMerge/>
            <w:vAlign w:val="center"/>
            <w:hideMark/>
          </w:tcPr>
          <w:p w14:paraId="23C795BE" w14:textId="77777777" w:rsidR="00170E98" w:rsidRPr="00D95C09" w:rsidRDefault="00170E98" w:rsidP="00D95C09">
            <w:pPr>
              <w:pStyle w:val="DETTableTextFinancial"/>
            </w:pPr>
          </w:p>
        </w:tc>
        <w:tc>
          <w:tcPr>
            <w:tcW w:w="4236" w:type="pct"/>
            <w:shd w:val="clear" w:color="auto" w:fill="auto"/>
            <w:hideMark/>
          </w:tcPr>
          <w:p w14:paraId="3AC866C0" w14:textId="77777777" w:rsidR="00170E98" w:rsidRPr="00D95C09" w:rsidRDefault="00170E98" w:rsidP="00D95C09">
            <w:pPr>
              <w:pStyle w:val="DETTableTextFinancial"/>
            </w:pPr>
            <w:r w:rsidRPr="00D95C09">
              <w:t>Percentage of students meeting the national minimum standard for numeracy in Year 7 (NAPLAN testing)</w:t>
            </w:r>
          </w:p>
        </w:tc>
      </w:tr>
      <w:tr w:rsidR="00170E98" w:rsidRPr="00170E98" w14:paraId="5EC5978C" w14:textId="77777777" w:rsidTr="00D95C09">
        <w:trPr>
          <w:trHeight w:val="300"/>
        </w:trPr>
        <w:tc>
          <w:tcPr>
            <w:tcW w:w="764" w:type="pct"/>
            <w:vMerge/>
            <w:vAlign w:val="center"/>
            <w:hideMark/>
          </w:tcPr>
          <w:p w14:paraId="5B824B87" w14:textId="77777777" w:rsidR="00170E98" w:rsidRPr="00D95C09" w:rsidRDefault="00170E98" w:rsidP="00D95C09">
            <w:pPr>
              <w:pStyle w:val="DETTableTextFinancial"/>
            </w:pPr>
          </w:p>
        </w:tc>
        <w:tc>
          <w:tcPr>
            <w:tcW w:w="4236" w:type="pct"/>
            <w:shd w:val="clear" w:color="auto" w:fill="auto"/>
            <w:hideMark/>
          </w:tcPr>
          <w:p w14:paraId="3098536F" w14:textId="77777777" w:rsidR="00170E98" w:rsidRPr="00D95C09" w:rsidRDefault="00170E98" w:rsidP="00D95C09">
            <w:pPr>
              <w:pStyle w:val="DETTableTextFinancial"/>
            </w:pPr>
            <w:r w:rsidRPr="00D95C09">
              <w:t>Percentage of students meeting the national minimum standard for numeracy in Year 9 (NAPLAN testing)</w:t>
            </w:r>
          </w:p>
        </w:tc>
      </w:tr>
      <w:tr w:rsidR="00170E98" w:rsidRPr="00170E98" w14:paraId="0BEBABFF" w14:textId="77777777" w:rsidTr="00D95C09">
        <w:trPr>
          <w:trHeight w:val="300"/>
        </w:trPr>
        <w:tc>
          <w:tcPr>
            <w:tcW w:w="764" w:type="pct"/>
            <w:vMerge/>
            <w:vAlign w:val="center"/>
            <w:hideMark/>
          </w:tcPr>
          <w:p w14:paraId="5D53C7F9" w14:textId="77777777" w:rsidR="00170E98" w:rsidRPr="00D95C09" w:rsidRDefault="00170E98" w:rsidP="00D95C09">
            <w:pPr>
              <w:pStyle w:val="DETTableTextFinancial"/>
            </w:pPr>
          </w:p>
        </w:tc>
        <w:tc>
          <w:tcPr>
            <w:tcW w:w="4236" w:type="pct"/>
            <w:shd w:val="clear" w:color="auto" w:fill="auto"/>
            <w:hideMark/>
          </w:tcPr>
          <w:p w14:paraId="722B8DCB" w14:textId="77777777" w:rsidR="00170E98" w:rsidRPr="00D95C09" w:rsidRDefault="00170E98" w:rsidP="00D95C09">
            <w:pPr>
              <w:pStyle w:val="DETTableTextFinancial"/>
            </w:pPr>
            <w:r w:rsidRPr="00D95C09">
              <w:t>Percentage of students meeting the national minimum standard for reading in Year 7 (NAPLAN testing)</w:t>
            </w:r>
          </w:p>
        </w:tc>
      </w:tr>
      <w:tr w:rsidR="00170E98" w:rsidRPr="00170E98" w14:paraId="273A294C" w14:textId="77777777" w:rsidTr="00E45BE4">
        <w:trPr>
          <w:trHeight w:val="315"/>
        </w:trPr>
        <w:tc>
          <w:tcPr>
            <w:tcW w:w="764" w:type="pct"/>
            <w:vMerge/>
            <w:tcBorders>
              <w:bottom w:val="single" w:sz="4" w:space="0" w:color="auto"/>
            </w:tcBorders>
            <w:vAlign w:val="center"/>
            <w:hideMark/>
          </w:tcPr>
          <w:p w14:paraId="6B3203DD" w14:textId="77777777" w:rsidR="00170E98" w:rsidRPr="00D95C09" w:rsidRDefault="00170E98" w:rsidP="00D95C09">
            <w:pPr>
              <w:pStyle w:val="DETTableTextFinancial"/>
            </w:pPr>
          </w:p>
        </w:tc>
        <w:tc>
          <w:tcPr>
            <w:tcW w:w="4236" w:type="pct"/>
            <w:tcBorders>
              <w:bottom w:val="single" w:sz="4" w:space="0" w:color="auto"/>
            </w:tcBorders>
            <w:shd w:val="clear" w:color="auto" w:fill="auto"/>
            <w:hideMark/>
          </w:tcPr>
          <w:p w14:paraId="78CB3842" w14:textId="77777777" w:rsidR="00170E98" w:rsidRPr="00D95C09" w:rsidRDefault="00170E98" w:rsidP="00D95C09">
            <w:pPr>
              <w:pStyle w:val="DETTableTextFinancial"/>
            </w:pPr>
            <w:r w:rsidRPr="00D95C09">
              <w:t>Percentage of students meeting the national minimum standard for reading in Year 9 (NAPLAN testing)</w:t>
            </w:r>
          </w:p>
        </w:tc>
      </w:tr>
      <w:tr w:rsidR="00170E98" w:rsidRPr="00170E98" w14:paraId="0A65CF4C" w14:textId="77777777" w:rsidTr="00E45BE4">
        <w:trPr>
          <w:trHeight w:val="300"/>
        </w:trPr>
        <w:tc>
          <w:tcPr>
            <w:tcW w:w="764" w:type="pct"/>
            <w:vMerge w:val="restart"/>
            <w:tcBorders>
              <w:top w:val="single" w:sz="4" w:space="0" w:color="auto"/>
            </w:tcBorders>
            <w:shd w:val="clear" w:color="auto" w:fill="auto"/>
            <w:hideMark/>
          </w:tcPr>
          <w:p w14:paraId="7D4F230B" w14:textId="77777777" w:rsidR="00170E98" w:rsidRPr="00D95C09" w:rsidRDefault="00170E98" w:rsidP="00D95C09">
            <w:pPr>
              <w:pStyle w:val="DETTableTextFinancial"/>
            </w:pPr>
            <w:r w:rsidRPr="00D95C09">
              <w:t>Higher Education and Skills</w:t>
            </w:r>
          </w:p>
        </w:tc>
        <w:tc>
          <w:tcPr>
            <w:tcW w:w="4236" w:type="pct"/>
            <w:tcBorders>
              <w:top w:val="single" w:sz="4" w:space="0" w:color="auto"/>
            </w:tcBorders>
            <w:shd w:val="clear" w:color="auto" w:fill="auto"/>
            <w:hideMark/>
          </w:tcPr>
          <w:p w14:paraId="6000666A" w14:textId="77777777" w:rsidR="00170E98" w:rsidRPr="00D95C09" w:rsidRDefault="00170E98" w:rsidP="00D95C09">
            <w:pPr>
              <w:pStyle w:val="DETTableTextFinancial"/>
            </w:pPr>
            <w:r w:rsidRPr="00D95C09">
              <w:t>Number of government-funded course enrolments in qualifications at diploma level or above</w:t>
            </w:r>
          </w:p>
        </w:tc>
      </w:tr>
      <w:tr w:rsidR="00170E98" w:rsidRPr="00170E98" w14:paraId="5D4764CB" w14:textId="77777777" w:rsidTr="00D95C09">
        <w:trPr>
          <w:trHeight w:val="300"/>
        </w:trPr>
        <w:tc>
          <w:tcPr>
            <w:tcW w:w="764" w:type="pct"/>
            <w:vMerge/>
            <w:vAlign w:val="center"/>
            <w:hideMark/>
          </w:tcPr>
          <w:p w14:paraId="7ECE4177" w14:textId="77777777" w:rsidR="00170E98" w:rsidRPr="00D95C09" w:rsidRDefault="00170E98" w:rsidP="00D95C09">
            <w:pPr>
              <w:pStyle w:val="DETTableTextFinancial"/>
            </w:pPr>
          </w:p>
        </w:tc>
        <w:tc>
          <w:tcPr>
            <w:tcW w:w="4236" w:type="pct"/>
            <w:shd w:val="clear" w:color="auto" w:fill="auto"/>
            <w:hideMark/>
          </w:tcPr>
          <w:p w14:paraId="49B26E89" w14:textId="1D2938C0" w:rsidR="00170E98" w:rsidRPr="00D95C09" w:rsidRDefault="00170E98" w:rsidP="00D95C09">
            <w:pPr>
              <w:pStyle w:val="DETTableTextFinancial"/>
            </w:pPr>
            <w:r w:rsidRPr="00D95C09">
              <w:t>Participation rate of 15–24</w:t>
            </w:r>
            <w:r w:rsidR="004E28FC" w:rsidRPr="00D95C09">
              <w:t>-</w:t>
            </w:r>
            <w:r w:rsidRPr="00D95C09">
              <w:t>year</w:t>
            </w:r>
            <w:r w:rsidR="00245E79">
              <w:t xml:space="preserve"> </w:t>
            </w:r>
            <w:r w:rsidRPr="00D95C09">
              <w:t>olds in training and further education in Victoria</w:t>
            </w:r>
          </w:p>
        </w:tc>
      </w:tr>
      <w:tr w:rsidR="00170E98" w:rsidRPr="00170E98" w14:paraId="2F0EF556" w14:textId="77777777" w:rsidTr="00D95C09">
        <w:trPr>
          <w:trHeight w:val="300"/>
        </w:trPr>
        <w:tc>
          <w:tcPr>
            <w:tcW w:w="764" w:type="pct"/>
            <w:vMerge/>
            <w:vAlign w:val="center"/>
            <w:hideMark/>
          </w:tcPr>
          <w:p w14:paraId="16F2B696" w14:textId="77777777" w:rsidR="00170E98" w:rsidRPr="00D95C09" w:rsidRDefault="00170E98" w:rsidP="00D95C09">
            <w:pPr>
              <w:pStyle w:val="DETTableTextFinancial"/>
            </w:pPr>
          </w:p>
        </w:tc>
        <w:tc>
          <w:tcPr>
            <w:tcW w:w="4236" w:type="pct"/>
            <w:shd w:val="clear" w:color="auto" w:fill="auto"/>
            <w:hideMark/>
          </w:tcPr>
          <w:p w14:paraId="78534F1D" w14:textId="4176822B" w:rsidR="00170E98" w:rsidRPr="00D95C09" w:rsidRDefault="00170E98" w:rsidP="00D95C09">
            <w:pPr>
              <w:pStyle w:val="DETTableTextFinancial"/>
            </w:pPr>
            <w:r w:rsidRPr="00D95C09">
              <w:t>Participation rate of 25–64</w:t>
            </w:r>
            <w:r w:rsidR="004E28FC" w:rsidRPr="00D95C09">
              <w:t>-</w:t>
            </w:r>
            <w:r w:rsidRPr="00D95C09">
              <w:t>year</w:t>
            </w:r>
            <w:r w:rsidR="00245E79">
              <w:t xml:space="preserve"> </w:t>
            </w:r>
            <w:r w:rsidRPr="00D95C09">
              <w:t>olds in training and further education in Victoria</w:t>
            </w:r>
          </w:p>
        </w:tc>
      </w:tr>
      <w:tr w:rsidR="00170E98" w:rsidRPr="00170E98" w14:paraId="314971AA" w14:textId="77777777" w:rsidTr="00D95C09">
        <w:trPr>
          <w:trHeight w:val="300"/>
        </w:trPr>
        <w:tc>
          <w:tcPr>
            <w:tcW w:w="764" w:type="pct"/>
            <w:vMerge/>
            <w:vAlign w:val="center"/>
            <w:hideMark/>
          </w:tcPr>
          <w:p w14:paraId="6BE6AA00" w14:textId="77777777" w:rsidR="00170E98" w:rsidRPr="00D95C09" w:rsidRDefault="00170E98" w:rsidP="00D95C09">
            <w:pPr>
              <w:pStyle w:val="DETTableTextFinancial"/>
            </w:pPr>
          </w:p>
        </w:tc>
        <w:tc>
          <w:tcPr>
            <w:tcW w:w="4236" w:type="pct"/>
            <w:shd w:val="clear" w:color="auto" w:fill="auto"/>
            <w:hideMark/>
          </w:tcPr>
          <w:p w14:paraId="0B149FF7" w14:textId="318AF6EF" w:rsidR="00170E98" w:rsidRPr="00D95C09" w:rsidRDefault="00170E98" w:rsidP="00D95C09">
            <w:pPr>
              <w:pStyle w:val="DETTableTextFinancial"/>
            </w:pPr>
            <w:r w:rsidRPr="00D95C09">
              <w:t>Number of apprenticeships/trainees who qualify for the completion bonus</w:t>
            </w:r>
          </w:p>
        </w:tc>
      </w:tr>
      <w:tr w:rsidR="00170E98" w:rsidRPr="00170E98" w14:paraId="71C94F84" w14:textId="77777777" w:rsidTr="00D95C09">
        <w:trPr>
          <w:trHeight w:val="300"/>
        </w:trPr>
        <w:tc>
          <w:tcPr>
            <w:tcW w:w="764" w:type="pct"/>
            <w:vMerge/>
            <w:vAlign w:val="center"/>
            <w:hideMark/>
          </w:tcPr>
          <w:p w14:paraId="699A63AB" w14:textId="77777777" w:rsidR="00170E98" w:rsidRPr="00D95C09" w:rsidRDefault="00170E98" w:rsidP="00D95C09">
            <w:pPr>
              <w:pStyle w:val="DETTableTextFinancial"/>
            </w:pPr>
          </w:p>
        </w:tc>
        <w:tc>
          <w:tcPr>
            <w:tcW w:w="4236" w:type="pct"/>
            <w:shd w:val="clear" w:color="auto" w:fill="auto"/>
            <w:hideMark/>
          </w:tcPr>
          <w:p w14:paraId="62EE79F3" w14:textId="77777777" w:rsidR="00170E98" w:rsidRPr="00D95C09" w:rsidRDefault="00170E98" w:rsidP="00D95C09">
            <w:pPr>
              <w:pStyle w:val="DETTableTextFinancial"/>
            </w:pPr>
            <w:r w:rsidRPr="00D95C09">
              <w:t>Percentage of VET graduates who rate quality of training as four or more out of five</w:t>
            </w:r>
          </w:p>
        </w:tc>
      </w:tr>
      <w:tr w:rsidR="00170E98" w:rsidRPr="00170E98" w14:paraId="199955B0" w14:textId="77777777" w:rsidTr="00E45BE4">
        <w:trPr>
          <w:trHeight w:val="315"/>
        </w:trPr>
        <w:tc>
          <w:tcPr>
            <w:tcW w:w="764" w:type="pct"/>
            <w:vMerge/>
            <w:tcBorders>
              <w:bottom w:val="single" w:sz="4" w:space="0" w:color="auto"/>
            </w:tcBorders>
            <w:vAlign w:val="center"/>
            <w:hideMark/>
          </w:tcPr>
          <w:p w14:paraId="52FC7EE7" w14:textId="77777777" w:rsidR="00170E98" w:rsidRPr="00D95C09" w:rsidRDefault="00170E98" w:rsidP="00D95C09">
            <w:pPr>
              <w:pStyle w:val="DETTableTextFinancial"/>
            </w:pPr>
          </w:p>
        </w:tc>
        <w:tc>
          <w:tcPr>
            <w:tcW w:w="4236" w:type="pct"/>
            <w:tcBorders>
              <w:bottom w:val="single" w:sz="4" w:space="0" w:color="auto"/>
            </w:tcBorders>
            <w:shd w:val="clear" w:color="auto" w:fill="auto"/>
            <w:hideMark/>
          </w:tcPr>
          <w:p w14:paraId="3B9D38D0" w14:textId="77777777" w:rsidR="00170E98" w:rsidRPr="00D95C09" w:rsidRDefault="00170E98" w:rsidP="00D95C09">
            <w:pPr>
              <w:pStyle w:val="DETTableTextFinancial"/>
            </w:pPr>
            <w:r w:rsidRPr="00D95C09">
              <w:t>VET graduates in employment six months following graduation</w:t>
            </w:r>
          </w:p>
        </w:tc>
      </w:tr>
      <w:tr w:rsidR="00170E98" w:rsidRPr="005529F2" w14:paraId="235541BB" w14:textId="77777777" w:rsidTr="00E45BE4">
        <w:trPr>
          <w:trHeight w:val="915"/>
        </w:trPr>
        <w:tc>
          <w:tcPr>
            <w:tcW w:w="764" w:type="pct"/>
            <w:tcBorders>
              <w:top w:val="single" w:sz="4" w:space="0" w:color="auto"/>
              <w:bottom w:val="single" w:sz="4" w:space="0" w:color="auto"/>
            </w:tcBorders>
            <w:shd w:val="clear" w:color="auto" w:fill="auto"/>
            <w:hideMark/>
          </w:tcPr>
          <w:p w14:paraId="2A78F769" w14:textId="77777777" w:rsidR="00170E98" w:rsidRPr="00D95C09" w:rsidRDefault="00170E98" w:rsidP="00D95C09">
            <w:pPr>
              <w:pStyle w:val="DETTableTextFinancial"/>
            </w:pPr>
            <w:r w:rsidRPr="00D95C09">
              <w:t>Support Services Delivery</w:t>
            </w:r>
          </w:p>
        </w:tc>
        <w:tc>
          <w:tcPr>
            <w:tcW w:w="4236" w:type="pct"/>
            <w:tcBorders>
              <w:top w:val="single" w:sz="4" w:space="0" w:color="auto"/>
              <w:bottom w:val="single" w:sz="4" w:space="0" w:color="auto"/>
            </w:tcBorders>
            <w:shd w:val="clear" w:color="auto" w:fill="auto"/>
            <w:hideMark/>
          </w:tcPr>
          <w:p w14:paraId="7DB85301" w14:textId="77777777" w:rsidR="00170E98" w:rsidRPr="004E28FC" w:rsidRDefault="00170E98" w:rsidP="00D95C09">
            <w:pPr>
              <w:pStyle w:val="DETTableTextFinancial"/>
            </w:pPr>
            <w:r w:rsidRPr="00D95C09">
              <w:t>Provision of Education Maintenance Allowance</w:t>
            </w:r>
          </w:p>
        </w:tc>
      </w:tr>
    </w:tbl>
    <w:p w14:paraId="5D60015C" w14:textId="77777777" w:rsidR="00013B9F" w:rsidRPr="0087752B" w:rsidRDefault="00013B9F" w:rsidP="00013B9F">
      <w:pPr>
        <w:pStyle w:val="Heading3"/>
      </w:pPr>
      <w:r w:rsidRPr="0087752B">
        <w:lastRenderedPageBreak/>
        <w:t>Discontinued operations</w:t>
      </w:r>
    </w:p>
    <w:p w14:paraId="47210402" w14:textId="77777777" w:rsidR="00013B9F" w:rsidRPr="0087752B" w:rsidRDefault="00013B9F" w:rsidP="00013B9F">
      <w:r w:rsidRPr="0087752B">
        <w:t xml:space="preserve">There were no discontinued operations under the Department’s output structure. </w:t>
      </w:r>
    </w:p>
    <w:p w14:paraId="0D582336" w14:textId="77777777" w:rsidR="006016B9" w:rsidRPr="0087752B" w:rsidRDefault="006016B9" w:rsidP="006016B9">
      <w:r w:rsidRPr="0087752B">
        <w:br w:type="page"/>
      </w:r>
    </w:p>
    <w:p w14:paraId="76FD37B2" w14:textId="77777777" w:rsidR="006016B9" w:rsidRPr="00300489" w:rsidRDefault="006016B9" w:rsidP="007D34C9">
      <w:pPr>
        <w:pStyle w:val="DETHeading2"/>
      </w:pPr>
      <w:bookmarkStart w:id="63" w:name="_Toc458069589"/>
      <w:bookmarkStart w:id="64" w:name="_Toc458072368"/>
      <w:bookmarkStart w:id="65" w:name="_Toc458088551"/>
      <w:bookmarkStart w:id="66" w:name="_Toc461013250"/>
      <w:bookmarkStart w:id="67" w:name="_Toc461025827"/>
      <w:bookmarkStart w:id="68" w:name="_Toc462405120"/>
      <w:r w:rsidRPr="00300489">
        <w:lastRenderedPageBreak/>
        <w:t>Five-year financial summary</w:t>
      </w:r>
      <w:bookmarkEnd w:id="63"/>
      <w:bookmarkEnd w:id="64"/>
      <w:bookmarkEnd w:id="65"/>
      <w:bookmarkEnd w:id="66"/>
      <w:bookmarkEnd w:id="67"/>
      <w:bookmarkEnd w:id="68"/>
    </w:p>
    <w:p w14:paraId="4A00FB87" w14:textId="556A32A5" w:rsidR="000E7576" w:rsidRPr="00F56447" w:rsidRDefault="000E7576" w:rsidP="004E28FC">
      <w:r w:rsidRPr="00F56447">
        <w:t xml:space="preserve">The Financial Statements presented in this annual report relate to the controlled operations of the Department, including government schools. </w:t>
      </w:r>
    </w:p>
    <w:p w14:paraId="7B838123" w14:textId="3B300165" w:rsidR="000E7576" w:rsidRPr="00F56447" w:rsidRDefault="000E7576" w:rsidP="004E28FC">
      <w:r w:rsidRPr="00F56447">
        <w:t xml:space="preserve">Other agencies within the portfolio report separately and therefore their results are not included within the controlled financial transactions of the Department. These entities include the Adult, Community and Further Education Board, Adult Multicultural Education Services, the Victorian Curriculum and Assessment Authority, the Victorian Institute of Teaching, the Victorian Registration and Qualifications Authority, and TAFE institutes.  </w:t>
      </w:r>
    </w:p>
    <w:p w14:paraId="7D555992" w14:textId="0717951B" w:rsidR="000E7576" w:rsidRPr="00F56447" w:rsidRDefault="000E7576" w:rsidP="004E28FC">
      <w:r w:rsidRPr="00F56447">
        <w:t>The following table provides information on the Department’s financial result for the financial year just completed and comparative information for the preceding four financial years.</w:t>
      </w:r>
    </w:p>
    <w:p w14:paraId="7180D119" w14:textId="77777777" w:rsidR="004E28FC" w:rsidRPr="00F56447" w:rsidRDefault="004E28FC" w:rsidP="004E28FC">
      <w:pPr>
        <w:pStyle w:val="DETTablecolumnheading"/>
        <w:sectPr w:rsidR="004E28FC" w:rsidRPr="00F56447" w:rsidSect="006016B9">
          <w:footnotePr>
            <w:numRestart w:val="eachSect"/>
          </w:footnotePr>
          <w:pgSz w:w="11906" w:h="16838" w:code="9"/>
          <w:pgMar w:top="1440" w:right="1701" w:bottom="1440" w:left="2835" w:header="851" w:footer="567" w:gutter="0"/>
          <w:cols w:space="567"/>
          <w:docGrid w:linePitch="360"/>
        </w:sectPr>
      </w:pPr>
    </w:p>
    <w:p w14:paraId="65B1F6B5" w14:textId="77777777" w:rsidR="004E28FC" w:rsidRPr="00F56447" w:rsidRDefault="004E28FC" w:rsidP="004E28FC">
      <w:pPr>
        <w:pStyle w:val="DETTablecolumnheading"/>
        <w:sectPr w:rsidR="004E28FC" w:rsidRPr="00F56447" w:rsidSect="004E28FC">
          <w:footnotePr>
            <w:numRestart w:val="eachSect"/>
          </w:footnotePr>
          <w:type w:val="continuous"/>
          <w:pgSz w:w="11906" w:h="16838" w:code="9"/>
          <w:pgMar w:top="1440" w:right="1701" w:bottom="1440" w:left="2835" w:header="851" w:footer="567" w:gutter="0"/>
          <w:cols w:space="567"/>
          <w:docGrid w:linePitch="360"/>
        </w:sectPr>
      </w:pPr>
    </w:p>
    <w:tbl>
      <w:tblPr>
        <w:tblW w:w="8505" w:type="dxa"/>
        <w:tblInd w:w="108" w:type="dxa"/>
        <w:tblLook w:val="0000" w:firstRow="0" w:lastRow="0" w:firstColumn="0" w:lastColumn="0" w:noHBand="0" w:noVBand="0"/>
      </w:tblPr>
      <w:tblGrid>
        <w:gridCol w:w="2835"/>
        <w:gridCol w:w="1134"/>
        <w:gridCol w:w="1276"/>
        <w:gridCol w:w="1134"/>
        <w:gridCol w:w="1134"/>
        <w:gridCol w:w="992"/>
      </w:tblGrid>
      <w:tr w:rsidR="000E7576" w:rsidRPr="00F56447" w14:paraId="08ADE216" w14:textId="77777777" w:rsidTr="00D95C09">
        <w:trPr>
          <w:trHeight w:val="238"/>
        </w:trPr>
        <w:tc>
          <w:tcPr>
            <w:tcW w:w="2835" w:type="dxa"/>
            <w:shd w:val="clear" w:color="auto" w:fill="7F7F7F" w:themeFill="text1" w:themeFillTint="80"/>
          </w:tcPr>
          <w:p w14:paraId="1B2FBA02" w14:textId="3BB25FFA" w:rsidR="000E7576" w:rsidRPr="00F56447" w:rsidRDefault="004E28FC" w:rsidP="00D95C09">
            <w:pPr>
              <w:pStyle w:val="DETTablecolumnheading"/>
              <w:jc w:val="left"/>
            </w:pPr>
            <w:r w:rsidRPr="00F56447">
              <w:t>Five-year</w:t>
            </w:r>
            <w:r w:rsidR="000E7576" w:rsidRPr="00F56447">
              <w:t xml:space="preserve"> financial summary</w:t>
            </w:r>
          </w:p>
        </w:tc>
        <w:tc>
          <w:tcPr>
            <w:tcW w:w="1134" w:type="dxa"/>
            <w:shd w:val="clear" w:color="auto" w:fill="7F7F7F" w:themeFill="text1" w:themeFillTint="80"/>
          </w:tcPr>
          <w:p w14:paraId="10FF9175" w14:textId="4518BCF5" w:rsidR="000E7576" w:rsidRPr="00F56447" w:rsidRDefault="000E7576" w:rsidP="00D95C09">
            <w:pPr>
              <w:pStyle w:val="DETTablecolumnheading"/>
            </w:pPr>
            <w:r w:rsidRPr="00F56447">
              <w:t>2015</w:t>
            </w:r>
            <w:r w:rsidR="004E28FC" w:rsidRPr="00F56447">
              <w:t>–</w:t>
            </w:r>
            <w:r w:rsidRPr="00F56447">
              <w:t>16</w:t>
            </w:r>
          </w:p>
        </w:tc>
        <w:tc>
          <w:tcPr>
            <w:tcW w:w="1276" w:type="dxa"/>
            <w:shd w:val="clear" w:color="auto" w:fill="7F7F7F" w:themeFill="text1" w:themeFillTint="80"/>
          </w:tcPr>
          <w:p w14:paraId="377BE7DB" w14:textId="1D562CB2" w:rsidR="000E7576" w:rsidRPr="00F56447" w:rsidRDefault="000E7576" w:rsidP="00D95C09">
            <w:pPr>
              <w:pStyle w:val="DETTablecolumnheading"/>
            </w:pPr>
            <w:r w:rsidRPr="00F56447">
              <w:t>2014</w:t>
            </w:r>
            <w:r w:rsidR="004E28FC" w:rsidRPr="00F56447">
              <w:t>–</w:t>
            </w:r>
            <w:r w:rsidRPr="00F56447">
              <w:t>15</w:t>
            </w:r>
            <w:r w:rsidR="004E28FC" w:rsidRPr="00F56447">
              <w:rPr>
                <w:rStyle w:val="FootnoteReference"/>
              </w:rPr>
              <w:footnoteReference w:id="38"/>
            </w:r>
          </w:p>
        </w:tc>
        <w:tc>
          <w:tcPr>
            <w:tcW w:w="1134" w:type="dxa"/>
            <w:shd w:val="clear" w:color="auto" w:fill="7F7F7F" w:themeFill="text1" w:themeFillTint="80"/>
          </w:tcPr>
          <w:p w14:paraId="277A98CC" w14:textId="500331DD" w:rsidR="000E7576" w:rsidRPr="00F56447" w:rsidRDefault="000E7576" w:rsidP="00D95C09">
            <w:pPr>
              <w:pStyle w:val="DETTablecolumnheading"/>
            </w:pPr>
            <w:r w:rsidRPr="00F56447">
              <w:t>2013</w:t>
            </w:r>
            <w:r w:rsidR="004E28FC" w:rsidRPr="00F56447">
              <w:t>–</w:t>
            </w:r>
            <w:r w:rsidRPr="00F56447">
              <w:t>14</w:t>
            </w:r>
            <w:r w:rsidR="004E28FC" w:rsidRPr="00F56447">
              <w:rPr>
                <w:vertAlign w:val="superscript"/>
              </w:rPr>
              <w:t>1</w:t>
            </w:r>
            <w:r w:rsidR="004E28FC" w:rsidRPr="00F56447" w:rsidDel="004E28FC">
              <w:t xml:space="preserve"> </w:t>
            </w:r>
          </w:p>
        </w:tc>
        <w:tc>
          <w:tcPr>
            <w:tcW w:w="1134" w:type="dxa"/>
            <w:shd w:val="clear" w:color="auto" w:fill="7F7F7F" w:themeFill="text1" w:themeFillTint="80"/>
          </w:tcPr>
          <w:p w14:paraId="25449497" w14:textId="0C7694F4" w:rsidR="000E7576" w:rsidRPr="00F56447" w:rsidRDefault="000E7576" w:rsidP="00D95C09">
            <w:pPr>
              <w:pStyle w:val="DETTablecolumnheading"/>
            </w:pPr>
            <w:r w:rsidRPr="00F56447">
              <w:t>2012</w:t>
            </w:r>
            <w:r w:rsidR="004E28FC" w:rsidRPr="00F56447">
              <w:t>–</w:t>
            </w:r>
            <w:r w:rsidRPr="00F56447">
              <w:t>13</w:t>
            </w:r>
            <w:r w:rsidR="004E28FC" w:rsidRPr="00F56447">
              <w:rPr>
                <w:vertAlign w:val="superscript"/>
              </w:rPr>
              <w:t>1</w:t>
            </w:r>
          </w:p>
        </w:tc>
        <w:tc>
          <w:tcPr>
            <w:tcW w:w="992" w:type="dxa"/>
            <w:shd w:val="clear" w:color="auto" w:fill="7F7F7F" w:themeFill="text1" w:themeFillTint="80"/>
          </w:tcPr>
          <w:p w14:paraId="53052D76" w14:textId="3C3D0592" w:rsidR="000E7576" w:rsidRPr="00F56447" w:rsidRDefault="000E7576" w:rsidP="00D95C09">
            <w:pPr>
              <w:pStyle w:val="DETTablecolumnheading"/>
            </w:pPr>
            <w:r w:rsidRPr="00F56447">
              <w:t>2011</w:t>
            </w:r>
            <w:r w:rsidR="004E28FC" w:rsidRPr="00F56447">
              <w:t>–</w:t>
            </w:r>
            <w:r w:rsidRPr="00F56447">
              <w:t>12</w:t>
            </w:r>
          </w:p>
        </w:tc>
      </w:tr>
      <w:tr w:rsidR="000E7576" w:rsidRPr="00F56447" w14:paraId="07A8ECDF" w14:textId="77777777" w:rsidTr="00D95C09">
        <w:trPr>
          <w:trHeight w:val="238"/>
        </w:trPr>
        <w:tc>
          <w:tcPr>
            <w:tcW w:w="2835" w:type="dxa"/>
            <w:shd w:val="clear" w:color="auto" w:fill="A6A6A6" w:themeFill="background1" w:themeFillShade="A6"/>
          </w:tcPr>
          <w:p w14:paraId="11C70DC8" w14:textId="77777777" w:rsidR="000E7576" w:rsidRPr="00F56447" w:rsidRDefault="000E7576" w:rsidP="00D95C09">
            <w:pPr>
              <w:pStyle w:val="DETTablecolumnheading"/>
            </w:pPr>
          </w:p>
        </w:tc>
        <w:tc>
          <w:tcPr>
            <w:tcW w:w="1134" w:type="dxa"/>
            <w:shd w:val="clear" w:color="auto" w:fill="A6A6A6" w:themeFill="background1" w:themeFillShade="A6"/>
          </w:tcPr>
          <w:p w14:paraId="1C687671" w14:textId="77777777" w:rsidR="000E7576" w:rsidRPr="00F56447" w:rsidRDefault="000E7576" w:rsidP="00D95C09">
            <w:pPr>
              <w:pStyle w:val="DETTablecolumnheading"/>
            </w:pPr>
            <w:r w:rsidRPr="00F56447">
              <w:t>$m</w:t>
            </w:r>
          </w:p>
        </w:tc>
        <w:tc>
          <w:tcPr>
            <w:tcW w:w="1276" w:type="dxa"/>
            <w:shd w:val="clear" w:color="auto" w:fill="A6A6A6" w:themeFill="background1" w:themeFillShade="A6"/>
          </w:tcPr>
          <w:p w14:paraId="6E949D26" w14:textId="77777777" w:rsidR="000E7576" w:rsidRPr="00F56447" w:rsidRDefault="000E7576" w:rsidP="00D95C09">
            <w:pPr>
              <w:pStyle w:val="DETTablecolumnheading"/>
            </w:pPr>
            <w:r w:rsidRPr="00F56447">
              <w:t>$m</w:t>
            </w:r>
          </w:p>
        </w:tc>
        <w:tc>
          <w:tcPr>
            <w:tcW w:w="1134" w:type="dxa"/>
            <w:shd w:val="clear" w:color="auto" w:fill="A6A6A6" w:themeFill="background1" w:themeFillShade="A6"/>
          </w:tcPr>
          <w:p w14:paraId="565D9B50" w14:textId="77777777" w:rsidR="000E7576" w:rsidRPr="00F56447" w:rsidRDefault="000E7576" w:rsidP="00D95C09">
            <w:pPr>
              <w:pStyle w:val="DETTablecolumnheading"/>
            </w:pPr>
            <w:r w:rsidRPr="00F56447">
              <w:t>$m</w:t>
            </w:r>
          </w:p>
        </w:tc>
        <w:tc>
          <w:tcPr>
            <w:tcW w:w="1134" w:type="dxa"/>
            <w:shd w:val="clear" w:color="auto" w:fill="A6A6A6" w:themeFill="background1" w:themeFillShade="A6"/>
          </w:tcPr>
          <w:p w14:paraId="601C241A" w14:textId="77777777" w:rsidR="000E7576" w:rsidRPr="00F56447" w:rsidRDefault="000E7576" w:rsidP="00D95C09">
            <w:pPr>
              <w:pStyle w:val="DETTablecolumnheading"/>
            </w:pPr>
            <w:r w:rsidRPr="00F56447">
              <w:t>$m</w:t>
            </w:r>
          </w:p>
        </w:tc>
        <w:tc>
          <w:tcPr>
            <w:tcW w:w="992" w:type="dxa"/>
            <w:shd w:val="clear" w:color="auto" w:fill="A6A6A6" w:themeFill="background1" w:themeFillShade="A6"/>
          </w:tcPr>
          <w:p w14:paraId="32A1E3B2" w14:textId="77777777" w:rsidR="000E7576" w:rsidRPr="00F56447" w:rsidRDefault="000E7576" w:rsidP="00D95C09">
            <w:pPr>
              <w:pStyle w:val="DETTablecolumnheading"/>
            </w:pPr>
            <w:r w:rsidRPr="00F56447">
              <w:t>$ m</w:t>
            </w:r>
          </w:p>
        </w:tc>
      </w:tr>
      <w:tr w:rsidR="000E7576" w:rsidRPr="00F56447" w14:paraId="7990AA6D" w14:textId="77777777" w:rsidTr="00D95C09">
        <w:trPr>
          <w:trHeight w:val="238"/>
        </w:trPr>
        <w:tc>
          <w:tcPr>
            <w:tcW w:w="2835" w:type="dxa"/>
          </w:tcPr>
          <w:p w14:paraId="7693EC3E" w14:textId="77777777" w:rsidR="000E7576" w:rsidRPr="00BE1810" w:rsidRDefault="000E7576" w:rsidP="00D95C09">
            <w:pPr>
              <w:pStyle w:val="DETTableTextFinancial"/>
              <w:rPr>
                <w:b/>
              </w:rPr>
            </w:pPr>
            <w:r w:rsidRPr="00BE1810">
              <w:rPr>
                <w:b/>
              </w:rPr>
              <w:t>Operating revenue</w:t>
            </w:r>
          </w:p>
        </w:tc>
        <w:tc>
          <w:tcPr>
            <w:tcW w:w="1134" w:type="dxa"/>
          </w:tcPr>
          <w:p w14:paraId="23DB006F" w14:textId="77777777" w:rsidR="000E7576" w:rsidRPr="00F56447" w:rsidRDefault="000E7576" w:rsidP="00D95C09">
            <w:pPr>
              <w:pStyle w:val="DETTableTextFinancial"/>
              <w:jc w:val="right"/>
            </w:pPr>
          </w:p>
        </w:tc>
        <w:tc>
          <w:tcPr>
            <w:tcW w:w="1276" w:type="dxa"/>
          </w:tcPr>
          <w:p w14:paraId="23AC6A2F" w14:textId="77777777" w:rsidR="000E7576" w:rsidRPr="00F56447" w:rsidRDefault="000E7576" w:rsidP="00D95C09">
            <w:pPr>
              <w:pStyle w:val="DETTableTextFinancial"/>
              <w:jc w:val="right"/>
            </w:pPr>
          </w:p>
        </w:tc>
        <w:tc>
          <w:tcPr>
            <w:tcW w:w="1134" w:type="dxa"/>
          </w:tcPr>
          <w:p w14:paraId="287247F8" w14:textId="77777777" w:rsidR="000E7576" w:rsidRPr="00F56447" w:rsidRDefault="000E7576" w:rsidP="00D95C09">
            <w:pPr>
              <w:pStyle w:val="DETTableTextFinancial"/>
              <w:jc w:val="right"/>
            </w:pPr>
          </w:p>
        </w:tc>
        <w:tc>
          <w:tcPr>
            <w:tcW w:w="1134" w:type="dxa"/>
          </w:tcPr>
          <w:p w14:paraId="433FC617" w14:textId="77777777" w:rsidR="000E7576" w:rsidRPr="00F56447" w:rsidRDefault="000E7576" w:rsidP="00D95C09">
            <w:pPr>
              <w:pStyle w:val="DETTableTextFinancial"/>
              <w:jc w:val="right"/>
            </w:pPr>
          </w:p>
        </w:tc>
        <w:tc>
          <w:tcPr>
            <w:tcW w:w="992" w:type="dxa"/>
          </w:tcPr>
          <w:p w14:paraId="009F47C3" w14:textId="77777777" w:rsidR="000E7576" w:rsidRPr="00F56447" w:rsidRDefault="000E7576" w:rsidP="00D95C09">
            <w:pPr>
              <w:pStyle w:val="DETTableTextFinancial"/>
              <w:jc w:val="right"/>
            </w:pPr>
          </w:p>
        </w:tc>
      </w:tr>
      <w:tr w:rsidR="000E7576" w:rsidRPr="00F56447" w14:paraId="2A23B0C3" w14:textId="77777777" w:rsidTr="00D95C09">
        <w:trPr>
          <w:trHeight w:val="238"/>
        </w:trPr>
        <w:tc>
          <w:tcPr>
            <w:tcW w:w="2835" w:type="dxa"/>
          </w:tcPr>
          <w:p w14:paraId="3DE70658" w14:textId="77777777" w:rsidR="000E7576" w:rsidRPr="00F56447" w:rsidRDefault="000E7576" w:rsidP="00D95C09">
            <w:pPr>
              <w:pStyle w:val="DETTableTextFinancial"/>
            </w:pPr>
            <w:r w:rsidRPr="00F56447">
              <w:t>Revenue from State Government</w:t>
            </w:r>
          </w:p>
        </w:tc>
        <w:tc>
          <w:tcPr>
            <w:tcW w:w="1134" w:type="dxa"/>
          </w:tcPr>
          <w:p w14:paraId="62EB2ED1" w14:textId="77777777" w:rsidR="000E7576" w:rsidRPr="00F56447" w:rsidRDefault="000E7576" w:rsidP="00D95C09">
            <w:pPr>
              <w:pStyle w:val="DETTableTextFinancial"/>
              <w:jc w:val="right"/>
            </w:pPr>
            <w:r w:rsidRPr="00F56447">
              <w:t>11,194.0</w:t>
            </w:r>
          </w:p>
        </w:tc>
        <w:tc>
          <w:tcPr>
            <w:tcW w:w="1276" w:type="dxa"/>
          </w:tcPr>
          <w:p w14:paraId="736FE163" w14:textId="77777777" w:rsidR="000E7576" w:rsidRPr="00F56447" w:rsidRDefault="000E7576" w:rsidP="00D95C09">
            <w:pPr>
              <w:pStyle w:val="DETTableTextFinancial"/>
              <w:jc w:val="right"/>
            </w:pPr>
            <w:r w:rsidRPr="00F56447">
              <w:t>10,683.5</w:t>
            </w:r>
          </w:p>
        </w:tc>
        <w:tc>
          <w:tcPr>
            <w:tcW w:w="1134" w:type="dxa"/>
          </w:tcPr>
          <w:p w14:paraId="26268E86" w14:textId="77777777" w:rsidR="000E7576" w:rsidRPr="00F56447" w:rsidRDefault="000E7576" w:rsidP="00D95C09">
            <w:pPr>
              <w:pStyle w:val="DETTableTextFinancial"/>
              <w:jc w:val="right"/>
            </w:pPr>
            <w:r w:rsidRPr="00F56447">
              <w:t>10,517.1</w:t>
            </w:r>
          </w:p>
        </w:tc>
        <w:tc>
          <w:tcPr>
            <w:tcW w:w="1134" w:type="dxa"/>
          </w:tcPr>
          <w:p w14:paraId="30367263" w14:textId="77777777" w:rsidR="000E7576" w:rsidRPr="00F56447" w:rsidRDefault="000E7576" w:rsidP="00D95C09">
            <w:pPr>
              <w:pStyle w:val="DETTableTextFinancial"/>
              <w:jc w:val="right"/>
            </w:pPr>
            <w:r w:rsidRPr="00F56447">
              <w:t>10,382.3</w:t>
            </w:r>
          </w:p>
        </w:tc>
        <w:tc>
          <w:tcPr>
            <w:tcW w:w="992" w:type="dxa"/>
            <w:vAlign w:val="center"/>
          </w:tcPr>
          <w:p w14:paraId="33CF1349" w14:textId="77777777" w:rsidR="000E7576" w:rsidRPr="00F56447" w:rsidRDefault="000E7576" w:rsidP="00D95C09">
            <w:pPr>
              <w:pStyle w:val="DETTableTextFinancial"/>
              <w:jc w:val="right"/>
            </w:pPr>
            <w:r w:rsidRPr="00F56447">
              <w:t>10,216.9</w:t>
            </w:r>
          </w:p>
        </w:tc>
      </w:tr>
      <w:tr w:rsidR="000E7576" w:rsidRPr="00F56447" w14:paraId="52622075" w14:textId="77777777" w:rsidTr="00D95C09">
        <w:trPr>
          <w:trHeight w:val="238"/>
        </w:trPr>
        <w:tc>
          <w:tcPr>
            <w:tcW w:w="2835" w:type="dxa"/>
          </w:tcPr>
          <w:p w14:paraId="3640E921" w14:textId="77777777" w:rsidR="000E7576" w:rsidRPr="00F56447" w:rsidRDefault="000E7576" w:rsidP="00D95C09">
            <w:pPr>
              <w:pStyle w:val="DETTableTextFinancial"/>
            </w:pPr>
            <w:r w:rsidRPr="00F56447">
              <w:t>Other revenue</w:t>
            </w:r>
          </w:p>
        </w:tc>
        <w:tc>
          <w:tcPr>
            <w:tcW w:w="1134" w:type="dxa"/>
          </w:tcPr>
          <w:p w14:paraId="733C6AFB" w14:textId="77777777" w:rsidR="000E7576" w:rsidRPr="00F56447" w:rsidRDefault="000E7576" w:rsidP="00D95C09">
            <w:pPr>
              <w:pStyle w:val="DETTableTextFinancial"/>
              <w:jc w:val="right"/>
            </w:pPr>
            <w:r w:rsidRPr="00F56447">
              <w:t>776.9</w:t>
            </w:r>
          </w:p>
        </w:tc>
        <w:tc>
          <w:tcPr>
            <w:tcW w:w="1276" w:type="dxa"/>
          </w:tcPr>
          <w:p w14:paraId="6FE110C6" w14:textId="77777777" w:rsidR="000E7576" w:rsidRPr="00F56447" w:rsidRDefault="000E7576" w:rsidP="00D95C09">
            <w:pPr>
              <w:pStyle w:val="DETTableTextFinancial"/>
              <w:jc w:val="right"/>
            </w:pPr>
            <w:r w:rsidRPr="00F56447">
              <w:t>777.2</w:t>
            </w:r>
          </w:p>
        </w:tc>
        <w:tc>
          <w:tcPr>
            <w:tcW w:w="1134" w:type="dxa"/>
          </w:tcPr>
          <w:p w14:paraId="284D63DB" w14:textId="77777777" w:rsidR="000E7576" w:rsidRPr="00F56447" w:rsidRDefault="000E7576" w:rsidP="00D95C09">
            <w:pPr>
              <w:pStyle w:val="DETTableTextFinancial"/>
              <w:jc w:val="right"/>
            </w:pPr>
            <w:r w:rsidRPr="00F56447">
              <w:t>749.9</w:t>
            </w:r>
          </w:p>
        </w:tc>
        <w:tc>
          <w:tcPr>
            <w:tcW w:w="1134" w:type="dxa"/>
          </w:tcPr>
          <w:p w14:paraId="3BFCA000" w14:textId="77777777" w:rsidR="000E7576" w:rsidRPr="00F56447" w:rsidRDefault="000E7576" w:rsidP="00D95C09">
            <w:pPr>
              <w:pStyle w:val="DETTableTextFinancial"/>
              <w:jc w:val="right"/>
            </w:pPr>
            <w:r w:rsidRPr="00F56447">
              <w:t>734.8</w:t>
            </w:r>
          </w:p>
        </w:tc>
        <w:tc>
          <w:tcPr>
            <w:tcW w:w="992" w:type="dxa"/>
            <w:vAlign w:val="center"/>
          </w:tcPr>
          <w:p w14:paraId="6592F8DD" w14:textId="77777777" w:rsidR="000E7576" w:rsidRPr="00F56447" w:rsidRDefault="000E7576" w:rsidP="00D95C09">
            <w:pPr>
              <w:pStyle w:val="DETTableTextFinancial"/>
              <w:jc w:val="right"/>
            </w:pPr>
            <w:r w:rsidRPr="00F56447">
              <w:t>676.3</w:t>
            </w:r>
          </w:p>
        </w:tc>
      </w:tr>
      <w:tr w:rsidR="000E7576" w:rsidRPr="00F56447" w14:paraId="7A4EA144" w14:textId="77777777" w:rsidTr="00D95C09">
        <w:trPr>
          <w:trHeight w:val="238"/>
        </w:trPr>
        <w:tc>
          <w:tcPr>
            <w:tcW w:w="2835" w:type="dxa"/>
          </w:tcPr>
          <w:p w14:paraId="1984111B" w14:textId="77777777" w:rsidR="000E7576" w:rsidRPr="00BE1810" w:rsidRDefault="000E7576" w:rsidP="00D95C09">
            <w:pPr>
              <w:pStyle w:val="DETTableTextFinancial"/>
              <w:rPr>
                <w:b/>
              </w:rPr>
            </w:pPr>
            <w:r w:rsidRPr="00BE1810">
              <w:rPr>
                <w:b/>
              </w:rPr>
              <w:t>Total income from transactions</w:t>
            </w:r>
          </w:p>
        </w:tc>
        <w:tc>
          <w:tcPr>
            <w:tcW w:w="1134" w:type="dxa"/>
          </w:tcPr>
          <w:p w14:paraId="7A910229" w14:textId="77777777" w:rsidR="000E7576" w:rsidRPr="00F56447" w:rsidRDefault="000E7576" w:rsidP="00D95C09">
            <w:pPr>
              <w:pStyle w:val="DETTableTextFinancial"/>
              <w:jc w:val="right"/>
            </w:pPr>
            <w:r w:rsidRPr="00F56447">
              <w:t>11,970.9</w:t>
            </w:r>
          </w:p>
        </w:tc>
        <w:tc>
          <w:tcPr>
            <w:tcW w:w="1276" w:type="dxa"/>
          </w:tcPr>
          <w:p w14:paraId="280CD86E" w14:textId="77777777" w:rsidR="000E7576" w:rsidRPr="00F56447" w:rsidRDefault="000E7576" w:rsidP="00D95C09">
            <w:pPr>
              <w:pStyle w:val="DETTableTextFinancial"/>
              <w:jc w:val="right"/>
            </w:pPr>
            <w:r w:rsidRPr="00F56447">
              <w:t>11,460.7</w:t>
            </w:r>
          </w:p>
        </w:tc>
        <w:tc>
          <w:tcPr>
            <w:tcW w:w="1134" w:type="dxa"/>
          </w:tcPr>
          <w:p w14:paraId="0FD7BF44" w14:textId="77777777" w:rsidR="000E7576" w:rsidRPr="00F56447" w:rsidRDefault="000E7576" w:rsidP="00D95C09">
            <w:pPr>
              <w:pStyle w:val="DETTableTextFinancial"/>
              <w:jc w:val="right"/>
            </w:pPr>
            <w:r w:rsidRPr="00F56447">
              <w:t>11,267.0</w:t>
            </w:r>
          </w:p>
        </w:tc>
        <w:tc>
          <w:tcPr>
            <w:tcW w:w="1134" w:type="dxa"/>
          </w:tcPr>
          <w:p w14:paraId="62D15C3B" w14:textId="77777777" w:rsidR="000E7576" w:rsidRPr="00F56447" w:rsidRDefault="000E7576" w:rsidP="00D95C09">
            <w:pPr>
              <w:pStyle w:val="DETTableTextFinancial"/>
              <w:jc w:val="right"/>
            </w:pPr>
            <w:r w:rsidRPr="00F56447">
              <w:t>11,117.0</w:t>
            </w:r>
          </w:p>
        </w:tc>
        <w:tc>
          <w:tcPr>
            <w:tcW w:w="992" w:type="dxa"/>
            <w:vAlign w:val="center"/>
          </w:tcPr>
          <w:p w14:paraId="14CC3D0C" w14:textId="77777777" w:rsidR="000E7576" w:rsidRPr="00F56447" w:rsidRDefault="000E7576" w:rsidP="00D95C09">
            <w:pPr>
              <w:pStyle w:val="DETTableTextFinancial"/>
              <w:jc w:val="right"/>
            </w:pPr>
            <w:r w:rsidRPr="00F56447">
              <w:t>10,893.2</w:t>
            </w:r>
          </w:p>
        </w:tc>
      </w:tr>
      <w:tr w:rsidR="000E7576" w:rsidRPr="00F56447" w14:paraId="04B51AA3" w14:textId="77777777" w:rsidTr="00BE1810">
        <w:trPr>
          <w:trHeight w:val="263"/>
        </w:trPr>
        <w:tc>
          <w:tcPr>
            <w:tcW w:w="2835" w:type="dxa"/>
            <w:tcBorders>
              <w:bottom w:val="single" w:sz="4" w:space="0" w:color="auto"/>
            </w:tcBorders>
          </w:tcPr>
          <w:p w14:paraId="358D987A" w14:textId="77777777" w:rsidR="000E7576" w:rsidRPr="00BE1810" w:rsidRDefault="000E7576" w:rsidP="00D95C09">
            <w:pPr>
              <w:pStyle w:val="DETTableTextFinancial"/>
              <w:rPr>
                <w:b/>
              </w:rPr>
            </w:pPr>
            <w:r w:rsidRPr="00BE1810">
              <w:rPr>
                <w:b/>
              </w:rPr>
              <w:t>Total expenses from transactions</w:t>
            </w:r>
          </w:p>
        </w:tc>
        <w:tc>
          <w:tcPr>
            <w:tcW w:w="1134" w:type="dxa"/>
            <w:tcBorders>
              <w:bottom w:val="single" w:sz="4" w:space="0" w:color="auto"/>
            </w:tcBorders>
          </w:tcPr>
          <w:p w14:paraId="141F5405" w14:textId="77777777" w:rsidR="000E7576" w:rsidRPr="00BE1810" w:rsidRDefault="000E7576" w:rsidP="00D95C09">
            <w:pPr>
              <w:pStyle w:val="DETTableTextFinancial"/>
              <w:jc w:val="right"/>
              <w:rPr>
                <w:b/>
              </w:rPr>
            </w:pPr>
            <w:r w:rsidRPr="00BE1810">
              <w:rPr>
                <w:b/>
              </w:rPr>
              <w:t>11,740.0</w:t>
            </w:r>
          </w:p>
        </w:tc>
        <w:tc>
          <w:tcPr>
            <w:tcW w:w="1276" w:type="dxa"/>
            <w:tcBorders>
              <w:bottom w:val="single" w:sz="4" w:space="0" w:color="auto"/>
            </w:tcBorders>
          </w:tcPr>
          <w:p w14:paraId="10E6F32D" w14:textId="77777777" w:rsidR="000E7576" w:rsidRPr="00BE1810" w:rsidRDefault="000E7576" w:rsidP="00D95C09">
            <w:pPr>
              <w:pStyle w:val="DETTableTextFinancial"/>
              <w:jc w:val="right"/>
              <w:rPr>
                <w:b/>
              </w:rPr>
            </w:pPr>
            <w:r w:rsidRPr="00BE1810">
              <w:rPr>
                <w:b/>
              </w:rPr>
              <w:t>11,280.3</w:t>
            </w:r>
          </w:p>
        </w:tc>
        <w:tc>
          <w:tcPr>
            <w:tcW w:w="1134" w:type="dxa"/>
            <w:tcBorders>
              <w:bottom w:val="single" w:sz="4" w:space="0" w:color="auto"/>
            </w:tcBorders>
            <w:vAlign w:val="center"/>
          </w:tcPr>
          <w:p w14:paraId="070BB109" w14:textId="77777777" w:rsidR="000E7576" w:rsidRPr="00BE1810" w:rsidRDefault="000E7576" w:rsidP="00D95C09">
            <w:pPr>
              <w:pStyle w:val="DETTableTextFinancial"/>
              <w:jc w:val="right"/>
              <w:rPr>
                <w:b/>
              </w:rPr>
            </w:pPr>
            <w:r w:rsidRPr="00BE1810">
              <w:rPr>
                <w:b/>
              </w:rPr>
              <w:t>11,101.5</w:t>
            </w:r>
          </w:p>
        </w:tc>
        <w:tc>
          <w:tcPr>
            <w:tcW w:w="1134" w:type="dxa"/>
            <w:tcBorders>
              <w:bottom w:val="single" w:sz="4" w:space="0" w:color="auto"/>
            </w:tcBorders>
            <w:vAlign w:val="center"/>
          </w:tcPr>
          <w:p w14:paraId="669355C6" w14:textId="77777777" w:rsidR="000E7576" w:rsidRPr="00BE1810" w:rsidRDefault="000E7576" w:rsidP="00D95C09">
            <w:pPr>
              <w:pStyle w:val="DETTableTextFinancial"/>
              <w:jc w:val="right"/>
              <w:rPr>
                <w:b/>
              </w:rPr>
            </w:pPr>
            <w:r w:rsidRPr="00BE1810">
              <w:rPr>
                <w:b/>
              </w:rPr>
              <w:t>11,028.1</w:t>
            </w:r>
          </w:p>
        </w:tc>
        <w:tc>
          <w:tcPr>
            <w:tcW w:w="992" w:type="dxa"/>
            <w:tcBorders>
              <w:bottom w:val="single" w:sz="4" w:space="0" w:color="auto"/>
            </w:tcBorders>
            <w:vAlign w:val="center"/>
          </w:tcPr>
          <w:p w14:paraId="3D4E6CEA" w14:textId="77777777" w:rsidR="000E7576" w:rsidRPr="00BE1810" w:rsidRDefault="000E7576" w:rsidP="00D95C09">
            <w:pPr>
              <w:pStyle w:val="DETTableTextFinancial"/>
              <w:jc w:val="right"/>
              <w:rPr>
                <w:b/>
              </w:rPr>
            </w:pPr>
            <w:r w:rsidRPr="00BE1810">
              <w:rPr>
                <w:b/>
              </w:rPr>
              <w:t>10,990.7</w:t>
            </w:r>
          </w:p>
        </w:tc>
      </w:tr>
      <w:tr w:rsidR="000E7576" w:rsidRPr="00F56447" w14:paraId="064E39BF" w14:textId="77777777" w:rsidTr="00BE1810">
        <w:trPr>
          <w:trHeight w:val="238"/>
        </w:trPr>
        <w:tc>
          <w:tcPr>
            <w:tcW w:w="2835" w:type="dxa"/>
            <w:tcBorders>
              <w:top w:val="single" w:sz="4" w:space="0" w:color="auto"/>
            </w:tcBorders>
          </w:tcPr>
          <w:p w14:paraId="32CB9996" w14:textId="77777777" w:rsidR="000E7576" w:rsidRPr="00BE1810" w:rsidRDefault="000E7576" w:rsidP="00D95C09">
            <w:pPr>
              <w:pStyle w:val="DETTableTextFinancial"/>
              <w:rPr>
                <w:b/>
              </w:rPr>
            </w:pPr>
            <w:r w:rsidRPr="00BE1810">
              <w:rPr>
                <w:b/>
              </w:rPr>
              <w:t>Net result from transactions</w:t>
            </w:r>
          </w:p>
        </w:tc>
        <w:tc>
          <w:tcPr>
            <w:tcW w:w="1134" w:type="dxa"/>
            <w:tcBorders>
              <w:top w:val="single" w:sz="4" w:space="0" w:color="auto"/>
            </w:tcBorders>
          </w:tcPr>
          <w:p w14:paraId="47CFD613" w14:textId="77777777" w:rsidR="000E7576" w:rsidRPr="00F56447" w:rsidRDefault="000E7576" w:rsidP="00D95C09">
            <w:pPr>
              <w:pStyle w:val="DETTableTextFinancial"/>
              <w:jc w:val="right"/>
            </w:pPr>
            <w:r w:rsidRPr="00F56447">
              <w:t>230.9</w:t>
            </w:r>
          </w:p>
        </w:tc>
        <w:tc>
          <w:tcPr>
            <w:tcW w:w="1276" w:type="dxa"/>
            <w:tcBorders>
              <w:top w:val="single" w:sz="4" w:space="0" w:color="auto"/>
            </w:tcBorders>
          </w:tcPr>
          <w:p w14:paraId="0B5474CB" w14:textId="77777777" w:rsidR="000E7576" w:rsidRPr="00F56447" w:rsidRDefault="000E7576" w:rsidP="00D95C09">
            <w:pPr>
              <w:pStyle w:val="DETTableTextFinancial"/>
              <w:jc w:val="right"/>
            </w:pPr>
            <w:r w:rsidRPr="00F56447">
              <w:t>180.5</w:t>
            </w:r>
          </w:p>
        </w:tc>
        <w:tc>
          <w:tcPr>
            <w:tcW w:w="1134" w:type="dxa"/>
            <w:tcBorders>
              <w:top w:val="single" w:sz="4" w:space="0" w:color="auto"/>
            </w:tcBorders>
          </w:tcPr>
          <w:p w14:paraId="421133B6" w14:textId="77777777" w:rsidR="000E7576" w:rsidRPr="00F56447" w:rsidRDefault="000E7576" w:rsidP="00D95C09">
            <w:pPr>
              <w:pStyle w:val="DETTableTextFinancial"/>
              <w:jc w:val="right"/>
            </w:pPr>
            <w:r w:rsidRPr="00F56447">
              <w:t>165.6</w:t>
            </w:r>
          </w:p>
        </w:tc>
        <w:tc>
          <w:tcPr>
            <w:tcW w:w="1134" w:type="dxa"/>
            <w:tcBorders>
              <w:top w:val="single" w:sz="4" w:space="0" w:color="auto"/>
            </w:tcBorders>
          </w:tcPr>
          <w:p w14:paraId="28F9AE27" w14:textId="77777777" w:rsidR="000E7576" w:rsidRPr="00F56447" w:rsidRDefault="000E7576" w:rsidP="00D95C09">
            <w:pPr>
              <w:pStyle w:val="DETTableTextFinancial"/>
              <w:jc w:val="right"/>
            </w:pPr>
            <w:r w:rsidRPr="00F56447">
              <w:t>88.9</w:t>
            </w:r>
          </w:p>
        </w:tc>
        <w:tc>
          <w:tcPr>
            <w:tcW w:w="992" w:type="dxa"/>
            <w:tcBorders>
              <w:top w:val="single" w:sz="4" w:space="0" w:color="auto"/>
            </w:tcBorders>
            <w:vAlign w:val="center"/>
          </w:tcPr>
          <w:p w14:paraId="0D9ACA44" w14:textId="77777777" w:rsidR="000E7576" w:rsidRPr="00F56447" w:rsidRDefault="000E7576" w:rsidP="00D95C09">
            <w:pPr>
              <w:pStyle w:val="DETTableTextFinancial"/>
              <w:jc w:val="right"/>
            </w:pPr>
            <w:r w:rsidRPr="00F56447">
              <w:t>(97.4)</w:t>
            </w:r>
          </w:p>
        </w:tc>
      </w:tr>
      <w:tr w:rsidR="000E7576" w:rsidRPr="00F56447" w14:paraId="435E2E32" w14:textId="77777777" w:rsidTr="00707C33">
        <w:trPr>
          <w:trHeight w:val="238"/>
        </w:trPr>
        <w:tc>
          <w:tcPr>
            <w:tcW w:w="2835" w:type="dxa"/>
            <w:tcBorders>
              <w:bottom w:val="single" w:sz="4" w:space="0" w:color="auto"/>
            </w:tcBorders>
          </w:tcPr>
          <w:p w14:paraId="0209F9DB" w14:textId="77777777" w:rsidR="000E7576" w:rsidRPr="00BE1810" w:rsidRDefault="000E7576" w:rsidP="00D95C09">
            <w:pPr>
              <w:pStyle w:val="DETTableTextFinancial"/>
              <w:rPr>
                <w:b/>
              </w:rPr>
            </w:pPr>
            <w:r w:rsidRPr="00BE1810">
              <w:rPr>
                <w:b/>
              </w:rPr>
              <w:t>Total other economic flows</w:t>
            </w:r>
          </w:p>
        </w:tc>
        <w:tc>
          <w:tcPr>
            <w:tcW w:w="1134" w:type="dxa"/>
            <w:tcBorders>
              <w:bottom w:val="single" w:sz="4" w:space="0" w:color="auto"/>
            </w:tcBorders>
          </w:tcPr>
          <w:p w14:paraId="53C2F324" w14:textId="77777777" w:rsidR="000E7576" w:rsidRPr="00BE1810" w:rsidRDefault="000E7576" w:rsidP="00D95C09">
            <w:pPr>
              <w:pStyle w:val="DETTableTextFinancial"/>
              <w:jc w:val="right"/>
              <w:rPr>
                <w:b/>
              </w:rPr>
            </w:pPr>
            <w:r w:rsidRPr="00BE1810">
              <w:rPr>
                <w:b/>
              </w:rPr>
              <w:t>(48.4)</w:t>
            </w:r>
          </w:p>
        </w:tc>
        <w:tc>
          <w:tcPr>
            <w:tcW w:w="1276" w:type="dxa"/>
            <w:tcBorders>
              <w:bottom w:val="single" w:sz="4" w:space="0" w:color="auto"/>
            </w:tcBorders>
          </w:tcPr>
          <w:p w14:paraId="78F688D7" w14:textId="77777777" w:rsidR="000E7576" w:rsidRPr="00BE1810" w:rsidRDefault="000E7576" w:rsidP="00D95C09">
            <w:pPr>
              <w:pStyle w:val="DETTableTextFinancial"/>
              <w:jc w:val="right"/>
              <w:rPr>
                <w:b/>
              </w:rPr>
            </w:pPr>
            <w:r w:rsidRPr="00BE1810">
              <w:rPr>
                <w:b/>
              </w:rPr>
              <w:t>(21.7)</w:t>
            </w:r>
          </w:p>
        </w:tc>
        <w:tc>
          <w:tcPr>
            <w:tcW w:w="1134" w:type="dxa"/>
            <w:tcBorders>
              <w:bottom w:val="single" w:sz="4" w:space="0" w:color="auto"/>
            </w:tcBorders>
          </w:tcPr>
          <w:p w14:paraId="24EC8C01" w14:textId="77777777" w:rsidR="000E7576" w:rsidRPr="00BE1810" w:rsidRDefault="000E7576" w:rsidP="00D95C09">
            <w:pPr>
              <w:pStyle w:val="DETTableTextFinancial"/>
              <w:jc w:val="right"/>
              <w:rPr>
                <w:b/>
              </w:rPr>
            </w:pPr>
            <w:r w:rsidRPr="00BE1810">
              <w:rPr>
                <w:b/>
              </w:rPr>
              <w:t>(1.2)</w:t>
            </w:r>
          </w:p>
        </w:tc>
        <w:tc>
          <w:tcPr>
            <w:tcW w:w="1134" w:type="dxa"/>
            <w:tcBorders>
              <w:bottom w:val="single" w:sz="4" w:space="0" w:color="auto"/>
            </w:tcBorders>
          </w:tcPr>
          <w:p w14:paraId="21C3CB6C" w14:textId="77777777" w:rsidR="000E7576" w:rsidRPr="00BE1810" w:rsidRDefault="000E7576" w:rsidP="00D95C09">
            <w:pPr>
              <w:pStyle w:val="DETTableTextFinancial"/>
              <w:jc w:val="right"/>
              <w:rPr>
                <w:b/>
              </w:rPr>
            </w:pPr>
            <w:r w:rsidRPr="00BE1810">
              <w:rPr>
                <w:b/>
              </w:rPr>
              <w:t>34.6</w:t>
            </w:r>
          </w:p>
        </w:tc>
        <w:tc>
          <w:tcPr>
            <w:tcW w:w="992" w:type="dxa"/>
            <w:tcBorders>
              <w:bottom w:val="single" w:sz="4" w:space="0" w:color="auto"/>
            </w:tcBorders>
            <w:vAlign w:val="center"/>
          </w:tcPr>
          <w:p w14:paraId="6F5FA587" w14:textId="77777777" w:rsidR="000E7576" w:rsidRPr="00BE1810" w:rsidRDefault="000E7576" w:rsidP="00D95C09">
            <w:pPr>
              <w:pStyle w:val="DETTableTextFinancial"/>
              <w:jc w:val="right"/>
              <w:rPr>
                <w:b/>
              </w:rPr>
            </w:pPr>
            <w:r w:rsidRPr="00BE1810">
              <w:rPr>
                <w:b/>
              </w:rPr>
              <w:t>(77.7)</w:t>
            </w:r>
          </w:p>
        </w:tc>
      </w:tr>
      <w:tr w:rsidR="000E7576" w:rsidRPr="00F56447" w14:paraId="417D8FBB" w14:textId="77777777" w:rsidTr="00707C33">
        <w:trPr>
          <w:trHeight w:val="238"/>
        </w:trPr>
        <w:tc>
          <w:tcPr>
            <w:tcW w:w="2835" w:type="dxa"/>
            <w:tcBorders>
              <w:top w:val="single" w:sz="4" w:space="0" w:color="auto"/>
            </w:tcBorders>
          </w:tcPr>
          <w:p w14:paraId="0F1EFB46" w14:textId="77777777" w:rsidR="000E7576" w:rsidRPr="00BE1810" w:rsidRDefault="000E7576" w:rsidP="00D95C09">
            <w:pPr>
              <w:pStyle w:val="DETTableTextFinancial"/>
              <w:rPr>
                <w:b/>
              </w:rPr>
            </w:pPr>
            <w:r w:rsidRPr="00BE1810">
              <w:rPr>
                <w:b/>
              </w:rPr>
              <w:t>Net result for period</w:t>
            </w:r>
          </w:p>
        </w:tc>
        <w:tc>
          <w:tcPr>
            <w:tcW w:w="1134" w:type="dxa"/>
            <w:tcBorders>
              <w:top w:val="single" w:sz="4" w:space="0" w:color="auto"/>
            </w:tcBorders>
          </w:tcPr>
          <w:p w14:paraId="329A6E5E" w14:textId="77777777" w:rsidR="000E7576" w:rsidRPr="00F56447" w:rsidRDefault="000E7576" w:rsidP="00D95C09">
            <w:pPr>
              <w:pStyle w:val="DETTableTextFinancial"/>
              <w:jc w:val="right"/>
            </w:pPr>
            <w:r w:rsidRPr="00F56447">
              <w:t>182.5</w:t>
            </w:r>
          </w:p>
        </w:tc>
        <w:tc>
          <w:tcPr>
            <w:tcW w:w="1276" w:type="dxa"/>
            <w:tcBorders>
              <w:top w:val="single" w:sz="4" w:space="0" w:color="auto"/>
            </w:tcBorders>
          </w:tcPr>
          <w:p w14:paraId="6988DFFE" w14:textId="77777777" w:rsidR="000E7576" w:rsidRPr="00F56447" w:rsidRDefault="000E7576" w:rsidP="00D95C09">
            <w:pPr>
              <w:pStyle w:val="DETTableTextFinancial"/>
              <w:jc w:val="right"/>
            </w:pPr>
            <w:r w:rsidRPr="00F56447">
              <w:t>158.8</w:t>
            </w:r>
          </w:p>
        </w:tc>
        <w:tc>
          <w:tcPr>
            <w:tcW w:w="1134" w:type="dxa"/>
            <w:tcBorders>
              <w:top w:val="single" w:sz="4" w:space="0" w:color="auto"/>
            </w:tcBorders>
          </w:tcPr>
          <w:p w14:paraId="4305F6EE" w14:textId="77777777" w:rsidR="000E7576" w:rsidRPr="00F56447" w:rsidRDefault="000E7576" w:rsidP="00D95C09">
            <w:pPr>
              <w:pStyle w:val="DETTableTextFinancial"/>
              <w:jc w:val="right"/>
            </w:pPr>
            <w:r w:rsidRPr="00F56447">
              <w:t>164.3</w:t>
            </w:r>
          </w:p>
        </w:tc>
        <w:tc>
          <w:tcPr>
            <w:tcW w:w="1134" w:type="dxa"/>
            <w:tcBorders>
              <w:top w:val="single" w:sz="4" w:space="0" w:color="auto"/>
            </w:tcBorders>
          </w:tcPr>
          <w:p w14:paraId="56DED244" w14:textId="77777777" w:rsidR="000E7576" w:rsidRPr="00F56447" w:rsidRDefault="000E7576" w:rsidP="00D95C09">
            <w:pPr>
              <w:pStyle w:val="DETTableTextFinancial"/>
              <w:jc w:val="right"/>
            </w:pPr>
            <w:r w:rsidRPr="00F56447">
              <w:t>123.5</w:t>
            </w:r>
          </w:p>
        </w:tc>
        <w:tc>
          <w:tcPr>
            <w:tcW w:w="992" w:type="dxa"/>
            <w:tcBorders>
              <w:top w:val="single" w:sz="4" w:space="0" w:color="auto"/>
            </w:tcBorders>
            <w:vAlign w:val="center"/>
          </w:tcPr>
          <w:p w14:paraId="3D355152" w14:textId="77777777" w:rsidR="000E7576" w:rsidRPr="00F56447" w:rsidRDefault="000E7576" w:rsidP="00D95C09">
            <w:pPr>
              <w:pStyle w:val="DETTableTextFinancial"/>
              <w:jc w:val="right"/>
            </w:pPr>
            <w:r w:rsidRPr="00F56447">
              <w:t>(175.1)</w:t>
            </w:r>
          </w:p>
        </w:tc>
      </w:tr>
      <w:tr w:rsidR="000E7576" w:rsidRPr="00F56447" w14:paraId="0DA29E9D" w14:textId="77777777" w:rsidTr="00D95C09">
        <w:trPr>
          <w:trHeight w:val="238"/>
        </w:trPr>
        <w:tc>
          <w:tcPr>
            <w:tcW w:w="2835" w:type="dxa"/>
          </w:tcPr>
          <w:p w14:paraId="08FFC3B7" w14:textId="77777777" w:rsidR="000E7576" w:rsidRPr="00F56447" w:rsidRDefault="000E7576" w:rsidP="00D95C09">
            <w:pPr>
              <w:pStyle w:val="DETTableTextFinancial"/>
            </w:pPr>
          </w:p>
        </w:tc>
        <w:tc>
          <w:tcPr>
            <w:tcW w:w="1134" w:type="dxa"/>
          </w:tcPr>
          <w:p w14:paraId="57040198" w14:textId="77777777" w:rsidR="000E7576" w:rsidRPr="00F56447" w:rsidRDefault="000E7576" w:rsidP="00D95C09">
            <w:pPr>
              <w:pStyle w:val="DETTableTextFinancial"/>
              <w:jc w:val="right"/>
            </w:pPr>
          </w:p>
        </w:tc>
        <w:tc>
          <w:tcPr>
            <w:tcW w:w="1276" w:type="dxa"/>
          </w:tcPr>
          <w:p w14:paraId="4FBE1450" w14:textId="77777777" w:rsidR="000E7576" w:rsidRPr="00F56447" w:rsidRDefault="000E7576" w:rsidP="00D95C09">
            <w:pPr>
              <w:pStyle w:val="DETTableTextFinancial"/>
              <w:jc w:val="right"/>
            </w:pPr>
          </w:p>
        </w:tc>
        <w:tc>
          <w:tcPr>
            <w:tcW w:w="1134" w:type="dxa"/>
          </w:tcPr>
          <w:p w14:paraId="4A1E10B6" w14:textId="77777777" w:rsidR="000E7576" w:rsidRPr="00F56447" w:rsidRDefault="000E7576" w:rsidP="00D95C09">
            <w:pPr>
              <w:pStyle w:val="DETTableTextFinancial"/>
              <w:jc w:val="right"/>
            </w:pPr>
          </w:p>
        </w:tc>
        <w:tc>
          <w:tcPr>
            <w:tcW w:w="1134" w:type="dxa"/>
            <w:vAlign w:val="center"/>
          </w:tcPr>
          <w:p w14:paraId="7E73F32D" w14:textId="77777777" w:rsidR="000E7576" w:rsidRPr="00F56447" w:rsidRDefault="000E7576" w:rsidP="00D95C09">
            <w:pPr>
              <w:pStyle w:val="DETTableTextFinancial"/>
              <w:jc w:val="right"/>
            </w:pPr>
          </w:p>
        </w:tc>
        <w:tc>
          <w:tcPr>
            <w:tcW w:w="992" w:type="dxa"/>
            <w:vAlign w:val="center"/>
          </w:tcPr>
          <w:p w14:paraId="4144F61D" w14:textId="77777777" w:rsidR="000E7576" w:rsidRPr="00F56447" w:rsidRDefault="000E7576" w:rsidP="00D95C09">
            <w:pPr>
              <w:pStyle w:val="DETTableTextFinancial"/>
              <w:jc w:val="right"/>
            </w:pPr>
          </w:p>
        </w:tc>
      </w:tr>
      <w:tr w:rsidR="000E7576" w:rsidRPr="00F56447" w14:paraId="6875FCAB" w14:textId="77777777" w:rsidTr="00D95C09">
        <w:trPr>
          <w:trHeight w:val="238"/>
        </w:trPr>
        <w:tc>
          <w:tcPr>
            <w:tcW w:w="2835" w:type="dxa"/>
          </w:tcPr>
          <w:p w14:paraId="32ABABFA" w14:textId="77777777" w:rsidR="000E7576" w:rsidRPr="00707C33" w:rsidRDefault="000E7576" w:rsidP="00D95C09">
            <w:pPr>
              <w:pStyle w:val="DETTableTextFinancial"/>
              <w:rPr>
                <w:b/>
              </w:rPr>
            </w:pPr>
            <w:r w:rsidRPr="00707C33">
              <w:rPr>
                <w:b/>
              </w:rPr>
              <w:t>Net cash flow from operations</w:t>
            </w:r>
          </w:p>
        </w:tc>
        <w:tc>
          <w:tcPr>
            <w:tcW w:w="1134" w:type="dxa"/>
          </w:tcPr>
          <w:p w14:paraId="7EF15F79" w14:textId="77777777" w:rsidR="000E7576" w:rsidRPr="00F56447" w:rsidRDefault="000E7576" w:rsidP="00D95C09">
            <w:pPr>
              <w:pStyle w:val="DETTableTextFinancial"/>
              <w:jc w:val="right"/>
            </w:pPr>
            <w:r w:rsidRPr="00F56447">
              <w:t>455.4</w:t>
            </w:r>
          </w:p>
        </w:tc>
        <w:tc>
          <w:tcPr>
            <w:tcW w:w="1276" w:type="dxa"/>
          </w:tcPr>
          <w:p w14:paraId="0CE89401" w14:textId="77777777" w:rsidR="000E7576" w:rsidRPr="00F56447" w:rsidRDefault="000E7576" w:rsidP="00D95C09">
            <w:pPr>
              <w:pStyle w:val="DETTableTextFinancial"/>
              <w:jc w:val="right"/>
            </w:pPr>
            <w:r w:rsidRPr="00F56447">
              <w:t>187.8</w:t>
            </w:r>
          </w:p>
        </w:tc>
        <w:tc>
          <w:tcPr>
            <w:tcW w:w="1134" w:type="dxa"/>
          </w:tcPr>
          <w:p w14:paraId="5182A52E" w14:textId="77777777" w:rsidR="000E7576" w:rsidRPr="00F56447" w:rsidRDefault="000E7576" w:rsidP="00D95C09">
            <w:pPr>
              <w:pStyle w:val="DETTableTextFinancial"/>
              <w:jc w:val="right"/>
            </w:pPr>
            <w:r w:rsidRPr="00F56447">
              <w:t>364.3</w:t>
            </w:r>
          </w:p>
        </w:tc>
        <w:tc>
          <w:tcPr>
            <w:tcW w:w="1134" w:type="dxa"/>
          </w:tcPr>
          <w:p w14:paraId="1C07C61B" w14:textId="77777777" w:rsidR="000E7576" w:rsidRPr="00F56447" w:rsidRDefault="000E7576" w:rsidP="00D95C09">
            <w:pPr>
              <w:pStyle w:val="DETTableTextFinancial"/>
              <w:jc w:val="right"/>
            </w:pPr>
            <w:r w:rsidRPr="00F56447">
              <w:t>451.9</w:t>
            </w:r>
          </w:p>
        </w:tc>
        <w:tc>
          <w:tcPr>
            <w:tcW w:w="992" w:type="dxa"/>
            <w:vAlign w:val="center"/>
          </w:tcPr>
          <w:p w14:paraId="7147BEF7" w14:textId="77777777" w:rsidR="000E7576" w:rsidRPr="00F56447" w:rsidRDefault="000E7576" w:rsidP="00D95C09">
            <w:pPr>
              <w:pStyle w:val="DETTableTextFinancial"/>
              <w:jc w:val="right"/>
            </w:pPr>
            <w:r w:rsidRPr="00F56447">
              <w:t>141.6</w:t>
            </w:r>
          </w:p>
        </w:tc>
      </w:tr>
      <w:tr w:rsidR="000E7576" w:rsidRPr="00F56447" w14:paraId="315C0F7E" w14:textId="77777777" w:rsidTr="00D95C09">
        <w:trPr>
          <w:trHeight w:val="238"/>
        </w:trPr>
        <w:tc>
          <w:tcPr>
            <w:tcW w:w="2835" w:type="dxa"/>
          </w:tcPr>
          <w:p w14:paraId="116B1E64" w14:textId="77777777" w:rsidR="000E7576" w:rsidRPr="00F56447" w:rsidRDefault="000E7576" w:rsidP="00D95C09">
            <w:pPr>
              <w:pStyle w:val="DETTableTextFinancial"/>
            </w:pPr>
          </w:p>
        </w:tc>
        <w:tc>
          <w:tcPr>
            <w:tcW w:w="1134" w:type="dxa"/>
          </w:tcPr>
          <w:p w14:paraId="557995E1" w14:textId="77777777" w:rsidR="000E7576" w:rsidRPr="00F56447" w:rsidRDefault="000E7576" w:rsidP="00D95C09">
            <w:pPr>
              <w:pStyle w:val="DETTableTextFinancial"/>
              <w:jc w:val="right"/>
            </w:pPr>
          </w:p>
        </w:tc>
        <w:tc>
          <w:tcPr>
            <w:tcW w:w="1276" w:type="dxa"/>
          </w:tcPr>
          <w:p w14:paraId="3477B161" w14:textId="77777777" w:rsidR="000E7576" w:rsidRPr="00F56447" w:rsidRDefault="000E7576" w:rsidP="00D95C09">
            <w:pPr>
              <w:pStyle w:val="DETTableTextFinancial"/>
              <w:jc w:val="right"/>
            </w:pPr>
          </w:p>
        </w:tc>
        <w:tc>
          <w:tcPr>
            <w:tcW w:w="1134" w:type="dxa"/>
          </w:tcPr>
          <w:p w14:paraId="6EDCAB81" w14:textId="77777777" w:rsidR="000E7576" w:rsidRPr="00F56447" w:rsidRDefault="000E7576" w:rsidP="00D95C09">
            <w:pPr>
              <w:pStyle w:val="DETTableTextFinancial"/>
              <w:jc w:val="right"/>
            </w:pPr>
          </w:p>
        </w:tc>
        <w:tc>
          <w:tcPr>
            <w:tcW w:w="1134" w:type="dxa"/>
          </w:tcPr>
          <w:p w14:paraId="22AC68D4" w14:textId="77777777" w:rsidR="000E7576" w:rsidRPr="00F56447" w:rsidRDefault="000E7576" w:rsidP="00D95C09">
            <w:pPr>
              <w:pStyle w:val="DETTableTextFinancial"/>
              <w:jc w:val="right"/>
            </w:pPr>
          </w:p>
        </w:tc>
        <w:tc>
          <w:tcPr>
            <w:tcW w:w="992" w:type="dxa"/>
            <w:vAlign w:val="center"/>
          </w:tcPr>
          <w:p w14:paraId="4B3E5552" w14:textId="77777777" w:rsidR="000E7576" w:rsidRPr="00F56447" w:rsidRDefault="000E7576" w:rsidP="00D95C09">
            <w:pPr>
              <w:pStyle w:val="DETTableTextFinancial"/>
              <w:jc w:val="right"/>
            </w:pPr>
          </w:p>
        </w:tc>
      </w:tr>
      <w:tr w:rsidR="000E7576" w:rsidRPr="00F56447" w14:paraId="694B2F76" w14:textId="77777777" w:rsidTr="00D95C09">
        <w:trPr>
          <w:trHeight w:val="238"/>
        </w:trPr>
        <w:tc>
          <w:tcPr>
            <w:tcW w:w="2835" w:type="dxa"/>
          </w:tcPr>
          <w:p w14:paraId="33CB3369" w14:textId="77777777" w:rsidR="000E7576" w:rsidRPr="00707C33" w:rsidRDefault="000E7576" w:rsidP="00D95C09">
            <w:pPr>
              <w:pStyle w:val="DETTableTextFinancial"/>
              <w:rPr>
                <w:b/>
              </w:rPr>
            </w:pPr>
            <w:r w:rsidRPr="00707C33">
              <w:rPr>
                <w:b/>
              </w:rPr>
              <w:t>Total assets</w:t>
            </w:r>
          </w:p>
        </w:tc>
        <w:tc>
          <w:tcPr>
            <w:tcW w:w="1134" w:type="dxa"/>
          </w:tcPr>
          <w:p w14:paraId="1580066F" w14:textId="77777777" w:rsidR="000E7576" w:rsidRPr="00F56447" w:rsidRDefault="000E7576" w:rsidP="00D95C09">
            <w:pPr>
              <w:pStyle w:val="DETTableTextFinancial"/>
              <w:jc w:val="right"/>
            </w:pPr>
            <w:r w:rsidRPr="00F56447">
              <w:t>22,955.5</w:t>
            </w:r>
          </w:p>
        </w:tc>
        <w:tc>
          <w:tcPr>
            <w:tcW w:w="1276" w:type="dxa"/>
          </w:tcPr>
          <w:p w14:paraId="6B838825" w14:textId="77777777" w:rsidR="000E7576" w:rsidRPr="00F56447" w:rsidRDefault="000E7576" w:rsidP="00D95C09">
            <w:pPr>
              <w:pStyle w:val="DETTableTextFinancial"/>
              <w:jc w:val="right"/>
            </w:pPr>
            <w:r w:rsidRPr="00F56447">
              <w:t>19,608.5</w:t>
            </w:r>
          </w:p>
        </w:tc>
        <w:tc>
          <w:tcPr>
            <w:tcW w:w="1134" w:type="dxa"/>
          </w:tcPr>
          <w:p w14:paraId="300AD9A5" w14:textId="77777777" w:rsidR="000E7576" w:rsidRPr="00F56447" w:rsidRDefault="000E7576" w:rsidP="00D95C09">
            <w:pPr>
              <w:pStyle w:val="DETTableTextFinancial"/>
              <w:jc w:val="right"/>
            </w:pPr>
            <w:r w:rsidRPr="00F56447">
              <w:t>18,516.8</w:t>
            </w:r>
          </w:p>
        </w:tc>
        <w:tc>
          <w:tcPr>
            <w:tcW w:w="1134" w:type="dxa"/>
          </w:tcPr>
          <w:p w14:paraId="2B4C5F7E" w14:textId="77777777" w:rsidR="000E7576" w:rsidRPr="00F56447" w:rsidRDefault="000E7576" w:rsidP="00D95C09">
            <w:pPr>
              <w:pStyle w:val="DETTableTextFinancial"/>
              <w:jc w:val="right"/>
            </w:pPr>
            <w:r w:rsidRPr="00F56447">
              <w:t>18,392.4</w:t>
            </w:r>
          </w:p>
        </w:tc>
        <w:tc>
          <w:tcPr>
            <w:tcW w:w="992" w:type="dxa"/>
            <w:vAlign w:val="center"/>
          </w:tcPr>
          <w:p w14:paraId="2BF8225E" w14:textId="77777777" w:rsidR="000E7576" w:rsidRPr="00F56447" w:rsidRDefault="000E7576" w:rsidP="00D95C09">
            <w:pPr>
              <w:pStyle w:val="DETTableTextFinancial"/>
              <w:jc w:val="right"/>
            </w:pPr>
            <w:r w:rsidRPr="00F56447">
              <w:t>15,839.1</w:t>
            </w:r>
          </w:p>
        </w:tc>
      </w:tr>
      <w:tr w:rsidR="000E7576" w:rsidRPr="00F56447" w14:paraId="5F0B9D45" w14:textId="77777777" w:rsidTr="00707C33">
        <w:trPr>
          <w:trHeight w:val="238"/>
        </w:trPr>
        <w:tc>
          <w:tcPr>
            <w:tcW w:w="2835" w:type="dxa"/>
            <w:tcBorders>
              <w:bottom w:val="single" w:sz="4" w:space="0" w:color="auto"/>
            </w:tcBorders>
          </w:tcPr>
          <w:p w14:paraId="0468AE5E" w14:textId="77777777" w:rsidR="000E7576" w:rsidRPr="00707C33" w:rsidRDefault="000E7576" w:rsidP="00D95C09">
            <w:pPr>
              <w:pStyle w:val="DETTableTextFinancial"/>
              <w:rPr>
                <w:b/>
              </w:rPr>
            </w:pPr>
            <w:r w:rsidRPr="00707C33">
              <w:rPr>
                <w:b/>
              </w:rPr>
              <w:t>Total liabilities</w:t>
            </w:r>
          </w:p>
        </w:tc>
        <w:tc>
          <w:tcPr>
            <w:tcW w:w="1134" w:type="dxa"/>
            <w:tcBorders>
              <w:bottom w:val="single" w:sz="4" w:space="0" w:color="auto"/>
            </w:tcBorders>
          </w:tcPr>
          <w:p w14:paraId="3EF60039" w14:textId="77777777" w:rsidR="000E7576" w:rsidRPr="00707C33" w:rsidRDefault="000E7576" w:rsidP="00D95C09">
            <w:pPr>
              <w:pStyle w:val="DETTableTextFinancial"/>
              <w:jc w:val="right"/>
              <w:rPr>
                <w:b/>
              </w:rPr>
            </w:pPr>
            <w:r w:rsidRPr="00707C33">
              <w:rPr>
                <w:b/>
              </w:rPr>
              <w:t>2,166.9</w:t>
            </w:r>
          </w:p>
        </w:tc>
        <w:tc>
          <w:tcPr>
            <w:tcW w:w="1276" w:type="dxa"/>
            <w:tcBorders>
              <w:bottom w:val="single" w:sz="4" w:space="0" w:color="auto"/>
            </w:tcBorders>
          </w:tcPr>
          <w:p w14:paraId="7E736DC2" w14:textId="77777777" w:rsidR="000E7576" w:rsidRPr="00707C33" w:rsidRDefault="000E7576" w:rsidP="00D95C09">
            <w:pPr>
              <w:pStyle w:val="DETTableTextFinancial"/>
              <w:jc w:val="right"/>
              <w:rPr>
                <w:b/>
              </w:rPr>
            </w:pPr>
            <w:r w:rsidRPr="00707C33">
              <w:rPr>
                <w:b/>
              </w:rPr>
              <w:t>1,940.8</w:t>
            </w:r>
          </w:p>
        </w:tc>
        <w:tc>
          <w:tcPr>
            <w:tcW w:w="1134" w:type="dxa"/>
            <w:tcBorders>
              <w:bottom w:val="single" w:sz="4" w:space="0" w:color="auto"/>
            </w:tcBorders>
          </w:tcPr>
          <w:p w14:paraId="2D46B0A0" w14:textId="77777777" w:rsidR="000E7576" w:rsidRPr="00707C33" w:rsidRDefault="000E7576" w:rsidP="00D95C09">
            <w:pPr>
              <w:pStyle w:val="DETTableTextFinancial"/>
              <w:jc w:val="right"/>
              <w:rPr>
                <w:b/>
              </w:rPr>
            </w:pPr>
            <w:r w:rsidRPr="00707C33">
              <w:rPr>
                <w:b/>
              </w:rPr>
              <w:t>1,889.0</w:t>
            </w:r>
          </w:p>
        </w:tc>
        <w:tc>
          <w:tcPr>
            <w:tcW w:w="1134" w:type="dxa"/>
            <w:tcBorders>
              <w:bottom w:val="single" w:sz="4" w:space="0" w:color="auto"/>
            </w:tcBorders>
          </w:tcPr>
          <w:p w14:paraId="0BF2BB6D" w14:textId="77777777" w:rsidR="000E7576" w:rsidRPr="00707C33" w:rsidRDefault="000E7576" w:rsidP="00D95C09">
            <w:pPr>
              <w:pStyle w:val="DETTableTextFinancial"/>
              <w:jc w:val="right"/>
              <w:rPr>
                <w:b/>
              </w:rPr>
            </w:pPr>
            <w:r w:rsidRPr="00707C33">
              <w:rPr>
                <w:b/>
              </w:rPr>
              <w:t>1,843.9</w:t>
            </w:r>
          </w:p>
        </w:tc>
        <w:tc>
          <w:tcPr>
            <w:tcW w:w="992" w:type="dxa"/>
            <w:tcBorders>
              <w:bottom w:val="single" w:sz="4" w:space="0" w:color="auto"/>
            </w:tcBorders>
            <w:vAlign w:val="center"/>
          </w:tcPr>
          <w:p w14:paraId="7A0CFB24" w14:textId="77777777" w:rsidR="000E7576" w:rsidRPr="00707C33" w:rsidRDefault="000E7576" w:rsidP="00D95C09">
            <w:pPr>
              <w:pStyle w:val="DETTableTextFinancial"/>
              <w:jc w:val="right"/>
              <w:rPr>
                <w:b/>
              </w:rPr>
            </w:pPr>
            <w:r w:rsidRPr="00707C33">
              <w:rPr>
                <w:b/>
              </w:rPr>
              <w:t>2,117.6</w:t>
            </w:r>
          </w:p>
        </w:tc>
      </w:tr>
      <w:tr w:rsidR="000E7576" w:rsidRPr="00F56447" w14:paraId="0F163E1D" w14:textId="77777777" w:rsidTr="00707C33">
        <w:trPr>
          <w:trHeight w:val="238"/>
        </w:trPr>
        <w:tc>
          <w:tcPr>
            <w:tcW w:w="2835" w:type="dxa"/>
            <w:tcBorders>
              <w:top w:val="single" w:sz="4" w:space="0" w:color="auto"/>
            </w:tcBorders>
          </w:tcPr>
          <w:p w14:paraId="5B9D5062" w14:textId="77777777" w:rsidR="000E7576" w:rsidRPr="00707C33" w:rsidRDefault="000E7576" w:rsidP="00D95C09">
            <w:pPr>
              <w:pStyle w:val="DETTableTextFinancial"/>
              <w:rPr>
                <w:b/>
              </w:rPr>
            </w:pPr>
            <w:r w:rsidRPr="00707C33">
              <w:rPr>
                <w:b/>
              </w:rPr>
              <w:t>Net assets</w:t>
            </w:r>
          </w:p>
        </w:tc>
        <w:tc>
          <w:tcPr>
            <w:tcW w:w="1134" w:type="dxa"/>
            <w:tcBorders>
              <w:top w:val="single" w:sz="4" w:space="0" w:color="auto"/>
            </w:tcBorders>
          </w:tcPr>
          <w:p w14:paraId="3D21A428" w14:textId="77777777" w:rsidR="000E7576" w:rsidRPr="00707C33" w:rsidRDefault="000E7576" w:rsidP="00D95C09">
            <w:pPr>
              <w:pStyle w:val="DETTableTextFinancial"/>
              <w:jc w:val="right"/>
              <w:rPr>
                <w:b/>
              </w:rPr>
            </w:pPr>
            <w:r w:rsidRPr="00707C33">
              <w:rPr>
                <w:b/>
              </w:rPr>
              <w:t>20,788.6</w:t>
            </w:r>
          </w:p>
        </w:tc>
        <w:tc>
          <w:tcPr>
            <w:tcW w:w="1276" w:type="dxa"/>
            <w:tcBorders>
              <w:top w:val="single" w:sz="4" w:space="0" w:color="auto"/>
            </w:tcBorders>
          </w:tcPr>
          <w:p w14:paraId="4EA3633A" w14:textId="77777777" w:rsidR="000E7576" w:rsidRPr="00707C33" w:rsidRDefault="000E7576" w:rsidP="00D95C09">
            <w:pPr>
              <w:pStyle w:val="DETTableTextFinancial"/>
              <w:jc w:val="right"/>
              <w:rPr>
                <w:b/>
              </w:rPr>
            </w:pPr>
            <w:r w:rsidRPr="00707C33">
              <w:rPr>
                <w:b/>
              </w:rPr>
              <w:t>17,667.7</w:t>
            </w:r>
          </w:p>
        </w:tc>
        <w:tc>
          <w:tcPr>
            <w:tcW w:w="1134" w:type="dxa"/>
            <w:tcBorders>
              <w:top w:val="single" w:sz="4" w:space="0" w:color="auto"/>
            </w:tcBorders>
          </w:tcPr>
          <w:p w14:paraId="6D2299F5" w14:textId="77777777" w:rsidR="000E7576" w:rsidRPr="00707C33" w:rsidRDefault="000E7576" w:rsidP="00D95C09">
            <w:pPr>
              <w:pStyle w:val="DETTableTextFinancial"/>
              <w:jc w:val="right"/>
              <w:rPr>
                <w:b/>
              </w:rPr>
            </w:pPr>
            <w:r w:rsidRPr="00707C33">
              <w:rPr>
                <w:b/>
              </w:rPr>
              <w:t>16,627.9</w:t>
            </w:r>
          </w:p>
        </w:tc>
        <w:tc>
          <w:tcPr>
            <w:tcW w:w="1134" w:type="dxa"/>
            <w:tcBorders>
              <w:top w:val="single" w:sz="4" w:space="0" w:color="auto"/>
            </w:tcBorders>
          </w:tcPr>
          <w:p w14:paraId="63794FCD" w14:textId="77777777" w:rsidR="000E7576" w:rsidRPr="00707C33" w:rsidRDefault="000E7576" w:rsidP="00D95C09">
            <w:pPr>
              <w:pStyle w:val="DETTableTextFinancial"/>
              <w:jc w:val="right"/>
              <w:rPr>
                <w:b/>
              </w:rPr>
            </w:pPr>
            <w:r w:rsidRPr="00707C33">
              <w:rPr>
                <w:b/>
              </w:rPr>
              <w:t>16,548.5</w:t>
            </w:r>
          </w:p>
        </w:tc>
        <w:tc>
          <w:tcPr>
            <w:tcW w:w="992" w:type="dxa"/>
            <w:tcBorders>
              <w:top w:val="single" w:sz="4" w:space="0" w:color="auto"/>
            </w:tcBorders>
            <w:vAlign w:val="center"/>
          </w:tcPr>
          <w:p w14:paraId="3FF758CB" w14:textId="77777777" w:rsidR="000E7576" w:rsidRPr="00707C33" w:rsidRDefault="000E7576" w:rsidP="00D95C09">
            <w:pPr>
              <w:pStyle w:val="DETTableTextFinancial"/>
              <w:jc w:val="right"/>
              <w:rPr>
                <w:b/>
              </w:rPr>
            </w:pPr>
            <w:r w:rsidRPr="00707C33">
              <w:rPr>
                <w:b/>
              </w:rPr>
              <w:t>13,721.6</w:t>
            </w:r>
          </w:p>
        </w:tc>
      </w:tr>
    </w:tbl>
    <w:p w14:paraId="6B79345A" w14:textId="77777777" w:rsidR="000E7576" w:rsidRPr="008E213E" w:rsidRDefault="000E7576" w:rsidP="000E7576">
      <w:pPr>
        <w:rPr>
          <w:highlight w:val="yellow"/>
        </w:rPr>
      </w:pPr>
    </w:p>
    <w:p w14:paraId="6D9F0ACB" w14:textId="63E65581" w:rsidR="000E7576" w:rsidRPr="00300489" w:rsidRDefault="000E7576" w:rsidP="007D34C9">
      <w:pPr>
        <w:pStyle w:val="DETHeading2"/>
      </w:pPr>
      <w:bookmarkStart w:id="69" w:name="_Toc462405121"/>
      <w:r w:rsidRPr="00300489">
        <w:t>Current year financial review</w:t>
      </w:r>
      <w:bookmarkEnd w:id="69"/>
    </w:p>
    <w:p w14:paraId="6B4EA744" w14:textId="77777777" w:rsidR="006016B9" w:rsidRPr="00300489" w:rsidRDefault="006016B9" w:rsidP="007D34C9">
      <w:pPr>
        <w:pStyle w:val="Heading3"/>
      </w:pPr>
      <w:r w:rsidRPr="00300489">
        <w:t>Financial performance</w:t>
      </w:r>
    </w:p>
    <w:p w14:paraId="30F63883" w14:textId="5CD26119" w:rsidR="000E7576" w:rsidRPr="00F56447" w:rsidRDefault="000E7576" w:rsidP="00A738ED">
      <w:r w:rsidRPr="00F56447">
        <w:t>The Department’s net result from transactions for 2016 is a surplus of $230.9 million, compared with a surplus of $180.5 million in 2015. With the inclusion of the other economic flows of $48.4 million loss, the net result for the year is a surplus of $182.5 million, compared to a surplus of $158.8 million in 2015.</w:t>
      </w:r>
    </w:p>
    <w:p w14:paraId="471E286B" w14:textId="690A9275" w:rsidR="000E7576" w:rsidRPr="00F56447" w:rsidRDefault="000E7576" w:rsidP="00A738ED">
      <w:r w:rsidRPr="00F56447">
        <w:t xml:space="preserve">The Department’s growth in revenue primarily reflects the increased </w:t>
      </w:r>
      <w:r w:rsidR="00707C33">
        <w:t>G</w:t>
      </w:r>
      <w:r w:rsidR="00A738ED" w:rsidRPr="00F56447">
        <w:t xml:space="preserve">overnment </w:t>
      </w:r>
      <w:r w:rsidRPr="00F56447">
        <w:t xml:space="preserve">funding for delivery of output initiatives on behalf of the Government, investment in </w:t>
      </w:r>
      <w:r w:rsidR="00707C33">
        <w:t>G</w:t>
      </w:r>
      <w:r w:rsidR="00A738ED" w:rsidRPr="00F56447">
        <w:t xml:space="preserve">overnment </w:t>
      </w:r>
      <w:r w:rsidRPr="00F56447">
        <w:t>schools, and general inflation-related indexation.</w:t>
      </w:r>
    </w:p>
    <w:p w14:paraId="6B017B0B" w14:textId="4FF0EB7E" w:rsidR="000E7576" w:rsidRPr="000E7576" w:rsidRDefault="000E7576" w:rsidP="00A738ED">
      <w:r w:rsidRPr="00F56447">
        <w:t>The Department’s growth in expenditure mainly reflects the increased payroll expenditure under 2013 Enterprise Bargaining Agreement for teachers, the in</w:t>
      </w:r>
      <w:r w:rsidRPr="00F56447">
        <w:lastRenderedPageBreak/>
        <w:t>crease in grant payments to TAFE institutes</w:t>
      </w:r>
      <w:r w:rsidR="00A738ED" w:rsidRPr="00F56447">
        <w:t>,</w:t>
      </w:r>
      <w:r w:rsidRPr="00F56447">
        <w:t xml:space="preserve"> including TAFE Rescue Fund for rebuilding and growing the TAFE sector, and the one-off reimbursement for the Teachers Notebooks Program.</w:t>
      </w:r>
      <w:r w:rsidRPr="00D95C09">
        <w:t xml:space="preserve">  </w:t>
      </w:r>
    </w:p>
    <w:p w14:paraId="4AF6D100" w14:textId="77777777" w:rsidR="006016B9" w:rsidRPr="00300489" w:rsidRDefault="006016B9" w:rsidP="00013B9F">
      <w:pPr>
        <w:pStyle w:val="DETHeading2"/>
      </w:pPr>
      <w:bookmarkStart w:id="70" w:name="_Toc462405122"/>
      <w:r w:rsidRPr="00300489">
        <w:t>Balance sheet</w:t>
      </w:r>
      <w:bookmarkEnd w:id="70"/>
    </w:p>
    <w:p w14:paraId="345322EE" w14:textId="33F08A61" w:rsidR="000E7576" w:rsidRPr="00F56447" w:rsidRDefault="000E7576" w:rsidP="00A738ED">
      <w:r w:rsidRPr="00300489">
        <w:t xml:space="preserve">The Department’s net asset base as at 30 June 2016 was $20.8 billion, comprising total </w:t>
      </w:r>
      <w:r w:rsidRPr="00F56447">
        <w:t>assets of $23.0 billion and total liabilities of $2.2 billion.</w:t>
      </w:r>
    </w:p>
    <w:p w14:paraId="7F8B25DA" w14:textId="3B6ECDE7" w:rsidR="000E7576" w:rsidRPr="00F56447" w:rsidRDefault="000E7576" w:rsidP="00A738ED">
      <w:r w:rsidRPr="00F56447">
        <w:t>The major assets of the Department are schools</w:t>
      </w:r>
      <w:r w:rsidR="00A738ED" w:rsidRPr="00F56447">
        <w:t>’</w:t>
      </w:r>
      <w:r w:rsidRPr="00F56447">
        <w:t xml:space="preserve"> property, plant and equipment</w:t>
      </w:r>
      <w:r w:rsidR="00A738ED" w:rsidRPr="00F56447">
        <w:t>. T</w:t>
      </w:r>
      <w:r w:rsidRPr="00F56447">
        <w:t xml:space="preserve">hese assets represent 87 per cent ($19.9 billion) of the total assets of the Department. In 2016, the value of the Department’s property, plant and equipment increased by </w:t>
      </w:r>
      <w:r w:rsidR="00A738ED" w:rsidRPr="00F56447">
        <w:br/>
      </w:r>
      <w:r w:rsidRPr="00F56447">
        <w:t>$3</w:t>
      </w:r>
      <w:r w:rsidR="00707C33">
        <w:t>.0</w:t>
      </w:r>
      <w:r w:rsidRPr="00F56447">
        <w:t xml:space="preserve"> billion, mainly due to a land revaluation increment of $1.2 billion and a building revaluation increment of $1.6 billion. The Department undertook a full asset revaluation in addressing the disclaimer of opinion issued by Victorian Auditor</w:t>
      </w:r>
      <w:r w:rsidR="00A738ED" w:rsidRPr="00F56447">
        <w:t>-</w:t>
      </w:r>
      <w:r w:rsidRPr="00F56447">
        <w:t>General’s Office (VAGO) in 2015 on the Department’s property, plant and equipment balances.</w:t>
      </w:r>
    </w:p>
    <w:p w14:paraId="18381EF3" w14:textId="07608A1D" w:rsidR="000E7576" w:rsidRPr="00F56447" w:rsidRDefault="000E7576" w:rsidP="00A738ED">
      <w:r w:rsidRPr="00F56447">
        <w:t xml:space="preserve">Liabilities of the Department mainly consist of payables, borrowings and employee benefit provisions, totalling $2.2 billion. The increase of $226.1 million in liabilities in 2016 mainly reflects an increase in employee benefit provision which is in line with the salary increase under the teachers’ Enterprise Bargaining Agreement, and an increase in employee salary accruals and operating accruals due to the timing of payments.  </w:t>
      </w:r>
    </w:p>
    <w:p w14:paraId="5861AC15" w14:textId="1D9F3CED" w:rsidR="006016B9" w:rsidRPr="00300489" w:rsidRDefault="006016B9" w:rsidP="00013B9F">
      <w:pPr>
        <w:pStyle w:val="DETHeading2"/>
      </w:pPr>
      <w:bookmarkStart w:id="71" w:name="_Toc462405123"/>
      <w:r w:rsidRPr="00300489">
        <w:t xml:space="preserve">Cash </w:t>
      </w:r>
      <w:r w:rsidR="00A738ED" w:rsidRPr="00300489">
        <w:t>flows</w:t>
      </w:r>
      <w:bookmarkEnd w:id="71"/>
    </w:p>
    <w:p w14:paraId="361375ED" w14:textId="287B3BCF" w:rsidR="006016B9" w:rsidRPr="000E7576" w:rsidRDefault="000E7576" w:rsidP="000E7576">
      <w:r w:rsidRPr="00F56447">
        <w:t>The increase in the net cash flows from operations is mainly due to the increase in receipts from Government, and changes in receivables, payables and provisions arising from the timing of cash payments and receipts against these items.</w:t>
      </w:r>
      <w:r w:rsidR="006016B9" w:rsidRPr="00D95C09">
        <w:t xml:space="preserve"> </w:t>
      </w:r>
    </w:p>
    <w:p w14:paraId="2AB87C72" w14:textId="77777777" w:rsidR="00013B9F" w:rsidRPr="0087752B" w:rsidRDefault="00013B9F" w:rsidP="00013B9F">
      <w:pPr>
        <w:pStyle w:val="DETHeading2"/>
      </w:pPr>
      <w:bookmarkStart w:id="72" w:name="_Toc458069592"/>
      <w:bookmarkStart w:id="73" w:name="_Toc458072371"/>
      <w:bookmarkStart w:id="74" w:name="_Toc458088554"/>
      <w:bookmarkStart w:id="75" w:name="_Toc461013253"/>
      <w:bookmarkStart w:id="76" w:name="_Toc461025830"/>
      <w:bookmarkStart w:id="77" w:name="_Toc462405124"/>
      <w:r w:rsidRPr="0087752B">
        <w:t>Disclosure of grants and transfer payments</w:t>
      </w:r>
      <w:bookmarkEnd w:id="72"/>
      <w:bookmarkEnd w:id="73"/>
      <w:bookmarkEnd w:id="74"/>
      <w:bookmarkEnd w:id="75"/>
      <w:bookmarkEnd w:id="76"/>
      <w:bookmarkEnd w:id="77"/>
    </w:p>
    <w:p w14:paraId="028AEAA0" w14:textId="4B1B902F" w:rsidR="00013B9F" w:rsidRPr="0087752B" w:rsidRDefault="00013B9F" w:rsidP="00013B9F">
      <w:r w:rsidRPr="003A48BF">
        <w:t xml:space="preserve">The Department has provided assistance to certain companies and organisations. Financial assistance provided in 2015–16 is </w:t>
      </w:r>
      <w:r w:rsidR="00A94639" w:rsidRPr="003A48BF">
        <w:t>outlined</w:t>
      </w:r>
      <w:r w:rsidRPr="003A48BF">
        <w:t xml:space="preserve"> in Appendix 5.</w:t>
      </w:r>
      <w:r w:rsidRPr="0087752B">
        <w:t xml:space="preserve"> </w:t>
      </w:r>
    </w:p>
    <w:p w14:paraId="2E5FEEE7" w14:textId="77777777" w:rsidR="00013B9F" w:rsidRPr="0087752B" w:rsidRDefault="00013B9F" w:rsidP="006016B9">
      <w:pPr>
        <w:sectPr w:rsidR="00013B9F" w:rsidRPr="0087752B" w:rsidSect="004E28FC">
          <w:footnotePr>
            <w:numRestart w:val="eachPage"/>
          </w:footnotePr>
          <w:type w:val="continuous"/>
          <w:pgSz w:w="11906" w:h="16838" w:code="9"/>
          <w:pgMar w:top="1440" w:right="1701" w:bottom="1440" w:left="2835" w:header="851" w:footer="567" w:gutter="0"/>
          <w:cols w:space="567"/>
          <w:docGrid w:linePitch="360"/>
        </w:sectPr>
      </w:pPr>
    </w:p>
    <w:p w14:paraId="1D6B225D" w14:textId="77777777" w:rsidR="006016B9" w:rsidRPr="0087752B" w:rsidRDefault="006016B9" w:rsidP="0017233C">
      <w:pPr>
        <w:pStyle w:val="DETHeading2"/>
      </w:pPr>
      <w:bookmarkStart w:id="78" w:name="_Toc458069591"/>
      <w:bookmarkStart w:id="79" w:name="_Toc458072370"/>
      <w:bookmarkStart w:id="80" w:name="_Toc458088553"/>
      <w:bookmarkStart w:id="81" w:name="_Toc461013252"/>
      <w:bookmarkStart w:id="82" w:name="_Toc461025829"/>
      <w:bookmarkStart w:id="83" w:name="_Toc462405125"/>
      <w:r w:rsidRPr="0087752B">
        <w:lastRenderedPageBreak/>
        <w:t>Capital projects</w:t>
      </w:r>
      <w:bookmarkEnd w:id="78"/>
      <w:bookmarkEnd w:id="79"/>
      <w:bookmarkEnd w:id="80"/>
      <w:bookmarkEnd w:id="81"/>
      <w:bookmarkEnd w:id="82"/>
      <w:bookmarkEnd w:id="83"/>
    </w:p>
    <w:p w14:paraId="32120C06" w14:textId="77777777" w:rsidR="006016B9" w:rsidRPr="0087752B" w:rsidRDefault="006016B9" w:rsidP="006016B9">
      <w:r w:rsidRPr="0087752B">
        <w:t xml:space="preserve">The Department and its related portfolio entities manage a range of capital projects to deliver services for government. </w:t>
      </w:r>
    </w:p>
    <w:p w14:paraId="79640B88" w14:textId="16F93B49" w:rsidR="006016B9" w:rsidRPr="005C767D" w:rsidRDefault="006016B9" w:rsidP="006016B9">
      <w:r w:rsidRPr="0087752B">
        <w:t>Information on the new and existing capital projects for Departments and the broader Victorian public sector is contained in the most recent Budget Paper No. 4 State Capital Program (BP4) which is available on the Department of Treasury and Finance’s website (</w:t>
      </w:r>
      <w:hyperlink r:id="rId16" w:history="1">
        <w:r w:rsidR="0087752B" w:rsidRPr="00013B9F">
          <w:rPr>
            <w:rStyle w:val="Hyperlink"/>
            <w:u w:val="single"/>
          </w:rPr>
          <w:t>www.dtf.vic.gov.au/State-Budget/2015–16-State-Budget/State-Capital-Program</w:t>
        </w:r>
      </w:hyperlink>
      <w:r w:rsidRPr="005C767D">
        <w:t xml:space="preserve">). </w:t>
      </w:r>
    </w:p>
    <w:p w14:paraId="0E1B59F1" w14:textId="77777777" w:rsidR="006016B9" w:rsidRPr="0087752B" w:rsidRDefault="006016B9" w:rsidP="006016B9">
      <w:r w:rsidRPr="0087752B">
        <w:t>During the year, the Department/agency completed the following capital projects with a Total Estimated Investment of $10 million or greater. The details related to these projects are reported below:</w:t>
      </w:r>
    </w:p>
    <w:p w14:paraId="4A563E01" w14:textId="77777777" w:rsidR="006016B9" w:rsidRPr="00E73803" w:rsidRDefault="006016B9" w:rsidP="007540CD">
      <w:pPr>
        <w:pStyle w:val="DETTableheading"/>
      </w:pPr>
      <w:r w:rsidRPr="001F07C0">
        <w:t>C</w:t>
      </w:r>
      <w:r w:rsidRPr="00E73803">
        <w:t>apital projects completed during the financial year ended 30 June 2016</w:t>
      </w:r>
    </w:p>
    <w:tbl>
      <w:tblPr>
        <w:tblW w:w="13467" w:type="dxa"/>
        <w:tblInd w:w="85" w:type="dxa"/>
        <w:tblBorders>
          <w:bottom w:val="single" w:sz="8" w:space="0" w:color="auto"/>
        </w:tblBorders>
        <w:tblCellMar>
          <w:left w:w="0" w:type="dxa"/>
          <w:right w:w="0" w:type="dxa"/>
        </w:tblCellMar>
        <w:tblLook w:val="04A0" w:firstRow="1" w:lastRow="0" w:firstColumn="1" w:lastColumn="0" w:noHBand="0" w:noVBand="1"/>
      </w:tblPr>
      <w:tblGrid>
        <w:gridCol w:w="1560"/>
        <w:gridCol w:w="1366"/>
        <w:gridCol w:w="1506"/>
        <w:gridCol w:w="1506"/>
        <w:gridCol w:w="1505"/>
        <w:gridCol w:w="1506"/>
        <w:gridCol w:w="1506"/>
        <w:gridCol w:w="1506"/>
        <w:gridCol w:w="1506"/>
      </w:tblGrid>
      <w:tr w:rsidR="006016B9" w:rsidRPr="0087752B" w14:paraId="356BAA8B" w14:textId="77777777" w:rsidTr="0017233C">
        <w:trPr>
          <w:trHeight w:val="795"/>
        </w:trPr>
        <w:tc>
          <w:tcPr>
            <w:tcW w:w="1560" w:type="dxa"/>
            <w:shd w:val="clear" w:color="auto" w:fill="7F7F7F" w:themeFill="text1" w:themeFillTint="80"/>
            <w:tcMar>
              <w:top w:w="0" w:type="dxa"/>
              <w:left w:w="85" w:type="dxa"/>
              <w:bottom w:w="0" w:type="dxa"/>
              <w:right w:w="85" w:type="dxa"/>
            </w:tcMar>
            <w:vAlign w:val="center"/>
            <w:hideMark/>
          </w:tcPr>
          <w:p w14:paraId="699582D4" w14:textId="77777777" w:rsidR="006016B9" w:rsidRPr="0087752B" w:rsidRDefault="006016B9" w:rsidP="0017233C">
            <w:pPr>
              <w:pStyle w:val="DETTablecolumnheading"/>
              <w:jc w:val="left"/>
            </w:pPr>
            <w:r w:rsidRPr="0087752B">
              <w:t>Project Name</w:t>
            </w:r>
          </w:p>
        </w:tc>
        <w:tc>
          <w:tcPr>
            <w:tcW w:w="1366" w:type="dxa"/>
            <w:shd w:val="clear" w:color="auto" w:fill="7F7F7F" w:themeFill="text1" w:themeFillTint="80"/>
            <w:tcMar>
              <w:top w:w="0" w:type="dxa"/>
              <w:left w:w="85" w:type="dxa"/>
              <w:bottom w:w="0" w:type="dxa"/>
              <w:right w:w="85" w:type="dxa"/>
            </w:tcMar>
            <w:vAlign w:val="center"/>
            <w:hideMark/>
          </w:tcPr>
          <w:p w14:paraId="27C8F062" w14:textId="77777777" w:rsidR="006016B9" w:rsidRPr="0087752B" w:rsidRDefault="006016B9" w:rsidP="0017233C">
            <w:pPr>
              <w:pStyle w:val="DETTablecolumnheading"/>
              <w:jc w:val="left"/>
            </w:pPr>
            <w:r w:rsidRPr="0087752B">
              <w:t>Original completion date</w:t>
            </w:r>
          </w:p>
        </w:tc>
        <w:tc>
          <w:tcPr>
            <w:tcW w:w="1506" w:type="dxa"/>
            <w:shd w:val="clear" w:color="auto" w:fill="7F7F7F" w:themeFill="text1" w:themeFillTint="80"/>
            <w:tcMar>
              <w:top w:w="0" w:type="dxa"/>
              <w:left w:w="85" w:type="dxa"/>
              <w:bottom w:w="0" w:type="dxa"/>
              <w:right w:w="85" w:type="dxa"/>
            </w:tcMar>
            <w:vAlign w:val="center"/>
            <w:hideMark/>
          </w:tcPr>
          <w:p w14:paraId="62BAB29F" w14:textId="77777777" w:rsidR="006016B9" w:rsidRPr="0087752B" w:rsidRDefault="006016B9" w:rsidP="0017233C">
            <w:pPr>
              <w:pStyle w:val="DETTablecolumnheading"/>
              <w:jc w:val="left"/>
            </w:pPr>
            <w:r w:rsidRPr="0087752B">
              <w:t>Latest approved completion date</w:t>
            </w:r>
          </w:p>
        </w:tc>
        <w:tc>
          <w:tcPr>
            <w:tcW w:w="1506" w:type="dxa"/>
            <w:shd w:val="clear" w:color="auto" w:fill="7F7F7F" w:themeFill="text1" w:themeFillTint="80"/>
            <w:tcMar>
              <w:top w:w="0" w:type="dxa"/>
              <w:left w:w="85" w:type="dxa"/>
              <w:bottom w:w="0" w:type="dxa"/>
              <w:right w:w="85" w:type="dxa"/>
            </w:tcMar>
            <w:vAlign w:val="center"/>
            <w:hideMark/>
          </w:tcPr>
          <w:p w14:paraId="2F63617E" w14:textId="77777777" w:rsidR="006016B9" w:rsidRPr="0087752B" w:rsidRDefault="006016B9" w:rsidP="0017233C">
            <w:pPr>
              <w:pStyle w:val="DETTablecolumnheading"/>
              <w:jc w:val="left"/>
            </w:pPr>
            <w:r w:rsidRPr="0087752B">
              <w:t>Actual completion date</w:t>
            </w:r>
          </w:p>
        </w:tc>
        <w:tc>
          <w:tcPr>
            <w:tcW w:w="1505" w:type="dxa"/>
            <w:shd w:val="clear" w:color="auto" w:fill="7F7F7F" w:themeFill="text1" w:themeFillTint="80"/>
            <w:tcMar>
              <w:top w:w="0" w:type="dxa"/>
              <w:left w:w="85" w:type="dxa"/>
              <w:bottom w:w="0" w:type="dxa"/>
              <w:right w:w="85" w:type="dxa"/>
            </w:tcMar>
            <w:vAlign w:val="center"/>
            <w:hideMark/>
          </w:tcPr>
          <w:p w14:paraId="129FEF8D" w14:textId="77777777" w:rsidR="006016B9" w:rsidRPr="0087752B" w:rsidRDefault="006016B9" w:rsidP="0017233C">
            <w:pPr>
              <w:pStyle w:val="DETTablecolumnheading"/>
              <w:jc w:val="left"/>
            </w:pPr>
            <w:r w:rsidRPr="0087752B">
              <w:t>Original approved TEI</w:t>
            </w:r>
            <w:r w:rsidRPr="0087752B">
              <w:rPr>
                <w:rStyle w:val="FootnoteReference"/>
              </w:rPr>
              <w:t>1</w:t>
            </w:r>
            <w:r w:rsidRPr="0087752B">
              <w:br/>
              <w:t>budget $M</w:t>
            </w:r>
          </w:p>
        </w:tc>
        <w:tc>
          <w:tcPr>
            <w:tcW w:w="1506" w:type="dxa"/>
            <w:shd w:val="clear" w:color="auto" w:fill="7F7F7F" w:themeFill="text1" w:themeFillTint="80"/>
            <w:tcMar>
              <w:top w:w="0" w:type="dxa"/>
              <w:left w:w="85" w:type="dxa"/>
              <w:bottom w:w="0" w:type="dxa"/>
              <w:right w:w="85" w:type="dxa"/>
            </w:tcMar>
            <w:vAlign w:val="center"/>
            <w:hideMark/>
          </w:tcPr>
          <w:p w14:paraId="1CB5A05C" w14:textId="77777777" w:rsidR="006016B9" w:rsidRPr="0087752B" w:rsidRDefault="006016B9" w:rsidP="0017233C">
            <w:pPr>
              <w:pStyle w:val="DETTablecolumnheading"/>
              <w:jc w:val="left"/>
            </w:pPr>
            <w:r w:rsidRPr="0087752B">
              <w:t>Latest approved TEI</w:t>
            </w:r>
            <w:r w:rsidRPr="0087752B">
              <w:rPr>
                <w:rStyle w:val="FootnoteReference"/>
              </w:rPr>
              <w:t>1</w:t>
            </w:r>
            <w:r w:rsidRPr="0087752B">
              <w:br/>
              <w:t>budget $M</w:t>
            </w:r>
          </w:p>
        </w:tc>
        <w:tc>
          <w:tcPr>
            <w:tcW w:w="1506" w:type="dxa"/>
            <w:shd w:val="clear" w:color="auto" w:fill="7F7F7F" w:themeFill="text1" w:themeFillTint="80"/>
            <w:tcMar>
              <w:top w:w="0" w:type="dxa"/>
              <w:left w:w="85" w:type="dxa"/>
              <w:bottom w:w="0" w:type="dxa"/>
              <w:right w:w="85" w:type="dxa"/>
            </w:tcMar>
            <w:vAlign w:val="center"/>
            <w:hideMark/>
          </w:tcPr>
          <w:p w14:paraId="7ED59C5F" w14:textId="775D9128" w:rsidR="006016B9" w:rsidRPr="0087752B" w:rsidRDefault="006016B9" w:rsidP="0017233C">
            <w:pPr>
              <w:pStyle w:val="DETTablecolumnheading"/>
              <w:jc w:val="left"/>
            </w:pPr>
            <w:r w:rsidRPr="0087752B">
              <w:t>Actual TEI</w:t>
            </w:r>
            <w:r w:rsidRPr="0087752B">
              <w:rPr>
                <w:rStyle w:val="FootnoteReference"/>
              </w:rPr>
              <w:t>1</w:t>
            </w:r>
            <w:r w:rsidRPr="0087752B">
              <w:t xml:space="preserve"> </w:t>
            </w:r>
            <w:r w:rsidR="0087752B" w:rsidRPr="0087752B">
              <w:br/>
            </w:r>
            <w:r w:rsidRPr="0087752B">
              <w:t>cost $M</w:t>
            </w:r>
          </w:p>
        </w:tc>
        <w:tc>
          <w:tcPr>
            <w:tcW w:w="1506" w:type="dxa"/>
            <w:shd w:val="clear" w:color="auto" w:fill="7F7F7F" w:themeFill="text1" w:themeFillTint="80"/>
            <w:tcMar>
              <w:top w:w="0" w:type="dxa"/>
              <w:left w:w="85" w:type="dxa"/>
              <w:bottom w:w="0" w:type="dxa"/>
              <w:right w:w="85" w:type="dxa"/>
            </w:tcMar>
            <w:vAlign w:val="center"/>
            <w:hideMark/>
          </w:tcPr>
          <w:p w14:paraId="63DCD621" w14:textId="77777777" w:rsidR="006016B9" w:rsidRPr="0087752B" w:rsidRDefault="006016B9" w:rsidP="0017233C">
            <w:pPr>
              <w:pStyle w:val="DETTablecolumnheading"/>
              <w:jc w:val="left"/>
            </w:pPr>
            <w:r w:rsidRPr="0087752B">
              <w:t>Variation between actual cost and latest approved TEI</w:t>
            </w:r>
            <w:r w:rsidRPr="0087752B">
              <w:rPr>
                <w:rStyle w:val="FootnoteReference"/>
              </w:rPr>
              <w:t>1</w:t>
            </w:r>
            <w:r w:rsidRPr="0087752B">
              <w:t xml:space="preserve"> budget</w:t>
            </w:r>
          </w:p>
        </w:tc>
        <w:tc>
          <w:tcPr>
            <w:tcW w:w="1506" w:type="dxa"/>
            <w:shd w:val="clear" w:color="auto" w:fill="7F7F7F" w:themeFill="text1" w:themeFillTint="80"/>
            <w:tcMar>
              <w:top w:w="0" w:type="dxa"/>
              <w:left w:w="85" w:type="dxa"/>
              <w:bottom w:w="0" w:type="dxa"/>
              <w:right w:w="85" w:type="dxa"/>
            </w:tcMar>
            <w:vAlign w:val="center"/>
            <w:hideMark/>
          </w:tcPr>
          <w:p w14:paraId="2A0FA64D" w14:textId="040B9462" w:rsidR="006016B9" w:rsidRPr="0087752B" w:rsidRDefault="006016B9" w:rsidP="0017233C">
            <w:pPr>
              <w:pStyle w:val="DETTablecolumnheading"/>
              <w:jc w:val="left"/>
            </w:pPr>
            <w:r w:rsidRPr="0087752B">
              <w:t>Reason for variance from latest approved TEI</w:t>
            </w:r>
            <w:r w:rsidRPr="0087752B">
              <w:rPr>
                <w:rStyle w:val="FootnoteReference"/>
              </w:rPr>
              <w:t>1</w:t>
            </w:r>
            <w:r w:rsidRPr="0087752B">
              <w:t xml:space="preserve"> </w:t>
            </w:r>
            <w:r w:rsidR="0087752B" w:rsidRPr="0087752B">
              <w:t>budget</w:t>
            </w:r>
          </w:p>
        </w:tc>
      </w:tr>
      <w:tr w:rsidR="006016B9" w:rsidRPr="0087752B" w14:paraId="68A2EF8D" w14:textId="77777777" w:rsidTr="0017233C">
        <w:trPr>
          <w:trHeight w:val="453"/>
        </w:trPr>
        <w:tc>
          <w:tcPr>
            <w:tcW w:w="1560" w:type="dxa"/>
            <w:shd w:val="clear" w:color="auto" w:fill="D9D9D9" w:themeFill="background1" w:themeFillShade="D9"/>
            <w:tcMar>
              <w:top w:w="0" w:type="dxa"/>
              <w:left w:w="85" w:type="dxa"/>
              <w:bottom w:w="0" w:type="dxa"/>
              <w:right w:w="85" w:type="dxa"/>
            </w:tcMar>
            <w:hideMark/>
          </w:tcPr>
          <w:p w14:paraId="7E7A76C7" w14:textId="4B481BD6" w:rsidR="006016B9" w:rsidRPr="0087752B" w:rsidRDefault="006016B9" w:rsidP="0017233C">
            <w:pPr>
              <w:pStyle w:val="DETTableTextFinancial"/>
            </w:pPr>
            <w:r w:rsidRPr="0087752B">
              <w:t>Officer Secondary College (stage 2) 2014</w:t>
            </w:r>
            <w:r w:rsidR="0087752B" w:rsidRPr="0087752B">
              <w:t>–</w:t>
            </w:r>
            <w:r w:rsidRPr="0087752B">
              <w:t>15 State Budget</w:t>
            </w:r>
          </w:p>
        </w:tc>
        <w:tc>
          <w:tcPr>
            <w:tcW w:w="1366" w:type="dxa"/>
            <w:tcMar>
              <w:top w:w="0" w:type="dxa"/>
              <w:left w:w="85" w:type="dxa"/>
              <w:bottom w:w="0" w:type="dxa"/>
              <w:right w:w="85" w:type="dxa"/>
            </w:tcMar>
            <w:hideMark/>
          </w:tcPr>
          <w:p w14:paraId="3B2B99CB" w14:textId="77777777" w:rsidR="006016B9" w:rsidRPr="0087752B" w:rsidRDefault="006016B9" w:rsidP="0017233C">
            <w:pPr>
              <w:pStyle w:val="DETTableTextFinancial"/>
              <w:jc w:val="center"/>
            </w:pPr>
            <w:r w:rsidRPr="0087752B">
              <w:t>Q3 2015–16</w:t>
            </w:r>
          </w:p>
        </w:tc>
        <w:tc>
          <w:tcPr>
            <w:tcW w:w="1506" w:type="dxa"/>
            <w:tcMar>
              <w:top w:w="0" w:type="dxa"/>
              <w:left w:w="85" w:type="dxa"/>
              <w:bottom w:w="0" w:type="dxa"/>
              <w:right w:w="85" w:type="dxa"/>
            </w:tcMar>
            <w:hideMark/>
          </w:tcPr>
          <w:p w14:paraId="12B7D0FF" w14:textId="77777777" w:rsidR="006016B9" w:rsidRPr="0087752B" w:rsidRDefault="006016B9" w:rsidP="0017233C">
            <w:pPr>
              <w:pStyle w:val="DETTableTextFinancial"/>
              <w:jc w:val="center"/>
            </w:pPr>
            <w:r w:rsidRPr="0087752B">
              <w:t>Q3 2015–16</w:t>
            </w:r>
          </w:p>
        </w:tc>
        <w:tc>
          <w:tcPr>
            <w:tcW w:w="1506" w:type="dxa"/>
            <w:tcMar>
              <w:top w:w="0" w:type="dxa"/>
              <w:left w:w="85" w:type="dxa"/>
              <w:bottom w:w="0" w:type="dxa"/>
              <w:right w:w="85" w:type="dxa"/>
            </w:tcMar>
            <w:hideMark/>
          </w:tcPr>
          <w:p w14:paraId="30D98EB8" w14:textId="77777777" w:rsidR="006016B9" w:rsidRPr="0087752B" w:rsidRDefault="006016B9" w:rsidP="0017233C">
            <w:pPr>
              <w:pStyle w:val="DETTableTextFinancial"/>
              <w:jc w:val="center"/>
            </w:pPr>
            <w:r w:rsidRPr="0087752B">
              <w:t>Q4 2015–16</w:t>
            </w:r>
          </w:p>
        </w:tc>
        <w:tc>
          <w:tcPr>
            <w:tcW w:w="1505" w:type="dxa"/>
            <w:tcMar>
              <w:top w:w="0" w:type="dxa"/>
              <w:left w:w="85" w:type="dxa"/>
              <w:bottom w:w="0" w:type="dxa"/>
              <w:right w:w="85" w:type="dxa"/>
            </w:tcMar>
            <w:hideMark/>
          </w:tcPr>
          <w:p w14:paraId="2544F8A5" w14:textId="77777777" w:rsidR="006016B9" w:rsidRPr="0087752B" w:rsidRDefault="006016B9" w:rsidP="0017233C">
            <w:pPr>
              <w:pStyle w:val="DETTableTextFinancial"/>
              <w:jc w:val="center"/>
            </w:pPr>
            <w:r w:rsidRPr="0087752B">
              <w:t>13</w:t>
            </w:r>
          </w:p>
        </w:tc>
        <w:tc>
          <w:tcPr>
            <w:tcW w:w="1506" w:type="dxa"/>
            <w:tcMar>
              <w:top w:w="0" w:type="dxa"/>
              <w:left w:w="85" w:type="dxa"/>
              <w:bottom w:w="0" w:type="dxa"/>
              <w:right w:w="85" w:type="dxa"/>
            </w:tcMar>
            <w:hideMark/>
          </w:tcPr>
          <w:p w14:paraId="62039693" w14:textId="77777777" w:rsidR="006016B9" w:rsidRPr="0087752B" w:rsidRDefault="006016B9" w:rsidP="0017233C">
            <w:pPr>
              <w:pStyle w:val="DETTableTextFinancial"/>
              <w:jc w:val="center"/>
            </w:pPr>
            <w:r w:rsidRPr="0087752B">
              <w:t>13</w:t>
            </w:r>
          </w:p>
        </w:tc>
        <w:tc>
          <w:tcPr>
            <w:tcW w:w="1506" w:type="dxa"/>
            <w:tcMar>
              <w:top w:w="0" w:type="dxa"/>
              <w:left w:w="85" w:type="dxa"/>
              <w:bottom w:w="0" w:type="dxa"/>
              <w:right w:w="85" w:type="dxa"/>
            </w:tcMar>
            <w:hideMark/>
          </w:tcPr>
          <w:p w14:paraId="3EB46DED" w14:textId="77777777" w:rsidR="006016B9" w:rsidRPr="0087752B" w:rsidRDefault="006016B9" w:rsidP="0017233C">
            <w:pPr>
              <w:pStyle w:val="DETTableTextFinancial"/>
              <w:jc w:val="center"/>
            </w:pPr>
            <w:r w:rsidRPr="0087752B">
              <w:t>13</w:t>
            </w:r>
          </w:p>
        </w:tc>
        <w:tc>
          <w:tcPr>
            <w:tcW w:w="1506" w:type="dxa"/>
            <w:tcMar>
              <w:top w:w="0" w:type="dxa"/>
              <w:left w:w="85" w:type="dxa"/>
              <w:bottom w:w="0" w:type="dxa"/>
              <w:right w:w="85" w:type="dxa"/>
            </w:tcMar>
            <w:hideMark/>
          </w:tcPr>
          <w:p w14:paraId="2AEA05D9" w14:textId="77777777" w:rsidR="006016B9" w:rsidRPr="0087752B" w:rsidRDefault="006016B9" w:rsidP="0017233C">
            <w:pPr>
              <w:pStyle w:val="DETTableTextFinancial"/>
              <w:jc w:val="center"/>
            </w:pPr>
            <w:r w:rsidRPr="0087752B">
              <w:t>0</w:t>
            </w:r>
          </w:p>
        </w:tc>
        <w:tc>
          <w:tcPr>
            <w:tcW w:w="1506" w:type="dxa"/>
            <w:tcMar>
              <w:top w:w="0" w:type="dxa"/>
              <w:left w:w="85" w:type="dxa"/>
              <w:bottom w:w="0" w:type="dxa"/>
              <w:right w:w="85" w:type="dxa"/>
            </w:tcMar>
            <w:hideMark/>
          </w:tcPr>
          <w:p w14:paraId="6EEF2D1F" w14:textId="77777777" w:rsidR="006016B9" w:rsidRPr="0087752B" w:rsidRDefault="006016B9" w:rsidP="0017233C">
            <w:pPr>
              <w:pStyle w:val="DETTableTextFinancial"/>
              <w:jc w:val="center"/>
            </w:pPr>
            <w:r w:rsidRPr="0087752B">
              <w:t>N/A</w:t>
            </w:r>
          </w:p>
        </w:tc>
      </w:tr>
      <w:tr w:rsidR="006016B9" w:rsidRPr="0087752B" w14:paraId="2DC66E6D" w14:textId="77777777" w:rsidTr="0017233C">
        <w:trPr>
          <w:trHeight w:val="453"/>
        </w:trPr>
        <w:tc>
          <w:tcPr>
            <w:tcW w:w="1560" w:type="dxa"/>
            <w:shd w:val="clear" w:color="auto" w:fill="D9D9D9" w:themeFill="background1" w:themeFillShade="D9"/>
            <w:tcMar>
              <w:top w:w="0" w:type="dxa"/>
              <w:left w:w="85" w:type="dxa"/>
              <w:bottom w:w="0" w:type="dxa"/>
              <w:right w:w="85" w:type="dxa"/>
            </w:tcMar>
            <w:hideMark/>
          </w:tcPr>
          <w:p w14:paraId="4DCCE6A3" w14:textId="14E9E9E9" w:rsidR="006016B9" w:rsidRPr="0087752B" w:rsidRDefault="006016B9" w:rsidP="0017233C">
            <w:pPr>
              <w:pStyle w:val="DETTableTextFinancial"/>
            </w:pPr>
            <w:r w:rsidRPr="0087752B">
              <w:t xml:space="preserve">Relocatable Classroom Program </w:t>
            </w:r>
            <w:r w:rsidR="0087752B" w:rsidRPr="0087752B">
              <w:br/>
            </w:r>
            <w:r w:rsidRPr="0087752B">
              <w:t>2015–16 State Budget</w:t>
            </w:r>
          </w:p>
        </w:tc>
        <w:tc>
          <w:tcPr>
            <w:tcW w:w="1366" w:type="dxa"/>
            <w:tcMar>
              <w:top w:w="0" w:type="dxa"/>
              <w:left w:w="85" w:type="dxa"/>
              <w:bottom w:w="0" w:type="dxa"/>
              <w:right w:w="85" w:type="dxa"/>
            </w:tcMar>
            <w:hideMark/>
          </w:tcPr>
          <w:p w14:paraId="48B8E311" w14:textId="77777777" w:rsidR="006016B9" w:rsidRPr="0087752B" w:rsidRDefault="006016B9" w:rsidP="0017233C">
            <w:pPr>
              <w:pStyle w:val="DETTableTextFinancial"/>
              <w:jc w:val="center"/>
            </w:pPr>
            <w:r w:rsidRPr="0087752B">
              <w:t>Q4 2015–16</w:t>
            </w:r>
          </w:p>
        </w:tc>
        <w:tc>
          <w:tcPr>
            <w:tcW w:w="1506" w:type="dxa"/>
            <w:tcMar>
              <w:top w:w="0" w:type="dxa"/>
              <w:left w:w="85" w:type="dxa"/>
              <w:bottom w:w="0" w:type="dxa"/>
              <w:right w:w="85" w:type="dxa"/>
            </w:tcMar>
            <w:hideMark/>
          </w:tcPr>
          <w:p w14:paraId="77EBD392" w14:textId="77777777" w:rsidR="006016B9" w:rsidRPr="0087752B" w:rsidRDefault="006016B9" w:rsidP="0017233C">
            <w:pPr>
              <w:pStyle w:val="DETTableTextFinancial"/>
              <w:jc w:val="center"/>
            </w:pPr>
            <w:r w:rsidRPr="0087752B">
              <w:t>Q4 2015–16</w:t>
            </w:r>
          </w:p>
        </w:tc>
        <w:tc>
          <w:tcPr>
            <w:tcW w:w="1506" w:type="dxa"/>
            <w:tcMar>
              <w:top w:w="0" w:type="dxa"/>
              <w:left w:w="85" w:type="dxa"/>
              <w:bottom w:w="0" w:type="dxa"/>
              <w:right w:w="85" w:type="dxa"/>
            </w:tcMar>
            <w:hideMark/>
          </w:tcPr>
          <w:p w14:paraId="2D20846C" w14:textId="77777777" w:rsidR="006016B9" w:rsidRPr="0087752B" w:rsidRDefault="006016B9" w:rsidP="0017233C">
            <w:pPr>
              <w:pStyle w:val="DETTableTextFinancial"/>
              <w:jc w:val="center"/>
            </w:pPr>
            <w:r w:rsidRPr="0087752B">
              <w:t>Q4 2015–16</w:t>
            </w:r>
          </w:p>
        </w:tc>
        <w:tc>
          <w:tcPr>
            <w:tcW w:w="1505" w:type="dxa"/>
            <w:tcMar>
              <w:top w:w="0" w:type="dxa"/>
              <w:left w:w="85" w:type="dxa"/>
              <w:bottom w:w="0" w:type="dxa"/>
              <w:right w:w="85" w:type="dxa"/>
            </w:tcMar>
            <w:hideMark/>
          </w:tcPr>
          <w:p w14:paraId="5384EACA" w14:textId="77777777" w:rsidR="006016B9" w:rsidRPr="0087752B" w:rsidRDefault="006016B9" w:rsidP="0017233C">
            <w:pPr>
              <w:pStyle w:val="DETTableTextFinancial"/>
              <w:jc w:val="center"/>
            </w:pPr>
            <w:r w:rsidRPr="0087752B">
              <w:t>35</w:t>
            </w:r>
          </w:p>
        </w:tc>
        <w:tc>
          <w:tcPr>
            <w:tcW w:w="1506" w:type="dxa"/>
            <w:tcMar>
              <w:top w:w="0" w:type="dxa"/>
              <w:left w:w="85" w:type="dxa"/>
              <w:bottom w:w="0" w:type="dxa"/>
              <w:right w:w="85" w:type="dxa"/>
            </w:tcMar>
            <w:hideMark/>
          </w:tcPr>
          <w:p w14:paraId="2D303322" w14:textId="77777777" w:rsidR="006016B9" w:rsidRPr="0087752B" w:rsidRDefault="006016B9" w:rsidP="0017233C">
            <w:pPr>
              <w:pStyle w:val="DETTableTextFinancial"/>
              <w:jc w:val="center"/>
            </w:pPr>
            <w:r w:rsidRPr="0087752B">
              <w:t>35</w:t>
            </w:r>
          </w:p>
        </w:tc>
        <w:tc>
          <w:tcPr>
            <w:tcW w:w="1506" w:type="dxa"/>
            <w:tcMar>
              <w:top w:w="0" w:type="dxa"/>
              <w:left w:w="85" w:type="dxa"/>
              <w:bottom w:w="0" w:type="dxa"/>
              <w:right w:w="85" w:type="dxa"/>
            </w:tcMar>
            <w:hideMark/>
          </w:tcPr>
          <w:p w14:paraId="2D265A79" w14:textId="77777777" w:rsidR="006016B9" w:rsidRPr="0087752B" w:rsidRDefault="006016B9" w:rsidP="0017233C">
            <w:pPr>
              <w:pStyle w:val="DETTableTextFinancial"/>
              <w:jc w:val="center"/>
            </w:pPr>
            <w:r w:rsidRPr="0087752B">
              <w:t>35</w:t>
            </w:r>
          </w:p>
        </w:tc>
        <w:tc>
          <w:tcPr>
            <w:tcW w:w="1506" w:type="dxa"/>
            <w:tcMar>
              <w:top w:w="0" w:type="dxa"/>
              <w:left w:w="85" w:type="dxa"/>
              <w:bottom w:w="0" w:type="dxa"/>
              <w:right w:w="85" w:type="dxa"/>
            </w:tcMar>
            <w:hideMark/>
          </w:tcPr>
          <w:p w14:paraId="3369937F" w14:textId="77777777" w:rsidR="006016B9" w:rsidRPr="0087752B" w:rsidRDefault="006016B9" w:rsidP="0017233C">
            <w:pPr>
              <w:pStyle w:val="DETTableTextFinancial"/>
              <w:jc w:val="center"/>
            </w:pPr>
            <w:r w:rsidRPr="0087752B">
              <w:t>0</w:t>
            </w:r>
          </w:p>
        </w:tc>
        <w:tc>
          <w:tcPr>
            <w:tcW w:w="1506" w:type="dxa"/>
            <w:tcMar>
              <w:top w:w="0" w:type="dxa"/>
              <w:left w:w="85" w:type="dxa"/>
              <w:bottom w:w="0" w:type="dxa"/>
              <w:right w:w="85" w:type="dxa"/>
            </w:tcMar>
            <w:hideMark/>
          </w:tcPr>
          <w:p w14:paraId="744C4A2C" w14:textId="77777777" w:rsidR="006016B9" w:rsidRPr="0087752B" w:rsidRDefault="006016B9" w:rsidP="0017233C">
            <w:pPr>
              <w:pStyle w:val="DETTableTextFinancial"/>
              <w:jc w:val="center"/>
            </w:pPr>
            <w:r w:rsidRPr="0087752B">
              <w:t>N/A</w:t>
            </w:r>
          </w:p>
        </w:tc>
      </w:tr>
    </w:tbl>
    <w:p w14:paraId="7A834568" w14:textId="77777777" w:rsidR="0087752B" w:rsidRPr="0087752B" w:rsidRDefault="0087752B" w:rsidP="0017233C">
      <w:pPr>
        <w:pStyle w:val="DETFootnoteTextforobjectivestablesOHStable"/>
      </w:pPr>
    </w:p>
    <w:p w14:paraId="4786BB78" w14:textId="05431B84" w:rsidR="006016B9" w:rsidRPr="0087752B" w:rsidRDefault="006016B9" w:rsidP="0017233C">
      <w:pPr>
        <w:pStyle w:val="DETFootnoteTextforobjectivestablesOHStable"/>
      </w:pPr>
      <w:r w:rsidRPr="0087752B">
        <w:t>1 Total estimated investment</w:t>
      </w:r>
    </w:p>
    <w:p w14:paraId="16D2C27D" w14:textId="77777777" w:rsidR="006016B9" w:rsidRPr="0087752B" w:rsidRDefault="006016B9" w:rsidP="006016B9"/>
    <w:p w14:paraId="2E7BEB5C" w14:textId="77777777" w:rsidR="006016B9" w:rsidRPr="0087752B" w:rsidRDefault="006016B9" w:rsidP="006016B9">
      <w:pPr>
        <w:sectPr w:rsidR="006016B9" w:rsidRPr="0087752B" w:rsidSect="006016B9">
          <w:footerReference w:type="first" r:id="rId17"/>
          <w:pgSz w:w="16838" w:h="11906" w:orient="landscape" w:code="9"/>
          <w:pgMar w:top="2835" w:right="1814" w:bottom="1701" w:left="1843" w:header="851" w:footer="567" w:gutter="0"/>
          <w:cols w:space="567"/>
          <w:docGrid w:linePitch="360"/>
        </w:sectPr>
      </w:pPr>
    </w:p>
    <w:p w14:paraId="2791E312" w14:textId="2C7AB435" w:rsidR="006016B9" w:rsidRPr="0087752B" w:rsidRDefault="00887031" w:rsidP="00887031">
      <w:pPr>
        <w:pStyle w:val="Heading1"/>
      </w:pPr>
      <w:bookmarkStart w:id="84" w:name="_Toc458069593"/>
      <w:bookmarkStart w:id="85" w:name="_Toc458072372"/>
      <w:bookmarkStart w:id="86" w:name="_Toc458088555"/>
      <w:bookmarkStart w:id="87" w:name="_Toc461025831"/>
      <w:bookmarkStart w:id="88" w:name="_Toc462405126"/>
      <w:r w:rsidRPr="0087752B">
        <w:lastRenderedPageBreak/>
        <w:t xml:space="preserve">Report </w:t>
      </w:r>
      <w:r w:rsidR="0087752B" w:rsidRPr="0087752B">
        <w:t xml:space="preserve">of </w:t>
      </w:r>
      <w:r w:rsidRPr="0087752B">
        <w:t>Operations</w:t>
      </w:r>
      <w:r w:rsidR="0087752B" w:rsidRPr="0087752B">
        <w:t>—g</w:t>
      </w:r>
      <w:r w:rsidRPr="0087752B">
        <w:t xml:space="preserve">overnance and </w:t>
      </w:r>
      <w:r w:rsidR="0087752B" w:rsidRPr="0087752B">
        <w:t xml:space="preserve">organisational </w:t>
      </w:r>
      <w:bookmarkEnd w:id="84"/>
      <w:bookmarkEnd w:id="85"/>
      <w:bookmarkEnd w:id="86"/>
      <w:bookmarkEnd w:id="87"/>
      <w:r w:rsidR="0087752B" w:rsidRPr="0087752B">
        <w:t>structure</w:t>
      </w:r>
      <w:bookmarkEnd w:id="88"/>
    </w:p>
    <w:p w14:paraId="22C0FB83" w14:textId="77777777" w:rsidR="006016B9" w:rsidRPr="0087752B" w:rsidRDefault="006016B9" w:rsidP="0017233C">
      <w:pPr>
        <w:pStyle w:val="DETHeading2"/>
      </w:pPr>
      <w:bookmarkStart w:id="89" w:name="_Toc458069594"/>
      <w:bookmarkStart w:id="90" w:name="_Toc458072373"/>
      <w:bookmarkStart w:id="91" w:name="_Toc458088556"/>
      <w:bookmarkStart w:id="92" w:name="_Toc461013254"/>
      <w:bookmarkStart w:id="93" w:name="_Toc461025832"/>
      <w:bookmarkStart w:id="94" w:name="_Toc462405127"/>
      <w:r w:rsidRPr="0087752B">
        <w:t>The Department’s Ministers</w:t>
      </w:r>
      <w:bookmarkEnd w:id="89"/>
      <w:bookmarkEnd w:id="90"/>
      <w:bookmarkEnd w:id="91"/>
      <w:bookmarkEnd w:id="92"/>
      <w:bookmarkEnd w:id="93"/>
      <w:bookmarkEnd w:id="94"/>
    </w:p>
    <w:p w14:paraId="607D9F7D" w14:textId="5BA3E94F" w:rsidR="006016B9" w:rsidRPr="0087752B" w:rsidRDefault="006016B9" w:rsidP="006016B9">
      <w:r w:rsidRPr="0087752B">
        <w:t>The Department supports three Ministers: the Hon James Merlino MP, Deputy Premier, Minister for Education and Minister for Emergency Services; the Hon Steve Herbert MP, Minis</w:t>
      </w:r>
      <w:r w:rsidR="00BD310F">
        <w:t xml:space="preserve">ter for Training and Skills, </w:t>
      </w:r>
      <w:r w:rsidRPr="0087752B">
        <w:t>Minister for International Education</w:t>
      </w:r>
      <w:r w:rsidR="00BD310F">
        <w:t xml:space="preserve"> and Minister for Corrections</w:t>
      </w:r>
      <w:r w:rsidRPr="0087752B">
        <w:t xml:space="preserve">; and the Hon Jenny Mikakos MP, Minister for Families and Children and Minister for Youth Affairs. </w:t>
      </w:r>
    </w:p>
    <w:p w14:paraId="4E5C6284" w14:textId="142EAC12" w:rsidR="006016B9" w:rsidRPr="00300489" w:rsidRDefault="006016B9" w:rsidP="00195D76">
      <w:pPr>
        <w:rPr>
          <w:b/>
          <w:color w:val="7F7F7F" w:themeColor="text1" w:themeTint="80"/>
        </w:rPr>
      </w:pPr>
      <w:r w:rsidRPr="00300489">
        <w:rPr>
          <w:b/>
          <w:color w:val="7F7F7F" w:themeColor="text1" w:themeTint="80"/>
        </w:rPr>
        <w:t xml:space="preserve">Deputy Premier, Minister for Education and Minister for Emergency Services </w:t>
      </w:r>
      <w:r w:rsidR="00195D76" w:rsidRPr="00300489">
        <w:rPr>
          <w:b/>
          <w:color w:val="7F7F7F" w:themeColor="text1" w:themeTint="80"/>
        </w:rPr>
        <w:br/>
      </w:r>
      <w:r w:rsidRPr="00300489">
        <w:rPr>
          <w:b/>
          <w:color w:val="7F7F7F" w:themeColor="text1" w:themeTint="80"/>
        </w:rPr>
        <w:t xml:space="preserve">The Hon James Merlino MP </w:t>
      </w:r>
    </w:p>
    <w:p w14:paraId="4C606C2F" w14:textId="492F9E8B" w:rsidR="00027AAB" w:rsidRPr="00027AAB" w:rsidRDefault="00027AAB" w:rsidP="00027AAB">
      <w:r w:rsidRPr="00027AAB">
        <w:t xml:space="preserve">James Merlino MP is the Minister for Education, Minister for Emergency Services and Deputy Premier of Victoria. As Minister for Education, </w:t>
      </w:r>
      <w:r>
        <w:t>he</w:t>
      </w:r>
      <w:r w:rsidRPr="00027AAB">
        <w:t xml:space="preserve"> is responsible for Victoria's school system, which educates 932,000 Victorian students in government, Catholic, and independent schools. This includes improving educational outcomes in literacy, numeracy, science and the arts, as well as stu</w:t>
      </w:r>
      <w:r>
        <w:t>dent well-being and engagement. The Minister for Education</w:t>
      </w:r>
      <w:r w:rsidRPr="00027AAB">
        <w:t xml:space="preserve"> is also responsible for school infrastructure and capital funding, developing the expertise of teachers and education support staff, school leadership and ensuring our schools are inclusive for all students. Together with his </w:t>
      </w:r>
      <w:r w:rsidR="007A3D07">
        <w:t>ministerial colleagues, the Hon.</w:t>
      </w:r>
      <w:r w:rsidRPr="00027AAB">
        <w:t xml:space="preserve"> Jenny Mikakos</w:t>
      </w:r>
      <w:r w:rsidR="007A3D07">
        <w:t xml:space="preserve"> MP, and the Hon.</w:t>
      </w:r>
      <w:r w:rsidRPr="00027AAB">
        <w:t xml:space="preserve"> Steve Herbert, MP, </w:t>
      </w:r>
      <w:r w:rsidR="00AB2BD5">
        <w:t xml:space="preserve">he </w:t>
      </w:r>
      <w:r w:rsidRPr="00027AAB">
        <w:t>shares responsibility for the improvement of Victoria's education, development and training system, from birth through to adulthood. He is establishing Victoria as the Education State so that every community has access to a great school with excellent learning and teaching, and the promise of a bright future for all students where success does not depend on their background or postcode.</w:t>
      </w:r>
    </w:p>
    <w:p w14:paraId="754D5C7F" w14:textId="32C945C2" w:rsidR="006016B9" w:rsidRPr="0087752B" w:rsidRDefault="006016B9" w:rsidP="006016B9">
      <w:pPr>
        <w:rPr>
          <w:b/>
          <w:color w:val="7F7F7F" w:themeColor="text1" w:themeTint="80"/>
        </w:rPr>
      </w:pPr>
      <w:r w:rsidRPr="0087752B">
        <w:rPr>
          <w:b/>
          <w:color w:val="7F7F7F" w:themeColor="text1" w:themeTint="80"/>
        </w:rPr>
        <w:t>Minis</w:t>
      </w:r>
      <w:r w:rsidR="00BD310F">
        <w:rPr>
          <w:b/>
          <w:color w:val="7F7F7F" w:themeColor="text1" w:themeTint="80"/>
        </w:rPr>
        <w:t xml:space="preserve">ter for Training and Skills, </w:t>
      </w:r>
      <w:r w:rsidRPr="0087752B">
        <w:rPr>
          <w:b/>
          <w:color w:val="7F7F7F" w:themeColor="text1" w:themeTint="80"/>
        </w:rPr>
        <w:t>Minister for International Education</w:t>
      </w:r>
      <w:r w:rsidR="00BD310F">
        <w:rPr>
          <w:b/>
          <w:color w:val="7F7F7F" w:themeColor="text1" w:themeTint="80"/>
        </w:rPr>
        <w:t xml:space="preserve"> and Minister for Corrections</w:t>
      </w:r>
      <w:r w:rsidR="00195D76" w:rsidRPr="0087752B">
        <w:rPr>
          <w:b/>
          <w:color w:val="7F7F7F" w:themeColor="text1" w:themeTint="80"/>
        </w:rPr>
        <w:br/>
      </w:r>
      <w:r w:rsidR="007A3D07">
        <w:rPr>
          <w:b/>
          <w:color w:val="7F7F7F" w:themeColor="text1" w:themeTint="80"/>
        </w:rPr>
        <w:t>The Hon.</w:t>
      </w:r>
      <w:r w:rsidRPr="0087752B">
        <w:rPr>
          <w:b/>
          <w:color w:val="7F7F7F" w:themeColor="text1" w:themeTint="80"/>
        </w:rPr>
        <w:t xml:space="preserve"> Steve Herbert MP</w:t>
      </w:r>
    </w:p>
    <w:p w14:paraId="33E27670" w14:textId="77777777" w:rsidR="006016B9" w:rsidRPr="0087752B" w:rsidRDefault="006016B9" w:rsidP="006016B9">
      <w:r w:rsidRPr="0087752B">
        <w:t>Steve Herbert MP is Minister for Training and Skills and Minister for International Education.</w:t>
      </w:r>
    </w:p>
    <w:p w14:paraId="11E67BBC" w14:textId="77777777" w:rsidR="006016B9" w:rsidRPr="0087752B" w:rsidRDefault="006016B9" w:rsidP="006016B9">
      <w:r w:rsidRPr="0087752B">
        <w:t>He is responsible for overseeing and implementing the biggest reforms to Victoria’s vocational education and training (VET) system to ensure we have a high quality VET system in place that meets the needs of individuals, industry and employers, and gets more Victorians into work.</w:t>
      </w:r>
    </w:p>
    <w:p w14:paraId="522594FE" w14:textId="77777777" w:rsidR="006016B9" w:rsidRPr="0087752B" w:rsidRDefault="006016B9" w:rsidP="006016B9">
      <w:r w:rsidRPr="0087752B">
        <w:t>This includes rebuilding TAFE, restoring credibility to the sector, re-establishing industry and community confidence in training, and investing in training and skills to ensure a solid foundation to support more people in the workforce.</w:t>
      </w:r>
    </w:p>
    <w:p w14:paraId="06D1A8DF" w14:textId="77777777" w:rsidR="006016B9" w:rsidRPr="0087752B" w:rsidRDefault="006016B9" w:rsidP="006016B9">
      <w:r w:rsidRPr="0087752B">
        <w:t xml:space="preserve">Minister Herbert is committed to ensuring all Victorians have access to quality training that equips them with the skills they need to get and keep a job, and that </w:t>
      </w:r>
      <w:r w:rsidRPr="0087752B">
        <w:lastRenderedPageBreak/>
        <w:t>industry has the skills required to boost productivity and help grow the Victorian economy.</w:t>
      </w:r>
    </w:p>
    <w:p w14:paraId="34482943" w14:textId="3567E56A" w:rsidR="006016B9" w:rsidRPr="0087752B" w:rsidRDefault="006016B9" w:rsidP="006016B9">
      <w:pPr>
        <w:rPr>
          <w:b/>
          <w:color w:val="7F7F7F" w:themeColor="text1" w:themeTint="80"/>
        </w:rPr>
      </w:pPr>
      <w:r w:rsidRPr="0087752B">
        <w:rPr>
          <w:b/>
          <w:color w:val="7F7F7F" w:themeColor="text1" w:themeTint="80"/>
        </w:rPr>
        <w:t>Minister for Families and Children and Minister for Youth Affairs</w:t>
      </w:r>
      <w:r w:rsidR="00195D76" w:rsidRPr="0087752B">
        <w:rPr>
          <w:b/>
          <w:color w:val="7F7F7F" w:themeColor="text1" w:themeTint="80"/>
        </w:rPr>
        <w:br/>
        <w:t>T</w:t>
      </w:r>
      <w:r w:rsidR="007A3D07">
        <w:rPr>
          <w:b/>
          <w:color w:val="7F7F7F" w:themeColor="text1" w:themeTint="80"/>
        </w:rPr>
        <w:t>he Hon.</w:t>
      </w:r>
      <w:r w:rsidRPr="0087752B">
        <w:rPr>
          <w:b/>
          <w:color w:val="7F7F7F" w:themeColor="text1" w:themeTint="80"/>
        </w:rPr>
        <w:t xml:space="preserve"> Jenny Mikakos MP</w:t>
      </w:r>
    </w:p>
    <w:p w14:paraId="4F63B64C" w14:textId="77777777" w:rsidR="006016B9" w:rsidRPr="0087752B" w:rsidRDefault="006016B9" w:rsidP="006016B9">
      <w:r w:rsidRPr="0087752B">
        <w:t>Jenny Mikakos MP is the Minister for Families and Children and the Minister for Youth Affairs.</w:t>
      </w:r>
    </w:p>
    <w:p w14:paraId="3F555BF9" w14:textId="644F6A95" w:rsidR="006016B9" w:rsidRPr="0087752B" w:rsidRDefault="006016B9" w:rsidP="006016B9">
      <w:r w:rsidRPr="0087752B">
        <w:t xml:space="preserve">Minister </w:t>
      </w:r>
      <w:r w:rsidR="007A3D07">
        <w:t xml:space="preserve">Mikakos </w:t>
      </w:r>
      <w:r w:rsidRPr="0087752B">
        <w:t>has responsibility for early childhood education and development, including maternal and child health, parenting support services, supported playgroups, kindergarten programs, and early childhood services for children with disability or developmental delay.</w:t>
      </w:r>
    </w:p>
    <w:p w14:paraId="48B63B8B" w14:textId="32DD9886" w:rsidR="006016B9" w:rsidRPr="0087752B" w:rsidRDefault="007A3D07" w:rsidP="006016B9">
      <w:r>
        <w:t>Her</w:t>
      </w:r>
      <w:r w:rsidR="006016B9" w:rsidRPr="0087752B">
        <w:t xml:space="preserve"> responsibilities in Families and Children, and Youth Affairs also include a range of services administered by the Department of Health and Human Services including child protection and family support services.</w:t>
      </w:r>
    </w:p>
    <w:p w14:paraId="12172668" w14:textId="77777777" w:rsidR="006016B9" w:rsidRPr="0087752B" w:rsidRDefault="006016B9" w:rsidP="006016B9">
      <w:r w:rsidRPr="0087752B">
        <w:t>Minister Mikakos is committed to ensuring that all children have a strong start in life, including the most vulnerable, because children’s health, education and care before the age of five influences lifelong happiness, wellbeing and success.</w:t>
      </w:r>
    </w:p>
    <w:p w14:paraId="1D290E45" w14:textId="77777777" w:rsidR="006016B9" w:rsidRPr="0087752B" w:rsidRDefault="006016B9" w:rsidP="00195D76">
      <w:pPr>
        <w:pStyle w:val="DETHeading2"/>
      </w:pPr>
      <w:bookmarkStart w:id="95" w:name="_Toc458069595"/>
      <w:bookmarkStart w:id="96" w:name="_Toc458072374"/>
      <w:bookmarkStart w:id="97" w:name="_Toc458088557"/>
      <w:bookmarkStart w:id="98" w:name="_Toc461013255"/>
      <w:bookmarkStart w:id="99" w:name="_Toc461025833"/>
      <w:bookmarkStart w:id="100" w:name="_Toc462405128"/>
      <w:r w:rsidRPr="0087752B">
        <w:t xml:space="preserve">The Department’s </w:t>
      </w:r>
      <w:bookmarkEnd w:id="95"/>
      <w:bookmarkEnd w:id="96"/>
      <w:bookmarkEnd w:id="97"/>
      <w:r w:rsidRPr="0087752B">
        <w:t>governance structure</w:t>
      </w:r>
      <w:bookmarkEnd w:id="98"/>
      <w:bookmarkEnd w:id="99"/>
      <w:bookmarkEnd w:id="100"/>
    </w:p>
    <w:p w14:paraId="4B15202B" w14:textId="3DF04A1B" w:rsidR="006016B9" w:rsidRPr="0087752B" w:rsidRDefault="006016B9" w:rsidP="006016B9">
      <w:r w:rsidRPr="0087752B">
        <w:t xml:space="preserve">A redesigned governance structure was implemented across the Department on 1 November 2015. This new structure brings stronger leadership, more efficient and effective </w:t>
      </w:r>
      <w:r w:rsidR="008D1ECC" w:rsidRPr="0087752B">
        <w:t>decision making</w:t>
      </w:r>
      <w:r w:rsidRPr="0087752B">
        <w:t xml:space="preserve">, and greater accountability and transparency to the Department. </w:t>
      </w:r>
    </w:p>
    <w:p w14:paraId="047FE6D2" w14:textId="77777777" w:rsidR="006016B9" w:rsidRPr="0087752B" w:rsidRDefault="006016B9" w:rsidP="006016B9">
      <w:r w:rsidRPr="0087752B">
        <w:t>The Department is led by the Secretary who reports to the Minister for Education, Minister for Training and Skills and Minister for Families and Children.</w:t>
      </w:r>
    </w:p>
    <w:p w14:paraId="39C6A78F" w14:textId="58B231CE" w:rsidR="006016B9" w:rsidRPr="0087752B" w:rsidRDefault="006016B9" w:rsidP="006016B9">
      <w:pPr>
        <w:rPr>
          <w:b/>
          <w:color w:val="7F7F7F" w:themeColor="text1" w:themeTint="80"/>
        </w:rPr>
      </w:pPr>
      <w:r w:rsidRPr="0087752B">
        <w:rPr>
          <w:b/>
          <w:color w:val="7F7F7F" w:themeColor="text1" w:themeTint="80"/>
        </w:rPr>
        <w:t>Secretary</w:t>
      </w:r>
      <w:r w:rsidR="00195D76" w:rsidRPr="0087752B">
        <w:rPr>
          <w:b/>
          <w:color w:val="7F7F7F" w:themeColor="text1" w:themeTint="80"/>
        </w:rPr>
        <w:br/>
      </w:r>
      <w:r w:rsidRPr="0087752B">
        <w:rPr>
          <w:b/>
          <w:color w:val="7F7F7F" w:themeColor="text1" w:themeTint="80"/>
        </w:rPr>
        <w:t>Ms Gill Callister</w:t>
      </w:r>
    </w:p>
    <w:p w14:paraId="1516E54E" w14:textId="77777777" w:rsidR="006016B9" w:rsidRPr="0087752B" w:rsidRDefault="006016B9" w:rsidP="006016B9">
      <w:r w:rsidRPr="0087752B">
        <w:t xml:space="preserve">Gill has held the position of Secretary of the Department of Education and Training since January 2015. </w:t>
      </w:r>
    </w:p>
    <w:p w14:paraId="2A679856" w14:textId="0FDABDEF" w:rsidR="006016B9" w:rsidRPr="0087752B" w:rsidRDefault="006016B9" w:rsidP="006016B9">
      <w:r w:rsidRPr="0087752B">
        <w:t>Prior to joining the Department, Gill was Secretary of the Victorian Department of Human Services (2009–14) where she oversaw significant policy, legislative and service delivery reform. In this role, Gill led an organisation of more than 11,000 staff with an annual budget of approximately $4 billion. She was responsible for the delivery of child protection, disability, youth, housing and family violence services.</w:t>
      </w:r>
    </w:p>
    <w:p w14:paraId="634BDB27" w14:textId="77777777" w:rsidR="006016B9" w:rsidRPr="0087752B" w:rsidRDefault="006016B9" w:rsidP="006016B9">
      <w:r w:rsidRPr="0087752B">
        <w:t xml:space="preserve">Gill began her career in the community sector serving disadvantaged Victorians. She then led child protection, family services and mental health units within the Department of Human Services and, in 2009, was Deputy Secretary at Skills Victoria. </w:t>
      </w:r>
    </w:p>
    <w:p w14:paraId="7023650B" w14:textId="77777777" w:rsidR="006016B9" w:rsidRPr="0087752B" w:rsidRDefault="006016B9" w:rsidP="006016B9">
      <w:r w:rsidRPr="0087752B">
        <w:t xml:space="preserve">Gill is President of the Institute of Public Administration Australia (Victoria). In October 2014, Gill was awarded the Institute of Public Administration Australia National Fellowship award and a Monash University Fellowship. </w:t>
      </w:r>
    </w:p>
    <w:p w14:paraId="18E85D32" w14:textId="77777777" w:rsidR="006016B9" w:rsidRPr="0087752B" w:rsidRDefault="006016B9" w:rsidP="006016B9">
      <w:r w:rsidRPr="0087752B">
        <w:t xml:space="preserve">Gill holds Bachelor degrees in Social Work (with Honours) and Arts. </w:t>
      </w:r>
    </w:p>
    <w:p w14:paraId="254C06EE" w14:textId="77777777" w:rsidR="006016B9" w:rsidRPr="0087752B" w:rsidRDefault="006016B9" w:rsidP="00195D76">
      <w:pPr>
        <w:pStyle w:val="DETHeading2"/>
      </w:pPr>
      <w:bookmarkStart w:id="101" w:name="_Toc458069596"/>
      <w:bookmarkStart w:id="102" w:name="_Toc458072375"/>
      <w:bookmarkStart w:id="103" w:name="_Toc458088558"/>
      <w:bookmarkStart w:id="104" w:name="_Toc461013256"/>
      <w:bookmarkStart w:id="105" w:name="_Toc461025834"/>
      <w:bookmarkStart w:id="106" w:name="_Toc462405129"/>
      <w:r w:rsidRPr="0087752B">
        <w:lastRenderedPageBreak/>
        <w:t>Executive Board</w:t>
      </w:r>
      <w:bookmarkEnd w:id="101"/>
      <w:bookmarkEnd w:id="102"/>
      <w:bookmarkEnd w:id="103"/>
      <w:bookmarkEnd w:id="104"/>
      <w:bookmarkEnd w:id="105"/>
      <w:bookmarkEnd w:id="106"/>
    </w:p>
    <w:p w14:paraId="70B2A20A" w14:textId="77777777" w:rsidR="006016B9" w:rsidRPr="0087752B" w:rsidRDefault="006016B9" w:rsidP="006016B9">
      <w:r w:rsidRPr="0087752B">
        <w:t xml:space="preserve">The Department is managed by the Executive Board chaired by the Secretary, comprising the head of each of the Department’s seven groups, the Chief Executive Officer of the Victorian Curriculum and Assessment Authority, and an Assistant Deputy Secretary on a rotation basis. The Executive Board provides stewardship of the Department and supports the Secretary with strategic leadership of the organisation, its agencies and portfolios. It is responsible for: </w:t>
      </w:r>
    </w:p>
    <w:p w14:paraId="0FFF41B6" w14:textId="77777777" w:rsidR="006016B9" w:rsidRPr="0087752B" w:rsidRDefault="006016B9" w:rsidP="00195D76">
      <w:pPr>
        <w:pStyle w:val="DETNormallistbullet"/>
      </w:pPr>
      <w:r w:rsidRPr="0087752B">
        <w:t>strategic direction of the Department, including vision, objectives and priorities</w:t>
      </w:r>
    </w:p>
    <w:p w14:paraId="4E88A222" w14:textId="77777777" w:rsidR="006016B9" w:rsidRPr="0087752B" w:rsidRDefault="006016B9" w:rsidP="00195D76">
      <w:pPr>
        <w:pStyle w:val="DETNormallistbullet"/>
      </w:pPr>
      <w:r w:rsidRPr="0087752B">
        <w:t>performance and operations</w:t>
      </w:r>
    </w:p>
    <w:p w14:paraId="6AC0C2F9" w14:textId="77777777" w:rsidR="006016B9" w:rsidRPr="0087752B" w:rsidRDefault="006016B9" w:rsidP="00195D76">
      <w:pPr>
        <w:pStyle w:val="DETNormallistbullet"/>
      </w:pPr>
      <w:r w:rsidRPr="0087752B">
        <w:t>strategic integration across the portfolio</w:t>
      </w:r>
    </w:p>
    <w:p w14:paraId="0004B562" w14:textId="77777777" w:rsidR="006016B9" w:rsidRPr="0087752B" w:rsidRDefault="006016B9" w:rsidP="00195D76">
      <w:pPr>
        <w:pStyle w:val="DETNormallistbullet"/>
      </w:pPr>
      <w:r w:rsidRPr="0087752B">
        <w:t>performance targets and compliance</w:t>
      </w:r>
    </w:p>
    <w:p w14:paraId="4FAF2BCB" w14:textId="77777777" w:rsidR="006016B9" w:rsidRPr="0087752B" w:rsidRDefault="006016B9" w:rsidP="00195D76">
      <w:pPr>
        <w:pStyle w:val="DETNormallistbullet"/>
      </w:pPr>
      <w:r w:rsidRPr="0087752B">
        <w:t>leadership and culture</w:t>
      </w:r>
    </w:p>
    <w:p w14:paraId="0E2FF79F" w14:textId="77777777" w:rsidR="006016B9" w:rsidRPr="0087752B" w:rsidRDefault="006016B9" w:rsidP="00195D76">
      <w:pPr>
        <w:pStyle w:val="DETNormallistbullet"/>
      </w:pPr>
      <w:r w:rsidRPr="0087752B">
        <w:t>support to Ministers and government</w:t>
      </w:r>
    </w:p>
    <w:p w14:paraId="613B4D2D" w14:textId="77777777" w:rsidR="006016B9" w:rsidRPr="0087752B" w:rsidRDefault="006016B9" w:rsidP="00195D76">
      <w:pPr>
        <w:pStyle w:val="DETNormallistbullet"/>
      </w:pPr>
      <w:r w:rsidRPr="0087752B">
        <w:t>governance of departmental committees.</w:t>
      </w:r>
    </w:p>
    <w:p w14:paraId="3B0C9CF3" w14:textId="77777777" w:rsidR="006016B9" w:rsidRPr="0087752B" w:rsidRDefault="006016B9" w:rsidP="00195D76">
      <w:pPr>
        <w:pStyle w:val="DETHeading2"/>
      </w:pPr>
      <w:bookmarkStart w:id="107" w:name="_Toc461013257"/>
      <w:bookmarkStart w:id="108" w:name="_Toc461025835"/>
      <w:bookmarkStart w:id="109" w:name="_Toc462405130"/>
      <w:r w:rsidRPr="0087752B">
        <w:t>Education State Board</w:t>
      </w:r>
      <w:bookmarkEnd w:id="107"/>
      <w:bookmarkEnd w:id="108"/>
      <w:bookmarkEnd w:id="109"/>
    </w:p>
    <w:p w14:paraId="6DEDFBCD" w14:textId="77777777" w:rsidR="006016B9" w:rsidRPr="0087752B" w:rsidRDefault="006016B9" w:rsidP="006016B9">
      <w:r w:rsidRPr="0087752B">
        <w:t>The Department’s Education State Board is the key advisory body to the Secretary with respect to the progression of the Education State agenda. Education State Board is chaired by the Secretary, comprising the head of each of the Department’s seven groups, the Chief Executive Officer of the Victorian Curriculum and Assessment Authority, Assistant Deputy Secretaries of the three portfolio level groups and Regional Directors of the Department’s four regions. It is intended to be time-limited with ongoing activity relating to Education State transitioning to the Executive Board or other committees. Education State Board is responsible for:</w:t>
      </w:r>
    </w:p>
    <w:p w14:paraId="5DE1EC65" w14:textId="77777777" w:rsidR="006016B9" w:rsidRPr="0087752B" w:rsidRDefault="006016B9" w:rsidP="00195D76">
      <w:pPr>
        <w:pStyle w:val="DETNormallistbullet"/>
      </w:pPr>
      <w:r w:rsidRPr="0087752B">
        <w:t>development and execution of overarching Education State strategy</w:t>
      </w:r>
    </w:p>
    <w:p w14:paraId="3F36C186" w14:textId="77777777" w:rsidR="006016B9" w:rsidRPr="0087752B" w:rsidRDefault="006016B9" w:rsidP="00195D76">
      <w:pPr>
        <w:pStyle w:val="DETNormallistbullet"/>
      </w:pPr>
      <w:r w:rsidRPr="0087752B">
        <w:t>coordination, coherence and alignment of reforms with overall Education State vision and directions</w:t>
      </w:r>
    </w:p>
    <w:p w14:paraId="32AAFB8F" w14:textId="77777777" w:rsidR="006016B9" w:rsidRPr="0087752B" w:rsidRDefault="006016B9" w:rsidP="00195D76">
      <w:pPr>
        <w:pStyle w:val="DETNormallistbullet"/>
      </w:pPr>
      <w:r w:rsidRPr="0087752B">
        <w:t>development and implementation of Education State reform agenda, including:</w:t>
      </w:r>
    </w:p>
    <w:p w14:paraId="64817A88" w14:textId="77777777" w:rsidR="006016B9" w:rsidRPr="0087752B" w:rsidRDefault="006016B9" w:rsidP="0004210F">
      <w:pPr>
        <w:pStyle w:val="DETNormallistbullet"/>
        <w:numPr>
          <w:ilvl w:val="1"/>
          <w:numId w:val="31"/>
        </w:numPr>
      </w:pPr>
      <w:r w:rsidRPr="0087752B">
        <w:t>key election commitments</w:t>
      </w:r>
    </w:p>
    <w:p w14:paraId="5646AE96" w14:textId="77777777" w:rsidR="006016B9" w:rsidRPr="0087752B" w:rsidRDefault="006016B9" w:rsidP="0004210F">
      <w:pPr>
        <w:pStyle w:val="DETNormallistbullet"/>
        <w:numPr>
          <w:ilvl w:val="1"/>
          <w:numId w:val="31"/>
        </w:numPr>
      </w:pPr>
      <w:r w:rsidRPr="0087752B">
        <w:t>Education State priority reform areas and related stakeholder engagement</w:t>
      </w:r>
    </w:p>
    <w:p w14:paraId="70A4A202" w14:textId="77777777" w:rsidR="006016B9" w:rsidRPr="0087752B" w:rsidRDefault="006016B9" w:rsidP="0004210F">
      <w:pPr>
        <w:pStyle w:val="DETNormallistbullet"/>
        <w:numPr>
          <w:ilvl w:val="1"/>
          <w:numId w:val="31"/>
        </w:numPr>
      </w:pPr>
      <w:r w:rsidRPr="0087752B">
        <w:t>ongoing departmental continuous improvement that has material impact on the design and delivery of reform directions.</w:t>
      </w:r>
    </w:p>
    <w:p w14:paraId="76E807AE" w14:textId="77777777" w:rsidR="006016B9" w:rsidRPr="0087752B" w:rsidRDefault="006016B9" w:rsidP="00195D76">
      <w:pPr>
        <w:pStyle w:val="DETHeading2"/>
      </w:pPr>
      <w:bookmarkStart w:id="110" w:name="_Toc461013258"/>
      <w:bookmarkStart w:id="111" w:name="_Toc461025836"/>
      <w:bookmarkStart w:id="112" w:name="_Toc462405131"/>
      <w:r w:rsidRPr="0087752B">
        <w:lastRenderedPageBreak/>
        <w:t>Committee structure</w:t>
      </w:r>
      <w:bookmarkEnd w:id="110"/>
      <w:bookmarkEnd w:id="111"/>
      <w:bookmarkEnd w:id="112"/>
    </w:p>
    <w:p w14:paraId="3E7BA036" w14:textId="77777777" w:rsidR="006016B9" w:rsidRPr="0087752B" w:rsidRDefault="006016B9" w:rsidP="006016B9">
      <w:r w:rsidRPr="0087752B">
        <w:t>There are three committees that report primarily to the Secretary:</w:t>
      </w:r>
    </w:p>
    <w:p w14:paraId="27BE1727" w14:textId="77777777" w:rsidR="006016B9" w:rsidRPr="0087752B" w:rsidRDefault="006016B9" w:rsidP="00195D76">
      <w:pPr>
        <w:pStyle w:val="Heading3"/>
      </w:pPr>
      <w:r w:rsidRPr="0087752B">
        <w:t xml:space="preserve">Integrity Committee </w:t>
      </w:r>
    </w:p>
    <w:p w14:paraId="428AFD59" w14:textId="77777777" w:rsidR="006016B9" w:rsidRPr="0087752B" w:rsidRDefault="006016B9" w:rsidP="006016B9">
      <w:r w:rsidRPr="0087752B">
        <w:t>The Integrity Committee supports the Secretary to provide oversight and assurance that the staff operate with integrity in all actions and activities. The Committee supports staff in the Department offices and schools and ensures they understand and uphold the highest standards of integrity and public trust, and resist corruption.</w:t>
      </w:r>
    </w:p>
    <w:p w14:paraId="6926126D" w14:textId="77777777" w:rsidR="006016B9" w:rsidRPr="0087752B" w:rsidRDefault="006016B9" w:rsidP="00195D76">
      <w:pPr>
        <w:pStyle w:val="Heading3"/>
      </w:pPr>
      <w:bookmarkStart w:id="113" w:name="_Ref461707326"/>
      <w:r w:rsidRPr="0087752B">
        <w:t>Portfolio Audit and Risk Committee</w:t>
      </w:r>
      <w:bookmarkEnd w:id="113"/>
      <w:r w:rsidRPr="0087752B">
        <w:t xml:space="preserve"> </w:t>
      </w:r>
    </w:p>
    <w:p w14:paraId="749DCA4B" w14:textId="77777777" w:rsidR="006016B9" w:rsidRPr="005C767D" w:rsidRDefault="006016B9" w:rsidP="006016B9">
      <w:r w:rsidRPr="0087752B">
        <w:t xml:space="preserve">The Portfolio Audit and Risk Committee (PARC) helps the Secretary fulfil governance responsibilities and obligations under the </w:t>
      </w:r>
      <w:r w:rsidRPr="00013B9F">
        <w:rPr>
          <w:i/>
        </w:rPr>
        <w:t>Financial Management Act 1994</w:t>
      </w:r>
      <w:r w:rsidRPr="005C767D">
        <w:t xml:space="preserve"> (the Act).</w:t>
      </w:r>
    </w:p>
    <w:p w14:paraId="64669242" w14:textId="0F78F5FB" w:rsidR="006016B9" w:rsidRPr="005C767D" w:rsidRDefault="006016B9" w:rsidP="006016B9">
      <w:r w:rsidRPr="0087752B">
        <w:t xml:space="preserve">PARC was established in 2003 to meet the Standing Directions of the Minister for Finance under the Act, which require </w:t>
      </w:r>
      <w:r w:rsidR="008D1ECC">
        <w:t>‘</w:t>
      </w:r>
      <w:r w:rsidR="008D1ECC" w:rsidRPr="005C767D">
        <w:t xml:space="preserve">each </w:t>
      </w:r>
      <w:r w:rsidRPr="005C767D">
        <w:t>public sector agency to appoint an audit committee to oversee and advise the public sec</w:t>
      </w:r>
      <w:r w:rsidRPr="0087752B">
        <w:t xml:space="preserve">tor agency on matters of accountability and internal control affecting the operations of the </w:t>
      </w:r>
      <w:r w:rsidR="008D1ECC" w:rsidRPr="0087752B">
        <w:t>agency</w:t>
      </w:r>
      <w:r w:rsidR="008D1ECC">
        <w:t>’</w:t>
      </w:r>
      <w:r w:rsidRPr="005C767D">
        <w:t>.</w:t>
      </w:r>
    </w:p>
    <w:p w14:paraId="4E05E749" w14:textId="77777777" w:rsidR="006016B9" w:rsidRPr="0087752B" w:rsidRDefault="006016B9" w:rsidP="006016B9">
      <w:r w:rsidRPr="0087752B">
        <w:t>PARC provides direct advice to the Secretary on governance, risk management, audit and control assurance activities.</w:t>
      </w:r>
    </w:p>
    <w:p w14:paraId="5386B848" w14:textId="77777777" w:rsidR="006016B9" w:rsidRPr="0087752B" w:rsidRDefault="006016B9" w:rsidP="006016B9">
      <w:r w:rsidRPr="0087752B">
        <w:t xml:space="preserve">The portfolio focus includes the Department’s statutory authorities primarily funded through the Department, namely the Victorian Registration and Qualifications Authority (VRQA), the Victorian Curriculum and Assessment Authority (VCAA) and the Adult and Community Further Education Board (ACFE). </w:t>
      </w:r>
    </w:p>
    <w:p w14:paraId="7258770C" w14:textId="77777777" w:rsidR="006016B9" w:rsidRPr="0087752B" w:rsidRDefault="006016B9" w:rsidP="006016B9">
      <w:r w:rsidRPr="0087752B">
        <w:t>The existing operations of PARC continue under the Department’s new governance structure. PARC is currently reviewing its charter.</w:t>
      </w:r>
    </w:p>
    <w:p w14:paraId="46DBFFD8" w14:textId="77777777" w:rsidR="006016B9" w:rsidRPr="0087752B" w:rsidRDefault="006016B9" w:rsidP="00195D76">
      <w:pPr>
        <w:pStyle w:val="Heading3"/>
      </w:pPr>
      <w:r w:rsidRPr="0087752B">
        <w:t xml:space="preserve">Executive Development and Remuneration Committee </w:t>
      </w:r>
    </w:p>
    <w:p w14:paraId="00F2DE4F" w14:textId="77777777" w:rsidR="006016B9" w:rsidRPr="0087752B" w:rsidRDefault="006016B9" w:rsidP="006016B9">
      <w:r w:rsidRPr="0087752B">
        <w:t>The Executive Development and Remuneration Committee ensures a consistent and rigorous approach to setting and adjusting executive officer remuneration as well as addressing their individual development needs.</w:t>
      </w:r>
    </w:p>
    <w:p w14:paraId="41BA0AF0" w14:textId="77777777" w:rsidR="00A7556A" w:rsidRDefault="00A7556A" w:rsidP="006016B9"/>
    <w:p w14:paraId="465D9C87" w14:textId="77777777" w:rsidR="006016B9" w:rsidRPr="0087752B" w:rsidRDefault="006016B9" w:rsidP="006016B9">
      <w:r w:rsidRPr="0087752B">
        <w:t>There are six committees that report primarily to the Executive Board:</w:t>
      </w:r>
    </w:p>
    <w:p w14:paraId="104ACFC2" w14:textId="77777777" w:rsidR="006016B9" w:rsidRPr="0087752B" w:rsidRDefault="006016B9" w:rsidP="00195D76">
      <w:pPr>
        <w:pStyle w:val="Heading3"/>
      </w:pPr>
      <w:r w:rsidRPr="0087752B">
        <w:t xml:space="preserve">Information Management and Technology Committee </w:t>
      </w:r>
    </w:p>
    <w:p w14:paraId="2110F1FC" w14:textId="0E1634A5" w:rsidR="006016B9" w:rsidRPr="0087752B" w:rsidRDefault="006016B9" w:rsidP="006016B9">
      <w:r w:rsidRPr="0087752B">
        <w:t xml:space="preserve">The Information Management and Technology Committee (IMTC) provides strategic oversight of the </w:t>
      </w:r>
      <w:r w:rsidR="008D1ECC" w:rsidRPr="0087752B">
        <w:t>Department</w:t>
      </w:r>
      <w:r w:rsidR="008D1ECC">
        <w:t>’</w:t>
      </w:r>
      <w:r w:rsidR="008D1ECC" w:rsidRPr="005C767D">
        <w:t xml:space="preserve">s </w:t>
      </w:r>
      <w:r w:rsidRPr="005C767D">
        <w:t>IMT</w:t>
      </w:r>
      <w:r w:rsidR="00A7556A">
        <w:t>C</w:t>
      </w:r>
      <w:r w:rsidRPr="005C767D">
        <w:t xml:space="preserve"> functions, priorities and systems, including information security. All departmental IT initiatives must be presented to the IMTC for endors</w:t>
      </w:r>
      <w:r w:rsidRPr="0087752B">
        <w:t>ement before they are considered for approval by the Executive Board.</w:t>
      </w:r>
    </w:p>
    <w:p w14:paraId="22202658" w14:textId="77777777" w:rsidR="006016B9" w:rsidRPr="0087752B" w:rsidRDefault="006016B9" w:rsidP="00195D76">
      <w:pPr>
        <w:pStyle w:val="Heading3"/>
      </w:pPr>
      <w:r w:rsidRPr="0087752B">
        <w:lastRenderedPageBreak/>
        <w:t xml:space="preserve">Policy and Implementation Committee </w:t>
      </w:r>
    </w:p>
    <w:p w14:paraId="466BB09F" w14:textId="77777777" w:rsidR="006016B9" w:rsidRPr="0087752B" w:rsidRDefault="006016B9" w:rsidP="006016B9">
      <w:r w:rsidRPr="0087752B">
        <w:t>The Policy and Implementation Committee (PIC) oversees the development, implementation and evaluation of strategically significant policy initiatives to strengthen Victoria's education services and assets. The Committee draws on the expertise of all Groups to bring a whole-of-lifecycle approach to policy development and execution.</w:t>
      </w:r>
    </w:p>
    <w:p w14:paraId="2C639583" w14:textId="77777777" w:rsidR="006016B9" w:rsidRPr="0087752B" w:rsidRDefault="006016B9" w:rsidP="00195D76">
      <w:pPr>
        <w:pStyle w:val="Heading3"/>
      </w:pPr>
      <w:r w:rsidRPr="0087752B">
        <w:t xml:space="preserve">Performance and Evaluation Committee </w:t>
      </w:r>
    </w:p>
    <w:p w14:paraId="036B7C97" w14:textId="77777777" w:rsidR="006016B9" w:rsidRPr="0087752B" w:rsidRDefault="006016B9" w:rsidP="006016B9">
      <w:r w:rsidRPr="0087752B">
        <w:t>The Performance and Evaluation Committee provides oversight and assurance of performance monitoring, reporting and evaluation activities across the Department, monitors the implementation of these activities, and ensures that the Department applies the findings of these activities by identifying appropriate responses.</w:t>
      </w:r>
    </w:p>
    <w:p w14:paraId="4D975099" w14:textId="77777777" w:rsidR="006016B9" w:rsidRPr="0087752B" w:rsidRDefault="006016B9" w:rsidP="00195D76">
      <w:pPr>
        <w:pStyle w:val="Heading3"/>
      </w:pPr>
      <w:r w:rsidRPr="0087752B">
        <w:t>Budget and Financial Management Committee</w:t>
      </w:r>
    </w:p>
    <w:p w14:paraId="40FBC9B6" w14:textId="77777777" w:rsidR="006016B9" w:rsidRPr="0087752B" w:rsidRDefault="006016B9" w:rsidP="006016B9">
      <w:r w:rsidRPr="0087752B">
        <w:t>The purpose of the Budget and Financial Management Committee (BFMC) is to advise the Secretary on priorities for the budget, and oversee effective strategic development and coordination of Departmental finances and physical assets.</w:t>
      </w:r>
    </w:p>
    <w:p w14:paraId="16761393" w14:textId="77777777" w:rsidR="006016B9" w:rsidRPr="0087752B" w:rsidRDefault="006016B9" w:rsidP="006016B9">
      <w:r w:rsidRPr="0087752B">
        <w:t>The BFMC leads the Department’s drive for improved financial sustainability, and ensures the effective oversight and allocation of financial resources in alignment with the Department’s objectives.</w:t>
      </w:r>
    </w:p>
    <w:p w14:paraId="4AD9BAAE" w14:textId="77777777" w:rsidR="006016B9" w:rsidRPr="0087752B" w:rsidRDefault="006016B9" w:rsidP="00195D76">
      <w:pPr>
        <w:pStyle w:val="Heading3"/>
      </w:pPr>
      <w:r w:rsidRPr="0087752B">
        <w:t xml:space="preserve">Procurement and Probity Committee </w:t>
      </w:r>
    </w:p>
    <w:p w14:paraId="1DDB7B9B" w14:textId="77777777" w:rsidR="006016B9" w:rsidRPr="0087752B" w:rsidRDefault="006016B9" w:rsidP="006016B9">
      <w:r w:rsidRPr="0087752B">
        <w:t xml:space="preserve">The Procurement and Probity Committee (PPC) provides strategic oversight of procurement activities within the Department to ensure appropriate rigour has been exercised in accordance with the Department’s procurement policy. In doing so, the PPC, supports the Secretary’s obligations in accordance with Victorian Government Purchasing Board (VGPB) policy, as set out by the </w:t>
      </w:r>
      <w:r w:rsidRPr="005D5867">
        <w:rPr>
          <w:i/>
        </w:rPr>
        <w:t>Financial Management Act 1994</w:t>
      </w:r>
      <w:r w:rsidRPr="005C767D">
        <w:t>. The PPC considers procurement of goods and services in statutory authorities (Vict</w:t>
      </w:r>
      <w:r w:rsidRPr="0087752B">
        <w:t>orian Curriculum and Assessment Authority, Victorian Registration and Qualifications Authority and Merit Protection Board). The PPC does not consider procurement related to construction or property.</w:t>
      </w:r>
    </w:p>
    <w:p w14:paraId="0821AD59" w14:textId="77777777" w:rsidR="006016B9" w:rsidRPr="0087752B" w:rsidRDefault="006016B9" w:rsidP="00195D76">
      <w:pPr>
        <w:pStyle w:val="Heading3"/>
      </w:pPr>
      <w:r w:rsidRPr="0087752B">
        <w:t xml:space="preserve">Workforce Development and Culture Committee </w:t>
      </w:r>
    </w:p>
    <w:p w14:paraId="0F03E01D" w14:textId="05525055" w:rsidR="006016B9" w:rsidRPr="0087752B" w:rsidRDefault="006016B9" w:rsidP="006016B9">
      <w:r w:rsidRPr="0087752B">
        <w:t>The Workforce Development and Culture Committee monitors and oversees the development, implementation and evaluation of strategies and activities to promote exceptional organisational culture and capability</w:t>
      </w:r>
      <w:r w:rsidR="008D1ECC">
        <w:t>—</w:t>
      </w:r>
      <w:r w:rsidRPr="0087752B">
        <w:t xml:space="preserve">in head office, regional and statutory authorities, schools, and early childhood. </w:t>
      </w:r>
    </w:p>
    <w:p w14:paraId="3FDE9056" w14:textId="290B32F9" w:rsidR="006016B9" w:rsidRPr="0087752B" w:rsidRDefault="006016B9" w:rsidP="006016B9">
      <w:r w:rsidRPr="0087752B">
        <w:t>Between 1 July</w:t>
      </w:r>
      <w:r w:rsidR="008D1ECC">
        <w:t xml:space="preserve"> and </w:t>
      </w:r>
      <w:r w:rsidRPr="0087752B">
        <w:t xml:space="preserve">31 October 2015 the Executive Board was supported by six standing subcommittees: </w:t>
      </w:r>
    </w:p>
    <w:p w14:paraId="58541A58" w14:textId="77777777" w:rsidR="006016B9" w:rsidRPr="0087752B" w:rsidRDefault="006016B9" w:rsidP="00195D76">
      <w:pPr>
        <w:pStyle w:val="Heading3"/>
      </w:pPr>
      <w:r w:rsidRPr="0087752B">
        <w:lastRenderedPageBreak/>
        <w:t>Budget and Infrastructure Committee</w:t>
      </w:r>
    </w:p>
    <w:p w14:paraId="2D837969" w14:textId="17C2BCB6" w:rsidR="006016B9" w:rsidRPr="0087752B" w:rsidRDefault="006016B9" w:rsidP="006016B9">
      <w:r w:rsidRPr="0087752B">
        <w:t>The Budget and Infrastructure Committee</w:t>
      </w:r>
      <w:r w:rsidR="00A7556A">
        <w:t xml:space="preserve"> (BIC)</w:t>
      </w:r>
      <w:r w:rsidRPr="0087752B">
        <w:t xml:space="preserve"> was responsible for ensuring effective strategic development and coordination of departmental finances, physical assets and information technology, and providing advice to the Executive Board on these matters.</w:t>
      </w:r>
    </w:p>
    <w:p w14:paraId="27D58A03" w14:textId="742F50C1" w:rsidR="006016B9" w:rsidRPr="0087752B" w:rsidRDefault="00A7556A" w:rsidP="006016B9">
      <w:r>
        <w:t>BIC</w:t>
      </w:r>
      <w:r w:rsidR="006016B9" w:rsidRPr="0087752B">
        <w:t xml:space="preserve"> focused on the Department and the </w:t>
      </w:r>
      <w:r w:rsidR="008D1ECC">
        <w:t>state</w:t>
      </w:r>
      <w:r w:rsidR="008D1ECC" w:rsidRPr="0087752B">
        <w:t>wide</w:t>
      </w:r>
      <w:r w:rsidR="006016B9" w:rsidRPr="0087752B">
        <w:t xml:space="preserve"> statutory authorities primarily funded through the Department.</w:t>
      </w:r>
    </w:p>
    <w:p w14:paraId="461C58E6" w14:textId="77777777" w:rsidR="006016B9" w:rsidRPr="0087752B" w:rsidRDefault="006016B9" w:rsidP="00195D76">
      <w:pPr>
        <w:pStyle w:val="Heading3"/>
      </w:pPr>
      <w:r w:rsidRPr="0087752B">
        <w:t>Policy and Performance Standing Committee</w:t>
      </w:r>
    </w:p>
    <w:p w14:paraId="488B5828" w14:textId="599D84CF" w:rsidR="006016B9" w:rsidRPr="0087752B" w:rsidRDefault="006016B9" w:rsidP="006016B9">
      <w:r w:rsidRPr="0087752B">
        <w:t>The Policy and Performance Standing Committee</w:t>
      </w:r>
      <w:r w:rsidR="00A7556A">
        <w:t xml:space="preserve"> (PPSC)</w:t>
      </w:r>
      <w:r w:rsidRPr="0087752B">
        <w:t xml:space="preserve"> was responsible for ensuring effective development and coordination of Department-wide strategy and policy, research and evaluation. </w:t>
      </w:r>
      <w:r w:rsidR="00A7556A">
        <w:t>PPSC</w:t>
      </w:r>
      <w:r w:rsidRPr="0087752B">
        <w:t xml:space="preserve"> ensured the existence of links between the Department’s strategy and the resultant policy and evaluation. The </w:t>
      </w:r>
      <w:r w:rsidR="00A7556A">
        <w:t>PPSC</w:t>
      </w:r>
      <w:r w:rsidRPr="0087752B">
        <w:t>’s scope covered all Departmental portfolios, including statutory authorities.</w:t>
      </w:r>
    </w:p>
    <w:p w14:paraId="24C1BFE3" w14:textId="77777777" w:rsidR="006016B9" w:rsidRPr="0087752B" w:rsidRDefault="006016B9" w:rsidP="00195D76">
      <w:pPr>
        <w:pStyle w:val="Heading3"/>
      </w:pPr>
      <w:r w:rsidRPr="0087752B">
        <w:t>People and Culture Standing Committee</w:t>
      </w:r>
    </w:p>
    <w:p w14:paraId="37EB3AA3" w14:textId="38D1B8F8" w:rsidR="006016B9" w:rsidRPr="0087752B" w:rsidRDefault="006016B9" w:rsidP="006016B9">
      <w:r w:rsidRPr="0087752B">
        <w:t>The People and Culture Standing Committee</w:t>
      </w:r>
      <w:r w:rsidR="00A7556A">
        <w:t xml:space="preserve"> (PCSC)</w:t>
      </w:r>
      <w:r w:rsidRPr="0087752B">
        <w:t xml:space="preserve"> was responsible for delivering the People Strategy 2013–15, ensuring outcome implementation met the strategy’s success measures. </w:t>
      </w:r>
      <w:r w:rsidR="00A7556A">
        <w:t>PCSB</w:t>
      </w:r>
      <w:r w:rsidRPr="0087752B">
        <w:t xml:space="preserve"> oversaw the annual review and refresh of the People Strategy as part of the Department’s overall strategy review.</w:t>
      </w:r>
    </w:p>
    <w:p w14:paraId="56354A84" w14:textId="77777777" w:rsidR="006016B9" w:rsidRPr="0087752B" w:rsidRDefault="006016B9" w:rsidP="00195D76">
      <w:pPr>
        <w:pStyle w:val="Heading3"/>
      </w:pPr>
      <w:r w:rsidRPr="0087752B">
        <w:t>Service Planning and Delivery Standing Committee</w:t>
      </w:r>
    </w:p>
    <w:p w14:paraId="557898D9" w14:textId="77777777" w:rsidR="006016B9" w:rsidRPr="0087752B" w:rsidRDefault="006016B9" w:rsidP="006016B9">
      <w:r w:rsidRPr="0087752B">
        <w:t>The Service Planning and Delivery Standing Committee was responsible for providing advice to the Executive Board on the effective planning, coordination, integration and oversight of the delivery of early childhood development, school education, and higher education and skills services across the Department’s regions from the perspective of the Department’s customers and clients.</w:t>
      </w:r>
    </w:p>
    <w:p w14:paraId="0E8C9015" w14:textId="77777777" w:rsidR="006016B9" w:rsidRPr="0087752B" w:rsidRDefault="006016B9" w:rsidP="00195D76">
      <w:pPr>
        <w:pStyle w:val="Heading3"/>
      </w:pPr>
      <w:r w:rsidRPr="0087752B">
        <w:t>Procurement Governance Committee</w:t>
      </w:r>
    </w:p>
    <w:p w14:paraId="4180218A" w14:textId="77777777" w:rsidR="006016B9" w:rsidRPr="0087752B" w:rsidRDefault="006016B9" w:rsidP="006016B9">
      <w:r w:rsidRPr="0087752B">
        <w:t xml:space="preserve">The Procurement Governance Committee (PGC) was responsible for approving procurement activity for categories assessed as: </w:t>
      </w:r>
    </w:p>
    <w:p w14:paraId="6B936F8A" w14:textId="77777777" w:rsidR="006016B9" w:rsidRPr="0087752B" w:rsidRDefault="006016B9" w:rsidP="00195D76">
      <w:pPr>
        <w:pStyle w:val="DETNormallistbullet"/>
      </w:pPr>
      <w:r w:rsidRPr="0087752B">
        <w:t>strategic with a medium to high contract value</w:t>
      </w:r>
    </w:p>
    <w:p w14:paraId="122AFB1F" w14:textId="25ED1BA5" w:rsidR="006016B9" w:rsidRPr="0087752B" w:rsidRDefault="006016B9" w:rsidP="00195D76">
      <w:pPr>
        <w:pStyle w:val="DETNormallistbullet"/>
      </w:pPr>
      <w:r w:rsidRPr="0087752B">
        <w:t>leveraged/focused with a high contract value</w:t>
      </w:r>
    </w:p>
    <w:p w14:paraId="15F07CA7" w14:textId="77777777" w:rsidR="006016B9" w:rsidRPr="0087752B" w:rsidRDefault="006016B9" w:rsidP="00195D76">
      <w:pPr>
        <w:pStyle w:val="DETNormallistbullet"/>
      </w:pPr>
      <w:r w:rsidRPr="0087752B">
        <w:t>significant procurements that had not been identified in the published procurement activity plan or were not aligned with the Department’s strategic direction and desired business outcomes</w:t>
      </w:r>
    </w:p>
    <w:p w14:paraId="45EAC279" w14:textId="77777777" w:rsidR="006016B9" w:rsidRPr="0087752B" w:rsidRDefault="006016B9" w:rsidP="00195D76">
      <w:pPr>
        <w:pStyle w:val="DETNormallistbullet"/>
      </w:pPr>
      <w:r w:rsidRPr="0087752B">
        <w:t xml:space="preserve">requiring PGC endorsement by the Chief Procurement Officer. </w:t>
      </w:r>
    </w:p>
    <w:p w14:paraId="5A337173" w14:textId="77777777" w:rsidR="006016B9" w:rsidRPr="0087752B" w:rsidRDefault="006016B9" w:rsidP="00195D76">
      <w:pPr>
        <w:pStyle w:val="Heading3"/>
      </w:pPr>
      <w:r w:rsidRPr="0087752B">
        <w:t xml:space="preserve">Portfolio Audit and Risk Committee </w:t>
      </w:r>
    </w:p>
    <w:p w14:paraId="02942C49" w14:textId="62E80C2B" w:rsidR="006016B9" w:rsidRPr="005C767D" w:rsidRDefault="006016B9" w:rsidP="006016B9">
      <w:r w:rsidRPr="0087752B">
        <w:t xml:space="preserve">The role of the Portfolio Audit and Risk Committee (PARC) has remained the same. See role description on page </w:t>
      </w:r>
      <w:r w:rsidR="007F0D1E">
        <w:fldChar w:fldCharType="begin"/>
      </w:r>
      <w:r w:rsidR="007F0D1E" w:rsidRPr="00300489">
        <w:instrText xml:space="preserve"> PAGEREF _Ref461707326 \h </w:instrText>
      </w:r>
      <w:r w:rsidR="007F0D1E">
        <w:fldChar w:fldCharType="separate"/>
      </w:r>
      <w:r w:rsidR="00EF67CF">
        <w:rPr>
          <w:noProof/>
        </w:rPr>
        <w:t>41</w:t>
      </w:r>
      <w:r w:rsidR="007F0D1E">
        <w:fldChar w:fldCharType="end"/>
      </w:r>
      <w:r w:rsidRPr="005C767D">
        <w:t>.</w:t>
      </w:r>
    </w:p>
    <w:p w14:paraId="0973A864" w14:textId="77777777" w:rsidR="006016B9" w:rsidRPr="0087752B" w:rsidRDefault="006016B9" w:rsidP="00195D76">
      <w:pPr>
        <w:pStyle w:val="DETHeading2"/>
      </w:pPr>
      <w:bookmarkStart w:id="114" w:name="_Toc458069597"/>
      <w:bookmarkStart w:id="115" w:name="_Toc458072376"/>
      <w:bookmarkStart w:id="116" w:name="_Toc458088559"/>
      <w:bookmarkStart w:id="117" w:name="_Toc461013259"/>
      <w:bookmarkStart w:id="118" w:name="_Toc461025837"/>
      <w:bookmarkStart w:id="119" w:name="_Toc462405132"/>
      <w:r w:rsidRPr="0087752B">
        <w:lastRenderedPageBreak/>
        <w:t>Executive Board members</w:t>
      </w:r>
      <w:bookmarkEnd w:id="114"/>
      <w:bookmarkEnd w:id="115"/>
      <w:bookmarkEnd w:id="116"/>
      <w:bookmarkEnd w:id="117"/>
      <w:bookmarkEnd w:id="118"/>
      <w:bookmarkEnd w:id="119"/>
    </w:p>
    <w:p w14:paraId="350FBCD4" w14:textId="7D7E100D" w:rsidR="006016B9" w:rsidRPr="0087752B" w:rsidRDefault="006016B9" w:rsidP="006016B9">
      <w:pPr>
        <w:rPr>
          <w:b/>
          <w:color w:val="7F7F7F" w:themeColor="text1" w:themeTint="80"/>
        </w:rPr>
      </w:pPr>
      <w:r w:rsidRPr="0087752B">
        <w:rPr>
          <w:b/>
          <w:color w:val="7F7F7F" w:themeColor="text1" w:themeTint="80"/>
        </w:rPr>
        <w:t>Secretary</w:t>
      </w:r>
      <w:r w:rsidR="00195D76" w:rsidRPr="0087752B">
        <w:rPr>
          <w:b/>
          <w:color w:val="7F7F7F" w:themeColor="text1" w:themeTint="80"/>
        </w:rPr>
        <w:br/>
      </w:r>
      <w:r w:rsidRPr="0087752B">
        <w:rPr>
          <w:b/>
          <w:color w:val="7F7F7F" w:themeColor="text1" w:themeTint="80"/>
        </w:rPr>
        <w:t>Ms Gill Callister, Chair</w:t>
      </w:r>
    </w:p>
    <w:p w14:paraId="37CBD9D6" w14:textId="6D1E4D11" w:rsidR="006016B9" w:rsidRPr="0087752B" w:rsidRDefault="006016B9" w:rsidP="006016B9">
      <w:pPr>
        <w:rPr>
          <w:b/>
          <w:color w:val="7F7F7F" w:themeColor="text1" w:themeTint="80"/>
        </w:rPr>
      </w:pPr>
      <w:r w:rsidRPr="0087752B">
        <w:rPr>
          <w:b/>
          <w:color w:val="7F7F7F" w:themeColor="text1" w:themeTint="80"/>
        </w:rPr>
        <w:t>Deputy Secretary, Early Childhood and School Education Group</w:t>
      </w:r>
      <w:r w:rsidR="00195D76" w:rsidRPr="0087752B">
        <w:rPr>
          <w:b/>
          <w:color w:val="7F7F7F" w:themeColor="text1" w:themeTint="80"/>
        </w:rPr>
        <w:br/>
      </w:r>
      <w:r w:rsidRPr="0087752B">
        <w:rPr>
          <w:b/>
          <w:color w:val="7F7F7F" w:themeColor="text1" w:themeTint="80"/>
        </w:rPr>
        <w:t>Ms Katy Haire</w:t>
      </w:r>
    </w:p>
    <w:p w14:paraId="2270C69D" w14:textId="5ED3801C" w:rsidR="006016B9" w:rsidRPr="005C767D" w:rsidRDefault="006016B9" w:rsidP="006016B9">
      <w:r w:rsidRPr="0087752B">
        <w:t>Since September 2015, Katy</w:t>
      </w:r>
      <w:r w:rsidR="007F0D1E">
        <w:t xml:space="preserve"> Haire</w:t>
      </w:r>
      <w:r w:rsidRPr="005C767D">
        <w:t xml:space="preserve"> has been Deputy Secretary of the Early Childhood and School Education Group (ECSEG). David Clements acted in the role from June 2015 to September 2015.</w:t>
      </w:r>
    </w:p>
    <w:p w14:paraId="5B804B5A" w14:textId="77777777" w:rsidR="006016B9" w:rsidRPr="0087752B" w:rsidRDefault="006016B9" w:rsidP="006016B9">
      <w:r w:rsidRPr="0087752B">
        <w:t xml:space="preserve">The Deputy Secretary ECSEG is responsible for designing a learning, development, wellbeing and child health system that delivers improved outcomes for all children and young people from birth to 18 years of age, and their families, without exception. This includes a diverse range of programs, across three ministerial portfolios (Education, Early Childhood and Training and Skills). </w:t>
      </w:r>
    </w:p>
    <w:p w14:paraId="63D79F20" w14:textId="40FB45E5" w:rsidR="006016B9" w:rsidRPr="0087752B" w:rsidRDefault="00A7556A" w:rsidP="006016B9">
      <w:r>
        <w:t>Prior to joining the D</w:t>
      </w:r>
      <w:r w:rsidR="006016B9" w:rsidRPr="0087752B">
        <w:t xml:space="preserve">epartment, Katy held a range of senior management and executive roles within the Victorian public sector, including Deputy Secretary of Service Design and Operations at the Department of Health and Human Services, and as Director of Social Policy at the Department of Premier and Cabinet. </w:t>
      </w:r>
    </w:p>
    <w:p w14:paraId="620069E3" w14:textId="77777777" w:rsidR="006016B9" w:rsidRPr="0087752B" w:rsidRDefault="006016B9" w:rsidP="006016B9">
      <w:r w:rsidRPr="0087752B">
        <w:t>Katy is also a qualified secondary school teacher. From 1989 to 2003, Katy worked in the Northern Territory in various positions within Aboriginal education and policy.</w:t>
      </w:r>
    </w:p>
    <w:p w14:paraId="44EB0C72" w14:textId="77777777" w:rsidR="006016B9" w:rsidRPr="0087752B" w:rsidRDefault="006016B9" w:rsidP="006016B9">
      <w:r w:rsidRPr="0087752B">
        <w:t>In addition to her Graduate Diploma of Education (Secondary) from Monash University, Katy holds a Bachelor of Arts (Hons) in political science and history, and a Master of Arts in the history of education from the University of Melbourne. She also holds an Executive Master of Public Administration from the University of Melbourne and is a Senior Executive Fellow of the Harvard Kennedy School.</w:t>
      </w:r>
    </w:p>
    <w:p w14:paraId="0849493C" w14:textId="35068BFC" w:rsidR="006016B9" w:rsidRPr="0087752B" w:rsidRDefault="006016B9" w:rsidP="006016B9">
      <w:pPr>
        <w:rPr>
          <w:b/>
          <w:color w:val="7F7F7F" w:themeColor="text1" w:themeTint="80"/>
        </w:rPr>
      </w:pPr>
      <w:r w:rsidRPr="0087752B">
        <w:rPr>
          <w:b/>
          <w:color w:val="7F7F7F" w:themeColor="text1" w:themeTint="80"/>
        </w:rPr>
        <w:t xml:space="preserve">Deputy Secretary, Higher Education and Skills Group </w:t>
      </w:r>
      <w:r w:rsidR="00ED58B9" w:rsidRPr="0087752B">
        <w:rPr>
          <w:b/>
          <w:color w:val="7F7F7F" w:themeColor="text1" w:themeTint="80"/>
        </w:rPr>
        <w:br/>
      </w:r>
      <w:r w:rsidRPr="0087752B">
        <w:rPr>
          <w:b/>
          <w:color w:val="7F7F7F" w:themeColor="text1" w:themeTint="80"/>
        </w:rPr>
        <w:t>Mr Craig Robertson</w:t>
      </w:r>
    </w:p>
    <w:p w14:paraId="7E8B31C6" w14:textId="77777777" w:rsidR="006016B9" w:rsidRPr="0087752B" w:rsidRDefault="006016B9" w:rsidP="006016B9">
      <w:r w:rsidRPr="0087752B">
        <w:t>Craig Robertson was appointed the Deputy Secretary, Higher Education and Skills Group (HESG) in July 2015. The Deputy Secretary HESG is responsible for policy and funding for tertiary education in Victoria, particularly for Vocational Education and Training, including TAFEs and Learn Local Organisations (as community providers).</w:t>
      </w:r>
    </w:p>
    <w:p w14:paraId="3D0174DD" w14:textId="267F0890" w:rsidR="006016B9" w:rsidRPr="0087752B" w:rsidRDefault="006016B9" w:rsidP="006016B9">
      <w:r w:rsidRPr="0087752B">
        <w:t>Craig previously worked for more than 25 years at the national level in education and training, including: schools data collection and IT development, schools funding policy, employment services, and vocational education and training.</w:t>
      </w:r>
    </w:p>
    <w:p w14:paraId="7BED068B" w14:textId="77777777" w:rsidR="006016B9" w:rsidRPr="0087752B" w:rsidRDefault="006016B9" w:rsidP="006016B9">
      <w:r w:rsidRPr="0087752B">
        <w:t xml:space="preserve">Craig has also worked in the private sector project managing new ICT-enabled business processes, skills that he has applied to several public sector ICT projects. </w:t>
      </w:r>
    </w:p>
    <w:p w14:paraId="4F20EE8B" w14:textId="77777777" w:rsidR="006016B9" w:rsidRPr="0087752B" w:rsidRDefault="006016B9" w:rsidP="006016B9">
      <w:r w:rsidRPr="0087752B">
        <w:t>His qualifications include a Bachelor of Education and a Masters in Public Administration from the Australia and New Zealand School of Government.</w:t>
      </w:r>
    </w:p>
    <w:p w14:paraId="3D6C21A3" w14:textId="02B67EC8" w:rsidR="006016B9" w:rsidRPr="0087752B" w:rsidRDefault="006016B9" w:rsidP="006016B9">
      <w:pPr>
        <w:rPr>
          <w:b/>
          <w:color w:val="7F7F7F" w:themeColor="text1" w:themeTint="80"/>
        </w:rPr>
      </w:pPr>
      <w:r w:rsidRPr="0087752B">
        <w:rPr>
          <w:b/>
          <w:color w:val="7F7F7F" w:themeColor="text1" w:themeTint="80"/>
        </w:rPr>
        <w:t xml:space="preserve">Deputy Secretary, Infrastructure and Finance Services Group </w:t>
      </w:r>
      <w:r w:rsidR="00ED58B9" w:rsidRPr="0087752B">
        <w:rPr>
          <w:b/>
          <w:color w:val="7F7F7F" w:themeColor="text1" w:themeTint="80"/>
        </w:rPr>
        <w:br/>
      </w:r>
      <w:r w:rsidRPr="0087752B">
        <w:rPr>
          <w:b/>
          <w:color w:val="7F7F7F" w:themeColor="text1" w:themeTint="80"/>
        </w:rPr>
        <w:t>Ms Jenny Atta</w:t>
      </w:r>
    </w:p>
    <w:p w14:paraId="78534D91" w14:textId="77777777" w:rsidR="006016B9" w:rsidRPr="0087752B" w:rsidRDefault="006016B9" w:rsidP="006016B9">
      <w:r w:rsidRPr="0087752B">
        <w:lastRenderedPageBreak/>
        <w:t>Jenny Atta commenced as Deputy Secretary, Infrastructure and Finance Services Group (IFSG) in December 2015, after acting in the role in an interim capacity from August 2015.</w:t>
      </w:r>
    </w:p>
    <w:p w14:paraId="2ED3AE56" w14:textId="77777777" w:rsidR="006016B9" w:rsidRPr="0087752B" w:rsidRDefault="006016B9" w:rsidP="006016B9">
      <w:r w:rsidRPr="0087752B">
        <w:t>Jenny has many years of experience in senior public service leadership roles, notably at the Department of Treasury and Finance where she led the Portfolio Analysis function within the Budget and Finance area. Jenny previously worked with the former Department of Human Services, and more recently with the Department of Premier and Cabinet.</w:t>
      </w:r>
    </w:p>
    <w:p w14:paraId="09D3DA0F" w14:textId="77777777" w:rsidR="006016B9" w:rsidRPr="0087752B" w:rsidRDefault="006016B9" w:rsidP="006016B9">
      <w:r w:rsidRPr="0087752B">
        <w:t xml:space="preserve">Jenny holds a Bachelor Applied Science and a Masters of Public Policy. </w:t>
      </w:r>
    </w:p>
    <w:p w14:paraId="1F61297F" w14:textId="77777777" w:rsidR="006016B9" w:rsidRPr="0087752B" w:rsidRDefault="006016B9" w:rsidP="006016B9">
      <w:r w:rsidRPr="0087752B">
        <w:t>Jim Miles held the position of Deputy Secretary, Infrastructure and Finance Services Group from March 2012 to July 2015.</w:t>
      </w:r>
    </w:p>
    <w:p w14:paraId="6D81C1E1" w14:textId="3CA5422F" w:rsidR="006016B9" w:rsidRPr="0087752B" w:rsidRDefault="006016B9" w:rsidP="006016B9">
      <w:pPr>
        <w:rPr>
          <w:b/>
          <w:color w:val="7F7F7F" w:themeColor="text1" w:themeTint="80"/>
        </w:rPr>
      </w:pPr>
      <w:r w:rsidRPr="0087752B">
        <w:rPr>
          <w:b/>
          <w:color w:val="7F7F7F" w:themeColor="text1" w:themeTint="80"/>
        </w:rPr>
        <w:t xml:space="preserve">Deputy Secretary, People and Executive Services Group </w:t>
      </w:r>
      <w:r w:rsidR="00ED58B9" w:rsidRPr="0087752B">
        <w:rPr>
          <w:b/>
          <w:color w:val="7F7F7F" w:themeColor="text1" w:themeTint="80"/>
        </w:rPr>
        <w:br/>
      </w:r>
      <w:r w:rsidRPr="0087752B">
        <w:rPr>
          <w:b/>
          <w:color w:val="7F7F7F" w:themeColor="text1" w:themeTint="80"/>
        </w:rPr>
        <w:t>Ms Kate Rattigan</w:t>
      </w:r>
    </w:p>
    <w:p w14:paraId="25F7BF4A" w14:textId="77777777" w:rsidR="006016B9" w:rsidRPr="0087752B" w:rsidRDefault="006016B9" w:rsidP="006016B9">
      <w:r w:rsidRPr="0087752B">
        <w:t>In June 2016, Kate Rattigan was appointed Deputy Secretary, People and Executive Services Group (PESG) after acting in the role since October 2015.</w:t>
      </w:r>
    </w:p>
    <w:p w14:paraId="2C7238C0" w14:textId="77777777" w:rsidR="006016B9" w:rsidRPr="0087752B" w:rsidRDefault="006016B9" w:rsidP="006016B9">
      <w:r w:rsidRPr="0087752B">
        <w:t xml:space="preserve">As Deputy Secretary, Kate drives a complex agenda encompassing legal services, human resources, people and culture, communications and media, change strategy, integrity reform, cabinet, ministerial support, executive services, information strategy and audit and assurance. </w:t>
      </w:r>
    </w:p>
    <w:p w14:paraId="34F7E070" w14:textId="5F946555" w:rsidR="006016B9" w:rsidRPr="0087752B" w:rsidRDefault="006016B9" w:rsidP="006016B9">
      <w:r w:rsidRPr="0087752B">
        <w:t>Kate has worked in the Department of Education and Training in various capacities providing strategic oversight of a range of matters, including speciali</w:t>
      </w:r>
      <w:r w:rsidR="0004210F">
        <w:t>st and technical advice to M</w:t>
      </w:r>
      <w:r w:rsidRPr="0087752B">
        <w:t>inisters, the Secretary, executives, managers, regional directors, school principals and school councils.</w:t>
      </w:r>
    </w:p>
    <w:p w14:paraId="2469F57E" w14:textId="77777777" w:rsidR="006016B9" w:rsidRPr="0087752B" w:rsidRDefault="006016B9" w:rsidP="006016B9">
      <w:r w:rsidRPr="0087752B">
        <w:t>Kate holds a Bachelor of Laws (Honours), Bachelor of Arts and a Masters in Employment and Labour Relations Law, each from the University of Melbourne.</w:t>
      </w:r>
    </w:p>
    <w:p w14:paraId="0FFB9D39" w14:textId="77777777" w:rsidR="006016B9" w:rsidRPr="0087752B" w:rsidRDefault="006016B9" w:rsidP="006016B9">
      <w:r w:rsidRPr="0087752B">
        <w:t xml:space="preserve">Monique Dawson held the position of Deputy Secretary, People and Executive Service Group from March 2012 to September 2015. </w:t>
      </w:r>
    </w:p>
    <w:p w14:paraId="42CB3AE5" w14:textId="5E17FA39" w:rsidR="006016B9" w:rsidRPr="0087752B" w:rsidRDefault="006016B9" w:rsidP="006016B9">
      <w:pPr>
        <w:rPr>
          <w:b/>
          <w:color w:val="7F7F7F" w:themeColor="text1" w:themeTint="80"/>
        </w:rPr>
      </w:pPr>
      <w:r w:rsidRPr="0087752B">
        <w:rPr>
          <w:b/>
          <w:color w:val="7F7F7F" w:themeColor="text1" w:themeTint="80"/>
        </w:rPr>
        <w:t>Deputy Secretary, Policy Reform Group</w:t>
      </w:r>
      <w:r w:rsidR="00ED58B9" w:rsidRPr="0087752B">
        <w:rPr>
          <w:b/>
          <w:color w:val="7F7F7F" w:themeColor="text1" w:themeTint="80"/>
        </w:rPr>
        <w:br/>
      </w:r>
      <w:r w:rsidRPr="0087752B">
        <w:rPr>
          <w:b/>
          <w:color w:val="7F7F7F" w:themeColor="text1" w:themeTint="80"/>
        </w:rPr>
        <w:t>Mr Simon Kent</w:t>
      </w:r>
    </w:p>
    <w:p w14:paraId="099F3CF6" w14:textId="77777777" w:rsidR="006016B9" w:rsidRPr="0087752B" w:rsidRDefault="006016B9" w:rsidP="006016B9">
      <w:r w:rsidRPr="0087752B">
        <w:t>Simon Kent joined the Department in April 2013 from the Department of Premier and Cabinet, where he was the Director of the Social Policy Branch.</w:t>
      </w:r>
    </w:p>
    <w:p w14:paraId="3CF24DB5" w14:textId="77777777" w:rsidR="006016B9" w:rsidRPr="0087752B" w:rsidRDefault="006016B9" w:rsidP="006016B9">
      <w:r w:rsidRPr="0087752B">
        <w:t>Simon has extensive experience in policymaking across the education, human services, health and justice portfolios. He has developed public policy in complex and contested interdepartmental and intergovernmental contexts.  He develops policy using multi-disciplinary analysis, by drawing links across sectors and by drawing on analogous experiences.</w:t>
      </w:r>
    </w:p>
    <w:p w14:paraId="369BF644" w14:textId="197B70F0" w:rsidR="006016B9" w:rsidRPr="0087752B" w:rsidRDefault="006016B9" w:rsidP="006016B9">
      <w:r w:rsidRPr="0087752B">
        <w:t xml:space="preserve">Simon began his career in higher education advocacy and political advisory roles. While in the Federal Parliament he also worked on schools policy. His work during eight years at </w:t>
      </w:r>
      <w:r w:rsidR="00CA41DA">
        <w:t>the Department of Premier and Cabinet</w:t>
      </w:r>
      <w:r w:rsidRPr="0087752B">
        <w:t xml:space="preserve"> included the reform of vocational education and early childhood development. </w:t>
      </w:r>
    </w:p>
    <w:p w14:paraId="18435C8E" w14:textId="77777777" w:rsidR="006016B9" w:rsidRPr="0087752B" w:rsidRDefault="006016B9" w:rsidP="006016B9">
      <w:r w:rsidRPr="0087752B">
        <w:t>He holds a Bachelor of Arts and a Master of Public Administration from the University of Melbourne.</w:t>
      </w:r>
    </w:p>
    <w:p w14:paraId="6B4282DC" w14:textId="77777777" w:rsidR="006016B9" w:rsidRPr="0087752B" w:rsidRDefault="006016B9" w:rsidP="006016B9">
      <w:r w:rsidRPr="0087752B">
        <w:lastRenderedPageBreak/>
        <w:t xml:space="preserve">Simon Kent was Deputy Secretary of the Strategy and Review Group from April 2013 to March 2016. </w:t>
      </w:r>
    </w:p>
    <w:p w14:paraId="71A31280" w14:textId="60593E59" w:rsidR="006016B9" w:rsidRPr="0087752B" w:rsidRDefault="006016B9" w:rsidP="006016B9">
      <w:pPr>
        <w:rPr>
          <w:b/>
          <w:color w:val="7F7F7F" w:themeColor="text1" w:themeTint="80"/>
        </w:rPr>
      </w:pPr>
      <w:r w:rsidRPr="0087752B">
        <w:rPr>
          <w:b/>
          <w:color w:val="7F7F7F" w:themeColor="text1" w:themeTint="80"/>
        </w:rPr>
        <w:t>Deputy Secretary, Regional Services Group</w:t>
      </w:r>
      <w:r w:rsidR="00ED58B9" w:rsidRPr="0087752B">
        <w:rPr>
          <w:b/>
          <w:color w:val="7F7F7F" w:themeColor="text1" w:themeTint="80"/>
        </w:rPr>
        <w:br/>
      </w:r>
      <w:r w:rsidRPr="0087752B">
        <w:rPr>
          <w:b/>
          <w:color w:val="7F7F7F" w:themeColor="text1" w:themeTint="80"/>
        </w:rPr>
        <w:t>Mr Bruce Armstrong</w:t>
      </w:r>
    </w:p>
    <w:p w14:paraId="1809BDF3" w14:textId="77777777" w:rsidR="006016B9" w:rsidRPr="0087752B" w:rsidRDefault="006016B9" w:rsidP="006016B9">
      <w:r w:rsidRPr="0087752B">
        <w:t>In April 2016, Bruce Armstrong was appointed Deputy Secretary, Regional Services Group (RSG) after acting in this position since July 2015. He is responsible for the interface between the Department’s regions and central office in the provision of early childhood development services and school education.</w:t>
      </w:r>
    </w:p>
    <w:p w14:paraId="48C8DA16" w14:textId="77777777" w:rsidR="006016B9" w:rsidRPr="0087752B" w:rsidRDefault="006016B9" w:rsidP="006016B9">
      <w:r w:rsidRPr="0087752B">
        <w:t>Bruce’s career spans 30 years of active contribution to Victorian public education as a teacher, principal and system leader. Prior to this role, Bruce was Executive Director of the Department’s Leadership, Professional Practice and Accountability Division, which leads significant system-wide reform in leadership, school improvement and accountability, and workforce strategy. Bruce was the inaugural Director of the Bastow Institute of Educational Leadership from 2009–14 and principal of Balwyn High School (2002–08).</w:t>
      </w:r>
    </w:p>
    <w:p w14:paraId="5C634A6B" w14:textId="77777777" w:rsidR="006016B9" w:rsidRPr="0087752B" w:rsidRDefault="006016B9" w:rsidP="006016B9">
      <w:r w:rsidRPr="0087752B">
        <w:t>Bruce holds a Master of Education, Bachelor of Arts, Bachelor of Theology and a Graduate Diploma of Education. He is a Fellow of the Australian Council for Educational Leaders and in 2015 was awarded a Public Service Medal for outstanding public service to educational improvement in Victoria.</w:t>
      </w:r>
    </w:p>
    <w:p w14:paraId="682ACF33" w14:textId="261A86BF" w:rsidR="006016B9" w:rsidRPr="0087752B" w:rsidRDefault="006016B9" w:rsidP="006016B9">
      <w:pPr>
        <w:rPr>
          <w:b/>
          <w:color w:val="7F7F7F" w:themeColor="text1" w:themeTint="80"/>
        </w:rPr>
      </w:pPr>
      <w:r w:rsidRPr="0087752B">
        <w:rPr>
          <w:b/>
          <w:color w:val="7F7F7F" w:themeColor="text1" w:themeTint="80"/>
        </w:rPr>
        <w:t>Acting Deputy Secretary, Strategy and Performance Group</w:t>
      </w:r>
      <w:r w:rsidR="00ED58B9" w:rsidRPr="0087752B">
        <w:rPr>
          <w:b/>
          <w:color w:val="7F7F7F" w:themeColor="text1" w:themeTint="80"/>
        </w:rPr>
        <w:br/>
      </w:r>
      <w:r w:rsidRPr="0087752B">
        <w:rPr>
          <w:b/>
          <w:color w:val="7F7F7F" w:themeColor="text1" w:themeTint="80"/>
        </w:rPr>
        <w:t>Ms Katherine Whetton</w:t>
      </w:r>
    </w:p>
    <w:p w14:paraId="5D45AC47" w14:textId="45B56F86" w:rsidR="00A63C8F" w:rsidRPr="00A63C8F" w:rsidRDefault="00A63C8F" w:rsidP="00A63C8F">
      <w:r w:rsidRPr="00A63C8F">
        <w:t>Katherine Whetton is currently acting Deputy Secretary, Strategy and Performance Group. This Group was created in the Department’s central reorganisation in April 2016 to focus on strategy planning, data and evidence, enterprise program management, and intergovernmental relations.</w:t>
      </w:r>
    </w:p>
    <w:p w14:paraId="700540D9" w14:textId="7E3EAE66" w:rsidR="00A63C8F" w:rsidRPr="00A63C8F" w:rsidRDefault="00A63C8F" w:rsidP="00A63C8F">
      <w:r w:rsidRPr="00A63C8F">
        <w:t xml:space="preserve">Katherine was previously the Executive Director, Education State Policy and Design, where she was responsible for leading development and policy coherence of the overarching Education State agenda across the Department’s three portfolios—early childhood development, schools, and training and skills—and across government, including economic development, health and human services, justice and police. </w:t>
      </w:r>
    </w:p>
    <w:p w14:paraId="4D9B5FB6" w14:textId="31DA1AB6" w:rsidR="00A63C8F" w:rsidRPr="00A63C8F" w:rsidRDefault="00A63C8F" w:rsidP="00A63C8F">
      <w:r w:rsidRPr="00A63C8F">
        <w:t>Before joining the Department, Katherine worked at the Department of Premier and Cabinet for more than 10 years, most recently as Executive Director</w:t>
      </w:r>
      <w:r>
        <w:t>,</w:t>
      </w:r>
      <w:r w:rsidRPr="00A63C8F">
        <w:t xml:space="preserve"> Economic Strategy and Director</w:t>
      </w:r>
      <w:r w:rsidR="0072257E">
        <w:t>,</w:t>
      </w:r>
      <w:r w:rsidRPr="00A63C8F">
        <w:t xml:space="preserve"> Health and Human Services. She has extensive central agency policy development and advisory experience across social and economic policy areas, working across portfolios and intergovernmental contexts.</w:t>
      </w:r>
    </w:p>
    <w:p w14:paraId="5C8433E1" w14:textId="5DF2C0CA" w:rsidR="00A63C8F" w:rsidRPr="00A63C8F" w:rsidRDefault="00A63C8F" w:rsidP="00A63C8F">
      <w:r w:rsidRPr="00A63C8F">
        <w:t>Katherine holds a Bachelor of Arts (Honours) from the University of Melbourne and an Executive Master in Public Administration from the Australian and New Zealand School of Government</w:t>
      </w:r>
      <w:r w:rsidR="002C6CE8">
        <w:t>.</w:t>
      </w:r>
    </w:p>
    <w:p w14:paraId="406F1F8B" w14:textId="56C73486" w:rsidR="006016B9" w:rsidRPr="0087752B" w:rsidRDefault="006016B9" w:rsidP="00A63C8F">
      <w:pPr>
        <w:rPr>
          <w:b/>
          <w:color w:val="7F7F7F" w:themeColor="text1" w:themeTint="80"/>
        </w:rPr>
      </w:pPr>
      <w:r w:rsidRPr="0087752B">
        <w:rPr>
          <w:b/>
          <w:color w:val="7F7F7F" w:themeColor="text1" w:themeTint="80"/>
        </w:rPr>
        <w:t>Chief Executive Officer, Victorian Curriculum and Assessment Authority</w:t>
      </w:r>
      <w:r w:rsidR="00ED58B9" w:rsidRPr="0087752B">
        <w:rPr>
          <w:b/>
          <w:color w:val="7F7F7F" w:themeColor="text1" w:themeTint="80"/>
        </w:rPr>
        <w:br/>
      </w:r>
      <w:r w:rsidRPr="0087752B">
        <w:rPr>
          <w:b/>
          <w:color w:val="7F7F7F" w:themeColor="text1" w:themeTint="80"/>
        </w:rPr>
        <w:t>Mr John Firth</w:t>
      </w:r>
    </w:p>
    <w:p w14:paraId="0219E8F2" w14:textId="5A125D50" w:rsidR="006016B9" w:rsidRPr="005C767D" w:rsidRDefault="006016B9" w:rsidP="006016B9">
      <w:r w:rsidRPr="0087752B">
        <w:lastRenderedPageBreak/>
        <w:t>John Firth has been CEO of the VCAA since August 2005. John managed curriculum for more than 12 years prior and developed the Victorian Essential Learning Standards</w:t>
      </w:r>
      <w:r w:rsidR="00B06649">
        <w:t>—</w:t>
      </w:r>
      <w:r w:rsidRPr="0087752B">
        <w:t>the curriculum for Victorian schools</w:t>
      </w:r>
      <w:r w:rsidR="00B06649">
        <w:t>,</w:t>
      </w:r>
      <w:r w:rsidRPr="005C767D">
        <w:t xml:space="preserve"> Prep to 10 years.</w:t>
      </w:r>
    </w:p>
    <w:p w14:paraId="370A5066" w14:textId="0D929A36" w:rsidR="006016B9" w:rsidRPr="0087752B" w:rsidRDefault="006016B9" w:rsidP="006016B9">
      <w:r w:rsidRPr="0087752B">
        <w:t>John oversaw the development of the VCE as a Year 12 credential of international standing, the full recognition of VET within the VCE, and the implementation of the VCAL as an additional vocational pathway for senior secondary students. Under his leadership, the VCAA considerably expanded its international work, increasing the number of schools offering the VCE in conjunction with international partners. The VCAA also developed the first educational framework for preschool children, which was reviewed in 2015–16.</w:t>
      </w:r>
    </w:p>
    <w:p w14:paraId="21BB33A6" w14:textId="487B3AEF" w:rsidR="006016B9" w:rsidRPr="005C767D" w:rsidRDefault="006016B9" w:rsidP="006016B9">
      <w:r w:rsidRPr="0087752B">
        <w:t xml:space="preserve">John has been a member of many state and national groups and speaks frequently at state and national forums. In 2008, he was appointed member of the Interim National Curriculum Board and in 2009 member of the board of </w:t>
      </w:r>
      <w:r w:rsidR="00B06649">
        <w:t xml:space="preserve">the </w:t>
      </w:r>
      <w:r w:rsidRPr="005C767D">
        <w:t>Australian Curriculum, Assessment and Reporting Authority, serving the maximum six-year term.</w:t>
      </w:r>
    </w:p>
    <w:p w14:paraId="25B92293" w14:textId="77777777" w:rsidR="006016B9" w:rsidRPr="0087752B" w:rsidRDefault="006016B9" w:rsidP="006016B9">
      <w:r w:rsidRPr="0087752B">
        <w:t>John holds a Bachelor of Commerce and a Diploma of Education, and is a Fellow of the Australian College of Educators.</w:t>
      </w:r>
    </w:p>
    <w:p w14:paraId="4A702EE1" w14:textId="77777777" w:rsidR="006016B9" w:rsidRPr="0087752B" w:rsidRDefault="006016B9" w:rsidP="006016B9">
      <w:r w:rsidRPr="0087752B">
        <w:t>An Assistant Deputy Secretary also attends the Executive Board on a rotation basis.</w:t>
      </w:r>
    </w:p>
    <w:p w14:paraId="4CC34089" w14:textId="11CDE31C" w:rsidR="006016B9" w:rsidRPr="0087752B" w:rsidRDefault="006016B9" w:rsidP="006016B9">
      <w:pPr>
        <w:rPr>
          <w:b/>
          <w:color w:val="7F7F7F" w:themeColor="text1" w:themeTint="80"/>
        </w:rPr>
      </w:pPr>
      <w:r w:rsidRPr="0087752B">
        <w:rPr>
          <w:b/>
          <w:color w:val="7F7F7F" w:themeColor="text1" w:themeTint="80"/>
        </w:rPr>
        <w:t>Assistant Deputy Secretary, Higher Education and Skills Group</w:t>
      </w:r>
      <w:r w:rsidR="00ED58B9" w:rsidRPr="0087752B">
        <w:rPr>
          <w:b/>
          <w:color w:val="7F7F7F" w:themeColor="text1" w:themeTint="80"/>
        </w:rPr>
        <w:br/>
      </w:r>
      <w:r w:rsidRPr="0087752B">
        <w:rPr>
          <w:b/>
          <w:color w:val="7F7F7F" w:themeColor="text1" w:themeTint="80"/>
        </w:rPr>
        <w:t xml:space="preserve">Ms Lee Watts </w:t>
      </w:r>
    </w:p>
    <w:p w14:paraId="798F9697" w14:textId="77777777" w:rsidR="006016B9" w:rsidRPr="0087752B" w:rsidRDefault="006016B9" w:rsidP="006016B9">
      <w:r w:rsidRPr="0087752B">
        <w:t>Lee Watts was appointed to the position of Assistant Deputy Secretary, Vocational Education and Training (VET) Reform in April 2016. In this role Lee has responsibility for the design and implementation of a more managed, stable and competitive training system. This focus follows two major reviews into VET in 2015, the VET Funding Review and the Review of Quality Assurance in Victoria’s VET System.</w:t>
      </w:r>
    </w:p>
    <w:p w14:paraId="1491225C" w14:textId="4BB403B4" w:rsidR="006016B9" w:rsidRPr="005C767D" w:rsidRDefault="006016B9" w:rsidP="006016B9">
      <w:r w:rsidRPr="0087752B">
        <w:t xml:space="preserve">Lee has extensive experience in the skills and higher education portfolios including VET contract and program management, information system design, and provider quality. Prior to joining the Department of Education and Training, Lee worked as a senior consultant for a US consulting firm. She has previously held senior teaching and research positions at a number of Australian </w:t>
      </w:r>
      <w:r w:rsidR="00B06649">
        <w:t>u</w:t>
      </w:r>
      <w:r w:rsidR="00B06649" w:rsidRPr="005C767D">
        <w:t xml:space="preserve">niversities </w:t>
      </w:r>
      <w:r w:rsidRPr="005C767D">
        <w:t xml:space="preserve">with a focus on workplace relations, alternative dispute resolution and change management. </w:t>
      </w:r>
    </w:p>
    <w:p w14:paraId="1EDFCE82" w14:textId="77777777" w:rsidR="006016B9" w:rsidRPr="0087752B" w:rsidRDefault="006016B9" w:rsidP="006016B9">
      <w:r w:rsidRPr="0087752B">
        <w:t>Lee holds a Master of Arts, Bachelor of Arts (Hons) from the University of Melbourne and is the author of a number of books.</w:t>
      </w:r>
    </w:p>
    <w:p w14:paraId="0B0215B7" w14:textId="60283E46" w:rsidR="006016B9" w:rsidRPr="0087752B" w:rsidRDefault="006016B9" w:rsidP="006016B9">
      <w:pPr>
        <w:rPr>
          <w:b/>
          <w:color w:val="7F7F7F" w:themeColor="text1" w:themeTint="80"/>
        </w:rPr>
      </w:pPr>
      <w:r w:rsidRPr="0087752B">
        <w:rPr>
          <w:b/>
          <w:color w:val="7F7F7F" w:themeColor="text1" w:themeTint="80"/>
        </w:rPr>
        <w:t>Assistant Deputy Secretary, Early Childhood and School Education Group</w:t>
      </w:r>
      <w:r w:rsidR="00B06649">
        <w:rPr>
          <w:b/>
          <w:color w:val="7F7F7F" w:themeColor="text1" w:themeTint="80"/>
        </w:rPr>
        <w:t>—</w:t>
      </w:r>
      <w:r w:rsidRPr="0087752B">
        <w:rPr>
          <w:b/>
          <w:color w:val="7F7F7F" w:themeColor="text1" w:themeTint="80"/>
        </w:rPr>
        <w:t xml:space="preserve">Early Childhood </w:t>
      </w:r>
      <w:r w:rsidR="00ED58B9" w:rsidRPr="0087752B">
        <w:rPr>
          <w:b/>
          <w:color w:val="7F7F7F" w:themeColor="text1" w:themeTint="80"/>
        </w:rPr>
        <w:br/>
      </w:r>
      <w:r w:rsidRPr="0087752B">
        <w:rPr>
          <w:b/>
          <w:color w:val="7F7F7F" w:themeColor="text1" w:themeTint="80"/>
        </w:rPr>
        <w:t>Ms Kim Little</w:t>
      </w:r>
    </w:p>
    <w:p w14:paraId="6A07C1B4" w14:textId="61DA463A" w:rsidR="006016B9" w:rsidRPr="0087752B" w:rsidRDefault="006016B9" w:rsidP="006016B9">
      <w:r w:rsidRPr="0087752B">
        <w:t>In April 2016, Kim was appointed Assistant Deputy Secretary, Early Childhood Portfolio having acted in the role since June 2015. This position is part of the Department’s Early Childhood and School Education Group and is responsible for two divisions within the group: Early Years and Primary Reform, and Quality As</w:t>
      </w:r>
      <w:r w:rsidRPr="0087752B">
        <w:lastRenderedPageBreak/>
        <w:t>sessment and Regulation. The position liaises with the Assistant Deputy Secretary</w:t>
      </w:r>
      <w:r w:rsidR="00B06649">
        <w:t>—</w:t>
      </w:r>
      <w:r w:rsidRPr="0087752B">
        <w:t>Schools regarding primary education and transitions from early childhood to school education.</w:t>
      </w:r>
    </w:p>
    <w:p w14:paraId="469F0762" w14:textId="77777777" w:rsidR="006016B9" w:rsidRPr="0087752B" w:rsidRDefault="006016B9" w:rsidP="006016B9">
      <w:r w:rsidRPr="0087752B">
        <w:t>Kim previously worked on a range of strategic social and economic policy issues in this department and the Department of Premier and Cabinet, focusing on education.   </w:t>
      </w:r>
    </w:p>
    <w:p w14:paraId="5DEB1124" w14:textId="77777777" w:rsidR="006016B9" w:rsidRPr="0087752B" w:rsidRDefault="006016B9" w:rsidP="006016B9">
      <w:r w:rsidRPr="0087752B">
        <w:t xml:space="preserve">Before joining the public service, Kim worked as a philosopher at Monash University and as a corporate lawyer. Kim holds a Bachelor of Arts (Hons), a Bachelor of Laws (Hons) and a Master of Arts (Hons).  </w:t>
      </w:r>
    </w:p>
    <w:p w14:paraId="1DFD8A6A" w14:textId="2240B8FE" w:rsidR="006016B9" w:rsidRPr="0087752B" w:rsidRDefault="006016B9" w:rsidP="006016B9">
      <w:pPr>
        <w:rPr>
          <w:b/>
          <w:color w:val="7F7F7F" w:themeColor="text1" w:themeTint="80"/>
        </w:rPr>
      </w:pPr>
      <w:r w:rsidRPr="0087752B">
        <w:rPr>
          <w:b/>
          <w:color w:val="7F7F7F" w:themeColor="text1" w:themeTint="80"/>
        </w:rPr>
        <w:t>Assistant Deputy Secretary, Early Childhood and School Education Group</w:t>
      </w:r>
      <w:r w:rsidR="00B06649">
        <w:rPr>
          <w:b/>
          <w:color w:val="7F7F7F" w:themeColor="text1" w:themeTint="80"/>
        </w:rPr>
        <w:t>—</w:t>
      </w:r>
      <w:r w:rsidRPr="0087752B">
        <w:rPr>
          <w:b/>
          <w:color w:val="7F7F7F" w:themeColor="text1" w:themeTint="80"/>
        </w:rPr>
        <w:t>Schools</w:t>
      </w:r>
      <w:r w:rsidR="00195D76" w:rsidRPr="0087752B">
        <w:rPr>
          <w:b/>
          <w:color w:val="7F7F7F" w:themeColor="text1" w:themeTint="80"/>
        </w:rPr>
        <w:br/>
      </w:r>
      <w:r w:rsidRPr="0087752B">
        <w:rPr>
          <w:b/>
          <w:color w:val="7F7F7F" w:themeColor="text1" w:themeTint="80"/>
        </w:rPr>
        <w:t>Dr David Howes</w:t>
      </w:r>
    </w:p>
    <w:p w14:paraId="22B3D369" w14:textId="598ED89D" w:rsidR="006016B9" w:rsidRPr="0087752B" w:rsidRDefault="006016B9" w:rsidP="006016B9">
      <w:r w:rsidRPr="0087752B">
        <w:t>Dr David Howes is Assistant Deputy Secretary</w:t>
      </w:r>
      <w:r w:rsidR="00B06649">
        <w:t>—</w:t>
      </w:r>
      <w:r w:rsidRPr="0087752B">
        <w:t>Schools, part of the Department’s Early Childhood and School Education Group responsible for four divisions: Wellbeing, Health and Engagement; Secondary Reform Transitions and Priority Cohorts; International Education; and Health Advice and Policy. The position liaises with the Assistant Deputy Secretary</w:t>
      </w:r>
      <w:r w:rsidR="00B06649">
        <w:t>—</w:t>
      </w:r>
      <w:r w:rsidRPr="0087752B">
        <w:t>Early Childhood regarding primary education and transitions from early childhood to school education.</w:t>
      </w:r>
    </w:p>
    <w:p w14:paraId="67C220E2" w14:textId="6438BBF2" w:rsidR="006016B9" w:rsidRPr="0087752B" w:rsidRDefault="006016B9" w:rsidP="006016B9">
      <w:r w:rsidRPr="0087752B">
        <w:t>David was previously Executive Director of the Curriculum Division at the Victorian Curriculum and Assessment Authority (VCAA), where he was responsible for the development and review of the curriculum for preschool to senior secondary education in Victoria. This included the Victorian Early Years Learning and Development Framework (VEYLDF), the Victorian Curriculum F–10, the VCE, VET and VCAL; and for setting senior secondary examinations in 44 subjects across the curriculum.</w:t>
      </w:r>
    </w:p>
    <w:p w14:paraId="1D7471B8" w14:textId="2EA9BF90" w:rsidR="006016B9" w:rsidRPr="0087752B" w:rsidRDefault="00843F76" w:rsidP="006016B9">
      <w:r>
        <w:t>David</w:t>
      </w:r>
      <w:r w:rsidR="006016B9" w:rsidRPr="0087752B">
        <w:t xml:space="preserve"> worked for more than 25 years as a teacher and educator in Australia and overseas, including the United Kingdom, the Middle East and Cambodia.</w:t>
      </w:r>
    </w:p>
    <w:p w14:paraId="2BA7BD85" w14:textId="77777777" w:rsidR="00405E13" w:rsidRDefault="00405E13">
      <w:pPr>
        <w:spacing w:after="200" w:line="276" w:lineRule="auto"/>
        <w:rPr>
          <w:rFonts w:cs="Arial"/>
          <w:bCs/>
          <w:iCs/>
          <w:sz w:val="28"/>
          <w:szCs w:val="28"/>
        </w:rPr>
      </w:pPr>
      <w:bookmarkStart w:id="120" w:name="_Toc458069600"/>
      <w:bookmarkStart w:id="121" w:name="_Toc458072379"/>
      <w:bookmarkStart w:id="122" w:name="_Toc458088562"/>
      <w:bookmarkStart w:id="123" w:name="_Toc461013260"/>
      <w:bookmarkStart w:id="124" w:name="_Toc461025838"/>
      <w:r>
        <w:br w:type="page"/>
      </w:r>
    </w:p>
    <w:p w14:paraId="5B87D07C" w14:textId="1E011C4F" w:rsidR="006016B9" w:rsidRPr="0087752B" w:rsidRDefault="006016B9" w:rsidP="00195D76">
      <w:pPr>
        <w:pStyle w:val="DETHeading2"/>
      </w:pPr>
      <w:bookmarkStart w:id="125" w:name="_Toc462405133"/>
      <w:r w:rsidRPr="0087752B">
        <w:lastRenderedPageBreak/>
        <w:t>Organisational structure</w:t>
      </w:r>
      <w:bookmarkEnd w:id="120"/>
      <w:bookmarkEnd w:id="121"/>
      <w:bookmarkEnd w:id="122"/>
      <w:bookmarkEnd w:id="123"/>
      <w:bookmarkEnd w:id="124"/>
      <w:bookmarkEnd w:id="125"/>
    </w:p>
    <w:p w14:paraId="04560110" w14:textId="77777777" w:rsidR="006016B9" w:rsidRDefault="006016B9" w:rsidP="00ED58B9">
      <w:pPr>
        <w:pStyle w:val="Heading3"/>
      </w:pPr>
      <w:r w:rsidRPr="0087752B">
        <w:t>Organisational structure at 30 June 2016</w:t>
      </w:r>
    </w:p>
    <w:p w14:paraId="64F6BCDC" w14:textId="77777777" w:rsidR="00430B4E" w:rsidRPr="00430B4E" w:rsidRDefault="00430B4E" w:rsidP="00430B4E"/>
    <w:p w14:paraId="72737862" w14:textId="40211ABE" w:rsidR="006016B9" w:rsidRPr="005C767D" w:rsidRDefault="00626564" w:rsidP="006016B9">
      <w:pPr>
        <w:rPr>
          <w:sz w:val="22"/>
        </w:rPr>
      </w:pPr>
      <w:r>
        <w:object w:dxaOrig="8078" w:dyaOrig="13407" w14:anchorId="62D5D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602.25pt" o:ole="">
            <v:imagedata r:id="rId18" o:title=""/>
          </v:shape>
          <o:OLEObject Type="Embed" ProgID="Visio.Drawing.11" ShapeID="_x0000_i1025" DrawAspect="Content" ObjectID="_1546152116" r:id="rId19"/>
        </w:object>
      </w:r>
      <w:r w:rsidR="006016B9" w:rsidRPr="005C767D">
        <w:br w:type="page"/>
      </w:r>
      <w:r w:rsidR="006016B9" w:rsidRPr="005C767D">
        <w:rPr>
          <w:sz w:val="22"/>
        </w:rPr>
        <w:lastRenderedPageBreak/>
        <w:t>People and Executive Services Group</w:t>
      </w:r>
    </w:p>
    <w:p w14:paraId="52DE42EF" w14:textId="77777777" w:rsidR="006016B9" w:rsidRPr="0087752B" w:rsidRDefault="006016B9" w:rsidP="006016B9">
      <w:r w:rsidRPr="0087752B">
        <w:t xml:space="preserve">The People and Executive Services Group (PESG) provides specialist advice and expertise to lead and shape the direction of the Department and enhance the Department’s culture and people’s capabilities. PESG provides critical support centrally, regionally and across all of the Department’s portfolios encompassing legal services, human resources, people and culture, communications and media, change strategy, integrity reform, cabinet, ministerial support, information strategy and audit and assurance. </w:t>
      </w:r>
    </w:p>
    <w:p w14:paraId="33BAA411" w14:textId="77777777" w:rsidR="006016B9" w:rsidRPr="0087752B" w:rsidRDefault="006016B9" w:rsidP="00F122BC">
      <w:pPr>
        <w:pStyle w:val="Heading3"/>
      </w:pPr>
      <w:r w:rsidRPr="0087752B">
        <w:t>Infrastructure and Finance Services Group</w:t>
      </w:r>
    </w:p>
    <w:p w14:paraId="1A34E078" w14:textId="0F76DDA4" w:rsidR="006016B9" w:rsidRPr="005C767D" w:rsidRDefault="006016B9" w:rsidP="006016B9">
      <w:r w:rsidRPr="0087752B">
        <w:t xml:space="preserve">The Infrastructure and Finance Services Group (IFSG) develops and implements finance and infrastructure policies, procedures and strategies. It provides direct services to the Department’s central office, regional offices and government schools in the areas of finance and resourcing, information technology, procurement, project management, environmental support and infrastructure. The Group plays a key role in ensuring the State Government’s priority school infrastructure initiatives are delivered and in 2016 the Victorian School Building Authority, a new body within the Department was established to build, upgrade and maintain schools across the </w:t>
      </w:r>
      <w:r w:rsidR="00B06649">
        <w:t>s</w:t>
      </w:r>
      <w:r w:rsidR="00B06649" w:rsidRPr="005C767D">
        <w:t>tate</w:t>
      </w:r>
      <w:r w:rsidRPr="005C767D">
        <w:t xml:space="preserve">.   </w:t>
      </w:r>
    </w:p>
    <w:p w14:paraId="79940939" w14:textId="77777777" w:rsidR="006016B9" w:rsidRPr="0087752B" w:rsidRDefault="006016B9" w:rsidP="00F122BC">
      <w:pPr>
        <w:pStyle w:val="Heading3"/>
      </w:pPr>
      <w:r w:rsidRPr="0087752B">
        <w:t>Policy Reform Group</w:t>
      </w:r>
    </w:p>
    <w:p w14:paraId="3F32C14C" w14:textId="30548286" w:rsidR="006016B9" w:rsidRPr="0087752B" w:rsidRDefault="006016B9" w:rsidP="006016B9">
      <w:r w:rsidRPr="0087752B">
        <w:t>The Policy Reform Group (PRG) provides system-wide policy leadership to drive strategic reform across the Department. PRG works collaboratively with other groups to build the long</w:t>
      </w:r>
      <w:r w:rsidR="00B06649">
        <w:t>-</w:t>
      </w:r>
      <w:r w:rsidRPr="005C767D">
        <w:t>term reform agenda for the Department, develop coherence, clarity and dire</w:t>
      </w:r>
      <w:r w:rsidRPr="0087752B">
        <w:t>ction on complex policy issues, and foster the relations and connections that support policy reform and shape implementation.</w:t>
      </w:r>
    </w:p>
    <w:p w14:paraId="192E688A" w14:textId="77777777" w:rsidR="006016B9" w:rsidRPr="0087752B" w:rsidRDefault="006016B9" w:rsidP="00F122BC">
      <w:pPr>
        <w:pStyle w:val="Heading3"/>
      </w:pPr>
      <w:r w:rsidRPr="0087752B">
        <w:t>Strategy and Performance Group</w:t>
      </w:r>
    </w:p>
    <w:p w14:paraId="246D2723" w14:textId="3EEEF8B0" w:rsidR="006016B9" w:rsidRPr="0087752B" w:rsidRDefault="006016B9" w:rsidP="006016B9">
      <w:r w:rsidRPr="0087752B">
        <w:t xml:space="preserve">The Strategy and Performance Group (SPG) brings together the </w:t>
      </w:r>
      <w:r w:rsidR="00B06649" w:rsidRPr="0087752B">
        <w:t>Department</w:t>
      </w:r>
      <w:r w:rsidR="00B06649">
        <w:t>’</w:t>
      </w:r>
      <w:r w:rsidR="00B06649" w:rsidRPr="005C767D">
        <w:t xml:space="preserve">s </w:t>
      </w:r>
      <w:r w:rsidRPr="0087752B">
        <w:t>strategic planning, data and evidence, program management office functions and intergovernmental relations. With these functions, SPG provides a system view of Departmental strategy, data, evidence, evaluation, planning and performance. SPG supports the Department’s operating model and way of working</w:t>
      </w:r>
      <w:r w:rsidR="00B06649">
        <w:t>—</w:t>
      </w:r>
      <w:r w:rsidRPr="0087752B">
        <w:t xml:space="preserve">by defining policy strategy, making evidence available to those who need it, and strengthening the way reform is implemented. </w:t>
      </w:r>
    </w:p>
    <w:p w14:paraId="0A833B9D" w14:textId="77777777" w:rsidR="006016B9" w:rsidRPr="0087752B" w:rsidRDefault="006016B9" w:rsidP="00F122BC">
      <w:pPr>
        <w:pStyle w:val="Heading3"/>
      </w:pPr>
      <w:r w:rsidRPr="0087752B">
        <w:t>Early Childhood and School Education Group</w:t>
      </w:r>
    </w:p>
    <w:p w14:paraId="6792BDF7" w14:textId="768CE4BE" w:rsidR="006016B9" w:rsidRPr="0087752B" w:rsidRDefault="006016B9" w:rsidP="006016B9">
      <w:r w:rsidRPr="0087752B">
        <w:t>The Early Childhood and School Education Group (ECSEG) is responsible for the design and development of operational policy and programs to support improved outcomes for children, students and families from birth through school. ECSEG plays a key role in policy design and development to provide a person-centred, outcomes</w:t>
      </w:r>
      <w:r w:rsidR="00B06649">
        <w:t>-</w:t>
      </w:r>
      <w:r w:rsidRPr="005C767D">
        <w:t>focus</w:t>
      </w:r>
      <w:r w:rsidRPr="0087752B">
        <w:t>ed and integrated service system. This is achieved through four key roles:</w:t>
      </w:r>
    </w:p>
    <w:p w14:paraId="038E94F6" w14:textId="16303ED8" w:rsidR="006016B9" w:rsidRPr="0087752B" w:rsidRDefault="006016B9" w:rsidP="00F122BC">
      <w:pPr>
        <w:pStyle w:val="DETNormallistbullet"/>
      </w:pPr>
      <w:r w:rsidRPr="0087752B">
        <w:lastRenderedPageBreak/>
        <w:t>System architect</w:t>
      </w:r>
      <w:r w:rsidR="005C767D">
        <w:t>—</w:t>
      </w:r>
      <w:r w:rsidRPr="0087752B">
        <w:t>providing advice to Government on service system design, planning, funding and regulation.</w:t>
      </w:r>
    </w:p>
    <w:p w14:paraId="0FF547E2" w14:textId="79AE0EB3" w:rsidR="006016B9" w:rsidRPr="005C767D" w:rsidRDefault="006016B9" w:rsidP="00F122BC">
      <w:pPr>
        <w:pStyle w:val="DETNormallistbullet"/>
      </w:pPr>
      <w:r w:rsidRPr="0087752B">
        <w:t>Regulator</w:t>
      </w:r>
      <w:r w:rsidR="005C767D">
        <w:t>—</w:t>
      </w:r>
      <w:r w:rsidRPr="005C767D">
        <w:t xml:space="preserve">supporting regulation across the early childhood sector as required by the </w:t>
      </w:r>
      <w:r w:rsidRPr="00995AEA">
        <w:rPr>
          <w:i/>
        </w:rPr>
        <w:t>Education and Care Services National Law Act 2010</w:t>
      </w:r>
      <w:r w:rsidRPr="005C767D">
        <w:t xml:space="preserve"> and </w:t>
      </w:r>
      <w:r w:rsidRPr="00995AEA">
        <w:rPr>
          <w:i/>
        </w:rPr>
        <w:t>Children’s Services Act 1996</w:t>
      </w:r>
      <w:r w:rsidRPr="005C767D">
        <w:t>.</w:t>
      </w:r>
    </w:p>
    <w:p w14:paraId="4FD36A83" w14:textId="2576E33D" w:rsidR="006016B9" w:rsidRPr="0087752B" w:rsidRDefault="006016B9" w:rsidP="00F122BC">
      <w:pPr>
        <w:pStyle w:val="DETNormallistbullet"/>
      </w:pPr>
      <w:r w:rsidRPr="005C767D">
        <w:t>Funder/purchaser</w:t>
      </w:r>
      <w:r w:rsidR="005C767D">
        <w:t>—</w:t>
      </w:r>
      <w:r w:rsidRPr="0087752B">
        <w:t>administering the funding and associated reporting requirements for service providers.</w:t>
      </w:r>
    </w:p>
    <w:p w14:paraId="7CAA1361" w14:textId="5CF85886" w:rsidR="006016B9" w:rsidRPr="0087752B" w:rsidRDefault="006016B9" w:rsidP="00F122BC">
      <w:pPr>
        <w:pStyle w:val="DETNormallistbullet"/>
      </w:pPr>
      <w:r w:rsidRPr="0087752B">
        <w:t>System and program designer</w:t>
      </w:r>
      <w:r w:rsidR="005C767D">
        <w:t>—</w:t>
      </w:r>
      <w:r w:rsidRPr="0087752B">
        <w:t>developing operational policy to support the delivery of high quality, effective educational and early years programs, services and supports.</w:t>
      </w:r>
    </w:p>
    <w:p w14:paraId="23B670BE" w14:textId="77777777" w:rsidR="006016B9" w:rsidRPr="0087752B" w:rsidRDefault="006016B9" w:rsidP="00F122BC">
      <w:pPr>
        <w:pStyle w:val="Heading3"/>
      </w:pPr>
      <w:r w:rsidRPr="0087752B">
        <w:t>Regional Services Group</w:t>
      </w:r>
    </w:p>
    <w:p w14:paraId="290FF048" w14:textId="77777777" w:rsidR="006016B9" w:rsidRPr="0087752B" w:rsidRDefault="006016B9" w:rsidP="006016B9">
      <w:r w:rsidRPr="0087752B">
        <w:t>The Regional Services Group (RSG) provides an interface between the Department's central office and our service providers to make sure that policy intent and outcomes are delivered on the ground. RSG has a strong focus on driving operational performance, accountability, workforce leadership and policy implementation. Regional and Area teams lead place-based approaches to service delivery and are responsible for managing this through our schools and early childhood providers in local communities across Victoria.</w:t>
      </w:r>
    </w:p>
    <w:p w14:paraId="05306083" w14:textId="77777777" w:rsidR="006016B9" w:rsidRPr="0087752B" w:rsidRDefault="006016B9" w:rsidP="00F122BC">
      <w:pPr>
        <w:pStyle w:val="Heading3"/>
      </w:pPr>
      <w:r w:rsidRPr="0087752B">
        <w:t>Higher Education and Skills Group</w:t>
      </w:r>
    </w:p>
    <w:p w14:paraId="1A0D3FE2" w14:textId="77777777" w:rsidR="00242176" w:rsidRDefault="00242176" w:rsidP="006016B9">
      <w:r w:rsidRPr="00242176">
        <w:t>The Higher Education and Skills Group (HESG) is responsible for the oversight of the training and TAFE system in Victoria. The purpose of the sector is to offer Victorians post school education and training to enhance their skills and knowledge to be active participants in the Victorian economy and society. This includes responsibility for the Skills First reforms announced in August 2016.</w:t>
      </w:r>
      <w:r>
        <w:t xml:space="preserve"> </w:t>
      </w:r>
    </w:p>
    <w:p w14:paraId="2BF33FA2" w14:textId="09587E8C" w:rsidR="006016B9" w:rsidRPr="005C767D" w:rsidRDefault="006016B9" w:rsidP="006016B9">
      <w:r w:rsidRPr="0087752B">
        <w:t xml:space="preserve">Although higher education policy and funding responsibilities rests with the Commonwealth government, the group assists the Minister to exercise responsibilities concerning university governance, assets and capital financing in line with their establishment under </w:t>
      </w:r>
      <w:r w:rsidR="005C767D">
        <w:t>s</w:t>
      </w:r>
      <w:r w:rsidR="005C767D" w:rsidRPr="005C767D">
        <w:t xml:space="preserve">tate </w:t>
      </w:r>
      <w:r w:rsidRPr="005C767D">
        <w:t xml:space="preserve">legislation. </w:t>
      </w:r>
    </w:p>
    <w:p w14:paraId="2DDCEC9D" w14:textId="77777777" w:rsidR="006016B9" w:rsidRPr="0087752B" w:rsidRDefault="006016B9" w:rsidP="00F122BC">
      <w:pPr>
        <w:pStyle w:val="DETHeading2"/>
      </w:pPr>
      <w:bookmarkStart w:id="126" w:name="_Toc458069601"/>
      <w:bookmarkStart w:id="127" w:name="_Toc458072380"/>
      <w:bookmarkStart w:id="128" w:name="_Toc458088563"/>
      <w:bookmarkStart w:id="129" w:name="_Toc461013261"/>
      <w:bookmarkStart w:id="130" w:name="_Toc461025839"/>
      <w:bookmarkStart w:id="131" w:name="_Toc462405134"/>
      <w:r w:rsidRPr="0087752B">
        <w:t>Portfolio Audit and Risk Committee</w:t>
      </w:r>
      <w:bookmarkEnd w:id="126"/>
      <w:bookmarkEnd w:id="127"/>
      <w:bookmarkEnd w:id="128"/>
      <w:bookmarkEnd w:id="129"/>
      <w:bookmarkEnd w:id="130"/>
      <w:bookmarkEnd w:id="131"/>
    </w:p>
    <w:p w14:paraId="0F6E16CF" w14:textId="4AF31ACC" w:rsidR="006016B9" w:rsidRPr="005C767D" w:rsidRDefault="006016B9" w:rsidP="006016B9">
      <w:r w:rsidRPr="0087752B">
        <w:t xml:space="preserve">Refer to page </w:t>
      </w:r>
      <w:r w:rsidR="005C767D" w:rsidRPr="00300489">
        <w:fldChar w:fldCharType="begin"/>
      </w:r>
      <w:r w:rsidR="005C767D" w:rsidRPr="00300489">
        <w:instrText xml:space="preserve"> PAGEREF _Ref461707326 \h </w:instrText>
      </w:r>
      <w:r w:rsidR="005C767D" w:rsidRPr="00300489">
        <w:fldChar w:fldCharType="separate"/>
      </w:r>
      <w:r w:rsidR="00EF67CF">
        <w:rPr>
          <w:noProof/>
        </w:rPr>
        <w:t>41</w:t>
      </w:r>
      <w:r w:rsidR="005C767D" w:rsidRPr="00300489">
        <w:fldChar w:fldCharType="end"/>
      </w:r>
      <w:r w:rsidRPr="005C767D">
        <w:t xml:space="preserve"> for a description of the role of the Portfolio Audit and Risk Committee.</w:t>
      </w:r>
    </w:p>
    <w:p w14:paraId="0D6DB987" w14:textId="77777777" w:rsidR="006016B9" w:rsidRPr="0087752B" w:rsidRDefault="006016B9" w:rsidP="006016B9">
      <w:r w:rsidRPr="0087752B">
        <w:t>The committee comprises six members, four independent and two executive officers from within the Department. All members are appointed by the Secretary. The Chief Finance Officer and Chief Audit Executive also attend all committee meetings.</w:t>
      </w:r>
    </w:p>
    <w:p w14:paraId="4573179B" w14:textId="06F0E4DD" w:rsidR="006016B9" w:rsidRPr="0087752B" w:rsidRDefault="006016B9" w:rsidP="006016B9">
      <w:pPr>
        <w:rPr>
          <w:b/>
          <w:color w:val="7F7F7F" w:themeColor="text1" w:themeTint="80"/>
        </w:rPr>
      </w:pPr>
      <w:r w:rsidRPr="0087752B">
        <w:rPr>
          <w:b/>
          <w:color w:val="7F7F7F" w:themeColor="text1" w:themeTint="80"/>
        </w:rPr>
        <w:t>Independent member</w:t>
      </w:r>
      <w:r w:rsidR="00F122BC" w:rsidRPr="0087752B">
        <w:rPr>
          <w:b/>
          <w:color w:val="7F7F7F" w:themeColor="text1" w:themeTint="80"/>
        </w:rPr>
        <w:br/>
      </w:r>
      <w:r w:rsidRPr="0087752B">
        <w:rPr>
          <w:b/>
          <w:color w:val="7F7F7F" w:themeColor="text1" w:themeTint="80"/>
        </w:rPr>
        <w:t>Ms Fiona Bennett, Chair</w:t>
      </w:r>
    </w:p>
    <w:p w14:paraId="6B5D6B8C" w14:textId="7EBB70A5" w:rsidR="006016B9" w:rsidRPr="0087752B" w:rsidRDefault="006016B9" w:rsidP="006016B9">
      <w:r w:rsidRPr="0087752B">
        <w:t>2 December 2013</w:t>
      </w:r>
      <w:r w:rsidRPr="005C767D">
        <w:t xml:space="preserve"> – 2 December 2016</w:t>
      </w:r>
    </w:p>
    <w:p w14:paraId="79F3DCAE" w14:textId="77777777" w:rsidR="006016B9" w:rsidRPr="0087752B" w:rsidRDefault="006016B9" w:rsidP="006016B9">
      <w:r w:rsidRPr="0087752B">
        <w:lastRenderedPageBreak/>
        <w:t>Fiona Bennett is a director of a number of entities including Beach Energy Limited, Hills Limited and Boom Logistics Limited. She is also Chair of the Legal Services Board (Victoria).</w:t>
      </w:r>
    </w:p>
    <w:p w14:paraId="1B66051C" w14:textId="77777777" w:rsidR="006016B9" w:rsidRPr="0087752B" w:rsidRDefault="006016B9" w:rsidP="006016B9">
      <w:r w:rsidRPr="0087752B">
        <w:t>She is a chartered accountant with extensive experience in commercial and financial management, governance, risk management and auditing. She has held senior executive positions at BHP Billiton Ltd and Coles Group Ltd, and was Chief Financial Officer of several health sector organisations.</w:t>
      </w:r>
    </w:p>
    <w:p w14:paraId="33DECD6D" w14:textId="77777777" w:rsidR="006016B9" w:rsidRPr="0087752B" w:rsidRDefault="006016B9" w:rsidP="006016B9">
      <w:r w:rsidRPr="0087752B">
        <w:t>Fiona is a Fellow of the Institute of Chartered Accountants, the Australian Institute of Company Directors and the Australian Institute of Management.</w:t>
      </w:r>
    </w:p>
    <w:p w14:paraId="057BA8AA" w14:textId="34A053F2" w:rsidR="006016B9" w:rsidRPr="0087752B" w:rsidRDefault="006016B9" w:rsidP="006016B9">
      <w:pPr>
        <w:rPr>
          <w:b/>
          <w:color w:val="7F7F7F" w:themeColor="text1" w:themeTint="80"/>
        </w:rPr>
      </w:pPr>
      <w:r w:rsidRPr="0087752B">
        <w:rPr>
          <w:b/>
          <w:color w:val="7F7F7F" w:themeColor="text1" w:themeTint="80"/>
        </w:rPr>
        <w:t xml:space="preserve">Independent member </w:t>
      </w:r>
      <w:r w:rsidR="00F122BC" w:rsidRPr="0087752B">
        <w:rPr>
          <w:b/>
          <w:color w:val="7F7F7F" w:themeColor="text1" w:themeTint="80"/>
        </w:rPr>
        <w:br/>
      </w:r>
      <w:r w:rsidRPr="0087752B">
        <w:rPr>
          <w:b/>
          <w:color w:val="7F7F7F" w:themeColor="text1" w:themeTint="80"/>
        </w:rPr>
        <w:t>Ms Carol Pagnon</w:t>
      </w:r>
    </w:p>
    <w:p w14:paraId="740241F8" w14:textId="77777777" w:rsidR="006016B9" w:rsidRPr="005C767D" w:rsidRDefault="006016B9" w:rsidP="006016B9">
      <w:r w:rsidRPr="0087752B">
        <w:t>25 February 2014</w:t>
      </w:r>
      <w:r w:rsidRPr="005C767D">
        <w:t xml:space="preserve"> – 24 February 2017   </w:t>
      </w:r>
    </w:p>
    <w:p w14:paraId="15A9BA7C" w14:textId="76345D06" w:rsidR="006016B9" w:rsidRPr="005C767D" w:rsidRDefault="006016B9" w:rsidP="006016B9">
      <w:r w:rsidRPr="0087752B">
        <w:t xml:space="preserve">Carol Pagnon has extensive senior executive experience in strategic oversight and planning, </w:t>
      </w:r>
      <w:r w:rsidR="005C767D" w:rsidRPr="0087752B">
        <w:t>decision making</w:t>
      </w:r>
      <w:r w:rsidRPr="0087752B">
        <w:t xml:space="preserve">, and learning and development. She has </w:t>
      </w:r>
      <w:r w:rsidR="005C767D">
        <w:t xml:space="preserve">gained </w:t>
      </w:r>
      <w:r w:rsidRPr="005C767D">
        <w:t>specialist experience in accounting and assurance, governance, project and organisation risk management and compliance matters, primarily within the Victorian public sector</w:t>
      </w:r>
      <w:r w:rsidR="005C767D">
        <w:t>,</w:t>
      </w:r>
      <w:r w:rsidRPr="005C767D">
        <w:t xml:space="preserve"> while </w:t>
      </w:r>
      <w:r w:rsidR="005C767D">
        <w:t xml:space="preserve">acting as </w:t>
      </w:r>
      <w:r w:rsidRPr="005C767D">
        <w:t>Director, Assurance Operations and in the Victorian Auditor-General’s Office.</w:t>
      </w:r>
    </w:p>
    <w:p w14:paraId="2B63F666" w14:textId="77777777" w:rsidR="006016B9" w:rsidRPr="0087752B" w:rsidRDefault="006016B9" w:rsidP="006016B9">
      <w:r w:rsidRPr="0087752B">
        <w:t>Carol facilitates and advises on governance, risk management, project management and change management in the public and not-for-profit sectors.</w:t>
      </w:r>
    </w:p>
    <w:p w14:paraId="34F0683E" w14:textId="77777777" w:rsidR="006016B9" w:rsidRPr="0087752B" w:rsidRDefault="006016B9" w:rsidP="006016B9">
      <w:r w:rsidRPr="0087752B">
        <w:t>She is a Fellow of CPA Australia and a graduate of the Australian Institute of Company Directors.</w:t>
      </w:r>
    </w:p>
    <w:p w14:paraId="05DBED6A" w14:textId="117B260A" w:rsidR="006016B9" w:rsidRPr="0087752B" w:rsidRDefault="006016B9" w:rsidP="006016B9">
      <w:pPr>
        <w:rPr>
          <w:b/>
          <w:color w:val="7F7F7F" w:themeColor="text1" w:themeTint="80"/>
        </w:rPr>
      </w:pPr>
      <w:r w:rsidRPr="0087752B">
        <w:rPr>
          <w:b/>
          <w:color w:val="7F7F7F" w:themeColor="text1" w:themeTint="80"/>
        </w:rPr>
        <w:t>Independent Member</w:t>
      </w:r>
      <w:r w:rsidR="00F122BC" w:rsidRPr="0087752B">
        <w:rPr>
          <w:b/>
          <w:color w:val="7F7F7F" w:themeColor="text1" w:themeTint="80"/>
        </w:rPr>
        <w:br/>
      </w:r>
      <w:r w:rsidRPr="0087752B">
        <w:rPr>
          <w:b/>
          <w:color w:val="7F7F7F" w:themeColor="text1" w:themeTint="80"/>
        </w:rPr>
        <w:t>Ms Kerrie Parker</w:t>
      </w:r>
    </w:p>
    <w:p w14:paraId="612FBBA5" w14:textId="77777777" w:rsidR="006016B9" w:rsidRPr="005C767D" w:rsidRDefault="006016B9" w:rsidP="006016B9">
      <w:r w:rsidRPr="0087752B">
        <w:t>1 December 2015</w:t>
      </w:r>
      <w:r w:rsidRPr="005C767D">
        <w:t xml:space="preserve"> – 31 December 2018</w:t>
      </w:r>
    </w:p>
    <w:p w14:paraId="7F3E955C" w14:textId="77777777" w:rsidR="006016B9" w:rsidRPr="0087752B" w:rsidRDefault="006016B9" w:rsidP="006016B9">
      <w:r w:rsidRPr="0087752B">
        <w:t xml:space="preserve">Kerrie Parker has held CEO, CFO and executive leadership roles in fast moving consumer goods, agriculture, manufacturing, financial services and state government. With more than 30 years’ experience, Kerrie has led during growth, turnaround and crisis situations. Kerrie has strong financial and operational experience in driving improvements via process optimisation, business improvements and structural change. </w:t>
      </w:r>
    </w:p>
    <w:p w14:paraId="1EF4E442" w14:textId="442F9E63" w:rsidR="006016B9" w:rsidRPr="0087752B" w:rsidRDefault="006016B9" w:rsidP="006016B9">
      <w:r w:rsidRPr="0087752B">
        <w:t xml:space="preserve">She has been involved in several successful business transformations and gained experience in ASX </w:t>
      </w:r>
      <w:r w:rsidR="005C767D" w:rsidRPr="0087752B">
        <w:t>publicly</w:t>
      </w:r>
      <w:r w:rsidRPr="0087752B">
        <w:t xml:space="preserve">-listed, multinational and private equity companies, as well as state government bodies and the higher education sector. </w:t>
      </w:r>
    </w:p>
    <w:p w14:paraId="33E578F1" w14:textId="71DC0A43" w:rsidR="006016B9" w:rsidRPr="0087752B" w:rsidRDefault="006016B9" w:rsidP="006016B9">
      <w:r w:rsidRPr="0087752B">
        <w:t xml:space="preserve">Kerrie also managed large scale Victorian Government change projects during a period of major transformation and reform. She focused on adding value through strong and proper financial management practices, and on innovative business solutions. </w:t>
      </w:r>
    </w:p>
    <w:p w14:paraId="055D7B8A" w14:textId="77777777" w:rsidR="006016B9" w:rsidRPr="0087752B" w:rsidRDefault="006016B9" w:rsidP="006016B9">
      <w:r w:rsidRPr="0087752B">
        <w:t xml:space="preserve">Kerrie is currently the Chief Financial Officer at Deakin University and is also an independent company director. She is a Fellow of Certified Practicing Accountants, Australia and a graduate of the Australian Institute of Company Directors. </w:t>
      </w:r>
    </w:p>
    <w:p w14:paraId="6E590345" w14:textId="7F0E5D52" w:rsidR="006016B9" w:rsidRPr="0087752B" w:rsidRDefault="006016B9" w:rsidP="006016B9">
      <w:pPr>
        <w:rPr>
          <w:b/>
          <w:color w:val="7F7F7F" w:themeColor="text1" w:themeTint="80"/>
        </w:rPr>
      </w:pPr>
      <w:r w:rsidRPr="0087752B">
        <w:rPr>
          <w:b/>
          <w:color w:val="7F7F7F" w:themeColor="text1" w:themeTint="80"/>
        </w:rPr>
        <w:lastRenderedPageBreak/>
        <w:t xml:space="preserve">Independent member </w:t>
      </w:r>
      <w:r w:rsidR="00F122BC" w:rsidRPr="0087752B">
        <w:rPr>
          <w:b/>
          <w:color w:val="7F7F7F" w:themeColor="text1" w:themeTint="80"/>
        </w:rPr>
        <w:br/>
      </w:r>
      <w:r w:rsidRPr="0087752B">
        <w:rPr>
          <w:b/>
          <w:color w:val="7F7F7F" w:themeColor="text1" w:themeTint="80"/>
        </w:rPr>
        <w:t>Mr Stuart Alford</w:t>
      </w:r>
    </w:p>
    <w:p w14:paraId="67DF595D" w14:textId="6B8ECCF6" w:rsidR="006016B9" w:rsidRPr="005C767D" w:rsidRDefault="006016B9" w:rsidP="006016B9">
      <w:r w:rsidRPr="0087752B">
        <w:t>9 July 2015</w:t>
      </w:r>
      <w:r w:rsidRPr="005C767D">
        <w:t xml:space="preserve"> – 31 July 2018</w:t>
      </w:r>
    </w:p>
    <w:p w14:paraId="7E7422D1" w14:textId="77777777" w:rsidR="006016B9" w:rsidRPr="0087752B" w:rsidRDefault="006016B9" w:rsidP="006016B9">
      <w:r w:rsidRPr="0087752B">
        <w:t xml:space="preserve">Stuart Alford retired from Ernst &amp; Young after 40 years in professional practice, including 27 years as a partner. He is now a non-executive director with extensive experience in governance, risk management and auditing. </w:t>
      </w:r>
    </w:p>
    <w:p w14:paraId="4868AA8E" w14:textId="77777777" w:rsidR="006016B9" w:rsidRPr="0087752B" w:rsidRDefault="006016B9" w:rsidP="006016B9">
      <w:r w:rsidRPr="0087752B">
        <w:t xml:space="preserve">Stuart serves as the Chair of the Centre of Excellence for Intervention and Prevention Science and is on the boards of Eastern Health, Metropolitan Fire and Emergency Services, AMES Australia (Adult Multicultural Education Services) and Kilvington Grammar School. He also holds audit, risk and finance committee roles with a number of organisations, including the Victorian Curriculum and Assessment Authority, the Office of the Australian Accounting Standards Board, and the Office of the Auditing and Assurance Standards Board. </w:t>
      </w:r>
    </w:p>
    <w:p w14:paraId="7263E286" w14:textId="77777777" w:rsidR="006016B9" w:rsidRPr="0087752B" w:rsidRDefault="006016B9" w:rsidP="006016B9">
      <w:r w:rsidRPr="0087752B">
        <w:t xml:space="preserve">Stuart is a Fellow of the Institute of Chartered Accountant in Australia and an Associate member of the Australian Institute of Company Directors. </w:t>
      </w:r>
    </w:p>
    <w:p w14:paraId="7CF61FD1" w14:textId="77777777" w:rsidR="006016B9" w:rsidRPr="0087752B" w:rsidRDefault="006016B9" w:rsidP="00F122BC">
      <w:pPr>
        <w:pStyle w:val="Heading3"/>
      </w:pPr>
      <w:r w:rsidRPr="0087752B">
        <w:t>Department executive members</w:t>
      </w:r>
    </w:p>
    <w:p w14:paraId="092F9FEC" w14:textId="77777777" w:rsidR="006016B9" w:rsidRPr="0087752B" w:rsidRDefault="006016B9" w:rsidP="006016B9">
      <w:pPr>
        <w:rPr>
          <w:b/>
          <w:color w:val="7F7F7F" w:themeColor="text1" w:themeTint="80"/>
        </w:rPr>
      </w:pPr>
      <w:r w:rsidRPr="0087752B">
        <w:rPr>
          <w:b/>
          <w:color w:val="7F7F7F" w:themeColor="text1" w:themeTint="80"/>
        </w:rPr>
        <w:t>Ms Kate Rattigan, Deputy Secretary, People and Executive Services Group</w:t>
      </w:r>
    </w:p>
    <w:p w14:paraId="0316D21E" w14:textId="77777777" w:rsidR="006016B9" w:rsidRPr="0087752B" w:rsidRDefault="006016B9" w:rsidP="006016B9">
      <w:r w:rsidRPr="0087752B">
        <w:t xml:space="preserve">8 December 2015 – 31 December 2018   </w:t>
      </w:r>
    </w:p>
    <w:p w14:paraId="1D8770EA" w14:textId="4B357CF6" w:rsidR="006016B9" w:rsidRPr="0087752B" w:rsidRDefault="00ED1B53" w:rsidP="006016B9">
      <w:pPr>
        <w:rPr>
          <w:b/>
          <w:color w:val="7F7F7F" w:themeColor="text1" w:themeTint="80"/>
        </w:rPr>
      </w:pPr>
      <w:r>
        <w:rPr>
          <w:b/>
          <w:color w:val="7F7F7F" w:themeColor="text1" w:themeTint="80"/>
        </w:rPr>
        <w:t xml:space="preserve">Mr </w:t>
      </w:r>
      <w:r w:rsidR="006016B9" w:rsidRPr="0087752B">
        <w:rPr>
          <w:b/>
          <w:color w:val="7F7F7F" w:themeColor="text1" w:themeTint="80"/>
        </w:rPr>
        <w:t>Craig Robertson, Deputy Secretary, Higher Education and Skills Group</w:t>
      </w:r>
    </w:p>
    <w:p w14:paraId="70037455" w14:textId="77777777" w:rsidR="006016B9" w:rsidRPr="0087752B" w:rsidRDefault="006016B9" w:rsidP="006016B9">
      <w:r w:rsidRPr="0087752B">
        <w:t xml:space="preserve">8 December 2015 – 31 December </w:t>
      </w:r>
      <w:bookmarkStart w:id="132" w:name="_Toc458069602"/>
      <w:bookmarkStart w:id="133" w:name="_Toc458072381"/>
      <w:bookmarkStart w:id="134" w:name="_Toc458088564"/>
      <w:r w:rsidRPr="0087752B">
        <w:t xml:space="preserve">2018   </w:t>
      </w:r>
    </w:p>
    <w:p w14:paraId="4F92E1FB" w14:textId="77777777" w:rsidR="006016B9" w:rsidRPr="0087752B" w:rsidRDefault="006016B9" w:rsidP="006016B9">
      <w:pPr>
        <w:rPr>
          <w:rFonts w:eastAsiaTheme="majorEastAsia"/>
        </w:rPr>
      </w:pPr>
      <w:r w:rsidRPr="0087752B">
        <w:br w:type="page"/>
      </w:r>
    </w:p>
    <w:p w14:paraId="50F432D3" w14:textId="77777777" w:rsidR="006016B9" w:rsidRPr="0087752B" w:rsidRDefault="006016B9" w:rsidP="00F122BC">
      <w:pPr>
        <w:pStyle w:val="DETHeading2"/>
      </w:pPr>
      <w:bookmarkStart w:id="135" w:name="_Toc461013262"/>
      <w:bookmarkStart w:id="136" w:name="_Toc461025840"/>
      <w:bookmarkStart w:id="137" w:name="_Toc462405135"/>
      <w:r w:rsidRPr="0087752B">
        <w:lastRenderedPageBreak/>
        <w:t>Statutory authorities</w:t>
      </w:r>
      <w:bookmarkEnd w:id="132"/>
      <w:bookmarkEnd w:id="133"/>
      <w:bookmarkEnd w:id="134"/>
      <w:bookmarkEnd w:id="135"/>
      <w:bookmarkEnd w:id="136"/>
      <w:bookmarkEnd w:id="137"/>
    </w:p>
    <w:p w14:paraId="434E9DEC" w14:textId="77777777" w:rsidR="006016B9" w:rsidRPr="0087752B" w:rsidRDefault="006016B9" w:rsidP="006016B9">
      <w:r w:rsidRPr="0087752B">
        <w:t xml:space="preserve">The Department works in conjunction with the following statutory authorities and boards: </w:t>
      </w:r>
    </w:p>
    <w:p w14:paraId="3A0D3556" w14:textId="77777777" w:rsidR="006016B9" w:rsidRPr="0087752B" w:rsidRDefault="006016B9" w:rsidP="00F122BC">
      <w:pPr>
        <w:pStyle w:val="DETNormallistbullet"/>
      </w:pPr>
      <w:r w:rsidRPr="0087752B">
        <w:t>Victorian Curriculum and Assessment Authority</w:t>
      </w:r>
    </w:p>
    <w:p w14:paraId="27C3EC7A" w14:textId="77777777" w:rsidR="006016B9" w:rsidRPr="0087752B" w:rsidRDefault="006016B9" w:rsidP="00F122BC">
      <w:pPr>
        <w:pStyle w:val="DETNormallistbullet"/>
      </w:pPr>
      <w:r w:rsidRPr="0087752B">
        <w:t>Victorian Registration and Qualifications Authority</w:t>
      </w:r>
    </w:p>
    <w:p w14:paraId="2253BBB2" w14:textId="77777777" w:rsidR="006016B9" w:rsidRPr="0087752B" w:rsidRDefault="006016B9" w:rsidP="00F122BC">
      <w:pPr>
        <w:pStyle w:val="DETNormallistbullet"/>
      </w:pPr>
      <w:r w:rsidRPr="0087752B">
        <w:t>Victorian Institute of Teaching</w:t>
      </w:r>
    </w:p>
    <w:p w14:paraId="0154580F" w14:textId="77777777" w:rsidR="006016B9" w:rsidRPr="0087752B" w:rsidRDefault="006016B9" w:rsidP="00F122BC">
      <w:pPr>
        <w:pStyle w:val="DETNormallistbullet"/>
      </w:pPr>
      <w:r w:rsidRPr="0087752B">
        <w:t>Adult, Community and Further Education Board</w:t>
      </w:r>
    </w:p>
    <w:p w14:paraId="1BC2FA5D" w14:textId="77777777" w:rsidR="006016B9" w:rsidRPr="0087752B" w:rsidRDefault="006016B9" w:rsidP="00F122BC">
      <w:pPr>
        <w:pStyle w:val="DETNormallistbullet"/>
      </w:pPr>
      <w:r w:rsidRPr="0087752B">
        <w:t>AMES Australia</w:t>
      </w:r>
    </w:p>
    <w:p w14:paraId="220B7D22" w14:textId="77777777" w:rsidR="006016B9" w:rsidRPr="0087752B" w:rsidRDefault="006016B9" w:rsidP="00F122BC">
      <w:pPr>
        <w:pStyle w:val="DETNormallistbullet"/>
      </w:pPr>
      <w:r w:rsidRPr="0087752B">
        <w:t>TAFE institutes</w:t>
      </w:r>
    </w:p>
    <w:p w14:paraId="2DCC3AEF" w14:textId="77777777" w:rsidR="006016B9" w:rsidRPr="0087752B" w:rsidRDefault="006016B9" w:rsidP="00F122BC">
      <w:pPr>
        <w:pStyle w:val="DETNormallistbullet"/>
      </w:pPr>
      <w:r w:rsidRPr="0087752B">
        <w:t>Centre for Adult Education</w:t>
      </w:r>
    </w:p>
    <w:p w14:paraId="0EFDC027" w14:textId="77777777" w:rsidR="006016B9" w:rsidRPr="0087752B" w:rsidRDefault="006016B9" w:rsidP="00F122BC">
      <w:pPr>
        <w:pStyle w:val="DETNormallistbullet"/>
      </w:pPr>
      <w:r w:rsidRPr="0087752B">
        <w:t>Children’s Services Coordination Board</w:t>
      </w:r>
    </w:p>
    <w:p w14:paraId="37C1416B" w14:textId="77777777" w:rsidR="006016B9" w:rsidRPr="0087752B" w:rsidRDefault="006016B9" w:rsidP="00F122BC">
      <w:pPr>
        <w:pStyle w:val="DETNormallistbullet"/>
      </w:pPr>
      <w:r w:rsidRPr="0087752B">
        <w:t>Disciplinary Appeals Boards</w:t>
      </w:r>
    </w:p>
    <w:p w14:paraId="0BF76C45" w14:textId="77777777" w:rsidR="006016B9" w:rsidRPr="0087752B" w:rsidRDefault="006016B9" w:rsidP="00F122BC">
      <w:pPr>
        <w:pStyle w:val="DETNormallistbullet"/>
      </w:pPr>
      <w:r w:rsidRPr="0087752B">
        <w:t>Merit Protection Boards</w:t>
      </w:r>
    </w:p>
    <w:p w14:paraId="2E014C50" w14:textId="4F4EA34A" w:rsidR="006016B9" w:rsidRPr="005C767D" w:rsidRDefault="006016B9" w:rsidP="00F122BC">
      <w:pPr>
        <w:pStyle w:val="DETNormallistbullet"/>
      </w:pPr>
      <w:r w:rsidRPr="0087752B">
        <w:t>Victorian Children’s Council</w:t>
      </w:r>
    </w:p>
    <w:p w14:paraId="02D96A37" w14:textId="77777777" w:rsidR="006016B9" w:rsidRPr="0087752B" w:rsidRDefault="006016B9" w:rsidP="00ED1B53">
      <w:pPr>
        <w:pStyle w:val="DETNormalafterlist"/>
      </w:pPr>
      <w:r w:rsidRPr="005C767D">
        <w:t>Statutory authorities and boards make their own Annual Reports and produce them on financial years (1 July – 30 June) or calendar years (1 January – 31 December).</w:t>
      </w:r>
    </w:p>
    <w:p w14:paraId="69CC6897" w14:textId="77777777" w:rsidR="006016B9" w:rsidRPr="0087752B" w:rsidRDefault="006016B9" w:rsidP="006016B9">
      <w:r w:rsidRPr="0087752B">
        <w:t>Financial Year reports (1 July 2015 – 30 June 2016)</w:t>
      </w:r>
    </w:p>
    <w:p w14:paraId="61D553EE" w14:textId="77777777" w:rsidR="006016B9" w:rsidRPr="0087752B" w:rsidRDefault="006016B9" w:rsidP="00F122BC">
      <w:pPr>
        <w:pStyle w:val="DETNormallistbullet"/>
      </w:pPr>
      <w:r w:rsidRPr="0087752B">
        <w:t xml:space="preserve">Adult, Community and Further Education Board </w:t>
      </w:r>
    </w:p>
    <w:p w14:paraId="5001B198" w14:textId="77777777" w:rsidR="006016B9" w:rsidRPr="0087752B" w:rsidRDefault="006016B9" w:rsidP="00F122BC">
      <w:pPr>
        <w:pStyle w:val="DETNormallistbullet"/>
      </w:pPr>
      <w:r w:rsidRPr="0087752B">
        <w:t xml:space="preserve">Victorian Curriculum and Assessment Authority </w:t>
      </w:r>
    </w:p>
    <w:p w14:paraId="6C06EFC7" w14:textId="77777777" w:rsidR="006016B9" w:rsidRPr="0087752B" w:rsidRDefault="006016B9" w:rsidP="00F122BC">
      <w:pPr>
        <w:pStyle w:val="DETNormallistbullet"/>
      </w:pPr>
      <w:r w:rsidRPr="0087752B">
        <w:t xml:space="preserve">Victorian Institute of Teaching </w:t>
      </w:r>
    </w:p>
    <w:p w14:paraId="6129A425" w14:textId="77777777" w:rsidR="006016B9" w:rsidRPr="0087752B" w:rsidRDefault="006016B9" w:rsidP="00F122BC">
      <w:pPr>
        <w:pStyle w:val="DETNormallistbullet"/>
      </w:pPr>
      <w:r w:rsidRPr="0087752B">
        <w:t xml:space="preserve">Victorian Registration and Qualifications Authority </w:t>
      </w:r>
    </w:p>
    <w:p w14:paraId="158B0D37" w14:textId="77777777" w:rsidR="006016B9" w:rsidRPr="0087752B" w:rsidRDefault="006016B9" w:rsidP="00ED1B53">
      <w:pPr>
        <w:pStyle w:val="DETNormalafterlist"/>
      </w:pPr>
      <w:r w:rsidRPr="009C0997">
        <w:t>Calendar Year reports (1 January 2016 – 31 December 2016)</w:t>
      </w:r>
    </w:p>
    <w:p w14:paraId="1286AE6E" w14:textId="77777777" w:rsidR="006016B9" w:rsidRPr="0087752B" w:rsidRDefault="006016B9" w:rsidP="00F122BC">
      <w:pPr>
        <w:pStyle w:val="DETNormallistbullet"/>
      </w:pPr>
      <w:r w:rsidRPr="0087752B">
        <w:t>AMES Australia</w:t>
      </w:r>
    </w:p>
    <w:p w14:paraId="53DE7552" w14:textId="77777777" w:rsidR="006016B9" w:rsidRPr="0087752B" w:rsidRDefault="006016B9" w:rsidP="00F122BC">
      <w:pPr>
        <w:pStyle w:val="DETNormallistbullet"/>
      </w:pPr>
      <w:r w:rsidRPr="0087752B">
        <w:t>Centre for Adult Education</w:t>
      </w:r>
    </w:p>
    <w:p w14:paraId="1847AFF2" w14:textId="5E07C0CF" w:rsidR="006016B9" w:rsidRPr="009C0997" w:rsidRDefault="006016B9" w:rsidP="00F122BC">
      <w:pPr>
        <w:pStyle w:val="DETNormallistbullet"/>
      </w:pPr>
      <w:r w:rsidRPr="0087752B">
        <w:t>TAFE institutes</w:t>
      </w:r>
    </w:p>
    <w:p w14:paraId="113592A3" w14:textId="77777777" w:rsidR="006016B9" w:rsidRPr="009C0997" w:rsidRDefault="006016B9" w:rsidP="00ED1B53">
      <w:pPr>
        <w:pStyle w:val="DETNormalafterlist"/>
      </w:pPr>
      <w:r w:rsidRPr="009C0997">
        <w:t xml:space="preserve">Reports of the Children’s Services Coordination Board, Disciplinary Appeals Board, Merit Protection Board and Victorian Children’s Council are included as Appendix </w:t>
      </w:r>
      <w:r w:rsidRPr="00300489">
        <w:t>3</w:t>
      </w:r>
      <w:r w:rsidRPr="009C0997">
        <w:t xml:space="preserve"> of this report.</w:t>
      </w:r>
    </w:p>
    <w:p w14:paraId="4F4721C6" w14:textId="77777777" w:rsidR="006016B9" w:rsidRPr="0087752B" w:rsidRDefault="006016B9" w:rsidP="006016B9"/>
    <w:p w14:paraId="76E7895C" w14:textId="77777777" w:rsidR="006016B9" w:rsidRPr="0087752B" w:rsidRDefault="006016B9" w:rsidP="006016B9">
      <w:pPr>
        <w:sectPr w:rsidR="006016B9" w:rsidRPr="0087752B" w:rsidSect="006016B9">
          <w:pgSz w:w="11906" w:h="16838" w:code="9"/>
          <w:pgMar w:top="1814" w:right="1814" w:bottom="1418" w:left="2835" w:header="851" w:footer="567" w:gutter="0"/>
          <w:cols w:space="567"/>
          <w:docGrid w:linePitch="360"/>
        </w:sectPr>
      </w:pPr>
    </w:p>
    <w:p w14:paraId="2B8D85DC" w14:textId="330E8CAC" w:rsidR="006016B9" w:rsidRPr="0087752B" w:rsidRDefault="00555CD6" w:rsidP="00887031">
      <w:pPr>
        <w:pStyle w:val="Heading1"/>
      </w:pPr>
      <w:bookmarkStart w:id="138" w:name="_Toc458072382"/>
      <w:bookmarkStart w:id="139" w:name="_Toc458088565"/>
      <w:bookmarkStart w:id="140" w:name="_Toc461025841"/>
      <w:bookmarkStart w:id="141" w:name="_Toc462405136"/>
      <w:r w:rsidRPr="0087752B">
        <w:lastRenderedPageBreak/>
        <w:t>Report of Operations</w:t>
      </w:r>
      <w:r w:rsidR="009C0997">
        <w:t>—w</w:t>
      </w:r>
      <w:r w:rsidR="009C0997" w:rsidRPr="0087752B">
        <w:t xml:space="preserve">orkforce </w:t>
      </w:r>
      <w:bookmarkEnd w:id="138"/>
      <w:bookmarkEnd w:id="139"/>
      <w:bookmarkEnd w:id="140"/>
      <w:r w:rsidR="009C0997">
        <w:t>d</w:t>
      </w:r>
      <w:r w:rsidR="009C0997" w:rsidRPr="0087752B">
        <w:t>ata</w:t>
      </w:r>
      <w:bookmarkEnd w:id="141"/>
    </w:p>
    <w:p w14:paraId="6F551113" w14:textId="77777777" w:rsidR="006016B9" w:rsidRPr="0087752B" w:rsidRDefault="006016B9" w:rsidP="00555CD6">
      <w:pPr>
        <w:pStyle w:val="DETHeading2"/>
      </w:pPr>
      <w:bookmarkStart w:id="142" w:name="_Toc458069604"/>
      <w:bookmarkStart w:id="143" w:name="_Toc458072383"/>
      <w:bookmarkStart w:id="144" w:name="_Toc458088566"/>
      <w:bookmarkStart w:id="145" w:name="_Toc461013263"/>
      <w:bookmarkStart w:id="146" w:name="_Toc461025842"/>
      <w:bookmarkStart w:id="147" w:name="_Toc462405137"/>
      <w:r w:rsidRPr="0087752B">
        <w:t>Public administration values and employment principles</w:t>
      </w:r>
      <w:bookmarkEnd w:id="142"/>
      <w:bookmarkEnd w:id="143"/>
      <w:bookmarkEnd w:id="144"/>
      <w:bookmarkEnd w:id="145"/>
      <w:bookmarkEnd w:id="146"/>
      <w:bookmarkEnd w:id="147"/>
    </w:p>
    <w:p w14:paraId="2D7D0309" w14:textId="77777777" w:rsidR="006016B9" w:rsidRPr="0087752B" w:rsidRDefault="006016B9" w:rsidP="006016B9">
      <w:r w:rsidRPr="0087752B">
        <w:t xml:space="preserve">The Department has taken the Public Sector Values as our organisational values. </w:t>
      </w:r>
    </w:p>
    <w:p w14:paraId="2FEA30EF" w14:textId="77777777" w:rsidR="006016B9" w:rsidRPr="0087752B" w:rsidRDefault="006016B9" w:rsidP="006016B9">
      <w:r w:rsidRPr="0087752B">
        <w:t xml:space="preserve">A suite of materials has been developed for use across the Department to ensure consistent interpretation, strong engagement and connection with the values. </w:t>
      </w:r>
    </w:p>
    <w:p w14:paraId="4664114C" w14:textId="77777777" w:rsidR="006016B9" w:rsidRPr="0087752B" w:rsidRDefault="006016B9" w:rsidP="00555CD6">
      <w:pPr>
        <w:pStyle w:val="DETHeading2"/>
      </w:pPr>
      <w:bookmarkStart w:id="148" w:name="_Toc458069605"/>
      <w:bookmarkStart w:id="149" w:name="_Toc458072384"/>
      <w:bookmarkStart w:id="150" w:name="_Toc458088567"/>
      <w:bookmarkStart w:id="151" w:name="_Toc461013264"/>
      <w:bookmarkStart w:id="152" w:name="_Toc461025843"/>
      <w:bookmarkStart w:id="153" w:name="_Toc462405138"/>
      <w:r w:rsidRPr="0087752B">
        <w:t>Occupational health and safety</w:t>
      </w:r>
      <w:bookmarkEnd w:id="148"/>
      <w:bookmarkEnd w:id="149"/>
      <w:bookmarkEnd w:id="150"/>
      <w:bookmarkEnd w:id="151"/>
      <w:bookmarkEnd w:id="152"/>
      <w:bookmarkEnd w:id="153"/>
    </w:p>
    <w:p w14:paraId="07F86D99" w14:textId="77777777" w:rsidR="006016B9" w:rsidRPr="0087752B" w:rsidRDefault="006016B9" w:rsidP="006016B9">
      <w:r w:rsidRPr="0087752B">
        <w:t>The goal of the Department’s occupational health and safety (OHS) strategy is to ensure all staff remain safe and healthy at work. An OHS management system has been put in place and the majority of business units within the Department have implemented OHS local action plans aimed at enhancing safety performance and ensuring safe systems of work. The employee attitude survey results (KPI 15) indicated improved attention to OHS matters in the Department and a high level of commitment to OHS management.</w:t>
      </w:r>
    </w:p>
    <w:p w14:paraId="60914A04" w14:textId="7BE79649" w:rsidR="006016B9" w:rsidRPr="0087752B" w:rsidRDefault="006016B9" w:rsidP="006016B9">
      <w:r w:rsidRPr="0087752B">
        <w:t>During the 2015</w:t>
      </w:r>
      <w:r w:rsidR="00260C87">
        <w:t>–</w:t>
      </w:r>
      <w:r w:rsidRPr="0087752B">
        <w:t xml:space="preserve">16 financial year, the Department developed a number of initiatives to improve the health and safety of staff including the Health and Safety Representative Collaboration web page, refreshed eLearning modules, quarterly safety inspections to identify and address any workplace risks, the school improvement program, and the new OHS audit program. </w:t>
      </w:r>
    </w:p>
    <w:p w14:paraId="40D16793" w14:textId="77777777" w:rsidR="006016B9" w:rsidRPr="0087752B" w:rsidRDefault="006016B9" w:rsidP="006016B9">
      <w:r w:rsidRPr="0087752B">
        <w:t>The main activities during 2015–16 were:</w:t>
      </w:r>
    </w:p>
    <w:p w14:paraId="3C7F505D" w14:textId="77777777" w:rsidR="006016B9" w:rsidRPr="0087752B" w:rsidRDefault="006016B9" w:rsidP="00555CD6">
      <w:pPr>
        <w:pStyle w:val="DETNormallistbullet"/>
      </w:pPr>
      <w:r w:rsidRPr="0087752B">
        <w:t>continued implementation of the OHS Management System Improvement Pilot program with 291schools visited, with an overall average improvement of 46.1 per cent</w:t>
      </w:r>
    </w:p>
    <w:p w14:paraId="7B3AD114" w14:textId="79F9474D" w:rsidR="006016B9" w:rsidRPr="0087752B" w:rsidRDefault="006016B9" w:rsidP="00555CD6">
      <w:pPr>
        <w:pStyle w:val="DETNormallistbullet"/>
      </w:pPr>
      <w:r w:rsidRPr="0087752B">
        <w:t>provision of support and advice on implementation and maintenance of the OHS management system in Department schools and workplaces, including more than 4</w:t>
      </w:r>
      <w:r w:rsidR="00260C87">
        <w:t>,</w:t>
      </w:r>
      <w:r w:rsidRPr="0087752B">
        <w:t xml:space="preserve">438 communications of which 608 were site visits including 328 OHS management system support and improvement program visits </w:t>
      </w:r>
    </w:p>
    <w:p w14:paraId="1A73EF8B" w14:textId="77777777" w:rsidR="006016B9" w:rsidRPr="0087752B" w:rsidRDefault="006016B9" w:rsidP="00555CD6">
      <w:pPr>
        <w:pStyle w:val="DETNormallistbullet"/>
      </w:pPr>
      <w:r w:rsidRPr="0087752B">
        <w:t xml:space="preserve">completion of all 248 scheduled AS4801 OHS audits in schools </w:t>
      </w:r>
    </w:p>
    <w:p w14:paraId="6CB963F6" w14:textId="4E8DC02C" w:rsidR="006016B9" w:rsidRPr="0087752B" w:rsidRDefault="006016B9" w:rsidP="00555CD6">
      <w:pPr>
        <w:pStyle w:val="DETNormallistbullet"/>
      </w:pPr>
      <w:r w:rsidRPr="0087752B">
        <w:t xml:space="preserve">continued implementation of an online OHS Learning Management System hosting 16 OHS training modules. Completion rate for all Department employees as at 30 June 2015 was 46.8 per cent (excluding specialist modules and including refreshed program data) with over 300,000 OHS and </w:t>
      </w:r>
      <w:r w:rsidR="00260C87">
        <w:t>w</w:t>
      </w:r>
      <w:r w:rsidR="00260C87" w:rsidRPr="0087752B">
        <w:t>orkers</w:t>
      </w:r>
      <w:r w:rsidR="00260C87">
        <w:t>’</w:t>
      </w:r>
      <w:r w:rsidR="00260C87" w:rsidRPr="0087752B">
        <w:t xml:space="preserve"> </w:t>
      </w:r>
      <w:r w:rsidRPr="0087752B">
        <w:t>compensation eLearning modules completed since December 2013</w:t>
      </w:r>
    </w:p>
    <w:p w14:paraId="1F3CC49D" w14:textId="77777777" w:rsidR="006016B9" w:rsidRPr="0087752B" w:rsidRDefault="006016B9" w:rsidP="00555CD6">
      <w:pPr>
        <w:pStyle w:val="DETNormallistbullet"/>
      </w:pPr>
      <w:r w:rsidRPr="0087752B">
        <w:lastRenderedPageBreak/>
        <w:t>112 participants completed ‘Safety Management for School Leaders’ training program at Bastow institute</w:t>
      </w:r>
    </w:p>
    <w:p w14:paraId="794F7267" w14:textId="77777777" w:rsidR="006016B9" w:rsidRPr="0087752B" w:rsidRDefault="006016B9" w:rsidP="00555CD6">
      <w:pPr>
        <w:pStyle w:val="DETNormallistbullet"/>
      </w:pPr>
      <w:r w:rsidRPr="0087752B">
        <w:t>providing access to an online Health and Wellbeing portal for all employees</w:t>
      </w:r>
    </w:p>
    <w:p w14:paraId="77E4E289" w14:textId="77777777" w:rsidR="006016B9" w:rsidRPr="0087752B" w:rsidRDefault="006016B9" w:rsidP="00555CD6">
      <w:pPr>
        <w:pStyle w:val="DETNormallistbullet"/>
      </w:pPr>
      <w:r w:rsidRPr="0087752B">
        <w:t xml:space="preserve">conducted mental health awareness workshops for 15 senior executives </w:t>
      </w:r>
    </w:p>
    <w:p w14:paraId="22D38B32" w14:textId="2F122EE7" w:rsidR="006016B9" w:rsidRPr="0087752B" w:rsidRDefault="006016B9" w:rsidP="00555CD6">
      <w:pPr>
        <w:pStyle w:val="DETNormallistbullet"/>
      </w:pPr>
      <w:r w:rsidRPr="0087752B">
        <w:t>4</w:t>
      </w:r>
      <w:r w:rsidR="00260C87">
        <w:t>,</w:t>
      </w:r>
      <w:r w:rsidRPr="0087752B">
        <w:t>252 hours of sessional Employee Assistant Program (EAP) counselling, manager assist contacts, and critical incident responses accessed by Department</w:t>
      </w:r>
      <w:r w:rsidRPr="0087752B" w:rsidDel="007D3992">
        <w:t xml:space="preserve"> </w:t>
      </w:r>
      <w:r w:rsidRPr="0087752B">
        <w:t xml:space="preserve">employees </w:t>
      </w:r>
    </w:p>
    <w:p w14:paraId="288FC685" w14:textId="77777777" w:rsidR="006016B9" w:rsidRPr="0087752B" w:rsidRDefault="006016B9" w:rsidP="00555CD6">
      <w:pPr>
        <w:pStyle w:val="DETNormallistbullet"/>
      </w:pPr>
      <w:r w:rsidRPr="0087752B">
        <w:t>925 hours of conflict resolution services accessed by Department workplaces including mediation, conflict coaching and team facilitations</w:t>
      </w:r>
    </w:p>
    <w:p w14:paraId="2EBFAF7D" w14:textId="679E225E" w:rsidR="006016B9" w:rsidRPr="0087752B" w:rsidRDefault="006016B9" w:rsidP="00555CD6">
      <w:pPr>
        <w:pStyle w:val="DETNormallistbullet"/>
      </w:pPr>
      <w:r w:rsidRPr="0087752B">
        <w:t>extensive OHS consultation with a range of stakeholders via various consultative forums including the statewide OHS Consultative Committee and the School Support Services Health and Safety Committee</w:t>
      </w:r>
    </w:p>
    <w:p w14:paraId="0ABC19B7" w14:textId="77777777" w:rsidR="006016B9" w:rsidRPr="0087752B" w:rsidRDefault="006016B9" w:rsidP="00555CD6">
      <w:pPr>
        <w:pStyle w:val="DETNormallistbullet"/>
      </w:pPr>
      <w:r w:rsidRPr="0087752B">
        <w:t>successful transition to improved OHS Advisory service and OHS Audit program contracts for Department schools and workplaces</w:t>
      </w:r>
    </w:p>
    <w:p w14:paraId="6D334A02" w14:textId="77777777" w:rsidR="006016B9" w:rsidRPr="0087752B" w:rsidRDefault="006016B9" w:rsidP="00555CD6">
      <w:pPr>
        <w:pStyle w:val="DETNormallistbullet"/>
      </w:pPr>
      <w:r w:rsidRPr="0087752B">
        <w:t>ongoing Department OHS Management System review and improvement.</w:t>
      </w:r>
    </w:p>
    <w:p w14:paraId="63AB2855" w14:textId="77777777" w:rsidR="006016B9" w:rsidRPr="0087752B" w:rsidRDefault="006016B9" w:rsidP="00555CD6">
      <w:pPr>
        <w:pStyle w:val="Heading3"/>
      </w:pPr>
      <w:r w:rsidRPr="0087752B">
        <w:t>Incident management</w:t>
      </w:r>
    </w:p>
    <w:p w14:paraId="38373D97" w14:textId="5375DAD5" w:rsidR="006016B9" w:rsidRPr="0087752B" w:rsidRDefault="006016B9" w:rsidP="006016B9">
      <w:r w:rsidRPr="0087752B">
        <w:t>Incidents reported across the Department, including injuries and other hazard-related incidents, increased from 17.59 per 100 FTE in 2014–15 to 18.25 per 100 FTE in 2015–16 (Figure 1). This equates to an additional 772 reported incidents, with 11,092 in 2015</w:t>
      </w:r>
      <w:r w:rsidR="003C497C">
        <w:t>–16 compared with 10,320 in 2014–15</w:t>
      </w:r>
      <w:r w:rsidRPr="0087752B">
        <w:t>.</w:t>
      </w:r>
    </w:p>
    <w:p w14:paraId="2763EE4C" w14:textId="77777777" w:rsidR="006016B9" w:rsidRPr="005C767D" w:rsidRDefault="006016B9" w:rsidP="007540CD">
      <w:pPr>
        <w:pStyle w:val="DETTableheading"/>
      </w:pPr>
      <w:r w:rsidRPr="0087752B">
        <w:t xml:space="preserve">Figure </w:t>
      </w:r>
      <w:r w:rsidR="009F6106" w:rsidRPr="005C767D">
        <w:fldChar w:fldCharType="begin"/>
      </w:r>
      <w:r w:rsidR="009F6106" w:rsidRPr="0087752B">
        <w:instrText xml:space="preserve"> SEQ Figure \* ARABIC </w:instrText>
      </w:r>
      <w:r w:rsidR="009F6106" w:rsidRPr="005C767D">
        <w:fldChar w:fldCharType="separate"/>
      </w:r>
      <w:r w:rsidR="00EF67CF">
        <w:rPr>
          <w:noProof/>
        </w:rPr>
        <w:t>1</w:t>
      </w:r>
      <w:r w:rsidR="009F6106" w:rsidRPr="005C767D">
        <w:fldChar w:fldCharType="end"/>
      </w:r>
      <w:r w:rsidRPr="005C767D">
        <w:t>—Number of incidents and rate per 100 FTE 2013–14 to 2015–16</w:t>
      </w:r>
    </w:p>
    <w:p w14:paraId="3FB9A8BC" w14:textId="77777777" w:rsidR="006016B9" w:rsidRPr="005C767D" w:rsidRDefault="006016B9" w:rsidP="006016B9">
      <w:r w:rsidRPr="005C767D">
        <w:rPr>
          <w:noProof/>
          <w:lang w:eastAsia="en-AU"/>
        </w:rPr>
        <w:drawing>
          <wp:inline distT="0" distB="0" distL="0" distR="0" wp14:anchorId="5A1FCE0D" wp14:editId="1130A09E">
            <wp:extent cx="3866606" cy="1968137"/>
            <wp:effectExtent l="0" t="0" r="63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8B06F1" w14:textId="77777777" w:rsidR="006016B9" w:rsidRPr="0087752B" w:rsidRDefault="006016B9" w:rsidP="00555CD6">
      <w:pPr>
        <w:pStyle w:val="DETHeading2"/>
      </w:pPr>
      <w:bookmarkStart w:id="154" w:name="_Toc458069606"/>
      <w:bookmarkStart w:id="155" w:name="_Toc458072385"/>
      <w:bookmarkStart w:id="156" w:name="_Toc458088568"/>
      <w:bookmarkStart w:id="157" w:name="_Toc461013265"/>
      <w:bookmarkStart w:id="158" w:name="_Toc461025844"/>
      <w:bookmarkStart w:id="159" w:name="_Toc462405139"/>
      <w:r w:rsidRPr="0087752B">
        <w:t>Workers’ compensation</w:t>
      </w:r>
      <w:bookmarkEnd w:id="154"/>
      <w:bookmarkEnd w:id="155"/>
      <w:bookmarkEnd w:id="156"/>
      <w:bookmarkEnd w:id="157"/>
      <w:bookmarkEnd w:id="158"/>
      <w:bookmarkEnd w:id="159"/>
    </w:p>
    <w:p w14:paraId="009632CE" w14:textId="77777777" w:rsidR="006016B9" w:rsidRPr="0087752B" w:rsidRDefault="006016B9" w:rsidP="006016B9">
      <w:r w:rsidRPr="0087752B">
        <w:t xml:space="preserve">Workers’ compensation initiatives delivered by the Department aimed to improve return-to-work outcomes for injured employees, reduce human and financial costs associated with workplace injuries, provide support and advisory services </w:t>
      </w:r>
      <w:r w:rsidRPr="0087752B">
        <w:lastRenderedPageBreak/>
        <w:t>to workplace managers and injured workers, build the capability of the organisation to manage workers’ compensation and return-to-work responsibilities effectively, and meet legislative compliance.</w:t>
      </w:r>
    </w:p>
    <w:p w14:paraId="1D27C7DA" w14:textId="77777777" w:rsidR="006016B9" w:rsidRPr="0087752B" w:rsidRDefault="006016B9" w:rsidP="006016B9">
      <w:r w:rsidRPr="0087752B">
        <w:t>During the 2015–16 financial year, the Department developed a number of initiatives to improve the health and wellbeing of staff including the new Medical Advisory Service, refreshed training and eLearning modules, appointment of a new WorkSafe Agent and improved collaboration with stakeholders.</w:t>
      </w:r>
    </w:p>
    <w:p w14:paraId="1A2AC6D2" w14:textId="77777777" w:rsidR="006016B9" w:rsidRPr="0087752B" w:rsidRDefault="006016B9" w:rsidP="006016B9">
      <w:r w:rsidRPr="0087752B">
        <w:t>The main activities during 2015–16 were:</w:t>
      </w:r>
    </w:p>
    <w:p w14:paraId="761A3659" w14:textId="14A65C7A" w:rsidR="006016B9" w:rsidRPr="0087752B" w:rsidRDefault="006016B9" w:rsidP="00555CD6">
      <w:pPr>
        <w:pStyle w:val="DETNormallistbullet"/>
      </w:pPr>
      <w:r w:rsidRPr="0087752B">
        <w:t>delivered face</w:t>
      </w:r>
      <w:r w:rsidR="00260C87">
        <w:t>-</w:t>
      </w:r>
      <w:r w:rsidRPr="0087752B">
        <w:t>to</w:t>
      </w:r>
      <w:r w:rsidR="00260C87">
        <w:t>-</w:t>
      </w:r>
      <w:r w:rsidRPr="0087752B">
        <w:t>face workers’ compensation training to over 1</w:t>
      </w:r>
      <w:r w:rsidR="00260C87">
        <w:t>,</w:t>
      </w:r>
      <w:r w:rsidRPr="0087752B">
        <w:t xml:space="preserve">500 participants </w:t>
      </w:r>
    </w:p>
    <w:p w14:paraId="66A3E489" w14:textId="77777777" w:rsidR="006016B9" w:rsidRPr="0087752B" w:rsidRDefault="006016B9" w:rsidP="00555CD6">
      <w:pPr>
        <w:pStyle w:val="DETNormallistbullet"/>
      </w:pPr>
      <w:r w:rsidRPr="0087752B">
        <w:t>ongoing improvement of the Department’s workers’ compensation management through employee and stakeholder consultation and analysis of workplace data</w:t>
      </w:r>
    </w:p>
    <w:p w14:paraId="38834917" w14:textId="3D2CDBAF" w:rsidR="006016B9" w:rsidRPr="0087752B" w:rsidRDefault="00260C87" w:rsidP="00555CD6">
      <w:pPr>
        <w:pStyle w:val="DETNormallistbullet"/>
      </w:pPr>
      <w:r>
        <w:t xml:space="preserve">undertook and completed </w:t>
      </w:r>
      <w:r w:rsidR="006016B9" w:rsidRPr="0087752B">
        <w:t>a Request for Submission for the provision of WorkSafe Victoria Agent Workers’ Compensation Insurance Services to the Department. This resulted in the Department moving its workers’ compensation insurance policies from CGU Workers</w:t>
      </w:r>
      <w:r w:rsidR="00EF11A2">
        <w:t>’</w:t>
      </w:r>
      <w:r w:rsidR="006016B9" w:rsidRPr="0087752B">
        <w:t xml:space="preserve"> Compensation Ltd to Gallagher Bassett Services Workers</w:t>
      </w:r>
      <w:r w:rsidR="00EF11A2">
        <w:t>’</w:t>
      </w:r>
      <w:r w:rsidR="006016B9" w:rsidRPr="0087752B">
        <w:t xml:space="preserve"> Compensation Vic Pty Ltd</w:t>
      </w:r>
    </w:p>
    <w:p w14:paraId="1F97D1B9" w14:textId="77777777" w:rsidR="006016B9" w:rsidRPr="0087752B" w:rsidRDefault="006016B9" w:rsidP="00555CD6">
      <w:pPr>
        <w:pStyle w:val="DETNormallistbullet"/>
      </w:pPr>
      <w:r w:rsidRPr="0087752B">
        <w:t>ongoing review of existing workers’ compensation claims and incident management systems, data and processes to identify opportunities for improvement</w:t>
      </w:r>
    </w:p>
    <w:p w14:paraId="1E555BEF" w14:textId="77777777" w:rsidR="006016B9" w:rsidRPr="0087752B" w:rsidRDefault="006016B9" w:rsidP="00555CD6">
      <w:pPr>
        <w:pStyle w:val="DETNormallistbullet"/>
      </w:pPr>
      <w:r w:rsidRPr="0087752B">
        <w:t>ongoing review and implementation of improved reconciliation processes and procedures</w:t>
      </w:r>
    </w:p>
    <w:p w14:paraId="4BB49C5E" w14:textId="77777777" w:rsidR="006016B9" w:rsidRPr="0087752B" w:rsidRDefault="006016B9" w:rsidP="00555CD6">
      <w:pPr>
        <w:pStyle w:val="DETNormallistbullet"/>
      </w:pPr>
      <w:r w:rsidRPr="0087752B">
        <w:t>provision of support and advice to Department workplaces and schools through the Workers’ Compensation Advisory Service</w:t>
      </w:r>
    </w:p>
    <w:p w14:paraId="6ADF92FE" w14:textId="77777777" w:rsidR="006016B9" w:rsidRPr="0087752B" w:rsidRDefault="006016B9" w:rsidP="00555CD6">
      <w:pPr>
        <w:pStyle w:val="DETNormallistbullet"/>
      </w:pPr>
      <w:r w:rsidRPr="0087752B">
        <w:t>ongoing improvement in workers’ compensation management through initiatives to promote early intervention and improve claims performance</w:t>
      </w:r>
    </w:p>
    <w:p w14:paraId="1E171A1A" w14:textId="77777777" w:rsidR="006016B9" w:rsidRPr="0087752B" w:rsidRDefault="006016B9" w:rsidP="00555CD6">
      <w:pPr>
        <w:pStyle w:val="DETNormallistbullet"/>
      </w:pPr>
      <w:r w:rsidRPr="0087752B">
        <w:t>continued implementation of online learning workers’ compensation training</w:t>
      </w:r>
    </w:p>
    <w:p w14:paraId="77512CC9" w14:textId="77777777" w:rsidR="006016B9" w:rsidRPr="0087752B" w:rsidRDefault="006016B9" w:rsidP="00555CD6">
      <w:pPr>
        <w:pStyle w:val="DETNormallistbullet"/>
      </w:pPr>
      <w:r w:rsidRPr="0087752B">
        <w:t xml:space="preserve">ongoing support to Department workplaces and external stakeholders in dispute resolution matters including conciliation and workers’ compensation legal proceedings </w:t>
      </w:r>
    </w:p>
    <w:p w14:paraId="003016F5" w14:textId="2705AEC5" w:rsidR="006016B9" w:rsidRPr="0087752B" w:rsidRDefault="006016B9" w:rsidP="00555CD6">
      <w:pPr>
        <w:pStyle w:val="DETNormallistbullet"/>
      </w:pPr>
      <w:r w:rsidRPr="0087752B">
        <w:t>on</w:t>
      </w:r>
      <w:r w:rsidR="00260C87">
        <w:t>-</w:t>
      </w:r>
      <w:r w:rsidRPr="0087752B">
        <w:t>boarding of the Department’s new Medical Advisory Service provider. During the 2015</w:t>
      </w:r>
      <w:r w:rsidR="00260C87">
        <w:t>–</w:t>
      </w:r>
      <w:r w:rsidRPr="0087752B">
        <w:t xml:space="preserve">16 period the Medical Advisory Service managed 402 referrals. </w:t>
      </w:r>
      <w:r w:rsidR="00260C87" w:rsidRPr="0087752B">
        <w:t>Eighty-four</w:t>
      </w:r>
      <w:r w:rsidRPr="0087752B">
        <w:t xml:space="preserve"> per cent of referrals were initiated by principals directly. Forty-four per cent of cases came from primary schools, with 34 per cent coming from secondary schools. There was a relatively even spread of cases received from the regions:</w:t>
      </w:r>
    </w:p>
    <w:p w14:paraId="4FED52E6" w14:textId="77777777" w:rsidR="006016B9" w:rsidRPr="00A8286F" w:rsidRDefault="006016B9" w:rsidP="00AD641C">
      <w:pPr>
        <w:pStyle w:val="DETNormallistbullet"/>
        <w:numPr>
          <w:ilvl w:val="1"/>
          <w:numId w:val="37"/>
        </w:numPr>
      </w:pPr>
      <w:r w:rsidRPr="00A8286F">
        <w:t>29 per cent South Western</w:t>
      </w:r>
    </w:p>
    <w:p w14:paraId="5E922D9A" w14:textId="77777777" w:rsidR="006016B9" w:rsidRPr="0087752B" w:rsidRDefault="006016B9" w:rsidP="00AD641C">
      <w:pPr>
        <w:pStyle w:val="DETNormallistbullet"/>
        <w:numPr>
          <w:ilvl w:val="1"/>
          <w:numId w:val="37"/>
        </w:numPr>
      </w:pPr>
      <w:r w:rsidRPr="0087752B">
        <w:t>27 per cent South Eastern</w:t>
      </w:r>
    </w:p>
    <w:p w14:paraId="28EC5253" w14:textId="77777777" w:rsidR="006016B9" w:rsidRPr="0087752B" w:rsidRDefault="006016B9" w:rsidP="00AD641C">
      <w:pPr>
        <w:pStyle w:val="DETNormallistbullet"/>
        <w:numPr>
          <w:ilvl w:val="1"/>
          <w:numId w:val="37"/>
        </w:numPr>
      </w:pPr>
      <w:r w:rsidRPr="0087752B">
        <w:t>22 per cent North Western</w:t>
      </w:r>
    </w:p>
    <w:p w14:paraId="0D1F0AC7" w14:textId="77777777" w:rsidR="006016B9" w:rsidRPr="0087752B" w:rsidRDefault="006016B9" w:rsidP="00AD641C">
      <w:pPr>
        <w:pStyle w:val="DETNormallistbullet"/>
        <w:numPr>
          <w:ilvl w:val="1"/>
          <w:numId w:val="37"/>
        </w:numPr>
      </w:pPr>
      <w:r w:rsidRPr="0087752B">
        <w:lastRenderedPageBreak/>
        <w:t>20 per cent North Eastern.</w:t>
      </w:r>
    </w:p>
    <w:p w14:paraId="7AED38D9" w14:textId="5C10DE5D" w:rsidR="006016B9" w:rsidRPr="0087752B" w:rsidRDefault="006016B9" w:rsidP="006016B9">
      <w:r w:rsidRPr="0087752B">
        <w:t>There were 796 standard workers’ compensation claims in 2015–16, compared with 884 in 2014–15</w:t>
      </w:r>
      <w:r w:rsidR="00A8286F">
        <w:t>. T</w:t>
      </w:r>
      <w:r w:rsidRPr="0087752B">
        <w:t xml:space="preserve">he decrease in claim numbers is attributed to improved OHS and </w:t>
      </w:r>
      <w:r w:rsidR="00A8286F">
        <w:t>w</w:t>
      </w:r>
      <w:r w:rsidR="00A8286F" w:rsidRPr="0087752B">
        <w:t xml:space="preserve">orkers’ </w:t>
      </w:r>
      <w:r w:rsidR="00A8286F">
        <w:t>c</w:t>
      </w:r>
      <w:r w:rsidR="00A8286F" w:rsidRPr="0087752B">
        <w:t xml:space="preserve">ompensation </w:t>
      </w:r>
      <w:r w:rsidRPr="0087752B">
        <w:t>management systems and processes. This resulted on an improvement in the rate per 100</w:t>
      </w:r>
      <w:r w:rsidR="007561CF">
        <w:t xml:space="preserve"> FTE</w:t>
      </w:r>
      <w:r w:rsidRPr="0087752B">
        <w:t xml:space="preserve"> staff which decreased from 1.51 per 100 in 2014–15 to 1.31 in 2015–16 (Figure 2).</w:t>
      </w:r>
    </w:p>
    <w:p w14:paraId="2C1686C6" w14:textId="77777777" w:rsidR="006016B9" w:rsidRPr="005C767D" w:rsidRDefault="006016B9" w:rsidP="007540CD">
      <w:pPr>
        <w:pStyle w:val="DETTableheading"/>
      </w:pPr>
      <w:r w:rsidRPr="0087752B">
        <w:t xml:space="preserve">Figure </w:t>
      </w:r>
      <w:r w:rsidR="009F6106" w:rsidRPr="005C767D">
        <w:fldChar w:fldCharType="begin"/>
      </w:r>
      <w:r w:rsidR="009F6106" w:rsidRPr="0087752B">
        <w:instrText xml:space="preserve"> SEQ Figure \* ARABIC </w:instrText>
      </w:r>
      <w:r w:rsidR="009F6106" w:rsidRPr="005C767D">
        <w:fldChar w:fldCharType="separate"/>
      </w:r>
      <w:r w:rsidR="00EF67CF">
        <w:rPr>
          <w:noProof/>
        </w:rPr>
        <w:t>2</w:t>
      </w:r>
      <w:r w:rsidR="009F6106" w:rsidRPr="005C767D">
        <w:fldChar w:fldCharType="end"/>
      </w:r>
      <w:r w:rsidRPr="005C767D">
        <w:t>—Number of standard claims and rate per 100 FTE 2013–14 to 2015–16</w:t>
      </w:r>
    </w:p>
    <w:p w14:paraId="773D187E" w14:textId="5763905E" w:rsidR="006016B9" w:rsidRPr="005C767D" w:rsidRDefault="00C10F0B" w:rsidP="006016B9">
      <w:r>
        <w:rPr>
          <w:noProof/>
          <w:lang w:eastAsia="en-AU"/>
        </w:rPr>
        <w:drawing>
          <wp:inline distT="0" distB="0" distL="0" distR="0" wp14:anchorId="1935317F" wp14:editId="3CFFF951">
            <wp:extent cx="4254500" cy="1943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1D4EDE" w14:textId="2F8A2FE2" w:rsidR="006016B9" w:rsidRPr="0087752B" w:rsidRDefault="006016B9" w:rsidP="00555CD6">
      <w:pPr>
        <w:pStyle w:val="DETNormalafterlist"/>
      </w:pPr>
      <w:bookmarkStart w:id="160" w:name="_Toc458069607"/>
      <w:bookmarkStart w:id="161" w:name="_Toc458072386"/>
      <w:bookmarkStart w:id="162" w:name="_Toc458088569"/>
      <w:r w:rsidRPr="0087752B">
        <w:t xml:space="preserve">The number of claims exceeding 13 weeks increased to 178 in 2015–16 compared with 103 in 2014–15 (Figure 3). This is attributed to the Department’s WorkSafe Agent performance. </w:t>
      </w:r>
      <w:r w:rsidRPr="0087752B">
        <w:br w:type="page"/>
      </w:r>
    </w:p>
    <w:p w14:paraId="6B6776BC" w14:textId="77777777" w:rsidR="006016B9" w:rsidRPr="005C767D" w:rsidRDefault="006016B9" w:rsidP="007540CD">
      <w:pPr>
        <w:pStyle w:val="DETTableheading"/>
      </w:pPr>
      <w:r w:rsidRPr="0087752B">
        <w:lastRenderedPageBreak/>
        <w:t xml:space="preserve">Figure </w:t>
      </w:r>
      <w:r w:rsidR="009F6106" w:rsidRPr="005C767D">
        <w:fldChar w:fldCharType="begin"/>
      </w:r>
      <w:r w:rsidR="009F6106" w:rsidRPr="0087752B">
        <w:instrText xml:space="preserve"> SEQ Figure \* ARABIC </w:instrText>
      </w:r>
      <w:r w:rsidR="009F6106" w:rsidRPr="005C767D">
        <w:fldChar w:fldCharType="separate"/>
      </w:r>
      <w:r w:rsidR="00EF67CF">
        <w:rPr>
          <w:noProof/>
        </w:rPr>
        <w:t>3</w:t>
      </w:r>
      <w:r w:rsidR="009F6106" w:rsidRPr="005C767D">
        <w:fldChar w:fldCharType="end"/>
      </w:r>
      <w:r w:rsidRPr="005C767D">
        <w:t>—Claims exceeding 13 weeks and rate per 100 FTE 2013–14 to 2015–16</w:t>
      </w:r>
    </w:p>
    <w:p w14:paraId="7B42ED33" w14:textId="77777777" w:rsidR="006016B9" w:rsidRPr="005C767D" w:rsidRDefault="006016B9" w:rsidP="006016B9">
      <w:r w:rsidRPr="005C767D">
        <w:rPr>
          <w:noProof/>
          <w:lang w:eastAsia="en-AU"/>
        </w:rPr>
        <w:drawing>
          <wp:inline distT="0" distB="0" distL="0" distR="0" wp14:anchorId="1210C325" wp14:editId="281B16AB">
            <wp:extent cx="4561368" cy="232853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2C9034" w14:textId="77777777" w:rsidR="006016B9" w:rsidRPr="0087752B" w:rsidRDefault="006016B9" w:rsidP="00555CD6">
      <w:pPr>
        <w:pStyle w:val="DETNormalafterlist"/>
      </w:pPr>
      <w:r w:rsidRPr="0087752B">
        <w:t xml:space="preserve">The Department’s initial workers’ compensation premium increased from $53.81 million (excluding GST) in 2014–15 to $58.16 million (excluding GST) in 2015–16, due to an increase in the weighted industry rate set by WorkSafe Victoria for premium calculation purposes. The Department’s workers’ compensation premium rate slightly increased in 2015–16 (Figure 4) from 1.09 per cent in 2014–15 to 1.11 per cent in 2015–2016, which is attributed to an increase in the weighted industry rates for premium calculation purposes set by WorkSafe Victoria. </w:t>
      </w:r>
    </w:p>
    <w:p w14:paraId="3CA4D0B1" w14:textId="77777777" w:rsidR="006016B9" w:rsidRPr="0087752B" w:rsidRDefault="006016B9" w:rsidP="00555CD6">
      <w:pPr>
        <w:pStyle w:val="DETNormalafterlist"/>
      </w:pPr>
      <w:r w:rsidRPr="0087752B">
        <w:t xml:space="preserve">The average cost per standard claim increased from $40,407 in 2014–15 to $55,810 in 2015–16. </w:t>
      </w:r>
    </w:p>
    <w:p w14:paraId="483ECD4A" w14:textId="77777777" w:rsidR="006016B9" w:rsidRPr="0087752B" w:rsidRDefault="006016B9" w:rsidP="007540CD">
      <w:pPr>
        <w:pStyle w:val="DETTableheading"/>
      </w:pPr>
      <w:r w:rsidRPr="0087752B">
        <w:t>Figure 4—Premium rate 2013–14 to 2015–16</w:t>
      </w:r>
    </w:p>
    <w:p w14:paraId="2C5669B9" w14:textId="77777777" w:rsidR="006016B9" w:rsidRPr="005C767D" w:rsidRDefault="006016B9" w:rsidP="006016B9">
      <w:r w:rsidRPr="005C767D">
        <w:rPr>
          <w:noProof/>
          <w:lang w:eastAsia="en-AU"/>
        </w:rPr>
        <w:drawing>
          <wp:inline distT="0" distB="0" distL="0" distR="0" wp14:anchorId="324168C0" wp14:editId="0A90F6E1">
            <wp:extent cx="4330700" cy="23495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22AFE2" w14:textId="77777777" w:rsidR="006016B9" w:rsidRPr="0087752B" w:rsidRDefault="006016B9" w:rsidP="00555CD6">
      <w:pPr>
        <w:pStyle w:val="DETNormalafterlist"/>
      </w:pPr>
      <w:r w:rsidRPr="0087752B">
        <w:t xml:space="preserve">The Department’s workers’ compensation employer performance rate decreased in 2015–16 (Figure 5) from 1.059 per cent in 2014–15 to 1.036 per cent in 2015–2016 even though WorkSafe rates and Department remuneration increased. This </w:t>
      </w:r>
      <w:r w:rsidRPr="0087752B">
        <w:lastRenderedPageBreak/>
        <w:t xml:space="preserve">is attributed to the Department’s improved Workers’ Compensation and OHS processes and management systems.  </w:t>
      </w:r>
    </w:p>
    <w:p w14:paraId="6FC22420" w14:textId="77777777" w:rsidR="006016B9" w:rsidRPr="0087752B" w:rsidRDefault="006016B9" w:rsidP="006016B9"/>
    <w:p w14:paraId="05F0D438" w14:textId="77777777" w:rsidR="006016B9" w:rsidRPr="0087752B" w:rsidRDefault="006016B9" w:rsidP="006016B9">
      <w:r w:rsidRPr="0087752B">
        <w:br w:type="page"/>
      </w:r>
    </w:p>
    <w:p w14:paraId="030A0DBD" w14:textId="77777777" w:rsidR="006016B9" w:rsidRPr="0087752B" w:rsidRDefault="006016B9" w:rsidP="007540CD">
      <w:pPr>
        <w:pStyle w:val="DETTableheading"/>
      </w:pPr>
      <w:r w:rsidRPr="0087752B">
        <w:lastRenderedPageBreak/>
        <w:t>Figure 5—Employer performance 2013–14 to 2015–16</w:t>
      </w:r>
    </w:p>
    <w:p w14:paraId="0F46AB51" w14:textId="77777777" w:rsidR="006016B9" w:rsidRPr="005C767D" w:rsidRDefault="006016B9" w:rsidP="006016B9">
      <w:r w:rsidRPr="005C767D">
        <w:rPr>
          <w:noProof/>
          <w:lang w:eastAsia="en-AU"/>
        </w:rPr>
        <w:drawing>
          <wp:inline distT="0" distB="0" distL="0" distR="0" wp14:anchorId="7D806337" wp14:editId="416B2A3E">
            <wp:extent cx="3937380" cy="1890215"/>
            <wp:effectExtent l="0" t="0" r="63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270796" w14:textId="4B288BDC" w:rsidR="006016B9" w:rsidRPr="00E73803" w:rsidRDefault="006016B9" w:rsidP="007540CD">
      <w:pPr>
        <w:pStyle w:val="DETTableheading"/>
      </w:pPr>
      <w:r w:rsidRPr="001F07C0">
        <w:t xml:space="preserve">Performance against </w:t>
      </w:r>
      <w:r w:rsidR="00A8286F">
        <w:t>o</w:t>
      </w:r>
      <w:r w:rsidR="00A8286F" w:rsidRPr="001F07C0">
        <w:t xml:space="preserve">ccupational </w:t>
      </w:r>
      <w:r w:rsidR="00A8286F">
        <w:t>h</w:t>
      </w:r>
      <w:r w:rsidR="00A8286F" w:rsidRPr="001F07C0">
        <w:t xml:space="preserve">ealth </w:t>
      </w:r>
      <w:r w:rsidRPr="00E73803">
        <w:t xml:space="preserve">and </w:t>
      </w:r>
      <w:r w:rsidR="00A8286F">
        <w:t>s</w:t>
      </w:r>
      <w:r w:rsidR="00A8286F" w:rsidRPr="001F07C0">
        <w:t xml:space="preserve">afety </w:t>
      </w:r>
      <w:r w:rsidRPr="00E73803">
        <w:t xml:space="preserve">and </w:t>
      </w:r>
      <w:r w:rsidR="00A8286F">
        <w:t>w</w:t>
      </w:r>
      <w:r w:rsidR="00A8286F" w:rsidRPr="001F07C0">
        <w:t xml:space="preserve">orkers’ </w:t>
      </w:r>
      <w:r w:rsidR="00A8286F">
        <w:t>c</w:t>
      </w:r>
      <w:r w:rsidR="00A8286F" w:rsidRPr="001F07C0">
        <w:t xml:space="preserve">ompensation </w:t>
      </w:r>
      <w:r w:rsidRPr="00E73803">
        <w:t>management measures</w:t>
      </w:r>
    </w:p>
    <w:tbl>
      <w:tblPr>
        <w:tblW w:w="5000" w:type="pct"/>
        <w:tblBorders>
          <w:bottom w:val="single" w:sz="12" w:space="0" w:color="777777"/>
        </w:tblBorders>
        <w:tblCellMar>
          <w:left w:w="45" w:type="dxa"/>
          <w:right w:w="45" w:type="dxa"/>
        </w:tblCellMar>
        <w:tblLook w:val="01E0" w:firstRow="1" w:lastRow="1" w:firstColumn="1" w:lastColumn="1" w:noHBand="0" w:noVBand="0"/>
      </w:tblPr>
      <w:tblGrid>
        <w:gridCol w:w="1024"/>
        <w:gridCol w:w="3568"/>
        <w:gridCol w:w="956"/>
        <w:gridCol w:w="956"/>
        <w:gridCol w:w="956"/>
      </w:tblGrid>
      <w:tr w:rsidR="006016B9" w:rsidRPr="0087752B" w14:paraId="4090E042" w14:textId="77777777" w:rsidTr="00555CD6">
        <w:trPr>
          <w:cantSplit/>
          <w:trHeight w:val="454"/>
        </w:trPr>
        <w:tc>
          <w:tcPr>
            <w:tcW w:w="649" w:type="pct"/>
            <w:tcBorders>
              <w:bottom w:val="nil"/>
            </w:tcBorders>
            <w:shd w:val="clear" w:color="auto" w:fill="7F7F7F" w:themeFill="text1" w:themeFillTint="80"/>
            <w:vAlign w:val="center"/>
          </w:tcPr>
          <w:p w14:paraId="655AD211" w14:textId="77777777" w:rsidR="006016B9" w:rsidRPr="0087752B" w:rsidRDefault="006016B9" w:rsidP="00555CD6">
            <w:pPr>
              <w:pStyle w:val="DETTablecolumnheading"/>
              <w:jc w:val="left"/>
            </w:pPr>
            <w:r w:rsidRPr="0087752B">
              <w:t>Measure</w:t>
            </w:r>
          </w:p>
        </w:tc>
        <w:tc>
          <w:tcPr>
            <w:tcW w:w="0" w:type="auto"/>
            <w:tcBorders>
              <w:bottom w:val="nil"/>
            </w:tcBorders>
            <w:shd w:val="clear" w:color="auto" w:fill="7F7F7F" w:themeFill="text1" w:themeFillTint="80"/>
            <w:vAlign w:val="center"/>
          </w:tcPr>
          <w:p w14:paraId="6839C870" w14:textId="77777777" w:rsidR="006016B9" w:rsidRPr="0087752B" w:rsidRDefault="006016B9" w:rsidP="00555CD6">
            <w:pPr>
              <w:pStyle w:val="DETTablecolumnheading"/>
              <w:jc w:val="left"/>
            </w:pPr>
            <w:r w:rsidRPr="0087752B">
              <w:t>Key performance indicator</w:t>
            </w:r>
          </w:p>
        </w:tc>
        <w:tc>
          <w:tcPr>
            <w:tcW w:w="650" w:type="pct"/>
            <w:tcBorders>
              <w:bottom w:val="nil"/>
            </w:tcBorders>
            <w:shd w:val="clear" w:color="auto" w:fill="7F7F7F" w:themeFill="text1" w:themeFillTint="80"/>
            <w:vAlign w:val="center"/>
          </w:tcPr>
          <w:p w14:paraId="0BCB70F8" w14:textId="77777777" w:rsidR="006016B9" w:rsidRPr="0087752B" w:rsidRDefault="006016B9" w:rsidP="00555CD6">
            <w:pPr>
              <w:pStyle w:val="DETTablecolumnheading"/>
            </w:pPr>
            <w:r w:rsidRPr="0087752B">
              <w:t>2013–14</w:t>
            </w:r>
          </w:p>
        </w:tc>
        <w:tc>
          <w:tcPr>
            <w:tcW w:w="650" w:type="pct"/>
            <w:tcBorders>
              <w:bottom w:val="nil"/>
            </w:tcBorders>
            <w:shd w:val="clear" w:color="auto" w:fill="7F7F7F" w:themeFill="text1" w:themeFillTint="80"/>
            <w:vAlign w:val="center"/>
          </w:tcPr>
          <w:p w14:paraId="16B98C60" w14:textId="77777777" w:rsidR="006016B9" w:rsidRPr="0087752B" w:rsidRDefault="006016B9" w:rsidP="00555CD6">
            <w:pPr>
              <w:pStyle w:val="DETTablecolumnheading"/>
            </w:pPr>
            <w:r w:rsidRPr="0087752B">
              <w:t>2014–15</w:t>
            </w:r>
          </w:p>
        </w:tc>
        <w:tc>
          <w:tcPr>
            <w:tcW w:w="650" w:type="pct"/>
            <w:tcBorders>
              <w:bottom w:val="nil"/>
            </w:tcBorders>
            <w:shd w:val="clear" w:color="auto" w:fill="7F7F7F" w:themeFill="text1" w:themeFillTint="80"/>
            <w:vAlign w:val="center"/>
          </w:tcPr>
          <w:p w14:paraId="674AEDC7" w14:textId="77777777" w:rsidR="006016B9" w:rsidRPr="0087752B" w:rsidRDefault="006016B9" w:rsidP="00555CD6">
            <w:pPr>
              <w:pStyle w:val="DETTablecolumnheading"/>
            </w:pPr>
            <w:r w:rsidRPr="0087752B">
              <w:t>2015–16</w:t>
            </w:r>
          </w:p>
        </w:tc>
      </w:tr>
      <w:tr w:rsidR="006016B9" w:rsidRPr="0087752B" w14:paraId="2826805A" w14:textId="77777777" w:rsidTr="006016B9">
        <w:trPr>
          <w:cantSplit/>
        </w:trPr>
        <w:tc>
          <w:tcPr>
            <w:tcW w:w="649" w:type="pct"/>
            <w:tcBorders>
              <w:bottom w:val="nil"/>
            </w:tcBorders>
            <w:shd w:val="clear" w:color="auto" w:fill="auto"/>
            <w:vAlign w:val="center"/>
          </w:tcPr>
          <w:p w14:paraId="10F80C36" w14:textId="77777777" w:rsidR="006016B9" w:rsidRPr="0087752B" w:rsidRDefault="006016B9" w:rsidP="00555CD6">
            <w:pPr>
              <w:pStyle w:val="DETTableTextFinancial"/>
            </w:pPr>
            <w:r w:rsidRPr="0087752B">
              <w:t>Incidents</w:t>
            </w:r>
          </w:p>
        </w:tc>
        <w:tc>
          <w:tcPr>
            <w:tcW w:w="0" w:type="auto"/>
            <w:tcBorders>
              <w:bottom w:val="nil"/>
            </w:tcBorders>
            <w:shd w:val="clear" w:color="auto" w:fill="auto"/>
            <w:vAlign w:val="center"/>
          </w:tcPr>
          <w:p w14:paraId="16F92AFE" w14:textId="77777777" w:rsidR="006016B9" w:rsidRPr="0087752B" w:rsidRDefault="006016B9" w:rsidP="00555CD6">
            <w:pPr>
              <w:pStyle w:val="DETTableTextFinancial"/>
            </w:pPr>
            <w:r w:rsidRPr="0087752B">
              <w:t>Number of incidents</w:t>
            </w:r>
          </w:p>
        </w:tc>
        <w:tc>
          <w:tcPr>
            <w:tcW w:w="650" w:type="pct"/>
            <w:tcBorders>
              <w:bottom w:val="nil"/>
            </w:tcBorders>
            <w:shd w:val="clear" w:color="auto" w:fill="auto"/>
            <w:vAlign w:val="center"/>
          </w:tcPr>
          <w:p w14:paraId="6FF30EAA" w14:textId="77777777" w:rsidR="006016B9" w:rsidRPr="0087752B" w:rsidRDefault="006016B9" w:rsidP="00555CD6">
            <w:pPr>
              <w:pStyle w:val="DETTableTextFinancial"/>
              <w:jc w:val="right"/>
            </w:pPr>
            <w:r w:rsidRPr="0087752B">
              <w:t>8,266</w:t>
            </w:r>
          </w:p>
        </w:tc>
        <w:tc>
          <w:tcPr>
            <w:tcW w:w="650" w:type="pct"/>
            <w:tcBorders>
              <w:bottom w:val="nil"/>
            </w:tcBorders>
            <w:vAlign w:val="center"/>
          </w:tcPr>
          <w:p w14:paraId="5A867908" w14:textId="77777777" w:rsidR="006016B9" w:rsidRPr="0087752B" w:rsidRDefault="006016B9" w:rsidP="00555CD6">
            <w:pPr>
              <w:pStyle w:val="DETTableTextFinancial"/>
              <w:jc w:val="right"/>
            </w:pPr>
            <w:r w:rsidRPr="0087752B">
              <w:t>10,320</w:t>
            </w:r>
          </w:p>
        </w:tc>
        <w:tc>
          <w:tcPr>
            <w:tcW w:w="650" w:type="pct"/>
            <w:tcBorders>
              <w:bottom w:val="nil"/>
            </w:tcBorders>
            <w:shd w:val="clear" w:color="auto" w:fill="F8F8F8"/>
            <w:vAlign w:val="center"/>
          </w:tcPr>
          <w:p w14:paraId="73DE09AF" w14:textId="77777777" w:rsidR="006016B9" w:rsidRPr="0087752B" w:rsidRDefault="006016B9" w:rsidP="00555CD6">
            <w:pPr>
              <w:pStyle w:val="DETTableTextFinancial"/>
              <w:jc w:val="right"/>
            </w:pPr>
            <w:r w:rsidRPr="0087752B">
              <w:t>11,092</w:t>
            </w:r>
          </w:p>
        </w:tc>
      </w:tr>
      <w:tr w:rsidR="006016B9" w:rsidRPr="0087752B" w14:paraId="68ADDCEC" w14:textId="77777777" w:rsidTr="006016B9">
        <w:trPr>
          <w:cantSplit/>
        </w:trPr>
        <w:tc>
          <w:tcPr>
            <w:tcW w:w="649" w:type="pct"/>
            <w:tcBorders>
              <w:top w:val="nil"/>
              <w:bottom w:val="single" w:sz="6" w:space="0" w:color="777777"/>
            </w:tcBorders>
            <w:shd w:val="clear" w:color="auto" w:fill="auto"/>
            <w:vAlign w:val="center"/>
          </w:tcPr>
          <w:p w14:paraId="6816C73F" w14:textId="77777777" w:rsidR="006016B9" w:rsidRPr="0087752B" w:rsidRDefault="006016B9" w:rsidP="00555CD6">
            <w:pPr>
              <w:pStyle w:val="DETTableTextFinancial"/>
            </w:pPr>
          </w:p>
        </w:tc>
        <w:tc>
          <w:tcPr>
            <w:tcW w:w="0" w:type="auto"/>
            <w:tcBorders>
              <w:top w:val="nil"/>
              <w:bottom w:val="single" w:sz="6" w:space="0" w:color="777777"/>
            </w:tcBorders>
            <w:shd w:val="clear" w:color="auto" w:fill="auto"/>
            <w:vAlign w:val="center"/>
          </w:tcPr>
          <w:p w14:paraId="4CE6B1D3" w14:textId="77777777" w:rsidR="006016B9" w:rsidRPr="0087752B" w:rsidRDefault="006016B9" w:rsidP="00555CD6">
            <w:pPr>
              <w:pStyle w:val="DETTableTextFinancial"/>
            </w:pPr>
            <w:r w:rsidRPr="0087752B">
              <w:t>Rate per 100 FTE</w:t>
            </w:r>
          </w:p>
        </w:tc>
        <w:tc>
          <w:tcPr>
            <w:tcW w:w="650" w:type="pct"/>
            <w:tcBorders>
              <w:top w:val="nil"/>
              <w:bottom w:val="single" w:sz="6" w:space="0" w:color="777777"/>
            </w:tcBorders>
            <w:shd w:val="clear" w:color="auto" w:fill="auto"/>
            <w:vAlign w:val="center"/>
          </w:tcPr>
          <w:p w14:paraId="4940C1BF" w14:textId="77777777" w:rsidR="006016B9" w:rsidRPr="0087752B" w:rsidRDefault="006016B9" w:rsidP="00555CD6">
            <w:pPr>
              <w:pStyle w:val="DETTableTextFinancial"/>
              <w:jc w:val="right"/>
            </w:pPr>
            <w:r w:rsidRPr="0087752B">
              <w:t>14.29</w:t>
            </w:r>
          </w:p>
        </w:tc>
        <w:tc>
          <w:tcPr>
            <w:tcW w:w="650" w:type="pct"/>
            <w:tcBorders>
              <w:top w:val="nil"/>
              <w:bottom w:val="single" w:sz="6" w:space="0" w:color="777777"/>
            </w:tcBorders>
            <w:vAlign w:val="center"/>
          </w:tcPr>
          <w:p w14:paraId="54558AE9" w14:textId="77777777" w:rsidR="006016B9" w:rsidRPr="0087752B" w:rsidRDefault="006016B9" w:rsidP="00555CD6">
            <w:pPr>
              <w:pStyle w:val="DETTableTextFinancial"/>
              <w:jc w:val="right"/>
            </w:pPr>
            <w:r w:rsidRPr="0087752B">
              <w:t>17.7</w:t>
            </w:r>
          </w:p>
        </w:tc>
        <w:tc>
          <w:tcPr>
            <w:tcW w:w="650" w:type="pct"/>
            <w:tcBorders>
              <w:top w:val="nil"/>
              <w:bottom w:val="single" w:sz="6" w:space="0" w:color="777777"/>
            </w:tcBorders>
            <w:shd w:val="clear" w:color="auto" w:fill="F8F8F8"/>
            <w:vAlign w:val="center"/>
          </w:tcPr>
          <w:p w14:paraId="70BEF445" w14:textId="77777777" w:rsidR="006016B9" w:rsidRPr="0087752B" w:rsidRDefault="006016B9" w:rsidP="00555CD6">
            <w:pPr>
              <w:pStyle w:val="DETTableTextFinancial"/>
              <w:jc w:val="right"/>
            </w:pPr>
            <w:r w:rsidRPr="0087752B">
              <w:t>18.25</w:t>
            </w:r>
          </w:p>
        </w:tc>
      </w:tr>
      <w:tr w:rsidR="006016B9" w:rsidRPr="0087752B" w14:paraId="2762C9A6" w14:textId="77777777" w:rsidTr="006016B9">
        <w:trPr>
          <w:cantSplit/>
        </w:trPr>
        <w:tc>
          <w:tcPr>
            <w:tcW w:w="649" w:type="pct"/>
            <w:tcBorders>
              <w:top w:val="single" w:sz="6" w:space="0" w:color="777777"/>
            </w:tcBorders>
            <w:shd w:val="clear" w:color="auto" w:fill="auto"/>
            <w:vAlign w:val="center"/>
          </w:tcPr>
          <w:p w14:paraId="71012C43" w14:textId="77777777" w:rsidR="006016B9" w:rsidRPr="0087752B" w:rsidRDefault="006016B9" w:rsidP="00555CD6">
            <w:pPr>
              <w:pStyle w:val="DETTableTextFinancial"/>
            </w:pPr>
            <w:r w:rsidRPr="0087752B">
              <w:t>Claims</w:t>
            </w:r>
          </w:p>
        </w:tc>
        <w:tc>
          <w:tcPr>
            <w:tcW w:w="0" w:type="auto"/>
            <w:tcBorders>
              <w:top w:val="single" w:sz="6" w:space="0" w:color="777777"/>
            </w:tcBorders>
            <w:shd w:val="clear" w:color="auto" w:fill="auto"/>
            <w:vAlign w:val="center"/>
          </w:tcPr>
          <w:p w14:paraId="550C0112" w14:textId="77777777" w:rsidR="006016B9" w:rsidRPr="0087752B" w:rsidRDefault="006016B9" w:rsidP="00555CD6">
            <w:pPr>
              <w:pStyle w:val="DETTableTextFinancial"/>
            </w:pPr>
            <w:r w:rsidRPr="0087752B">
              <w:t>Number of standard claims</w:t>
            </w:r>
            <w:r w:rsidRPr="0087752B">
              <w:rPr>
                <w:rStyle w:val="FootnoteReference"/>
              </w:rPr>
              <w:t>1</w:t>
            </w:r>
          </w:p>
        </w:tc>
        <w:tc>
          <w:tcPr>
            <w:tcW w:w="650" w:type="pct"/>
            <w:tcBorders>
              <w:top w:val="single" w:sz="6" w:space="0" w:color="777777"/>
            </w:tcBorders>
            <w:shd w:val="clear" w:color="auto" w:fill="auto"/>
            <w:vAlign w:val="center"/>
          </w:tcPr>
          <w:p w14:paraId="4891FDC2" w14:textId="77777777" w:rsidR="006016B9" w:rsidRPr="0087752B" w:rsidRDefault="006016B9" w:rsidP="00555CD6">
            <w:pPr>
              <w:pStyle w:val="DETTableTextFinancial"/>
              <w:jc w:val="right"/>
            </w:pPr>
            <w:r w:rsidRPr="0087752B">
              <w:t>848</w:t>
            </w:r>
          </w:p>
        </w:tc>
        <w:tc>
          <w:tcPr>
            <w:tcW w:w="650" w:type="pct"/>
            <w:tcBorders>
              <w:top w:val="single" w:sz="6" w:space="0" w:color="777777"/>
            </w:tcBorders>
            <w:vAlign w:val="center"/>
          </w:tcPr>
          <w:p w14:paraId="23C0DCBC" w14:textId="77777777" w:rsidR="006016B9" w:rsidRPr="0087752B" w:rsidRDefault="006016B9" w:rsidP="00555CD6">
            <w:pPr>
              <w:pStyle w:val="DETTableTextFinancial"/>
              <w:jc w:val="right"/>
            </w:pPr>
            <w:r w:rsidRPr="0087752B">
              <w:t>884</w:t>
            </w:r>
          </w:p>
        </w:tc>
        <w:tc>
          <w:tcPr>
            <w:tcW w:w="650" w:type="pct"/>
            <w:tcBorders>
              <w:top w:val="single" w:sz="6" w:space="0" w:color="777777"/>
            </w:tcBorders>
            <w:shd w:val="clear" w:color="auto" w:fill="F8F8F8"/>
            <w:vAlign w:val="center"/>
          </w:tcPr>
          <w:p w14:paraId="38E0E94C" w14:textId="77777777" w:rsidR="006016B9" w:rsidRPr="0087752B" w:rsidRDefault="006016B9" w:rsidP="00555CD6">
            <w:pPr>
              <w:pStyle w:val="DETTableTextFinancial"/>
              <w:jc w:val="right"/>
            </w:pPr>
            <w:r w:rsidRPr="0087752B">
              <w:t>796</w:t>
            </w:r>
          </w:p>
        </w:tc>
      </w:tr>
      <w:tr w:rsidR="006016B9" w:rsidRPr="0087752B" w14:paraId="0263225B" w14:textId="77777777" w:rsidTr="006016B9">
        <w:trPr>
          <w:cantSplit/>
        </w:trPr>
        <w:tc>
          <w:tcPr>
            <w:tcW w:w="649" w:type="pct"/>
            <w:shd w:val="clear" w:color="auto" w:fill="auto"/>
            <w:vAlign w:val="center"/>
          </w:tcPr>
          <w:p w14:paraId="13DEB242" w14:textId="77777777" w:rsidR="006016B9" w:rsidRPr="0087752B" w:rsidRDefault="006016B9" w:rsidP="00555CD6">
            <w:pPr>
              <w:pStyle w:val="DETTableTextFinancial"/>
            </w:pPr>
          </w:p>
        </w:tc>
        <w:tc>
          <w:tcPr>
            <w:tcW w:w="0" w:type="auto"/>
            <w:shd w:val="clear" w:color="auto" w:fill="auto"/>
            <w:vAlign w:val="center"/>
          </w:tcPr>
          <w:p w14:paraId="6169565B" w14:textId="77777777" w:rsidR="006016B9" w:rsidRPr="0087752B" w:rsidRDefault="006016B9" w:rsidP="00555CD6">
            <w:pPr>
              <w:pStyle w:val="DETTableTextFinancial"/>
            </w:pPr>
            <w:r w:rsidRPr="0087752B">
              <w:t>Rate per 100 FTE</w:t>
            </w:r>
          </w:p>
        </w:tc>
        <w:tc>
          <w:tcPr>
            <w:tcW w:w="650" w:type="pct"/>
            <w:shd w:val="clear" w:color="auto" w:fill="auto"/>
            <w:vAlign w:val="center"/>
          </w:tcPr>
          <w:p w14:paraId="2122CCBC" w14:textId="77777777" w:rsidR="006016B9" w:rsidRPr="0087752B" w:rsidRDefault="006016B9" w:rsidP="00555CD6">
            <w:pPr>
              <w:pStyle w:val="DETTableTextFinancial"/>
              <w:jc w:val="right"/>
            </w:pPr>
            <w:r w:rsidRPr="0087752B">
              <w:t>1.47</w:t>
            </w:r>
          </w:p>
        </w:tc>
        <w:tc>
          <w:tcPr>
            <w:tcW w:w="650" w:type="pct"/>
            <w:vAlign w:val="center"/>
          </w:tcPr>
          <w:p w14:paraId="4F14FC72" w14:textId="77777777" w:rsidR="006016B9" w:rsidRPr="0087752B" w:rsidRDefault="006016B9" w:rsidP="00555CD6">
            <w:pPr>
              <w:pStyle w:val="DETTableTextFinancial"/>
              <w:jc w:val="right"/>
            </w:pPr>
            <w:r w:rsidRPr="0087752B">
              <w:t>1.52</w:t>
            </w:r>
          </w:p>
        </w:tc>
        <w:tc>
          <w:tcPr>
            <w:tcW w:w="650" w:type="pct"/>
            <w:shd w:val="clear" w:color="auto" w:fill="F8F8F8"/>
            <w:vAlign w:val="center"/>
          </w:tcPr>
          <w:p w14:paraId="73258B6F" w14:textId="77777777" w:rsidR="006016B9" w:rsidRPr="0087752B" w:rsidRDefault="006016B9" w:rsidP="00555CD6">
            <w:pPr>
              <w:pStyle w:val="DETTableTextFinancial"/>
              <w:jc w:val="right"/>
            </w:pPr>
            <w:r w:rsidRPr="0087752B">
              <w:t>1.31</w:t>
            </w:r>
          </w:p>
        </w:tc>
      </w:tr>
      <w:tr w:rsidR="006016B9" w:rsidRPr="0087752B" w14:paraId="4116F431" w14:textId="77777777" w:rsidTr="006016B9">
        <w:trPr>
          <w:cantSplit/>
        </w:trPr>
        <w:tc>
          <w:tcPr>
            <w:tcW w:w="649" w:type="pct"/>
            <w:shd w:val="clear" w:color="auto" w:fill="auto"/>
            <w:vAlign w:val="center"/>
          </w:tcPr>
          <w:p w14:paraId="3029A872" w14:textId="77777777" w:rsidR="006016B9" w:rsidRPr="0087752B" w:rsidRDefault="006016B9" w:rsidP="00555CD6">
            <w:pPr>
              <w:pStyle w:val="DETTableTextFinancial"/>
            </w:pPr>
          </w:p>
        </w:tc>
        <w:tc>
          <w:tcPr>
            <w:tcW w:w="0" w:type="auto"/>
            <w:shd w:val="clear" w:color="auto" w:fill="auto"/>
            <w:vAlign w:val="center"/>
          </w:tcPr>
          <w:p w14:paraId="492FD769" w14:textId="77777777" w:rsidR="006016B9" w:rsidRPr="0087752B" w:rsidRDefault="006016B9" w:rsidP="00555CD6">
            <w:pPr>
              <w:pStyle w:val="DETTableTextFinancial"/>
            </w:pPr>
            <w:r w:rsidRPr="0087752B">
              <w:t>Number of lost time claims</w:t>
            </w:r>
            <w:r w:rsidRPr="0087752B">
              <w:rPr>
                <w:rStyle w:val="FootnoteReference"/>
              </w:rPr>
              <w:t>1</w:t>
            </w:r>
          </w:p>
        </w:tc>
        <w:tc>
          <w:tcPr>
            <w:tcW w:w="650" w:type="pct"/>
            <w:shd w:val="clear" w:color="auto" w:fill="auto"/>
            <w:vAlign w:val="center"/>
          </w:tcPr>
          <w:p w14:paraId="4B67B840" w14:textId="77777777" w:rsidR="006016B9" w:rsidRPr="0087752B" w:rsidRDefault="006016B9" w:rsidP="00555CD6">
            <w:pPr>
              <w:pStyle w:val="DETTableTextFinancial"/>
              <w:jc w:val="right"/>
            </w:pPr>
            <w:r w:rsidRPr="0087752B">
              <w:t>326</w:t>
            </w:r>
          </w:p>
        </w:tc>
        <w:tc>
          <w:tcPr>
            <w:tcW w:w="650" w:type="pct"/>
            <w:vAlign w:val="center"/>
          </w:tcPr>
          <w:p w14:paraId="651458AC" w14:textId="77777777" w:rsidR="006016B9" w:rsidRPr="0087752B" w:rsidRDefault="006016B9" w:rsidP="00555CD6">
            <w:pPr>
              <w:pStyle w:val="DETTableTextFinancial"/>
              <w:jc w:val="right"/>
            </w:pPr>
            <w:r w:rsidRPr="0087752B">
              <w:t>321</w:t>
            </w:r>
          </w:p>
        </w:tc>
        <w:tc>
          <w:tcPr>
            <w:tcW w:w="650" w:type="pct"/>
            <w:shd w:val="clear" w:color="auto" w:fill="F8F8F8"/>
            <w:vAlign w:val="center"/>
          </w:tcPr>
          <w:p w14:paraId="589AAE20" w14:textId="77777777" w:rsidR="006016B9" w:rsidRPr="0087752B" w:rsidRDefault="006016B9" w:rsidP="00555CD6">
            <w:pPr>
              <w:pStyle w:val="DETTableTextFinancial"/>
              <w:jc w:val="right"/>
            </w:pPr>
            <w:r w:rsidRPr="0087752B">
              <w:t>291</w:t>
            </w:r>
          </w:p>
        </w:tc>
      </w:tr>
      <w:tr w:rsidR="006016B9" w:rsidRPr="0087752B" w14:paraId="1AF1D9D7" w14:textId="77777777" w:rsidTr="006016B9">
        <w:trPr>
          <w:cantSplit/>
        </w:trPr>
        <w:tc>
          <w:tcPr>
            <w:tcW w:w="649" w:type="pct"/>
            <w:tcBorders>
              <w:bottom w:val="nil"/>
            </w:tcBorders>
            <w:shd w:val="clear" w:color="auto" w:fill="auto"/>
            <w:vAlign w:val="center"/>
          </w:tcPr>
          <w:p w14:paraId="28A2CB3A" w14:textId="77777777" w:rsidR="006016B9" w:rsidRPr="0087752B" w:rsidRDefault="006016B9" w:rsidP="00555CD6">
            <w:pPr>
              <w:pStyle w:val="DETTableTextFinancial"/>
            </w:pPr>
          </w:p>
        </w:tc>
        <w:tc>
          <w:tcPr>
            <w:tcW w:w="0" w:type="auto"/>
            <w:tcBorders>
              <w:bottom w:val="nil"/>
            </w:tcBorders>
            <w:shd w:val="clear" w:color="auto" w:fill="auto"/>
            <w:vAlign w:val="center"/>
          </w:tcPr>
          <w:p w14:paraId="085B383B" w14:textId="77777777" w:rsidR="006016B9" w:rsidRPr="0087752B" w:rsidRDefault="006016B9" w:rsidP="00555CD6">
            <w:pPr>
              <w:pStyle w:val="DETTableTextFinancial"/>
            </w:pPr>
            <w:r w:rsidRPr="0087752B">
              <w:t>Rate per 100 FTE</w:t>
            </w:r>
          </w:p>
        </w:tc>
        <w:tc>
          <w:tcPr>
            <w:tcW w:w="650" w:type="pct"/>
            <w:tcBorders>
              <w:bottom w:val="nil"/>
            </w:tcBorders>
            <w:shd w:val="clear" w:color="auto" w:fill="auto"/>
            <w:vAlign w:val="center"/>
          </w:tcPr>
          <w:p w14:paraId="2E88DFD7" w14:textId="77777777" w:rsidR="006016B9" w:rsidRPr="0087752B" w:rsidRDefault="006016B9" w:rsidP="00555CD6">
            <w:pPr>
              <w:pStyle w:val="DETTableTextFinancial"/>
              <w:jc w:val="right"/>
              <w:rPr>
                <w:highlight w:val="yellow"/>
              </w:rPr>
            </w:pPr>
            <w:r w:rsidRPr="0087752B">
              <w:t>0.563</w:t>
            </w:r>
          </w:p>
        </w:tc>
        <w:tc>
          <w:tcPr>
            <w:tcW w:w="650" w:type="pct"/>
            <w:tcBorders>
              <w:bottom w:val="nil"/>
            </w:tcBorders>
            <w:vAlign w:val="center"/>
          </w:tcPr>
          <w:p w14:paraId="53FFFB9E" w14:textId="77777777" w:rsidR="006016B9" w:rsidRPr="0087752B" w:rsidRDefault="006016B9" w:rsidP="00555CD6">
            <w:pPr>
              <w:pStyle w:val="DETTableTextFinancial"/>
              <w:jc w:val="right"/>
            </w:pPr>
            <w:r w:rsidRPr="0087752B">
              <w:t>0.551</w:t>
            </w:r>
          </w:p>
        </w:tc>
        <w:tc>
          <w:tcPr>
            <w:tcW w:w="650" w:type="pct"/>
            <w:tcBorders>
              <w:bottom w:val="nil"/>
            </w:tcBorders>
            <w:shd w:val="clear" w:color="auto" w:fill="F8F8F8"/>
            <w:vAlign w:val="center"/>
          </w:tcPr>
          <w:p w14:paraId="1E64C54D" w14:textId="77777777" w:rsidR="006016B9" w:rsidRPr="0087752B" w:rsidRDefault="006016B9" w:rsidP="00555CD6">
            <w:pPr>
              <w:pStyle w:val="DETTableTextFinancial"/>
              <w:jc w:val="right"/>
            </w:pPr>
            <w:r w:rsidRPr="0087752B">
              <w:t>0.479</w:t>
            </w:r>
          </w:p>
        </w:tc>
      </w:tr>
      <w:tr w:rsidR="006016B9" w:rsidRPr="0087752B" w14:paraId="3F3EB8F4" w14:textId="77777777" w:rsidTr="006016B9">
        <w:trPr>
          <w:cantSplit/>
        </w:trPr>
        <w:tc>
          <w:tcPr>
            <w:tcW w:w="649" w:type="pct"/>
            <w:tcBorders>
              <w:bottom w:val="nil"/>
            </w:tcBorders>
            <w:shd w:val="clear" w:color="auto" w:fill="auto"/>
            <w:vAlign w:val="center"/>
          </w:tcPr>
          <w:p w14:paraId="4B3ECFCB" w14:textId="77777777" w:rsidR="006016B9" w:rsidRPr="0087752B" w:rsidRDefault="006016B9" w:rsidP="00555CD6">
            <w:pPr>
              <w:pStyle w:val="DETTableTextFinancial"/>
            </w:pPr>
          </w:p>
        </w:tc>
        <w:tc>
          <w:tcPr>
            <w:tcW w:w="0" w:type="auto"/>
            <w:tcBorders>
              <w:bottom w:val="nil"/>
            </w:tcBorders>
            <w:shd w:val="clear" w:color="auto" w:fill="auto"/>
            <w:vAlign w:val="center"/>
          </w:tcPr>
          <w:p w14:paraId="43B66B8C" w14:textId="77777777" w:rsidR="006016B9" w:rsidRPr="0087752B" w:rsidRDefault="006016B9" w:rsidP="00555CD6">
            <w:pPr>
              <w:pStyle w:val="DETTableTextFinancial"/>
            </w:pPr>
            <w:r w:rsidRPr="0087752B">
              <w:t>Number of claims exceeding 13 weeks</w:t>
            </w:r>
            <w:r w:rsidRPr="0087752B">
              <w:rPr>
                <w:rStyle w:val="FootnoteReference"/>
              </w:rPr>
              <w:t>1</w:t>
            </w:r>
          </w:p>
        </w:tc>
        <w:tc>
          <w:tcPr>
            <w:tcW w:w="650" w:type="pct"/>
            <w:tcBorders>
              <w:bottom w:val="nil"/>
            </w:tcBorders>
            <w:shd w:val="clear" w:color="auto" w:fill="auto"/>
            <w:vAlign w:val="center"/>
          </w:tcPr>
          <w:p w14:paraId="4848BAAB" w14:textId="77777777" w:rsidR="006016B9" w:rsidRPr="0087752B" w:rsidRDefault="006016B9" w:rsidP="00555CD6">
            <w:pPr>
              <w:pStyle w:val="DETTableTextFinancial"/>
              <w:jc w:val="right"/>
            </w:pPr>
            <w:r w:rsidRPr="0087752B">
              <w:t>114</w:t>
            </w:r>
          </w:p>
        </w:tc>
        <w:tc>
          <w:tcPr>
            <w:tcW w:w="650" w:type="pct"/>
            <w:tcBorders>
              <w:bottom w:val="nil"/>
            </w:tcBorders>
            <w:vAlign w:val="center"/>
          </w:tcPr>
          <w:p w14:paraId="292DFFAC" w14:textId="77777777" w:rsidR="006016B9" w:rsidRPr="0087752B" w:rsidRDefault="006016B9" w:rsidP="00555CD6">
            <w:pPr>
              <w:pStyle w:val="DETTableTextFinancial"/>
              <w:jc w:val="right"/>
            </w:pPr>
            <w:r w:rsidRPr="0087752B">
              <w:t>103</w:t>
            </w:r>
          </w:p>
        </w:tc>
        <w:tc>
          <w:tcPr>
            <w:tcW w:w="650" w:type="pct"/>
            <w:tcBorders>
              <w:bottom w:val="nil"/>
            </w:tcBorders>
            <w:shd w:val="clear" w:color="auto" w:fill="F8F8F8"/>
            <w:vAlign w:val="center"/>
          </w:tcPr>
          <w:p w14:paraId="64B6433F" w14:textId="77777777" w:rsidR="006016B9" w:rsidRPr="0087752B" w:rsidRDefault="006016B9" w:rsidP="00555CD6">
            <w:pPr>
              <w:pStyle w:val="DETTableTextFinancial"/>
              <w:jc w:val="right"/>
            </w:pPr>
            <w:r w:rsidRPr="0087752B">
              <w:t>178</w:t>
            </w:r>
          </w:p>
        </w:tc>
      </w:tr>
      <w:tr w:rsidR="006016B9" w:rsidRPr="0087752B" w14:paraId="051AA34C" w14:textId="77777777" w:rsidTr="006016B9">
        <w:trPr>
          <w:cantSplit/>
        </w:trPr>
        <w:tc>
          <w:tcPr>
            <w:tcW w:w="649" w:type="pct"/>
            <w:tcBorders>
              <w:top w:val="nil"/>
              <w:bottom w:val="single" w:sz="6" w:space="0" w:color="777777"/>
            </w:tcBorders>
            <w:shd w:val="clear" w:color="auto" w:fill="auto"/>
            <w:vAlign w:val="center"/>
          </w:tcPr>
          <w:p w14:paraId="644A4626" w14:textId="77777777" w:rsidR="006016B9" w:rsidRPr="0087752B" w:rsidRDefault="006016B9" w:rsidP="00555CD6">
            <w:pPr>
              <w:pStyle w:val="DETTableTextFinancial"/>
            </w:pPr>
          </w:p>
        </w:tc>
        <w:tc>
          <w:tcPr>
            <w:tcW w:w="0" w:type="auto"/>
            <w:tcBorders>
              <w:top w:val="nil"/>
              <w:bottom w:val="single" w:sz="6" w:space="0" w:color="777777"/>
            </w:tcBorders>
            <w:shd w:val="clear" w:color="auto" w:fill="auto"/>
            <w:vAlign w:val="center"/>
          </w:tcPr>
          <w:p w14:paraId="10721406" w14:textId="77777777" w:rsidR="006016B9" w:rsidRPr="0087752B" w:rsidRDefault="006016B9" w:rsidP="00555CD6">
            <w:pPr>
              <w:pStyle w:val="DETTableTextFinancial"/>
            </w:pPr>
            <w:r w:rsidRPr="0087752B">
              <w:t>Rate per 100 FTE</w:t>
            </w:r>
          </w:p>
        </w:tc>
        <w:tc>
          <w:tcPr>
            <w:tcW w:w="650" w:type="pct"/>
            <w:tcBorders>
              <w:top w:val="nil"/>
              <w:bottom w:val="single" w:sz="6" w:space="0" w:color="777777"/>
            </w:tcBorders>
            <w:shd w:val="clear" w:color="auto" w:fill="auto"/>
            <w:vAlign w:val="center"/>
          </w:tcPr>
          <w:p w14:paraId="0376D318" w14:textId="77777777" w:rsidR="006016B9" w:rsidRPr="0087752B" w:rsidRDefault="006016B9" w:rsidP="00555CD6">
            <w:pPr>
              <w:pStyle w:val="DETTableTextFinancial"/>
              <w:jc w:val="right"/>
              <w:rPr>
                <w:highlight w:val="yellow"/>
              </w:rPr>
            </w:pPr>
            <w:r w:rsidRPr="0087752B">
              <w:t>0.197</w:t>
            </w:r>
          </w:p>
        </w:tc>
        <w:tc>
          <w:tcPr>
            <w:tcW w:w="650" w:type="pct"/>
            <w:tcBorders>
              <w:top w:val="nil"/>
              <w:bottom w:val="single" w:sz="6" w:space="0" w:color="777777"/>
            </w:tcBorders>
            <w:vAlign w:val="center"/>
          </w:tcPr>
          <w:p w14:paraId="008CF9F1" w14:textId="77777777" w:rsidR="006016B9" w:rsidRPr="0087752B" w:rsidRDefault="006016B9" w:rsidP="00555CD6">
            <w:pPr>
              <w:pStyle w:val="DETTableTextFinancial"/>
              <w:jc w:val="right"/>
            </w:pPr>
            <w:r w:rsidRPr="0087752B">
              <w:t>0.200</w:t>
            </w:r>
          </w:p>
        </w:tc>
        <w:tc>
          <w:tcPr>
            <w:tcW w:w="650" w:type="pct"/>
            <w:tcBorders>
              <w:top w:val="nil"/>
              <w:bottom w:val="single" w:sz="6" w:space="0" w:color="777777"/>
            </w:tcBorders>
            <w:shd w:val="clear" w:color="auto" w:fill="F8F8F8"/>
            <w:vAlign w:val="center"/>
          </w:tcPr>
          <w:p w14:paraId="3B5D4B32" w14:textId="77777777" w:rsidR="006016B9" w:rsidRPr="0087752B" w:rsidRDefault="006016B9" w:rsidP="00555CD6">
            <w:pPr>
              <w:pStyle w:val="DETTableTextFinancial"/>
              <w:jc w:val="right"/>
            </w:pPr>
            <w:r w:rsidRPr="0087752B">
              <w:t>0.300</w:t>
            </w:r>
          </w:p>
        </w:tc>
      </w:tr>
      <w:tr w:rsidR="006016B9" w:rsidRPr="0087752B" w14:paraId="240AAD5D" w14:textId="77777777" w:rsidTr="006016B9">
        <w:trPr>
          <w:cantSplit/>
        </w:trPr>
        <w:tc>
          <w:tcPr>
            <w:tcW w:w="649" w:type="pct"/>
            <w:tcBorders>
              <w:top w:val="single" w:sz="6" w:space="0" w:color="777777"/>
              <w:bottom w:val="single" w:sz="6" w:space="0" w:color="777777"/>
            </w:tcBorders>
            <w:shd w:val="clear" w:color="auto" w:fill="auto"/>
            <w:vAlign w:val="center"/>
          </w:tcPr>
          <w:p w14:paraId="69F7494A" w14:textId="77777777" w:rsidR="006016B9" w:rsidRPr="0087752B" w:rsidRDefault="006016B9" w:rsidP="00555CD6">
            <w:pPr>
              <w:pStyle w:val="DETTableTextFinancial"/>
            </w:pPr>
            <w:r w:rsidRPr="0087752B">
              <w:t>Fatalities</w:t>
            </w:r>
          </w:p>
        </w:tc>
        <w:tc>
          <w:tcPr>
            <w:tcW w:w="0" w:type="auto"/>
            <w:tcBorders>
              <w:top w:val="single" w:sz="6" w:space="0" w:color="777777"/>
              <w:bottom w:val="single" w:sz="6" w:space="0" w:color="777777"/>
            </w:tcBorders>
            <w:shd w:val="clear" w:color="auto" w:fill="auto"/>
            <w:vAlign w:val="center"/>
          </w:tcPr>
          <w:p w14:paraId="4EC37BF1" w14:textId="77777777" w:rsidR="006016B9" w:rsidRPr="0087752B" w:rsidRDefault="006016B9" w:rsidP="00555CD6">
            <w:pPr>
              <w:pStyle w:val="DETTableTextFinancial"/>
            </w:pPr>
            <w:r w:rsidRPr="0087752B">
              <w:t>Fatality claims</w:t>
            </w:r>
          </w:p>
        </w:tc>
        <w:tc>
          <w:tcPr>
            <w:tcW w:w="650" w:type="pct"/>
            <w:tcBorders>
              <w:top w:val="single" w:sz="6" w:space="0" w:color="777777"/>
              <w:bottom w:val="single" w:sz="6" w:space="0" w:color="777777"/>
            </w:tcBorders>
            <w:shd w:val="clear" w:color="auto" w:fill="auto"/>
            <w:vAlign w:val="center"/>
          </w:tcPr>
          <w:p w14:paraId="3C76A125" w14:textId="77777777" w:rsidR="006016B9" w:rsidRPr="0087752B" w:rsidRDefault="006016B9" w:rsidP="00555CD6">
            <w:pPr>
              <w:pStyle w:val="DETTableTextFinancial"/>
              <w:jc w:val="right"/>
            </w:pPr>
            <w:r w:rsidRPr="0087752B">
              <w:t>1</w:t>
            </w:r>
            <w:r w:rsidRPr="0087752B">
              <w:rPr>
                <w:rStyle w:val="FootnoteReference"/>
              </w:rPr>
              <w:t>2</w:t>
            </w:r>
          </w:p>
        </w:tc>
        <w:tc>
          <w:tcPr>
            <w:tcW w:w="650" w:type="pct"/>
            <w:tcBorders>
              <w:top w:val="single" w:sz="6" w:space="0" w:color="777777"/>
              <w:bottom w:val="single" w:sz="6" w:space="0" w:color="777777"/>
            </w:tcBorders>
            <w:vAlign w:val="center"/>
          </w:tcPr>
          <w:p w14:paraId="2E10E50E" w14:textId="77777777" w:rsidR="006016B9" w:rsidRPr="0087752B" w:rsidRDefault="006016B9" w:rsidP="00555CD6">
            <w:pPr>
              <w:pStyle w:val="DETTableTextFinancial"/>
              <w:jc w:val="right"/>
            </w:pPr>
            <w:r w:rsidRPr="0087752B">
              <w:t>1</w:t>
            </w:r>
          </w:p>
        </w:tc>
        <w:tc>
          <w:tcPr>
            <w:tcW w:w="650" w:type="pct"/>
            <w:tcBorders>
              <w:top w:val="single" w:sz="6" w:space="0" w:color="777777"/>
              <w:bottom w:val="single" w:sz="6" w:space="0" w:color="777777"/>
            </w:tcBorders>
            <w:shd w:val="clear" w:color="auto" w:fill="F8F8F8"/>
            <w:vAlign w:val="center"/>
          </w:tcPr>
          <w:p w14:paraId="5930110B" w14:textId="77777777" w:rsidR="006016B9" w:rsidRPr="0087752B" w:rsidRDefault="006016B9" w:rsidP="00555CD6">
            <w:pPr>
              <w:pStyle w:val="DETTableTextFinancial"/>
              <w:jc w:val="right"/>
            </w:pPr>
            <w:r w:rsidRPr="0087752B">
              <w:t>0</w:t>
            </w:r>
          </w:p>
        </w:tc>
      </w:tr>
      <w:tr w:rsidR="006016B9" w:rsidRPr="0087752B" w14:paraId="0E10C9F8" w14:textId="77777777" w:rsidTr="006016B9">
        <w:trPr>
          <w:cantSplit/>
        </w:trPr>
        <w:tc>
          <w:tcPr>
            <w:tcW w:w="649" w:type="pct"/>
            <w:tcBorders>
              <w:top w:val="single" w:sz="6" w:space="0" w:color="777777"/>
              <w:bottom w:val="single" w:sz="6" w:space="0" w:color="777777"/>
            </w:tcBorders>
            <w:shd w:val="clear" w:color="auto" w:fill="auto"/>
            <w:vAlign w:val="center"/>
          </w:tcPr>
          <w:p w14:paraId="48A97E82" w14:textId="77777777" w:rsidR="006016B9" w:rsidRPr="0087752B" w:rsidRDefault="006016B9" w:rsidP="00555CD6">
            <w:pPr>
              <w:pStyle w:val="DETTableTextFinancial"/>
            </w:pPr>
            <w:r w:rsidRPr="0087752B">
              <w:t>Claim costs</w:t>
            </w:r>
          </w:p>
        </w:tc>
        <w:tc>
          <w:tcPr>
            <w:tcW w:w="0" w:type="auto"/>
            <w:tcBorders>
              <w:top w:val="single" w:sz="6" w:space="0" w:color="777777"/>
              <w:bottom w:val="single" w:sz="6" w:space="0" w:color="777777"/>
            </w:tcBorders>
            <w:shd w:val="clear" w:color="auto" w:fill="auto"/>
            <w:vAlign w:val="center"/>
          </w:tcPr>
          <w:p w14:paraId="29672422" w14:textId="77777777" w:rsidR="006016B9" w:rsidRPr="0087752B" w:rsidRDefault="006016B9" w:rsidP="00555CD6">
            <w:pPr>
              <w:pStyle w:val="DETTableTextFinancial"/>
            </w:pPr>
            <w:r w:rsidRPr="0087752B">
              <w:t>Average cost per standard claim ($)</w:t>
            </w:r>
            <w:r w:rsidRPr="0087752B">
              <w:rPr>
                <w:rStyle w:val="FootnoteReference"/>
              </w:rPr>
              <w:t>1</w:t>
            </w:r>
          </w:p>
        </w:tc>
        <w:tc>
          <w:tcPr>
            <w:tcW w:w="650" w:type="pct"/>
            <w:tcBorders>
              <w:top w:val="single" w:sz="6" w:space="0" w:color="777777"/>
              <w:bottom w:val="single" w:sz="6" w:space="0" w:color="777777"/>
            </w:tcBorders>
            <w:shd w:val="clear" w:color="auto" w:fill="auto"/>
            <w:vAlign w:val="center"/>
          </w:tcPr>
          <w:p w14:paraId="74E1FD32" w14:textId="77777777" w:rsidR="006016B9" w:rsidRPr="0087752B" w:rsidRDefault="006016B9" w:rsidP="00555CD6">
            <w:pPr>
              <w:pStyle w:val="DETTableTextFinancial"/>
              <w:jc w:val="right"/>
            </w:pPr>
            <w:r w:rsidRPr="0087752B">
              <w:t>42,603</w:t>
            </w:r>
          </w:p>
        </w:tc>
        <w:tc>
          <w:tcPr>
            <w:tcW w:w="650" w:type="pct"/>
            <w:tcBorders>
              <w:top w:val="single" w:sz="6" w:space="0" w:color="777777"/>
              <w:bottom w:val="single" w:sz="6" w:space="0" w:color="777777"/>
            </w:tcBorders>
            <w:vAlign w:val="center"/>
          </w:tcPr>
          <w:p w14:paraId="1CBB66FF" w14:textId="77777777" w:rsidR="006016B9" w:rsidRPr="0087752B" w:rsidRDefault="006016B9" w:rsidP="00555CD6">
            <w:pPr>
              <w:pStyle w:val="DETTableTextFinancial"/>
              <w:jc w:val="right"/>
            </w:pPr>
            <w:r w:rsidRPr="0087752B">
              <w:t>40,047</w:t>
            </w:r>
          </w:p>
        </w:tc>
        <w:tc>
          <w:tcPr>
            <w:tcW w:w="650" w:type="pct"/>
            <w:tcBorders>
              <w:top w:val="single" w:sz="6" w:space="0" w:color="777777"/>
              <w:bottom w:val="single" w:sz="6" w:space="0" w:color="777777"/>
            </w:tcBorders>
            <w:shd w:val="clear" w:color="auto" w:fill="F8F8F8"/>
            <w:vAlign w:val="center"/>
          </w:tcPr>
          <w:p w14:paraId="5C6AF39E" w14:textId="77777777" w:rsidR="006016B9" w:rsidRPr="0087752B" w:rsidRDefault="006016B9" w:rsidP="00555CD6">
            <w:pPr>
              <w:pStyle w:val="DETTableTextFinancial"/>
              <w:jc w:val="right"/>
            </w:pPr>
            <w:r w:rsidRPr="0087752B">
              <w:t>55,810</w:t>
            </w:r>
          </w:p>
        </w:tc>
      </w:tr>
      <w:tr w:rsidR="006016B9" w:rsidRPr="0087752B" w14:paraId="0D1AF367" w14:textId="77777777" w:rsidTr="006016B9">
        <w:trPr>
          <w:cantSplit/>
        </w:trPr>
        <w:tc>
          <w:tcPr>
            <w:tcW w:w="649" w:type="pct"/>
            <w:tcBorders>
              <w:top w:val="single" w:sz="6" w:space="0" w:color="777777"/>
              <w:bottom w:val="nil"/>
            </w:tcBorders>
            <w:shd w:val="clear" w:color="auto" w:fill="auto"/>
          </w:tcPr>
          <w:p w14:paraId="3520F334" w14:textId="77777777" w:rsidR="006016B9" w:rsidRPr="0087752B" w:rsidRDefault="006016B9" w:rsidP="00555CD6">
            <w:pPr>
              <w:pStyle w:val="DETTableTextFinancial"/>
            </w:pPr>
            <w:r w:rsidRPr="0087752B">
              <w:t>Management commitment</w:t>
            </w:r>
          </w:p>
        </w:tc>
        <w:tc>
          <w:tcPr>
            <w:tcW w:w="0" w:type="auto"/>
            <w:tcBorders>
              <w:top w:val="single" w:sz="6" w:space="0" w:color="777777"/>
              <w:bottom w:val="nil"/>
            </w:tcBorders>
            <w:shd w:val="clear" w:color="auto" w:fill="auto"/>
            <w:vAlign w:val="center"/>
          </w:tcPr>
          <w:p w14:paraId="4C1EF000" w14:textId="77777777" w:rsidR="006016B9" w:rsidRPr="0087752B" w:rsidRDefault="006016B9" w:rsidP="00555CD6">
            <w:pPr>
              <w:pStyle w:val="DETTableTextFinancial"/>
            </w:pPr>
            <w:r w:rsidRPr="0087752B">
              <w:t>Evidence of occupational health &amp; safety policy statement, objectives, regular reporting to senior management &amp; plans (signed by CEO or equivalent)</w:t>
            </w:r>
          </w:p>
        </w:tc>
        <w:tc>
          <w:tcPr>
            <w:tcW w:w="650" w:type="pct"/>
            <w:tcBorders>
              <w:top w:val="single" w:sz="6" w:space="0" w:color="777777"/>
              <w:bottom w:val="nil"/>
            </w:tcBorders>
            <w:shd w:val="clear" w:color="auto" w:fill="auto"/>
            <w:vAlign w:val="center"/>
          </w:tcPr>
          <w:p w14:paraId="59EA0F3C" w14:textId="77777777" w:rsidR="006016B9" w:rsidRPr="0087752B" w:rsidRDefault="006016B9" w:rsidP="00555CD6">
            <w:pPr>
              <w:pStyle w:val="DETTableTextFinancial"/>
              <w:jc w:val="right"/>
            </w:pPr>
            <w:r w:rsidRPr="0087752B">
              <w:t>Complete</w:t>
            </w:r>
          </w:p>
        </w:tc>
        <w:tc>
          <w:tcPr>
            <w:tcW w:w="650" w:type="pct"/>
            <w:tcBorders>
              <w:top w:val="single" w:sz="6" w:space="0" w:color="777777"/>
              <w:bottom w:val="nil"/>
            </w:tcBorders>
            <w:vAlign w:val="center"/>
          </w:tcPr>
          <w:p w14:paraId="03574578" w14:textId="77777777" w:rsidR="006016B9" w:rsidRPr="0087752B" w:rsidRDefault="006016B9" w:rsidP="00555CD6">
            <w:pPr>
              <w:pStyle w:val="DETTableTextFinancial"/>
              <w:jc w:val="right"/>
            </w:pPr>
            <w:r w:rsidRPr="0087752B">
              <w:t>Complete</w:t>
            </w:r>
          </w:p>
        </w:tc>
        <w:tc>
          <w:tcPr>
            <w:tcW w:w="650" w:type="pct"/>
            <w:tcBorders>
              <w:top w:val="single" w:sz="6" w:space="0" w:color="777777"/>
              <w:bottom w:val="nil"/>
            </w:tcBorders>
            <w:shd w:val="clear" w:color="auto" w:fill="F8F8F8"/>
            <w:vAlign w:val="center"/>
          </w:tcPr>
          <w:p w14:paraId="4610C9CF" w14:textId="77777777" w:rsidR="006016B9" w:rsidRPr="0087752B" w:rsidRDefault="006016B9" w:rsidP="00555CD6">
            <w:pPr>
              <w:pStyle w:val="DETTableTextFinancial"/>
              <w:jc w:val="right"/>
            </w:pPr>
            <w:r w:rsidRPr="0087752B">
              <w:t>Complete</w:t>
            </w:r>
          </w:p>
        </w:tc>
      </w:tr>
      <w:tr w:rsidR="006016B9" w:rsidRPr="0087752B" w14:paraId="4D8B4CE3" w14:textId="77777777" w:rsidTr="006016B9">
        <w:trPr>
          <w:cantSplit/>
        </w:trPr>
        <w:tc>
          <w:tcPr>
            <w:tcW w:w="649" w:type="pct"/>
            <w:tcBorders>
              <w:top w:val="nil"/>
              <w:bottom w:val="single" w:sz="6" w:space="0" w:color="777777"/>
            </w:tcBorders>
            <w:shd w:val="clear" w:color="auto" w:fill="auto"/>
          </w:tcPr>
          <w:p w14:paraId="5DF86ACB" w14:textId="77777777" w:rsidR="006016B9" w:rsidRPr="0087752B" w:rsidRDefault="006016B9" w:rsidP="00555CD6">
            <w:pPr>
              <w:pStyle w:val="DETTableTextFinancial"/>
            </w:pPr>
          </w:p>
        </w:tc>
        <w:tc>
          <w:tcPr>
            <w:tcW w:w="0" w:type="auto"/>
            <w:tcBorders>
              <w:top w:val="nil"/>
              <w:bottom w:val="single" w:sz="6" w:space="0" w:color="777777"/>
            </w:tcBorders>
            <w:shd w:val="clear" w:color="auto" w:fill="auto"/>
            <w:vAlign w:val="center"/>
          </w:tcPr>
          <w:p w14:paraId="1E25C650" w14:textId="77777777" w:rsidR="006016B9" w:rsidRPr="0087752B" w:rsidRDefault="006016B9" w:rsidP="00555CD6">
            <w:pPr>
              <w:pStyle w:val="DETTableTextFinancial"/>
            </w:pPr>
            <w:r w:rsidRPr="0087752B">
              <w:t>Evidence of occupational health &amp; safety criteria in purchasing guidelines (including goods, services &amp; personnel)</w:t>
            </w:r>
          </w:p>
        </w:tc>
        <w:tc>
          <w:tcPr>
            <w:tcW w:w="650" w:type="pct"/>
            <w:tcBorders>
              <w:top w:val="nil"/>
              <w:bottom w:val="single" w:sz="6" w:space="0" w:color="777777"/>
            </w:tcBorders>
            <w:shd w:val="clear" w:color="auto" w:fill="auto"/>
            <w:vAlign w:val="center"/>
          </w:tcPr>
          <w:p w14:paraId="2A35B95D" w14:textId="77777777" w:rsidR="006016B9" w:rsidRPr="0087752B" w:rsidRDefault="006016B9" w:rsidP="00555CD6">
            <w:pPr>
              <w:pStyle w:val="DETTableTextFinancial"/>
              <w:jc w:val="right"/>
            </w:pPr>
            <w:r w:rsidRPr="0087752B">
              <w:t>Complete</w:t>
            </w:r>
          </w:p>
        </w:tc>
        <w:tc>
          <w:tcPr>
            <w:tcW w:w="650" w:type="pct"/>
            <w:tcBorders>
              <w:top w:val="nil"/>
              <w:bottom w:val="single" w:sz="6" w:space="0" w:color="777777"/>
            </w:tcBorders>
            <w:vAlign w:val="center"/>
          </w:tcPr>
          <w:p w14:paraId="6A14F781" w14:textId="77777777" w:rsidR="006016B9" w:rsidRPr="0087752B" w:rsidRDefault="006016B9" w:rsidP="00555CD6">
            <w:pPr>
              <w:pStyle w:val="DETTableTextFinancial"/>
              <w:jc w:val="right"/>
            </w:pPr>
            <w:r w:rsidRPr="0087752B">
              <w:t>Complete</w:t>
            </w:r>
          </w:p>
        </w:tc>
        <w:tc>
          <w:tcPr>
            <w:tcW w:w="650" w:type="pct"/>
            <w:tcBorders>
              <w:top w:val="nil"/>
              <w:bottom w:val="single" w:sz="6" w:space="0" w:color="777777"/>
            </w:tcBorders>
            <w:shd w:val="clear" w:color="auto" w:fill="F8F8F8"/>
            <w:vAlign w:val="center"/>
          </w:tcPr>
          <w:p w14:paraId="4167FE15" w14:textId="77777777" w:rsidR="006016B9" w:rsidRPr="0087752B" w:rsidRDefault="006016B9" w:rsidP="00555CD6">
            <w:pPr>
              <w:pStyle w:val="DETTableTextFinancial"/>
              <w:jc w:val="right"/>
            </w:pPr>
            <w:r w:rsidRPr="0087752B">
              <w:t>Complete</w:t>
            </w:r>
          </w:p>
        </w:tc>
      </w:tr>
      <w:tr w:rsidR="006016B9" w:rsidRPr="0087752B" w14:paraId="373CA042" w14:textId="77777777" w:rsidTr="006016B9">
        <w:trPr>
          <w:cantSplit/>
        </w:trPr>
        <w:tc>
          <w:tcPr>
            <w:tcW w:w="649" w:type="pct"/>
            <w:tcBorders>
              <w:top w:val="single" w:sz="6" w:space="0" w:color="777777"/>
              <w:bottom w:val="nil"/>
            </w:tcBorders>
            <w:shd w:val="clear" w:color="auto" w:fill="auto"/>
          </w:tcPr>
          <w:p w14:paraId="74117176" w14:textId="77777777" w:rsidR="006016B9" w:rsidRPr="0087752B" w:rsidRDefault="006016B9" w:rsidP="00555CD6">
            <w:pPr>
              <w:pStyle w:val="DETTableTextFinancial"/>
            </w:pPr>
            <w:r w:rsidRPr="0087752B">
              <w:t>Consultation &amp; participation</w:t>
            </w:r>
          </w:p>
        </w:tc>
        <w:tc>
          <w:tcPr>
            <w:tcW w:w="0" w:type="auto"/>
            <w:tcBorders>
              <w:top w:val="single" w:sz="6" w:space="0" w:color="777777"/>
              <w:bottom w:val="nil"/>
            </w:tcBorders>
            <w:shd w:val="clear" w:color="auto" w:fill="auto"/>
            <w:vAlign w:val="center"/>
          </w:tcPr>
          <w:p w14:paraId="5C3AA344" w14:textId="77777777" w:rsidR="006016B9" w:rsidRPr="0087752B" w:rsidRDefault="006016B9" w:rsidP="00555CD6">
            <w:pPr>
              <w:pStyle w:val="DETTableTextFinancial"/>
            </w:pPr>
            <w:r w:rsidRPr="0087752B">
              <w:t>Evidence of agreed structure of designated workgroups, health &amp; safety representatives, &amp; issue resolution procedures</w:t>
            </w:r>
          </w:p>
        </w:tc>
        <w:tc>
          <w:tcPr>
            <w:tcW w:w="650" w:type="pct"/>
            <w:tcBorders>
              <w:top w:val="single" w:sz="6" w:space="0" w:color="777777"/>
              <w:bottom w:val="nil"/>
            </w:tcBorders>
            <w:shd w:val="clear" w:color="auto" w:fill="auto"/>
            <w:vAlign w:val="center"/>
          </w:tcPr>
          <w:p w14:paraId="50965B04" w14:textId="77777777" w:rsidR="006016B9" w:rsidRPr="0087752B" w:rsidRDefault="006016B9" w:rsidP="00555CD6">
            <w:pPr>
              <w:pStyle w:val="DETTableTextFinancial"/>
              <w:jc w:val="right"/>
            </w:pPr>
            <w:r w:rsidRPr="0087752B">
              <w:t>Complete</w:t>
            </w:r>
          </w:p>
        </w:tc>
        <w:tc>
          <w:tcPr>
            <w:tcW w:w="650" w:type="pct"/>
            <w:tcBorders>
              <w:top w:val="single" w:sz="6" w:space="0" w:color="777777"/>
              <w:bottom w:val="nil"/>
            </w:tcBorders>
            <w:vAlign w:val="center"/>
          </w:tcPr>
          <w:p w14:paraId="332E9733" w14:textId="77777777" w:rsidR="006016B9" w:rsidRPr="0087752B" w:rsidRDefault="006016B9" w:rsidP="00555CD6">
            <w:pPr>
              <w:pStyle w:val="DETTableTextFinancial"/>
              <w:jc w:val="right"/>
            </w:pPr>
            <w:r w:rsidRPr="0087752B">
              <w:t>Complete</w:t>
            </w:r>
          </w:p>
        </w:tc>
        <w:tc>
          <w:tcPr>
            <w:tcW w:w="650" w:type="pct"/>
            <w:tcBorders>
              <w:top w:val="single" w:sz="6" w:space="0" w:color="777777"/>
              <w:bottom w:val="nil"/>
            </w:tcBorders>
            <w:shd w:val="clear" w:color="auto" w:fill="F8F8F8"/>
            <w:vAlign w:val="center"/>
          </w:tcPr>
          <w:p w14:paraId="1D6B44D7" w14:textId="77777777" w:rsidR="006016B9" w:rsidRPr="0087752B" w:rsidRDefault="006016B9" w:rsidP="00555CD6">
            <w:pPr>
              <w:pStyle w:val="DETTableTextFinancial"/>
              <w:jc w:val="right"/>
            </w:pPr>
            <w:r w:rsidRPr="0087752B">
              <w:t>Complete</w:t>
            </w:r>
          </w:p>
        </w:tc>
      </w:tr>
      <w:tr w:rsidR="006016B9" w:rsidRPr="0087752B" w14:paraId="4A8B6F30" w14:textId="77777777" w:rsidTr="006016B9">
        <w:trPr>
          <w:cantSplit/>
        </w:trPr>
        <w:tc>
          <w:tcPr>
            <w:tcW w:w="649" w:type="pct"/>
            <w:tcBorders>
              <w:top w:val="nil"/>
              <w:bottom w:val="single" w:sz="6" w:space="0" w:color="777777"/>
            </w:tcBorders>
            <w:shd w:val="clear" w:color="auto" w:fill="auto"/>
          </w:tcPr>
          <w:p w14:paraId="2BDCC7A3" w14:textId="77777777" w:rsidR="006016B9" w:rsidRPr="0087752B" w:rsidRDefault="006016B9" w:rsidP="00555CD6">
            <w:pPr>
              <w:pStyle w:val="DETTableTextFinancial"/>
            </w:pPr>
          </w:p>
        </w:tc>
        <w:tc>
          <w:tcPr>
            <w:tcW w:w="0" w:type="auto"/>
            <w:tcBorders>
              <w:top w:val="nil"/>
              <w:bottom w:val="single" w:sz="6" w:space="0" w:color="777777"/>
            </w:tcBorders>
            <w:shd w:val="clear" w:color="auto" w:fill="auto"/>
            <w:vAlign w:val="center"/>
          </w:tcPr>
          <w:p w14:paraId="4FE392E1" w14:textId="77777777" w:rsidR="006016B9" w:rsidRPr="0087752B" w:rsidRDefault="006016B9" w:rsidP="00555CD6">
            <w:pPr>
              <w:pStyle w:val="DETTableTextFinancial"/>
            </w:pPr>
            <w:r w:rsidRPr="0087752B">
              <w:t>Compliance with agreed structure of above</w:t>
            </w:r>
          </w:p>
        </w:tc>
        <w:tc>
          <w:tcPr>
            <w:tcW w:w="650" w:type="pct"/>
            <w:tcBorders>
              <w:top w:val="nil"/>
              <w:bottom w:val="single" w:sz="6" w:space="0" w:color="777777"/>
            </w:tcBorders>
            <w:shd w:val="clear" w:color="auto" w:fill="auto"/>
            <w:vAlign w:val="center"/>
          </w:tcPr>
          <w:p w14:paraId="68869355" w14:textId="77777777" w:rsidR="006016B9" w:rsidRPr="0087752B" w:rsidRDefault="006016B9" w:rsidP="00555CD6">
            <w:pPr>
              <w:pStyle w:val="DETTableTextFinancial"/>
              <w:jc w:val="right"/>
            </w:pPr>
            <w:r w:rsidRPr="0087752B">
              <w:t>Complete</w:t>
            </w:r>
          </w:p>
        </w:tc>
        <w:tc>
          <w:tcPr>
            <w:tcW w:w="650" w:type="pct"/>
            <w:tcBorders>
              <w:top w:val="nil"/>
              <w:bottom w:val="single" w:sz="6" w:space="0" w:color="777777"/>
            </w:tcBorders>
            <w:vAlign w:val="center"/>
          </w:tcPr>
          <w:p w14:paraId="0DCF1CAB" w14:textId="77777777" w:rsidR="006016B9" w:rsidRPr="0087752B" w:rsidRDefault="006016B9" w:rsidP="00555CD6">
            <w:pPr>
              <w:pStyle w:val="DETTableTextFinancial"/>
              <w:jc w:val="right"/>
            </w:pPr>
            <w:r w:rsidRPr="0087752B">
              <w:t>Complete</w:t>
            </w:r>
          </w:p>
        </w:tc>
        <w:tc>
          <w:tcPr>
            <w:tcW w:w="650" w:type="pct"/>
            <w:tcBorders>
              <w:top w:val="nil"/>
              <w:bottom w:val="single" w:sz="6" w:space="0" w:color="777777"/>
            </w:tcBorders>
            <w:shd w:val="clear" w:color="auto" w:fill="F8F8F8"/>
            <w:vAlign w:val="center"/>
          </w:tcPr>
          <w:p w14:paraId="5D8B781A" w14:textId="77777777" w:rsidR="006016B9" w:rsidRPr="0087752B" w:rsidRDefault="006016B9" w:rsidP="00555CD6">
            <w:pPr>
              <w:pStyle w:val="DETTableTextFinancial"/>
              <w:jc w:val="right"/>
            </w:pPr>
            <w:r w:rsidRPr="0087752B">
              <w:t>Complete</w:t>
            </w:r>
          </w:p>
        </w:tc>
      </w:tr>
      <w:tr w:rsidR="006016B9" w:rsidRPr="0087752B" w14:paraId="0E224FA6" w14:textId="77777777" w:rsidTr="006016B9">
        <w:trPr>
          <w:cantSplit/>
        </w:trPr>
        <w:tc>
          <w:tcPr>
            <w:tcW w:w="649" w:type="pct"/>
            <w:tcBorders>
              <w:top w:val="single" w:sz="6" w:space="0" w:color="777777"/>
              <w:bottom w:val="nil"/>
            </w:tcBorders>
            <w:shd w:val="clear" w:color="auto" w:fill="auto"/>
            <w:vAlign w:val="center"/>
          </w:tcPr>
          <w:p w14:paraId="623553EF" w14:textId="77777777" w:rsidR="006016B9" w:rsidRPr="0087752B" w:rsidRDefault="006016B9" w:rsidP="00555CD6">
            <w:pPr>
              <w:pStyle w:val="DETTableTextFinancial"/>
            </w:pPr>
            <w:r w:rsidRPr="0087752B">
              <w:t>Risk management</w:t>
            </w:r>
          </w:p>
        </w:tc>
        <w:tc>
          <w:tcPr>
            <w:tcW w:w="0" w:type="auto"/>
            <w:tcBorders>
              <w:top w:val="single" w:sz="6" w:space="0" w:color="777777"/>
              <w:bottom w:val="nil"/>
            </w:tcBorders>
            <w:shd w:val="clear" w:color="auto" w:fill="auto"/>
            <w:vAlign w:val="center"/>
          </w:tcPr>
          <w:p w14:paraId="32E1ED50" w14:textId="77777777" w:rsidR="006016B9" w:rsidRPr="0087752B" w:rsidRDefault="006016B9" w:rsidP="00555CD6">
            <w:pPr>
              <w:pStyle w:val="DETTableTextFinancial"/>
            </w:pPr>
            <w:r w:rsidRPr="0087752B">
              <w:t>Percentage of internal audits/inspections conducted as planned</w:t>
            </w:r>
          </w:p>
        </w:tc>
        <w:tc>
          <w:tcPr>
            <w:tcW w:w="650" w:type="pct"/>
            <w:tcBorders>
              <w:top w:val="single" w:sz="6" w:space="0" w:color="777777"/>
              <w:bottom w:val="nil"/>
            </w:tcBorders>
            <w:shd w:val="clear" w:color="auto" w:fill="auto"/>
            <w:vAlign w:val="center"/>
          </w:tcPr>
          <w:p w14:paraId="2059E8B6" w14:textId="77777777" w:rsidR="006016B9" w:rsidRPr="0087752B" w:rsidRDefault="006016B9" w:rsidP="00555CD6">
            <w:pPr>
              <w:pStyle w:val="DETTableTextFinancial"/>
              <w:jc w:val="right"/>
            </w:pPr>
            <w:r w:rsidRPr="0087752B">
              <w:t>100</w:t>
            </w:r>
          </w:p>
        </w:tc>
        <w:tc>
          <w:tcPr>
            <w:tcW w:w="650" w:type="pct"/>
            <w:tcBorders>
              <w:top w:val="single" w:sz="6" w:space="0" w:color="777777"/>
              <w:bottom w:val="nil"/>
            </w:tcBorders>
            <w:vAlign w:val="center"/>
          </w:tcPr>
          <w:p w14:paraId="34414F02" w14:textId="77777777" w:rsidR="006016B9" w:rsidRPr="0087752B" w:rsidRDefault="006016B9" w:rsidP="00555CD6">
            <w:pPr>
              <w:pStyle w:val="DETTableTextFinancial"/>
              <w:jc w:val="right"/>
            </w:pPr>
            <w:r w:rsidRPr="0087752B">
              <w:t>100</w:t>
            </w:r>
          </w:p>
        </w:tc>
        <w:tc>
          <w:tcPr>
            <w:tcW w:w="650" w:type="pct"/>
            <w:tcBorders>
              <w:top w:val="single" w:sz="6" w:space="0" w:color="777777"/>
              <w:bottom w:val="nil"/>
            </w:tcBorders>
            <w:shd w:val="clear" w:color="auto" w:fill="F8F8F8"/>
            <w:vAlign w:val="center"/>
          </w:tcPr>
          <w:p w14:paraId="4880BEBE" w14:textId="77777777" w:rsidR="006016B9" w:rsidRPr="0087752B" w:rsidRDefault="006016B9" w:rsidP="00555CD6">
            <w:pPr>
              <w:pStyle w:val="DETTableTextFinancial"/>
              <w:jc w:val="right"/>
            </w:pPr>
            <w:r w:rsidRPr="0087752B">
              <w:t>100</w:t>
            </w:r>
          </w:p>
        </w:tc>
      </w:tr>
      <w:tr w:rsidR="006016B9" w:rsidRPr="0087752B" w14:paraId="07833C98" w14:textId="77777777" w:rsidTr="006016B9">
        <w:trPr>
          <w:cantSplit/>
        </w:trPr>
        <w:tc>
          <w:tcPr>
            <w:tcW w:w="649" w:type="pct"/>
            <w:tcBorders>
              <w:top w:val="nil"/>
              <w:bottom w:val="single" w:sz="6" w:space="0" w:color="777777"/>
            </w:tcBorders>
            <w:shd w:val="clear" w:color="auto" w:fill="auto"/>
            <w:vAlign w:val="center"/>
          </w:tcPr>
          <w:p w14:paraId="555657DD" w14:textId="77777777" w:rsidR="006016B9" w:rsidRPr="0087752B" w:rsidRDefault="006016B9" w:rsidP="00555CD6">
            <w:pPr>
              <w:pStyle w:val="DETTableTextFinancial"/>
            </w:pPr>
          </w:p>
        </w:tc>
        <w:tc>
          <w:tcPr>
            <w:tcW w:w="0" w:type="auto"/>
            <w:tcBorders>
              <w:top w:val="nil"/>
              <w:bottom w:val="single" w:sz="6" w:space="0" w:color="777777"/>
            </w:tcBorders>
            <w:shd w:val="clear" w:color="auto" w:fill="auto"/>
            <w:vAlign w:val="center"/>
          </w:tcPr>
          <w:p w14:paraId="6C759AD7" w14:textId="77777777" w:rsidR="006016B9" w:rsidRPr="0087752B" w:rsidRDefault="006016B9" w:rsidP="00555CD6">
            <w:pPr>
              <w:pStyle w:val="DETTableTextFinancial"/>
            </w:pPr>
            <w:r w:rsidRPr="0087752B">
              <w:t>Percentage of issues identified actioned arising from internal audits, health &amp; safety representatives, provisional improvement notices &amp; WorkSafe notices</w:t>
            </w:r>
          </w:p>
        </w:tc>
        <w:tc>
          <w:tcPr>
            <w:tcW w:w="650" w:type="pct"/>
            <w:tcBorders>
              <w:top w:val="nil"/>
              <w:bottom w:val="single" w:sz="6" w:space="0" w:color="777777"/>
            </w:tcBorders>
            <w:shd w:val="clear" w:color="auto" w:fill="auto"/>
            <w:vAlign w:val="center"/>
          </w:tcPr>
          <w:p w14:paraId="76C216F9" w14:textId="77777777" w:rsidR="006016B9" w:rsidRPr="0087752B" w:rsidRDefault="006016B9" w:rsidP="00555CD6">
            <w:pPr>
              <w:pStyle w:val="DETTableTextFinancial"/>
              <w:jc w:val="right"/>
            </w:pPr>
            <w:r w:rsidRPr="0087752B">
              <w:t>100</w:t>
            </w:r>
          </w:p>
        </w:tc>
        <w:tc>
          <w:tcPr>
            <w:tcW w:w="650" w:type="pct"/>
            <w:tcBorders>
              <w:top w:val="nil"/>
              <w:bottom w:val="single" w:sz="6" w:space="0" w:color="777777"/>
            </w:tcBorders>
            <w:vAlign w:val="center"/>
          </w:tcPr>
          <w:p w14:paraId="0EF84BD1" w14:textId="77777777" w:rsidR="006016B9" w:rsidRPr="0087752B" w:rsidRDefault="006016B9" w:rsidP="00555CD6">
            <w:pPr>
              <w:pStyle w:val="DETTableTextFinancial"/>
              <w:jc w:val="right"/>
            </w:pPr>
            <w:r w:rsidRPr="0087752B">
              <w:t>100</w:t>
            </w:r>
          </w:p>
        </w:tc>
        <w:tc>
          <w:tcPr>
            <w:tcW w:w="650" w:type="pct"/>
            <w:tcBorders>
              <w:top w:val="nil"/>
              <w:bottom w:val="single" w:sz="6" w:space="0" w:color="777777"/>
            </w:tcBorders>
            <w:shd w:val="clear" w:color="auto" w:fill="F8F8F8"/>
            <w:vAlign w:val="center"/>
          </w:tcPr>
          <w:p w14:paraId="6681400E" w14:textId="77777777" w:rsidR="006016B9" w:rsidRPr="0087752B" w:rsidRDefault="006016B9" w:rsidP="00555CD6">
            <w:pPr>
              <w:pStyle w:val="DETTableTextFinancial"/>
              <w:jc w:val="right"/>
            </w:pPr>
            <w:r w:rsidRPr="0087752B">
              <w:t>100</w:t>
            </w:r>
          </w:p>
        </w:tc>
      </w:tr>
      <w:tr w:rsidR="006016B9" w:rsidRPr="0087752B" w14:paraId="57996564" w14:textId="77777777" w:rsidTr="00555CD6">
        <w:trPr>
          <w:cantSplit/>
        </w:trPr>
        <w:tc>
          <w:tcPr>
            <w:tcW w:w="649" w:type="pct"/>
            <w:tcBorders>
              <w:top w:val="single" w:sz="6" w:space="0" w:color="777777"/>
              <w:bottom w:val="nil"/>
            </w:tcBorders>
            <w:shd w:val="clear" w:color="auto" w:fill="auto"/>
          </w:tcPr>
          <w:p w14:paraId="50B84F16" w14:textId="77777777" w:rsidR="006016B9" w:rsidRPr="0087752B" w:rsidRDefault="006016B9" w:rsidP="00555CD6">
            <w:pPr>
              <w:pStyle w:val="DETTableTextFinancial"/>
            </w:pPr>
            <w:r w:rsidRPr="0087752B">
              <w:t>Training</w:t>
            </w:r>
          </w:p>
        </w:tc>
        <w:tc>
          <w:tcPr>
            <w:tcW w:w="0" w:type="auto"/>
            <w:tcBorders>
              <w:top w:val="single" w:sz="6" w:space="0" w:color="777777"/>
              <w:bottom w:val="nil"/>
            </w:tcBorders>
            <w:shd w:val="clear" w:color="auto" w:fill="auto"/>
            <w:vAlign w:val="center"/>
          </w:tcPr>
          <w:p w14:paraId="49BEDDDA" w14:textId="77777777" w:rsidR="006016B9" w:rsidRPr="0087752B" w:rsidRDefault="006016B9" w:rsidP="00555CD6">
            <w:pPr>
              <w:pStyle w:val="DETTableTextFinancial"/>
            </w:pPr>
            <w:r w:rsidRPr="0087752B">
              <w:t>Percentage of managers &amp; staff that have received OH&amp;S training (induction, management training, &amp; contractors, temps &amp; visitors) (%)</w:t>
            </w:r>
          </w:p>
        </w:tc>
        <w:tc>
          <w:tcPr>
            <w:tcW w:w="650" w:type="pct"/>
            <w:tcBorders>
              <w:top w:val="single" w:sz="6" w:space="0" w:color="777777"/>
              <w:bottom w:val="nil"/>
            </w:tcBorders>
            <w:shd w:val="clear" w:color="auto" w:fill="auto"/>
            <w:vAlign w:val="center"/>
          </w:tcPr>
          <w:p w14:paraId="3A51CC63" w14:textId="77777777" w:rsidR="006016B9" w:rsidRPr="0087752B" w:rsidRDefault="006016B9" w:rsidP="00555CD6">
            <w:pPr>
              <w:pStyle w:val="DETTableTextFinancial"/>
              <w:jc w:val="right"/>
            </w:pPr>
            <w:r w:rsidRPr="0087752B">
              <w:t>60</w:t>
            </w:r>
          </w:p>
        </w:tc>
        <w:tc>
          <w:tcPr>
            <w:tcW w:w="650" w:type="pct"/>
            <w:tcBorders>
              <w:top w:val="single" w:sz="6" w:space="0" w:color="777777"/>
              <w:bottom w:val="nil"/>
            </w:tcBorders>
            <w:vAlign w:val="center"/>
          </w:tcPr>
          <w:p w14:paraId="6F1AC3C9" w14:textId="77777777" w:rsidR="006016B9" w:rsidRPr="0087752B" w:rsidRDefault="006016B9" w:rsidP="00555CD6">
            <w:pPr>
              <w:pStyle w:val="DETTableTextFinancial"/>
              <w:jc w:val="right"/>
            </w:pPr>
            <w:r w:rsidRPr="0087752B">
              <w:t>66</w:t>
            </w:r>
          </w:p>
        </w:tc>
        <w:tc>
          <w:tcPr>
            <w:tcW w:w="650" w:type="pct"/>
            <w:tcBorders>
              <w:top w:val="single" w:sz="6" w:space="0" w:color="777777"/>
              <w:bottom w:val="nil"/>
            </w:tcBorders>
            <w:shd w:val="clear" w:color="auto" w:fill="F8F8F8"/>
            <w:vAlign w:val="center"/>
          </w:tcPr>
          <w:p w14:paraId="70D5DD58" w14:textId="77777777" w:rsidR="006016B9" w:rsidRPr="0087752B" w:rsidRDefault="006016B9" w:rsidP="00555CD6">
            <w:pPr>
              <w:pStyle w:val="DETTableTextFinancial"/>
              <w:jc w:val="right"/>
            </w:pPr>
            <w:r w:rsidRPr="0087752B">
              <w:t>70</w:t>
            </w:r>
          </w:p>
        </w:tc>
      </w:tr>
      <w:tr w:rsidR="006016B9" w:rsidRPr="0087752B" w14:paraId="39662190" w14:textId="77777777" w:rsidTr="006016B9">
        <w:trPr>
          <w:cantSplit/>
          <w:trHeight w:val="454"/>
        </w:trPr>
        <w:tc>
          <w:tcPr>
            <w:tcW w:w="649" w:type="pct"/>
            <w:tcBorders>
              <w:top w:val="nil"/>
              <w:bottom w:val="single" w:sz="4" w:space="0" w:color="auto"/>
            </w:tcBorders>
            <w:shd w:val="clear" w:color="auto" w:fill="auto"/>
            <w:vAlign w:val="center"/>
          </w:tcPr>
          <w:p w14:paraId="32D380E0" w14:textId="77777777" w:rsidR="006016B9" w:rsidRPr="0087752B" w:rsidRDefault="006016B9" w:rsidP="00555CD6">
            <w:pPr>
              <w:pStyle w:val="DETTableTextFinancial"/>
            </w:pPr>
          </w:p>
        </w:tc>
        <w:tc>
          <w:tcPr>
            <w:tcW w:w="0" w:type="auto"/>
            <w:tcBorders>
              <w:top w:val="nil"/>
              <w:bottom w:val="single" w:sz="4" w:space="0" w:color="auto"/>
            </w:tcBorders>
            <w:shd w:val="clear" w:color="auto" w:fill="auto"/>
            <w:vAlign w:val="center"/>
          </w:tcPr>
          <w:p w14:paraId="7703D927" w14:textId="77777777" w:rsidR="006016B9" w:rsidRPr="0087752B" w:rsidRDefault="006016B9" w:rsidP="00555CD6">
            <w:pPr>
              <w:pStyle w:val="DETTableTextFinancial"/>
            </w:pPr>
            <w:r w:rsidRPr="0087752B">
              <w:t>Percentage of HSRs trained (acceptance of role, re-training/refresher, &amp; reporting of incidents &amp; injuries) (%)</w:t>
            </w:r>
          </w:p>
        </w:tc>
        <w:tc>
          <w:tcPr>
            <w:tcW w:w="650" w:type="pct"/>
            <w:tcBorders>
              <w:top w:val="nil"/>
              <w:bottom w:val="single" w:sz="4" w:space="0" w:color="auto"/>
            </w:tcBorders>
            <w:shd w:val="clear" w:color="auto" w:fill="auto"/>
            <w:vAlign w:val="center"/>
          </w:tcPr>
          <w:p w14:paraId="69AEADD1" w14:textId="77777777" w:rsidR="006016B9" w:rsidRPr="0087752B" w:rsidRDefault="006016B9" w:rsidP="00555CD6">
            <w:pPr>
              <w:pStyle w:val="DETTableTextFinancial"/>
              <w:jc w:val="right"/>
            </w:pPr>
            <w:r w:rsidRPr="0087752B">
              <w:t>60</w:t>
            </w:r>
          </w:p>
        </w:tc>
        <w:tc>
          <w:tcPr>
            <w:tcW w:w="650" w:type="pct"/>
            <w:tcBorders>
              <w:top w:val="nil"/>
              <w:bottom w:val="single" w:sz="4" w:space="0" w:color="auto"/>
            </w:tcBorders>
            <w:vAlign w:val="center"/>
          </w:tcPr>
          <w:p w14:paraId="6D4F267B" w14:textId="77777777" w:rsidR="006016B9" w:rsidRPr="0087752B" w:rsidRDefault="006016B9" w:rsidP="00555CD6">
            <w:pPr>
              <w:pStyle w:val="DETTableTextFinancial"/>
              <w:jc w:val="right"/>
            </w:pPr>
            <w:r w:rsidRPr="0087752B">
              <w:t>77</w:t>
            </w:r>
          </w:p>
        </w:tc>
        <w:tc>
          <w:tcPr>
            <w:tcW w:w="650" w:type="pct"/>
            <w:tcBorders>
              <w:top w:val="nil"/>
              <w:bottom w:val="single" w:sz="4" w:space="0" w:color="auto"/>
            </w:tcBorders>
            <w:shd w:val="clear" w:color="auto" w:fill="F8F8F8"/>
            <w:vAlign w:val="center"/>
          </w:tcPr>
          <w:p w14:paraId="10842AAE" w14:textId="77777777" w:rsidR="006016B9" w:rsidRPr="0087752B" w:rsidRDefault="006016B9" w:rsidP="00555CD6">
            <w:pPr>
              <w:pStyle w:val="DETTableTextFinancial"/>
              <w:jc w:val="right"/>
            </w:pPr>
            <w:r w:rsidRPr="0087752B">
              <w:t>86</w:t>
            </w:r>
          </w:p>
        </w:tc>
      </w:tr>
    </w:tbl>
    <w:p w14:paraId="6906F267" w14:textId="77777777" w:rsidR="00A8286F" w:rsidRDefault="00A8286F" w:rsidP="00555CD6">
      <w:pPr>
        <w:pStyle w:val="DETFootnoteTextforobjectivestablesOHStable"/>
      </w:pPr>
    </w:p>
    <w:p w14:paraId="29FCA2C3" w14:textId="5389D03F" w:rsidR="006016B9" w:rsidRPr="0087752B" w:rsidRDefault="006016B9" w:rsidP="00555CD6">
      <w:pPr>
        <w:pStyle w:val="DETFootnoteTextforobjectivestablesOHStable"/>
      </w:pPr>
      <w:r w:rsidRPr="0087752B">
        <w:t>1. Data sourced from the Victorian WorkCover Authority (VWA). Standard claims include those that the VWA accepts and rejects.</w:t>
      </w:r>
    </w:p>
    <w:p w14:paraId="5BFCEA5B" w14:textId="77777777" w:rsidR="006016B9" w:rsidRPr="0087752B" w:rsidRDefault="006016B9" w:rsidP="00555CD6">
      <w:pPr>
        <w:pStyle w:val="DETFootnoteTextforobjectivestablesOHStable"/>
      </w:pPr>
      <w:r w:rsidRPr="0087752B">
        <w:t>2. A fatality claim was lodged with the VWA but liability was rejected on the grounds that it was not work related.</w:t>
      </w:r>
    </w:p>
    <w:p w14:paraId="10B784E5" w14:textId="77777777" w:rsidR="006016B9" w:rsidRPr="0087752B" w:rsidRDefault="006016B9" w:rsidP="00555CD6">
      <w:pPr>
        <w:pStyle w:val="DETHeading2"/>
      </w:pPr>
      <w:bookmarkStart w:id="163" w:name="_Toc461013266"/>
      <w:bookmarkStart w:id="164" w:name="_Toc461025845"/>
      <w:bookmarkStart w:id="165" w:name="_Toc462405140"/>
      <w:r w:rsidRPr="0087752B">
        <w:t>Comparative workforce data</w:t>
      </w:r>
      <w:bookmarkEnd w:id="160"/>
      <w:bookmarkEnd w:id="161"/>
      <w:bookmarkEnd w:id="162"/>
      <w:bookmarkEnd w:id="163"/>
      <w:bookmarkEnd w:id="164"/>
      <w:bookmarkEnd w:id="165"/>
    </w:p>
    <w:p w14:paraId="6B7204E1" w14:textId="77777777" w:rsidR="006016B9" w:rsidRPr="0087752B" w:rsidRDefault="006016B9" w:rsidP="00555CD6">
      <w:r w:rsidRPr="0087752B">
        <w:t>Full-time equivalent of Department staff</w:t>
      </w:r>
      <w:r w:rsidRPr="0087752B">
        <w:rPr>
          <w:rStyle w:val="FootnoteReference"/>
        </w:rPr>
        <w:t>1,2, 3</w:t>
      </w:r>
    </w:p>
    <w:tbl>
      <w:tblPr>
        <w:tblW w:w="0" w:type="auto"/>
        <w:tblLook w:val="04A0" w:firstRow="1" w:lastRow="0" w:firstColumn="1" w:lastColumn="0" w:noHBand="0" w:noVBand="1"/>
      </w:tblPr>
      <w:tblGrid>
        <w:gridCol w:w="3369"/>
        <w:gridCol w:w="850"/>
        <w:gridCol w:w="850"/>
        <w:gridCol w:w="839"/>
        <w:gridCol w:w="839"/>
        <w:gridCol w:w="839"/>
      </w:tblGrid>
      <w:tr w:rsidR="006016B9" w:rsidRPr="0087752B" w14:paraId="21E7B5CF" w14:textId="77777777" w:rsidTr="00555CD6">
        <w:tc>
          <w:tcPr>
            <w:tcW w:w="3369" w:type="dxa"/>
            <w:tcBorders>
              <w:top w:val="nil"/>
              <w:left w:val="nil"/>
              <w:bottom w:val="nil"/>
              <w:right w:val="nil"/>
            </w:tcBorders>
            <w:shd w:val="clear" w:color="auto" w:fill="7F7F7F" w:themeFill="text1" w:themeFillTint="80"/>
            <w:vAlign w:val="center"/>
          </w:tcPr>
          <w:p w14:paraId="103214B7" w14:textId="77777777" w:rsidR="006016B9" w:rsidRPr="0087752B" w:rsidRDefault="006016B9" w:rsidP="00555CD6">
            <w:pPr>
              <w:pStyle w:val="DETTablecolumnheading"/>
            </w:pPr>
          </w:p>
        </w:tc>
        <w:tc>
          <w:tcPr>
            <w:tcW w:w="850" w:type="dxa"/>
            <w:tcBorders>
              <w:top w:val="nil"/>
              <w:left w:val="nil"/>
              <w:bottom w:val="nil"/>
              <w:right w:val="nil"/>
            </w:tcBorders>
            <w:shd w:val="clear" w:color="auto" w:fill="7F7F7F" w:themeFill="text1" w:themeFillTint="80"/>
            <w:vAlign w:val="center"/>
          </w:tcPr>
          <w:p w14:paraId="6C517663" w14:textId="77777777" w:rsidR="006016B9" w:rsidRPr="0087752B" w:rsidRDefault="006016B9" w:rsidP="00555CD6">
            <w:pPr>
              <w:pStyle w:val="DETTablecolumnheading"/>
            </w:pPr>
            <w:r w:rsidRPr="0087752B">
              <w:t>2012</w:t>
            </w:r>
          </w:p>
        </w:tc>
        <w:tc>
          <w:tcPr>
            <w:tcW w:w="850" w:type="dxa"/>
            <w:tcBorders>
              <w:top w:val="nil"/>
              <w:left w:val="nil"/>
              <w:bottom w:val="nil"/>
              <w:right w:val="nil"/>
            </w:tcBorders>
            <w:shd w:val="clear" w:color="auto" w:fill="7F7F7F" w:themeFill="text1" w:themeFillTint="80"/>
            <w:vAlign w:val="center"/>
          </w:tcPr>
          <w:p w14:paraId="0C379FDD" w14:textId="77777777" w:rsidR="006016B9" w:rsidRPr="0087752B" w:rsidRDefault="006016B9" w:rsidP="00555CD6">
            <w:pPr>
              <w:pStyle w:val="DETTablecolumnheading"/>
            </w:pPr>
            <w:r w:rsidRPr="0087752B">
              <w:t>2013</w:t>
            </w:r>
          </w:p>
        </w:tc>
        <w:tc>
          <w:tcPr>
            <w:tcW w:w="839" w:type="dxa"/>
            <w:tcBorders>
              <w:top w:val="nil"/>
              <w:left w:val="nil"/>
              <w:bottom w:val="nil"/>
              <w:right w:val="nil"/>
            </w:tcBorders>
            <w:shd w:val="clear" w:color="auto" w:fill="7F7F7F" w:themeFill="text1" w:themeFillTint="80"/>
            <w:vAlign w:val="center"/>
          </w:tcPr>
          <w:p w14:paraId="4CFCAA57" w14:textId="77777777" w:rsidR="006016B9" w:rsidRPr="0087752B" w:rsidRDefault="006016B9" w:rsidP="00555CD6">
            <w:pPr>
              <w:pStyle w:val="DETTablecolumnheading"/>
            </w:pPr>
            <w:r w:rsidRPr="0087752B">
              <w:t>2014</w:t>
            </w:r>
          </w:p>
        </w:tc>
        <w:tc>
          <w:tcPr>
            <w:tcW w:w="839" w:type="dxa"/>
            <w:tcBorders>
              <w:top w:val="nil"/>
              <w:left w:val="nil"/>
              <w:bottom w:val="nil"/>
              <w:right w:val="nil"/>
            </w:tcBorders>
            <w:shd w:val="clear" w:color="auto" w:fill="7F7F7F" w:themeFill="text1" w:themeFillTint="80"/>
            <w:vAlign w:val="center"/>
          </w:tcPr>
          <w:p w14:paraId="141FA945" w14:textId="77777777" w:rsidR="006016B9" w:rsidRPr="0087752B" w:rsidRDefault="006016B9" w:rsidP="00555CD6">
            <w:pPr>
              <w:pStyle w:val="DETTablecolumnheading"/>
            </w:pPr>
            <w:r w:rsidRPr="0087752B">
              <w:t>2015</w:t>
            </w:r>
          </w:p>
        </w:tc>
        <w:tc>
          <w:tcPr>
            <w:tcW w:w="839" w:type="dxa"/>
            <w:tcBorders>
              <w:top w:val="nil"/>
              <w:left w:val="nil"/>
              <w:right w:val="nil"/>
            </w:tcBorders>
            <w:shd w:val="clear" w:color="auto" w:fill="7F7F7F" w:themeFill="text1" w:themeFillTint="80"/>
            <w:vAlign w:val="center"/>
          </w:tcPr>
          <w:p w14:paraId="1DAD717E" w14:textId="77777777" w:rsidR="006016B9" w:rsidRPr="0087752B" w:rsidRDefault="006016B9" w:rsidP="00555CD6">
            <w:pPr>
              <w:pStyle w:val="DETTablecolumnheading"/>
            </w:pPr>
            <w:r w:rsidRPr="0087752B">
              <w:t>2016</w:t>
            </w:r>
          </w:p>
        </w:tc>
      </w:tr>
      <w:tr w:rsidR="006016B9" w:rsidRPr="0087752B" w14:paraId="03FD8997" w14:textId="77777777" w:rsidTr="00555CD6">
        <w:tc>
          <w:tcPr>
            <w:tcW w:w="3369" w:type="dxa"/>
            <w:tcBorders>
              <w:top w:val="nil"/>
              <w:left w:val="nil"/>
              <w:bottom w:val="nil"/>
              <w:right w:val="nil"/>
            </w:tcBorders>
            <w:vAlign w:val="bottom"/>
          </w:tcPr>
          <w:p w14:paraId="5136812B" w14:textId="77777777" w:rsidR="006016B9" w:rsidRPr="0087752B" w:rsidRDefault="006016B9" w:rsidP="00555CD6">
            <w:pPr>
              <w:pStyle w:val="DETTableTextFinancial"/>
            </w:pPr>
            <w:r w:rsidRPr="0087752B">
              <w:t>Victorian Public Service</w:t>
            </w:r>
          </w:p>
        </w:tc>
        <w:tc>
          <w:tcPr>
            <w:tcW w:w="850" w:type="dxa"/>
            <w:tcBorders>
              <w:top w:val="nil"/>
              <w:left w:val="nil"/>
              <w:bottom w:val="nil"/>
              <w:right w:val="nil"/>
            </w:tcBorders>
            <w:vAlign w:val="bottom"/>
          </w:tcPr>
          <w:p w14:paraId="33062697" w14:textId="77777777" w:rsidR="006016B9" w:rsidRPr="0087752B" w:rsidRDefault="006016B9" w:rsidP="00555CD6">
            <w:pPr>
              <w:pStyle w:val="DETTableTextFinancial"/>
              <w:jc w:val="right"/>
            </w:pPr>
            <w:r w:rsidRPr="0087752B">
              <w:t>2831.1</w:t>
            </w:r>
          </w:p>
        </w:tc>
        <w:tc>
          <w:tcPr>
            <w:tcW w:w="850" w:type="dxa"/>
            <w:tcBorders>
              <w:top w:val="nil"/>
              <w:left w:val="nil"/>
              <w:bottom w:val="nil"/>
              <w:right w:val="nil"/>
            </w:tcBorders>
            <w:vAlign w:val="bottom"/>
          </w:tcPr>
          <w:p w14:paraId="0E032BC7" w14:textId="77777777" w:rsidR="006016B9" w:rsidRPr="0087752B" w:rsidRDefault="006016B9" w:rsidP="00555CD6">
            <w:pPr>
              <w:pStyle w:val="DETTableTextFinancial"/>
              <w:jc w:val="right"/>
            </w:pPr>
            <w:r w:rsidRPr="0087752B">
              <w:t>2326.3</w:t>
            </w:r>
          </w:p>
        </w:tc>
        <w:tc>
          <w:tcPr>
            <w:tcW w:w="839" w:type="dxa"/>
            <w:tcBorders>
              <w:top w:val="nil"/>
              <w:left w:val="nil"/>
              <w:bottom w:val="nil"/>
              <w:right w:val="nil"/>
            </w:tcBorders>
            <w:vAlign w:val="bottom"/>
          </w:tcPr>
          <w:p w14:paraId="2AB31842" w14:textId="77777777" w:rsidR="006016B9" w:rsidRPr="0087752B" w:rsidRDefault="006016B9" w:rsidP="00555CD6">
            <w:pPr>
              <w:pStyle w:val="DETTableTextFinancial"/>
              <w:jc w:val="right"/>
            </w:pPr>
            <w:r w:rsidRPr="0087752B">
              <w:t>2349.9</w:t>
            </w:r>
          </w:p>
        </w:tc>
        <w:tc>
          <w:tcPr>
            <w:tcW w:w="839" w:type="dxa"/>
            <w:tcBorders>
              <w:top w:val="nil"/>
              <w:left w:val="nil"/>
              <w:bottom w:val="nil"/>
              <w:right w:val="nil"/>
            </w:tcBorders>
            <w:vAlign w:val="bottom"/>
          </w:tcPr>
          <w:p w14:paraId="33B660D6" w14:textId="77777777" w:rsidR="006016B9" w:rsidRPr="0087752B" w:rsidRDefault="006016B9" w:rsidP="00555CD6">
            <w:pPr>
              <w:pStyle w:val="DETTableTextFinancial"/>
              <w:jc w:val="right"/>
            </w:pPr>
            <w:r w:rsidRPr="0087752B">
              <w:t>2332.2</w:t>
            </w:r>
          </w:p>
        </w:tc>
        <w:tc>
          <w:tcPr>
            <w:tcW w:w="839" w:type="dxa"/>
            <w:tcBorders>
              <w:top w:val="nil"/>
              <w:left w:val="nil"/>
              <w:bottom w:val="nil"/>
              <w:right w:val="nil"/>
            </w:tcBorders>
            <w:shd w:val="clear" w:color="auto" w:fill="DDDDDD"/>
            <w:vAlign w:val="bottom"/>
          </w:tcPr>
          <w:p w14:paraId="76ADC8CE" w14:textId="77777777" w:rsidR="006016B9" w:rsidRPr="0087752B" w:rsidRDefault="006016B9" w:rsidP="00555CD6">
            <w:pPr>
              <w:pStyle w:val="DETTableTextFinancial"/>
              <w:jc w:val="right"/>
            </w:pPr>
            <w:r w:rsidRPr="0087752B">
              <w:t>2473.7</w:t>
            </w:r>
          </w:p>
        </w:tc>
      </w:tr>
      <w:tr w:rsidR="006016B9" w:rsidRPr="0087752B" w14:paraId="7C920EC3" w14:textId="77777777" w:rsidTr="00555CD6">
        <w:tc>
          <w:tcPr>
            <w:tcW w:w="3369" w:type="dxa"/>
            <w:tcBorders>
              <w:top w:val="nil"/>
              <w:left w:val="nil"/>
              <w:bottom w:val="single" w:sz="4" w:space="0" w:color="auto"/>
              <w:right w:val="nil"/>
            </w:tcBorders>
            <w:vAlign w:val="bottom"/>
          </w:tcPr>
          <w:p w14:paraId="309417FC" w14:textId="77777777" w:rsidR="006016B9" w:rsidRPr="0087752B" w:rsidRDefault="006016B9" w:rsidP="00555CD6">
            <w:pPr>
              <w:pStyle w:val="DETTableTextFinancial"/>
            </w:pPr>
            <w:r w:rsidRPr="0087752B">
              <w:t>Government Teaching Service</w:t>
            </w:r>
          </w:p>
        </w:tc>
        <w:tc>
          <w:tcPr>
            <w:tcW w:w="850" w:type="dxa"/>
            <w:tcBorders>
              <w:top w:val="nil"/>
              <w:left w:val="nil"/>
              <w:bottom w:val="single" w:sz="4" w:space="0" w:color="auto"/>
              <w:right w:val="nil"/>
            </w:tcBorders>
            <w:vAlign w:val="bottom"/>
          </w:tcPr>
          <w:p w14:paraId="3C68E5E1" w14:textId="77777777" w:rsidR="006016B9" w:rsidRPr="0087752B" w:rsidRDefault="006016B9" w:rsidP="00555CD6">
            <w:pPr>
              <w:pStyle w:val="DETTableTextFinancial"/>
              <w:jc w:val="right"/>
            </w:pPr>
            <w:r w:rsidRPr="0087752B">
              <w:t>53,677.1</w:t>
            </w:r>
          </w:p>
        </w:tc>
        <w:tc>
          <w:tcPr>
            <w:tcW w:w="850" w:type="dxa"/>
            <w:tcBorders>
              <w:top w:val="nil"/>
              <w:left w:val="nil"/>
              <w:bottom w:val="single" w:sz="4" w:space="0" w:color="auto"/>
              <w:right w:val="nil"/>
            </w:tcBorders>
            <w:vAlign w:val="bottom"/>
          </w:tcPr>
          <w:p w14:paraId="1F47BF95" w14:textId="77777777" w:rsidR="006016B9" w:rsidRPr="0087752B" w:rsidRDefault="006016B9" w:rsidP="00555CD6">
            <w:pPr>
              <w:pStyle w:val="DETTableTextFinancial"/>
              <w:jc w:val="right"/>
            </w:pPr>
            <w:r w:rsidRPr="0087752B">
              <w:t>54,365.6</w:t>
            </w:r>
          </w:p>
        </w:tc>
        <w:tc>
          <w:tcPr>
            <w:tcW w:w="839" w:type="dxa"/>
            <w:tcBorders>
              <w:top w:val="nil"/>
              <w:left w:val="nil"/>
              <w:bottom w:val="single" w:sz="4" w:space="0" w:color="auto"/>
              <w:right w:val="nil"/>
            </w:tcBorders>
            <w:vAlign w:val="bottom"/>
          </w:tcPr>
          <w:p w14:paraId="1E8D7E9D" w14:textId="77777777" w:rsidR="006016B9" w:rsidRPr="0087752B" w:rsidRDefault="006016B9" w:rsidP="00555CD6">
            <w:pPr>
              <w:pStyle w:val="DETTableTextFinancial"/>
              <w:jc w:val="right"/>
            </w:pPr>
            <w:r w:rsidRPr="0087752B">
              <w:t>55,499.4</w:t>
            </w:r>
          </w:p>
        </w:tc>
        <w:tc>
          <w:tcPr>
            <w:tcW w:w="839" w:type="dxa"/>
            <w:tcBorders>
              <w:top w:val="nil"/>
              <w:left w:val="nil"/>
              <w:bottom w:val="single" w:sz="4" w:space="0" w:color="auto"/>
              <w:right w:val="nil"/>
            </w:tcBorders>
            <w:vAlign w:val="bottom"/>
          </w:tcPr>
          <w:p w14:paraId="353F0B74" w14:textId="77777777" w:rsidR="006016B9" w:rsidRPr="0087752B" w:rsidRDefault="006016B9" w:rsidP="00555CD6">
            <w:pPr>
              <w:pStyle w:val="DETTableTextFinancial"/>
              <w:jc w:val="right"/>
            </w:pPr>
            <w:r w:rsidRPr="0087752B">
              <w:t>56,349.2</w:t>
            </w:r>
          </w:p>
        </w:tc>
        <w:tc>
          <w:tcPr>
            <w:tcW w:w="839" w:type="dxa"/>
            <w:tcBorders>
              <w:top w:val="nil"/>
              <w:left w:val="nil"/>
              <w:bottom w:val="single" w:sz="4" w:space="0" w:color="auto"/>
              <w:right w:val="nil"/>
            </w:tcBorders>
            <w:shd w:val="clear" w:color="auto" w:fill="DDDDDD"/>
            <w:vAlign w:val="bottom"/>
          </w:tcPr>
          <w:p w14:paraId="4EA72061" w14:textId="77777777" w:rsidR="006016B9" w:rsidRPr="0087752B" w:rsidRDefault="006016B9" w:rsidP="00555CD6">
            <w:pPr>
              <w:pStyle w:val="DETTableTextFinancial"/>
              <w:jc w:val="right"/>
            </w:pPr>
            <w:r w:rsidRPr="0087752B">
              <w:t>58,326.0</w:t>
            </w:r>
          </w:p>
        </w:tc>
      </w:tr>
      <w:tr w:rsidR="006016B9" w:rsidRPr="0087752B" w14:paraId="2D377FDD" w14:textId="77777777" w:rsidTr="00555CD6">
        <w:tc>
          <w:tcPr>
            <w:tcW w:w="3369" w:type="dxa"/>
            <w:tcBorders>
              <w:top w:val="single" w:sz="4" w:space="0" w:color="auto"/>
              <w:left w:val="nil"/>
              <w:bottom w:val="single" w:sz="4" w:space="0" w:color="auto"/>
              <w:right w:val="nil"/>
            </w:tcBorders>
            <w:vAlign w:val="bottom"/>
          </w:tcPr>
          <w:p w14:paraId="0A4D53C4" w14:textId="77777777" w:rsidR="006016B9" w:rsidRPr="0033633C" w:rsidRDefault="006016B9" w:rsidP="00555CD6">
            <w:pPr>
              <w:pStyle w:val="DETTableTextFinancial"/>
              <w:rPr>
                <w:b/>
              </w:rPr>
            </w:pPr>
            <w:r w:rsidRPr="0033633C">
              <w:rPr>
                <w:b/>
              </w:rPr>
              <w:t>Total</w:t>
            </w:r>
          </w:p>
        </w:tc>
        <w:tc>
          <w:tcPr>
            <w:tcW w:w="850" w:type="dxa"/>
            <w:tcBorders>
              <w:top w:val="single" w:sz="4" w:space="0" w:color="auto"/>
              <w:left w:val="nil"/>
              <w:bottom w:val="single" w:sz="4" w:space="0" w:color="auto"/>
              <w:right w:val="nil"/>
            </w:tcBorders>
            <w:vAlign w:val="bottom"/>
          </w:tcPr>
          <w:p w14:paraId="539342AB" w14:textId="77777777" w:rsidR="006016B9" w:rsidRPr="0033633C" w:rsidRDefault="006016B9" w:rsidP="00555CD6">
            <w:pPr>
              <w:pStyle w:val="DETTableTextFinancial"/>
              <w:jc w:val="right"/>
              <w:rPr>
                <w:b/>
              </w:rPr>
            </w:pPr>
            <w:r w:rsidRPr="0033633C">
              <w:rPr>
                <w:b/>
              </w:rPr>
              <w:t>56,508.2</w:t>
            </w:r>
          </w:p>
        </w:tc>
        <w:tc>
          <w:tcPr>
            <w:tcW w:w="850" w:type="dxa"/>
            <w:tcBorders>
              <w:top w:val="single" w:sz="4" w:space="0" w:color="auto"/>
              <w:left w:val="nil"/>
              <w:bottom w:val="single" w:sz="4" w:space="0" w:color="auto"/>
              <w:right w:val="nil"/>
            </w:tcBorders>
            <w:vAlign w:val="bottom"/>
          </w:tcPr>
          <w:p w14:paraId="53718A5D" w14:textId="77777777" w:rsidR="006016B9" w:rsidRPr="0033633C" w:rsidRDefault="006016B9" w:rsidP="00555CD6">
            <w:pPr>
              <w:pStyle w:val="DETTableTextFinancial"/>
              <w:jc w:val="right"/>
              <w:rPr>
                <w:b/>
              </w:rPr>
            </w:pPr>
            <w:r w:rsidRPr="0033633C">
              <w:rPr>
                <w:b/>
              </w:rPr>
              <w:t>56,691.9</w:t>
            </w:r>
          </w:p>
        </w:tc>
        <w:tc>
          <w:tcPr>
            <w:tcW w:w="839" w:type="dxa"/>
            <w:tcBorders>
              <w:top w:val="single" w:sz="4" w:space="0" w:color="auto"/>
              <w:left w:val="nil"/>
              <w:bottom w:val="single" w:sz="4" w:space="0" w:color="auto"/>
              <w:right w:val="nil"/>
            </w:tcBorders>
            <w:vAlign w:val="bottom"/>
          </w:tcPr>
          <w:p w14:paraId="45D5EF5F" w14:textId="77777777" w:rsidR="006016B9" w:rsidRPr="0033633C" w:rsidRDefault="006016B9" w:rsidP="00555CD6">
            <w:pPr>
              <w:pStyle w:val="DETTableTextFinancial"/>
              <w:jc w:val="right"/>
              <w:rPr>
                <w:b/>
              </w:rPr>
            </w:pPr>
            <w:r w:rsidRPr="0033633C">
              <w:rPr>
                <w:b/>
              </w:rPr>
              <w:t>57,849.3</w:t>
            </w:r>
          </w:p>
        </w:tc>
        <w:tc>
          <w:tcPr>
            <w:tcW w:w="839" w:type="dxa"/>
            <w:tcBorders>
              <w:top w:val="single" w:sz="4" w:space="0" w:color="auto"/>
              <w:left w:val="nil"/>
              <w:bottom w:val="single" w:sz="4" w:space="0" w:color="auto"/>
              <w:right w:val="nil"/>
            </w:tcBorders>
            <w:vAlign w:val="bottom"/>
          </w:tcPr>
          <w:p w14:paraId="3B4CE455" w14:textId="77777777" w:rsidR="006016B9" w:rsidRPr="0033633C" w:rsidRDefault="006016B9" w:rsidP="00555CD6">
            <w:pPr>
              <w:pStyle w:val="DETTableTextFinancial"/>
              <w:jc w:val="right"/>
              <w:rPr>
                <w:b/>
              </w:rPr>
            </w:pPr>
            <w:r w:rsidRPr="0033633C">
              <w:rPr>
                <w:b/>
              </w:rPr>
              <w:t>58,681.4</w:t>
            </w:r>
          </w:p>
        </w:tc>
        <w:tc>
          <w:tcPr>
            <w:tcW w:w="839" w:type="dxa"/>
            <w:tcBorders>
              <w:top w:val="single" w:sz="4" w:space="0" w:color="auto"/>
              <w:left w:val="nil"/>
              <w:bottom w:val="single" w:sz="4" w:space="0" w:color="auto"/>
              <w:right w:val="nil"/>
            </w:tcBorders>
            <w:shd w:val="clear" w:color="auto" w:fill="DDDDDD"/>
            <w:vAlign w:val="bottom"/>
          </w:tcPr>
          <w:p w14:paraId="0FE05C09" w14:textId="77777777" w:rsidR="006016B9" w:rsidRPr="0033633C" w:rsidRDefault="006016B9" w:rsidP="00555CD6">
            <w:pPr>
              <w:pStyle w:val="DETTableTextFinancial"/>
              <w:jc w:val="right"/>
              <w:rPr>
                <w:b/>
              </w:rPr>
            </w:pPr>
            <w:r w:rsidRPr="0033633C">
              <w:rPr>
                <w:b/>
              </w:rPr>
              <w:t>60,799.7</w:t>
            </w:r>
          </w:p>
        </w:tc>
      </w:tr>
    </w:tbl>
    <w:p w14:paraId="1D4B16F1" w14:textId="77777777" w:rsidR="008D2BAC" w:rsidRPr="0087752B" w:rsidRDefault="008D2BAC" w:rsidP="00555CD6">
      <w:pPr>
        <w:pStyle w:val="DETFootnoteTextforobjectivestablesOHStable"/>
      </w:pPr>
    </w:p>
    <w:p w14:paraId="0829A975" w14:textId="7866DD77" w:rsidR="006016B9" w:rsidRPr="0087752B" w:rsidRDefault="006016B9" w:rsidP="00555CD6">
      <w:pPr>
        <w:pStyle w:val="DETFootnoteTextforobjectivestablesOHStable"/>
      </w:pPr>
      <w:r w:rsidRPr="0087752B">
        <w:t xml:space="preserve">1 Victorian Public Service includes Executive Officers, VPS classified staff, Allied Health Nurses, Senior Medical Advisors, </w:t>
      </w:r>
      <w:r w:rsidRPr="0087752B">
        <w:lastRenderedPageBreak/>
        <w:t>Ministerial Transport Officers and LOTE advisors.</w:t>
      </w:r>
    </w:p>
    <w:p w14:paraId="41569298" w14:textId="77777777" w:rsidR="006016B9" w:rsidRPr="0087752B" w:rsidRDefault="006016B9" w:rsidP="00555CD6">
      <w:pPr>
        <w:pStyle w:val="DETFootnoteTextforobjectivestablesOHStable"/>
      </w:pPr>
      <w:r w:rsidRPr="0087752B">
        <w:t>2 Government Teaching Service includes Executive Class, Principal Class, Teacher Class and Education Support Class.</w:t>
      </w:r>
    </w:p>
    <w:p w14:paraId="3142A7B0" w14:textId="77777777" w:rsidR="006016B9" w:rsidRPr="0087752B" w:rsidRDefault="006016B9" w:rsidP="00555CD6">
      <w:pPr>
        <w:pStyle w:val="DETFootnoteTextforobjectivestablesOHStable"/>
      </w:pPr>
      <w:r w:rsidRPr="0087752B">
        <w:t xml:space="preserve">3. ‘Senior Officer’ is a Governor in Council appointment to a statutory office, as defined in the Public Administration Act 2004. Governor in Council appointments are not included in total staff count. The table includes employees of the VCAA and VRQA who are also reported in those Authorities’ annual reports. </w:t>
      </w:r>
    </w:p>
    <w:p w14:paraId="44475192" w14:textId="77777777" w:rsidR="006016B9" w:rsidRPr="0087752B" w:rsidRDefault="006016B9" w:rsidP="007540CD">
      <w:pPr>
        <w:pStyle w:val="DETTableheading"/>
      </w:pPr>
      <w:r w:rsidRPr="0087752B">
        <w:t>Summary of employment levels in June 2015 and 2016</w:t>
      </w:r>
    </w:p>
    <w:tbl>
      <w:tblPr>
        <w:tblW w:w="0" w:type="auto"/>
        <w:tblLook w:val="04A0" w:firstRow="1" w:lastRow="0" w:firstColumn="1" w:lastColumn="0" w:noHBand="0" w:noVBand="1"/>
      </w:tblPr>
      <w:tblGrid>
        <w:gridCol w:w="1264"/>
        <w:gridCol w:w="1264"/>
        <w:gridCol w:w="1264"/>
        <w:gridCol w:w="1264"/>
        <w:gridCol w:w="1265"/>
        <w:gridCol w:w="1265"/>
      </w:tblGrid>
      <w:tr w:rsidR="006016B9" w:rsidRPr="0087752B" w14:paraId="567CE580" w14:textId="77777777" w:rsidTr="008D2BAC">
        <w:tc>
          <w:tcPr>
            <w:tcW w:w="1264" w:type="dxa"/>
            <w:tcBorders>
              <w:top w:val="nil"/>
              <w:left w:val="nil"/>
              <w:bottom w:val="nil"/>
              <w:right w:val="nil"/>
            </w:tcBorders>
            <w:shd w:val="clear" w:color="auto" w:fill="7F7F7F" w:themeFill="text1" w:themeFillTint="80"/>
            <w:vAlign w:val="bottom"/>
          </w:tcPr>
          <w:p w14:paraId="7F1131C4" w14:textId="77777777" w:rsidR="006016B9" w:rsidRPr="0087752B" w:rsidRDefault="006016B9" w:rsidP="008D2BAC">
            <w:pPr>
              <w:pStyle w:val="DETTablecolumnheading"/>
            </w:pPr>
          </w:p>
        </w:tc>
        <w:tc>
          <w:tcPr>
            <w:tcW w:w="5057" w:type="dxa"/>
            <w:gridSpan w:val="4"/>
            <w:tcBorders>
              <w:top w:val="nil"/>
              <w:left w:val="nil"/>
              <w:bottom w:val="nil"/>
              <w:right w:val="nil"/>
            </w:tcBorders>
            <w:shd w:val="clear" w:color="auto" w:fill="7F7F7F" w:themeFill="text1" w:themeFillTint="80"/>
            <w:vAlign w:val="bottom"/>
          </w:tcPr>
          <w:p w14:paraId="51AF2357" w14:textId="77777777" w:rsidR="006016B9" w:rsidRPr="0087752B" w:rsidRDefault="006016B9" w:rsidP="008D2BAC">
            <w:pPr>
              <w:pStyle w:val="DETTablecolumnheading"/>
              <w:jc w:val="left"/>
            </w:pPr>
            <w:r w:rsidRPr="0087752B">
              <w:t>Ongoing employees</w:t>
            </w:r>
          </w:p>
        </w:tc>
        <w:tc>
          <w:tcPr>
            <w:tcW w:w="1265" w:type="dxa"/>
            <w:tcBorders>
              <w:top w:val="nil"/>
              <w:left w:val="nil"/>
              <w:bottom w:val="nil"/>
              <w:right w:val="nil"/>
            </w:tcBorders>
            <w:shd w:val="clear" w:color="auto" w:fill="7F7F7F" w:themeFill="text1" w:themeFillTint="80"/>
            <w:vAlign w:val="bottom"/>
          </w:tcPr>
          <w:p w14:paraId="46EB9340" w14:textId="77777777" w:rsidR="006016B9" w:rsidRPr="0087752B" w:rsidRDefault="006016B9" w:rsidP="008D2BAC">
            <w:pPr>
              <w:pStyle w:val="DETTablecolumnheading"/>
              <w:jc w:val="left"/>
            </w:pPr>
            <w:r w:rsidRPr="0087752B">
              <w:t>Fixed term and casual employees</w:t>
            </w:r>
          </w:p>
        </w:tc>
      </w:tr>
      <w:tr w:rsidR="006016B9" w:rsidRPr="0087752B" w14:paraId="2F52E988" w14:textId="77777777" w:rsidTr="008D2BAC">
        <w:tc>
          <w:tcPr>
            <w:tcW w:w="1264" w:type="dxa"/>
            <w:tcBorders>
              <w:top w:val="nil"/>
              <w:left w:val="nil"/>
              <w:bottom w:val="nil"/>
              <w:right w:val="nil"/>
            </w:tcBorders>
            <w:shd w:val="clear" w:color="auto" w:fill="7F7F7F" w:themeFill="text1" w:themeFillTint="80"/>
            <w:vAlign w:val="bottom"/>
          </w:tcPr>
          <w:p w14:paraId="107D44E2" w14:textId="77777777" w:rsidR="006016B9" w:rsidRPr="0087752B" w:rsidRDefault="006016B9" w:rsidP="008D2BAC">
            <w:pPr>
              <w:pStyle w:val="DETTablecolumnheading"/>
            </w:pPr>
          </w:p>
        </w:tc>
        <w:tc>
          <w:tcPr>
            <w:tcW w:w="1264" w:type="dxa"/>
            <w:tcBorders>
              <w:top w:val="nil"/>
              <w:left w:val="nil"/>
              <w:bottom w:val="nil"/>
              <w:right w:val="nil"/>
            </w:tcBorders>
            <w:shd w:val="clear" w:color="auto" w:fill="7F7F7F" w:themeFill="text1" w:themeFillTint="80"/>
            <w:vAlign w:val="bottom"/>
          </w:tcPr>
          <w:p w14:paraId="30C83C5D" w14:textId="77777777" w:rsidR="006016B9" w:rsidRPr="0087752B" w:rsidRDefault="006016B9" w:rsidP="008D2BAC">
            <w:pPr>
              <w:pStyle w:val="DETTablecolumnheading"/>
              <w:jc w:val="left"/>
            </w:pPr>
            <w:r w:rsidRPr="0087752B">
              <w:t>Employees (headcount)</w:t>
            </w:r>
          </w:p>
        </w:tc>
        <w:tc>
          <w:tcPr>
            <w:tcW w:w="1264" w:type="dxa"/>
            <w:tcBorders>
              <w:top w:val="nil"/>
              <w:left w:val="nil"/>
              <w:bottom w:val="nil"/>
              <w:right w:val="nil"/>
            </w:tcBorders>
            <w:shd w:val="clear" w:color="auto" w:fill="7F7F7F" w:themeFill="text1" w:themeFillTint="80"/>
            <w:vAlign w:val="bottom"/>
          </w:tcPr>
          <w:p w14:paraId="0CC08059" w14:textId="77777777" w:rsidR="006016B9" w:rsidRPr="0087752B" w:rsidRDefault="006016B9" w:rsidP="008D2BAC">
            <w:pPr>
              <w:pStyle w:val="DETTablecolumnheading"/>
              <w:jc w:val="left"/>
            </w:pPr>
            <w:r w:rsidRPr="0087752B">
              <w:t>Full time (headcount)</w:t>
            </w:r>
          </w:p>
        </w:tc>
        <w:tc>
          <w:tcPr>
            <w:tcW w:w="1264" w:type="dxa"/>
            <w:tcBorders>
              <w:top w:val="nil"/>
              <w:left w:val="nil"/>
              <w:bottom w:val="nil"/>
              <w:right w:val="nil"/>
            </w:tcBorders>
            <w:shd w:val="clear" w:color="auto" w:fill="7F7F7F" w:themeFill="text1" w:themeFillTint="80"/>
            <w:vAlign w:val="bottom"/>
          </w:tcPr>
          <w:p w14:paraId="50089186" w14:textId="77777777" w:rsidR="006016B9" w:rsidRPr="0087752B" w:rsidRDefault="006016B9" w:rsidP="008D2BAC">
            <w:pPr>
              <w:pStyle w:val="DETTablecolumnheading"/>
              <w:jc w:val="left"/>
            </w:pPr>
            <w:r w:rsidRPr="0087752B">
              <w:t>Part time (headcount)</w:t>
            </w:r>
          </w:p>
        </w:tc>
        <w:tc>
          <w:tcPr>
            <w:tcW w:w="1265" w:type="dxa"/>
            <w:tcBorders>
              <w:top w:val="nil"/>
              <w:left w:val="nil"/>
              <w:bottom w:val="nil"/>
              <w:right w:val="nil"/>
            </w:tcBorders>
            <w:shd w:val="clear" w:color="auto" w:fill="7F7F7F" w:themeFill="text1" w:themeFillTint="80"/>
            <w:vAlign w:val="bottom"/>
          </w:tcPr>
          <w:p w14:paraId="73C3AE8C" w14:textId="77777777" w:rsidR="006016B9" w:rsidRPr="0087752B" w:rsidRDefault="006016B9" w:rsidP="008D2BAC">
            <w:pPr>
              <w:pStyle w:val="DETTablecolumnheading"/>
              <w:jc w:val="left"/>
            </w:pPr>
            <w:r w:rsidRPr="0087752B">
              <w:t>FTE</w:t>
            </w:r>
          </w:p>
        </w:tc>
        <w:tc>
          <w:tcPr>
            <w:tcW w:w="1265" w:type="dxa"/>
            <w:tcBorders>
              <w:top w:val="nil"/>
              <w:left w:val="nil"/>
              <w:bottom w:val="nil"/>
              <w:right w:val="nil"/>
            </w:tcBorders>
            <w:shd w:val="clear" w:color="auto" w:fill="7F7F7F" w:themeFill="text1" w:themeFillTint="80"/>
            <w:vAlign w:val="bottom"/>
          </w:tcPr>
          <w:p w14:paraId="350C2E24" w14:textId="77777777" w:rsidR="006016B9" w:rsidRPr="0087752B" w:rsidRDefault="006016B9" w:rsidP="008D2BAC">
            <w:pPr>
              <w:pStyle w:val="DETTablecolumnheading"/>
              <w:jc w:val="left"/>
            </w:pPr>
            <w:r w:rsidRPr="0087752B">
              <w:t>FTE</w:t>
            </w:r>
          </w:p>
        </w:tc>
      </w:tr>
      <w:tr w:rsidR="006016B9" w:rsidRPr="0087752B" w14:paraId="4ACA8743" w14:textId="77777777" w:rsidTr="006016B9">
        <w:tc>
          <w:tcPr>
            <w:tcW w:w="1264" w:type="dxa"/>
            <w:tcBorders>
              <w:top w:val="nil"/>
              <w:left w:val="nil"/>
              <w:bottom w:val="nil"/>
              <w:right w:val="nil"/>
            </w:tcBorders>
            <w:vAlign w:val="bottom"/>
          </w:tcPr>
          <w:p w14:paraId="1AD5C0B4" w14:textId="77777777" w:rsidR="006016B9" w:rsidRPr="0087752B" w:rsidRDefault="006016B9" w:rsidP="008D2BAC">
            <w:pPr>
              <w:pStyle w:val="DETTableTextFinancial"/>
              <w:rPr>
                <w:b/>
              </w:rPr>
            </w:pPr>
            <w:r w:rsidRPr="0087752B">
              <w:rPr>
                <w:b/>
              </w:rPr>
              <w:t>June 2015</w:t>
            </w:r>
          </w:p>
        </w:tc>
        <w:tc>
          <w:tcPr>
            <w:tcW w:w="1264" w:type="dxa"/>
            <w:tcBorders>
              <w:top w:val="nil"/>
              <w:left w:val="nil"/>
              <w:bottom w:val="nil"/>
              <w:right w:val="nil"/>
            </w:tcBorders>
            <w:vAlign w:val="bottom"/>
          </w:tcPr>
          <w:p w14:paraId="154E7902" w14:textId="77777777" w:rsidR="006016B9" w:rsidRPr="0087752B" w:rsidRDefault="006016B9" w:rsidP="008D2BAC">
            <w:pPr>
              <w:pStyle w:val="DETTableTextFinancial"/>
              <w:jc w:val="right"/>
            </w:pPr>
          </w:p>
        </w:tc>
        <w:tc>
          <w:tcPr>
            <w:tcW w:w="1264" w:type="dxa"/>
            <w:tcBorders>
              <w:top w:val="nil"/>
              <w:left w:val="nil"/>
              <w:bottom w:val="nil"/>
              <w:right w:val="nil"/>
            </w:tcBorders>
            <w:vAlign w:val="bottom"/>
          </w:tcPr>
          <w:p w14:paraId="7E84FD5E" w14:textId="77777777" w:rsidR="006016B9" w:rsidRPr="0087752B" w:rsidRDefault="006016B9" w:rsidP="008D2BAC">
            <w:pPr>
              <w:pStyle w:val="DETTableTextFinancial"/>
              <w:jc w:val="right"/>
            </w:pPr>
          </w:p>
        </w:tc>
        <w:tc>
          <w:tcPr>
            <w:tcW w:w="1264" w:type="dxa"/>
            <w:tcBorders>
              <w:top w:val="nil"/>
              <w:left w:val="nil"/>
              <w:bottom w:val="nil"/>
              <w:right w:val="nil"/>
            </w:tcBorders>
            <w:vAlign w:val="bottom"/>
          </w:tcPr>
          <w:p w14:paraId="4EF8EF77" w14:textId="77777777" w:rsidR="006016B9" w:rsidRPr="0087752B" w:rsidRDefault="006016B9" w:rsidP="008D2BAC">
            <w:pPr>
              <w:pStyle w:val="DETTableTextFinancial"/>
              <w:jc w:val="right"/>
            </w:pPr>
          </w:p>
        </w:tc>
        <w:tc>
          <w:tcPr>
            <w:tcW w:w="1265" w:type="dxa"/>
            <w:tcBorders>
              <w:top w:val="nil"/>
              <w:left w:val="nil"/>
              <w:bottom w:val="nil"/>
              <w:right w:val="nil"/>
            </w:tcBorders>
            <w:vAlign w:val="bottom"/>
          </w:tcPr>
          <w:p w14:paraId="3F078CDC" w14:textId="77777777" w:rsidR="006016B9" w:rsidRPr="0087752B" w:rsidRDefault="006016B9" w:rsidP="008D2BAC">
            <w:pPr>
              <w:pStyle w:val="DETTableTextFinancial"/>
              <w:jc w:val="right"/>
            </w:pPr>
            <w:r w:rsidRPr="0087752B">
              <w:t> </w:t>
            </w:r>
          </w:p>
        </w:tc>
        <w:tc>
          <w:tcPr>
            <w:tcW w:w="1265" w:type="dxa"/>
            <w:tcBorders>
              <w:top w:val="nil"/>
              <w:left w:val="nil"/>
              <w:bottom w:val="nil"/>
              <w:right w:val="nil"/>
            </w:tcBorders>
            <w:vAlign w:val="bottom"/>
          </w:tcPr>
          <w:p w14:paraId="1FB3AB97" w14:textId="77777777" w:rsidR="006016B9" w:rsidRPr="0087752B" w:rsidRDefault="006016B9" w:rsidP="008D2BAC">
            <w:pPr>
              <w:pStyle w:val="DETTableTextFinancial"/>
              <w:jc w:val="right"/>
            </w:pPr>
          </w:p>
        </w:tc>
      </w:tr>
      <w:tr w:rsidR="006016B9" w:rsidRPr="0087752B" w14:paraId="2A32F5D1" w14:textId="77777777" w:rsidTr="006016B9">
        <w:tc>
          <w:tcPr>
            <w:tcW w:w="1264" w:type="dxa"/>
            <w:tcBorders>
              <w:top w:val="nil"/>
              <w:left w:val="nil"/>
              <w:bottom w:val="nil"/>
              <w:right w:val="nil"/>
            </w:tcBorders>
            <w:vAlign w:val="bottom"/>
          </w:tcPr>
          <w:p w14:paraId="56B3F326" w14:textId="77777777" w:rsidR="006016B9" w:rsidRPr="0087752B" w:rsidRDefault="006016B9" w:rsidP="008D2BAC">
            <w:pPr>
              <w:pStyle w:val="DETTableTextFinancial"/>
            </w:pPr>
            <w:r w:rsidRPr="0087752B">
              <w:t>Victorian Public Service</w:t>
            </w:r>
          </w:p>
        </w:tc>
        <w:tc>
          <w:tcPr>
            <w:tcW w:w="1264" w:type="dxa"/>
            <w:tcBorders>
              <w:top w:val="nil"/>
              <w:left w:val="nil"/>
              <w:bottom w:val="nil"/>
              <w:right w:val="nil"/>
            </w:tcBorders>
            <w:vAlign w:val="bottom"/>
          </w:tcPr>
          <w:p w14:paraId="5083E287" w14:textId="77777777" w:rsidR="006016B9" w:rsidRPr="0087752B" w:rsidRDefault="006016B9" w:rsidP="008D2BAC">
            <w:pPr>
              <w:pStyle w:val="DETTableTextFinancial"/>
              <w:jc w:val="right"/>
            </w:pPr>
            <w:r w:rsidRPr="0087752B">
              <w:t>2432</w:t>
            </w:r>
          </w:p>
        </w:tc>
        <w:tc>
          <w:tcPr>
            <w:tcW w:w="1264" w:type="dxa"/>
            <w:tcBorders>
              <w:top w:val="nil"/>
              <w:left w:val="nil"/>
              <w:bottom w:val="nil"/>
              <w:right w:val="nil"/>
            </w:tcBorders>
            <w:vAlign w:val="bottom"/>
          </w:tcPr>
          <w:p w14:paraId="6E963A32" w14:textId="77777777" w:rsidR="006016B9" w:rsidRPr="0087752B" w:rsidRDefault="006016B9" w:rsidP="008D2BAC">
            <w:pPr>
              <w:pStyle w:val="DETTableTextFinancial"/>
              <w:jc w:val="right"/>
            </w:pPr>
            <w:r w:rsidRPr="0087752B">
              <w:t>1713</w:t>
            </w:r>
          </w:p>
        </w:tc>
        <w:tc>
          <w:tcPr>
            <w:tcW w:w="1264" w:type="dxa"/>
            <w:tcBorders>
              <w:top w:val="nil"/>
              <w:left w:val="nil"/>
              <w:bottom w:val="nil"/>
              <w:right w:val="nil"/>
            </w:tcBorders>
            <w:vAlign w:val="bottom"/>
          </w:tcPr>
          <w:p w14:paraId="14437240" w14:textId="77777777" w:rsidR="006016B9" w:rsidRPr="0087752B" w:rsidRDefault="006016B9" w:rsidP="008D2BAC">
            <w:pPr>
              <w:pStyle w:val="DETTableTextFinancial"/>
              <w:jc w:val="right"/>
            </w:pPr>
            <w:r w:rsidRPr="0087752B">
              <w:t>719</w:t>
            </w:r>
          </w:p>
        </w:tc>
        <w:tc>
          <w:tcPr>
            <w:tcW w:w="1265" w:type="dxa"/>
            <w:tcBorders>
              <w:top w:val="nil"/>
              <w:left w:val="nil"/>
              <w:bottom w:val="nil"/>
              <w:right w:val="nil"/>
            </w:tcBorders>
            <w:vAlign w:val="bottom"/>
          </w:tcPr>
          <w:p w14:paraId="7A82ABE2" w14:textId="77777777" w:rsidR="006016B9" w:rsidRPr="0087752B" w:rsidRDefault="006016B9" w:rsidP="008D2BAC">
            <w:pPr>
              <w:pStyle w:val="DETTableTextFinancial"/>
              <w:jc w:val="right"/>
            </w:pPr>
            <w:r w:rsidRPr="0087752B">
              <w:t>2168.9</w:t>
            </w:r>
          </w:p>
        </w:tc>
        <w:tc>
          <w:tcPr>
            <w:tcW w:w="1265" w:type="dxa"/>
            <w:tcBorders>
              <w:top w:val="nil"/>
              <w:left w:val="nil"/>
              <w:bottom w:val="nil"/>
              <w:right w:val="nil"/>
            </w:tcBorders>
            <w:vAlign w:val="bottom"/>
          </w:tcPr>
          <w:p w14:paraId="0208E482" w14:textId="77777777" w:rsidR="006016B9" w:rsidRPr="0087752B" w:rsidRDefault="006016B9" w:rsidP="008D2BAC">
            <w:pPr>
              <w:pStyle w:val="DETTableTextFinancial"/>
              <w:jc w:val="right"/>
            </w:pPr>
            <w:r w:rsidRPr="0087752B">
              <w:t>163.3</w:t>
            </w:r>
          </w:p>
        </w:tc>
      </w:tr>
      <w:tr w:rsidR="006016B9" w:rsidRPr="0087752B" w14:paraId="6BDAC7EA" w14:textId="77777777" w:rsidTr="006016B9">
        <w:tc>
          <w:tcPr>
            <w:tcW w:w="1264" w:type="dxa"/>
            <w:tcBorders>
              <w:top w:val="nil"/>
              <w:left w:val="nil"/>
              <w:bottom w:val="single" w:sz="4" w:space="0" w:color="auto"/>
              <w:right w:val="nil"/>
            </w:tcBorders>
            <w:vAlign w:val="bottom"/>
          </w:tcPr>
          <w:p w14:paraId="000D1B50" w14:textId="77777777" w:rsidR="006016B9" w:rsidRPr="0087752B" w:rsidRDefault="006016B9" w:rsidP="008D2BAC">
            <w:pPr>
              <w:pStyle w:val="DETTableTextFinancial"/>
            </w:pPr>
            <w:r w:rsidRPr="0087752B">
              <w:t>Government Teaching Service</w:t>
            </w:r>
          </w:p>
        </w:tc>
        <w:tc>
          <w:tcPr>
            <w:tcW w:w="1264" w:type="dxa"/>
            <w:tcBorders>
              <w:top w:val="nil"/>
              <w:left w:val="nil"/>
              <w:bottom w:val="single" w:sz="4" w:space="0" w:color="auto"/>
              <w:right w:val="nil"/>
            </w:tcBorders>
            <w:vAlign w:val="bottom"/>
          </w:tcPr>
          <w:p w14:paraId="11DD8204" w14:textId="77777777" w:rsidR="006016B9" w:rsidRPr="0087752B" w:rsidRDefault="006016B9" w:rsidP="008D2BAC">
            <w:pPr>
              <w:pStyle w:val="DETTableTextFinancial"/>
              <w:jc w:val="right"/>
            </w:pPr>
            <w:r w:rsidRPr="0087752B">
              <w:t>47,546</w:t>
            </w:r>
          </w:p>
        </w:tc>
        <w:tc>
          <w:tcPr>
            <w:tcW w:w="1264" w:type="dxa"/>
            <w:tcBorders>
              <w:top w:val="nil"/>
              <w:left w:val="nil"/>
              <w:bottom w:val="single" w:sz="4" w:space="0" w:color="auto"/>
              <w:right w:val="nil"/>
            </w:tcBorders>
            <w:vAlign w:val="bottom"/>
          </w:tcPr>
          <w:p w14:paraId="79D17E89" w14:textId="77777777" w:rsidR="006016B9" w:rsidRPr="0087752B" w:rsidRDefault="006016B9" w:rsidP="008D2BAC">
            <w:pPr>
              <w:pStyle w:val="DETTableTextFinancial"/>
              <w:jc w:val="right"/>
            </w:pPr>
            <w:r w:rsidRPr="0087752B">
              <w:t>32,352</w:t>
            </w:r>
          </w:p>
        </w:tc>
        <w:tc>
          <w:tcPr>
            <w:tcW w:w="1264" w:type="dxa"/>
            <w:tcBorders>
              <w:top w:val="nil"/>
              <w:left w:val="nil"/>
              <w:bottom w:val="single" w:sz="4" w:space="0" w:color="auto"/>
              <w:right w:val="nil"/>
            </w:tcBorders>
            <w:vAlign w:val="bottom"/>
          </w:tcPr>
          <w:p w14:paraId="74F04645" w14:textId="77777777" w:rsidR="006016B9" w:rsidRPr="0087752B" w:rsidRDefault="006016B9" w:rsidP="008D2BAC">
            <w:pPr>
              <w:pStyle w:val="DETTableTextFinancial"/>
              <w:jc w:val="right"/>
            </w:pPr>
            <w:r w:rsidRPr="0087752B">
              <w:t>15,194</w:t>
            </w:r>
          </w:p>
        </w:tc>
        <w:tc>
          <w:tcPr>
            <w:tcW w:w="1265" w:type="dxa"/>
            <w:tcBorders>
              <w:top w:val="nil"/>
              <w:left w:val="nil"/>
              <w:bottom w:val="single" w:sz="4" w:space="0" w:color="auto"/>
              <w:right w:val="nil"/>
            </w:tcBorders>
            <w:vAlign w:val="bottom"/>
          </w:tcPr>
          <w:p w14:paraId="40C4C079" w14:textId="77777777" w:rsidR="006016B9" w:rsidRPr="0087752B" w:rsidRDefault="006016B9" w:rsidP="008D2BAC">
            <w:pPr>
              <w:pStyle w:val="DETTableTextFinancial"/>
              <w:jc w:val="right"/>
            </w:pPr>
            <w:r w:rsidRPr="0087752B">
              <w:t>42,083.0</w:t>
            </w:r>
          </w:p>
        </w:tc>
        <w:tc>
          <w:tcPr>
            <w:tcW w:w="1265" w:type="dxa"/>
            <w:tcBorders>
              <w:top w:val="nil"/>
              <w:left w:val="nil"/>
              <w:bottom w:val="single" w:sz="4" w:space="0" w:color="auto"/>
              <w:right w:val="nil"/>
            </w:tcBorders>
            <w:vAlign w:val="bottom"/>
          </w:tcPr>
          <w:p w14:paraId="5718C217" w14:textId="77777777" w:rsidR="006016B9" w:rsidRPr="0087752B" w:rsidRDefault="006016B9" w:rsidP="008D2BAC">
            <w:pPr>
              <w:pStyle w:val="DETTableTextFinancial"/>
              <w:jc w:val="right"/>
            </w:pPr>
            <w:r w:rsidRPr="0087752B">
              <w:t>14,266.2</w:t>
            </w:r>
          </w:p>
        </w:tc>
      </w:tr>
      <w:tr w:rsidR="006016B9" w:rsidRPr="0087752B" w14:paraId="57DAA9A5" w14:textId="77777777" w:rsidTr="006016B9">
        <w:tc>
          <w:tcPr>
            <w:tcW w:w="1264" w:type="dxa"/>
            <w:tcBorders>
              <w:left w:val="nil"/>
              <w:bottom w:val="single" w:sz="4" w:space="0" w:color="auto"/>
              <w:right w:val="nil"/>
            </w:tcBorders>
            <w:vAlign w:val="bottom"/>
          </w:tcPr>
          <w:p w14:paraId="43345ADD" w14:textId="77777777" w:rsidR="006016B9" w:rsidRPr="0087752B" w:rsidRDefault="006016B9" w:rsidP="008D2BAC">
            <w:pPr>
              <w:pStyle w:val="DETTableTextFinancial"/>
              <w:rPr>
                <w:b/>
              </w:rPr>
            </w:pPr>
            <w:r w:rsidRPr="0087752B">
              <w:rPr>
                <w:b/>
              </w:rPr>
              <w:t>Total</w:t>
            </w:r>
          </w:p>
        </w:tc>
        <w:tc>
          <w:tcPr>
            <w:tcW w:w="1264" w:type="dxa"/>
            <w:tcBorders>
              <w:left w:val="nil"/>
              <w:bottom w:val="single" w:sz="4" w:space="0" w:color="auto"/>
              <w:right w:val="nil"/>
            </w:tcBorders>
            <w:vAlign w:val="bottom"/>
          </w:tcPr>
          <w:p w14:paraId="4A8E97B1" w14:textId="77777777" w:rsidR="006016B9" w:rsidRPr="0033633C" w:rsidRDefault="006016B9" w:rsidP="008D2BAC">
            <w:pPr>
              <w:pStyle w:val="DETTableTextFinancial"/>
              <w:jc w:val="right"/>
              <w:rPr>
                <w:b/>
              </w:rPr>
            </w:pPr>
            <w:r w:rsidRPr="0033633C">
              <w:rPr>
                <w:b/>
              </w:rPr>
              <w:t>49,978</w:t>
            </w:r>
          </w:p>
        </w:tc>
        <w:tc>
          <w:tcPr>
            <w:tcW w:w="1264" w:type="dxa"/>
            <w:tcBorders>
              <w:left w:val="nil"/>
              <w:bottom w:val="single" w:sz="4" w:space="0" w:color="auto"/>
              <w:right w:val="nil"/>
            </w:tcBorders>
            <w:vAlign w:val="bottom"/>
          </w:tcPr>
          <w:p w14:paraId="5B5E3F1C" w14:textId="77777777" w:rsidR="006016B9" w:rsidRPr="0033633C" w:rsidRDefault="006016B9" w:rsidP="008D2BAC">
            <w:pPr>
              <w:pStyle w:val="DETTableTextFinancial"/>
              <w:jc w:val="right"/>
              <w:rPr>
                <w:b/>
              </w:rPr>
            </w:pPr>
            <w:r w:rsidRPr="0033633C">
              <w:rPr>
                <w:b/>
              </w:rPr>
              <w:t>34,065</w:t>
            </w:r>
          </w:p>
        </w:tc>
        <w:tc>
          <w:tcPr>
            <w:tcW w:w="1264" w:type="dxa"/>
            <w:tcBorders>
              <w:left w:val="nil"/>
              <w:bottom w:val="single" w:sz="4" w:space="0" w:color="auto"/>
              <w:right w:val="nil"/>
            </w:tcBorders>
            <w:vAlign w:val="bottom"/>
          </w:tcPr>
          <w:p w14:paraId="49A7FEE5" w14:textId="77777777" w:rsidR="006016B9" w:rsidRPr="0033633C" w:rsidRDefault="006016B9" w:rsidP="008D2BAC">
            <w:pPr>
              <w:pStyle w:val="DETTableTextFinancial"/>
              <w:jc w:val="right"/>
              <w:rPr>
                <w:b/>
              </w:rPr>
            </w:pPr>
            <w:r w:rsidRPr="0033633C">
              <w:rPr>
                <w:b/>
              </w:rPr>
              <w:t>15,913</w:t>
            </w:r>
          </w:p>
        </w:tc>
        <w:tc>
          <w:tcPr>
            <w:tcW w:w="1265" w:type="dxa"/>
            <w:tcBorders>
              <w:left w:val="nil"/>
              <w:bottom w:val="single" w:sz="4" w:space="0" w:color="auto"/>
              <w:right w:val="nil"/>
            </w:tcBorders>
            <w:vAlign w:val="bottom"/>
          </w:tcPr>
          <w:p w14:paraId="4CEA7C58" w14:textId="77777777" w:rsidR="006016B9" w:rsidRPr="0033633C" w:rsidRDefault="006016B9" w:rsidP="008D2BAC">
            <w:pPr>
              <w:pStyle w:val="DETTableTextFinancial"/>
              <w:jc w:val="right"/>
              <w:rPr>
                <w:b/>
              </w:rPr>
            </w:pPr>
            <w:r w:rsidRPr="0033633C">
              <w:rPr>
                <w:b/>
              </w:rPr>
              <w:t>44,251.9</w:t>
            </w:r>
          </w:p>
        </w:tc>
        <w:tc>
          <w:tcPr>
            <w:tcW w:w="1265" w:type="dxa"/>
            <w:tcBorders>
              <w:left w:val="nil"/>
              <w:bottom w:val="single" w:sz="4" w:space="0" w:color="auto"/>
              <w:right w:val="nil"/>
            </w:tcBorders>
            <w:vAlign w:val="bottom"/>
          </w:tcPr>
          <w:p w14:paraId="5AB11E0C" w14:textId="77777777" w:rsidR="006016B9" w:rsidRPr="0033633C" w:rsidRDefault="006016B9" w:rsidP="008D2BAC">
            <w:pPr>
              <w:pStyle w:val="DETTableTextFinancial"/>
              <w:jc w:val="right"/>
              <w:rPr>
                <w:b/>
              </w:rPr>
            </w:pPr>
            <w:r w:rsidRPr="0033633C">
              <w:rPr>
                <w:b/>
              </w:rPr>
              <w:t>14,429.5</w:t>
            </w:r>
          </w:p>
        </w:tc>
      </w:tr>
      <w:tr w:rsidR="006016B9" w:rsidRPr="0087752B" w14:paraId="0CF3901C" w14:textId="77777777" w:rsidTr="008D2BAC">
        <w:tc>
          <w:tcPr>
            <w:tcW w:w="1264" w:type="dxa"/>
            <w:tcBorders>
              <w:left w:val="nil"/>
              <w:bottom w:val="nil"/>
              <w:right w:val="nil"/>
            </w:tcBorders>
            <w:shd w:val="clear" w:color="auto" w:fill="F8F8F8"/>
            <w:vAlign w:val="bottom"/>
          </w:tcPr>
          <w:p w14:paraId="7AAAFF5F" w14:textId="77777777" w:rsidR="006016B9" w:rsidRPr="0087752B" w:rsidRDefault="006016B9" w:rsidP="008D2BAC">
            <w:pPr>
              <w:pStyle w:val="DETTableTextFinancial"/>
            </w:pPr>
          </w:p>
        </w:tc>
        <w:tc>
          <w:tcPr>
            <w:tcW w:w="1264" w:type="dxa"/>
            <w:tcBorders>
              <w:left w:val="nil"/>
              <w:bottom w:val="nil"/>
              <w:right w:val="nil"/>
            </w:tcBorders>
            <w:shd w:val="clear" w:color="auto" w:fill="F8F8F8"/>
            <w:vAlign w:val="bottom"/>
          </w:tcPr>
          <w:p w14:paraId="0D13D6F3" w14:textId="77777777" w:rsidR="006016B9" w:rsidRPr="0087752B" w:rsidRDefault="006016B9" w:rsidP="008D2BAC">
            <w:pPr>
              <w:pStyle w:val="DETTableTextFinancial"/>
              <w:jc w:val="right"/>
            </w:pPr>
          </w:p>
        </w:tc>
        <w:tc>
          <w:tcPr>
            <w:tcW w:w="1264" w:type="dxa"/>
            <w:tcBorders>
              <w:left w:val="nil"/>
              <w:bottom w:val="nil"/>
              <w:right w:val="nil"/>
            </w:tcBorders>
            <w:shd w:val="clear" w:color="auto" w:fill="F8F8F8"/>
            <w:vAlign w:val="bottom"/>
          </w:tcPr>
          <w:p w14:paraId="4D29F06F" w14:textId="77777777" w:rsidR="006016B9" w:rsidRPr="0087752B" w:rsidRDefault="006016B9" w:rsidP="008D2BAC">
            <w:pPr>
              <w:pStyle w:val="DETTableTextFinancial"/>
              <w:jc w:val="right"/>
            </w:pPr>
          </w:p>
        </w:tc>
        <w:tc>
          <w:tcPr>
            <w:tcW w:w="1264" w:type="dxa"/>
            <w:tcBorders>
              <w:left w:val="nil"/>
              <w:bottom w:val="nil"/>
              <w:right w:val="nil"/>
            </w:tcBorders>
            <w:shd w:val="clear" w:color="auto" w:fill="F8F8F8"/>
            <w:vAlign w:val="bottom"/>
          </w:tcPr>
          <w:p w14:paraId="5CF9A917" w14:textId="77777777" w:rsidR="006016B9" w:rsidRPr="0087752B" w:rsidRDefault="006016B9" w:rsidP="008D2BAC">
            <w:pPr>
              <w:pStyle w:val="DETTableTextFinancial"/>
              <w:jc w:val="right"/>
            </w:pPr>
          </w:p>
        </w:tc>
        <w:tc>
          <w:tcPr>
            <w:tcW w:w="1265" w:type="dxa"/>
            <w:tcBorders>
              <w:left w:val="nil"/>
              <w:bottom w:val="nil"/>
              <w:right w:val="nil"/>
            </w:tcBorders>
            <w:shd w:val="clear" w:color="auto" w:fill="F8F8F8"/>
            <w:vAlign w:val="bottom"/>
          </w:tcPr>
          <w:p w14:paraId="70D8BE3B" w14:textId="77777777" w:rsidR="006016B9" w:rsidRPr="0087752B" w:rsidRDefault="006016B9" w:rsidP="008D2BAC">
            <w:pPr>
              <w:pStyle w:val="DETTableTextFinancial"/>
              <w:jc w:val="right"/>
            </w:pPr>
          </w:p>
        </w:tc>
        <w:tc>
          <w:tcPr>
            <w:tcW w:w="1265" w:type="dxa"/>
            <w:tcBorders>
              <w:left w:val="nil"/>
              <w:bottom w:val="nil"/>
              <w:right w:val="nil"/>
            </w:tcBorders>
            <w:shd w:val="clear" w:color="auto" w:fill="F8F8F8"/>
            <w:vAlign w:val="bottom"/>
          </w:tcPr>
          <w:p w14:paraId="4606C655" w14:textId="77777777" w:rsidR="006016B9" w:rsidRPr="0087752B" w:rsidRDefault="006016B9" w:rsidP="008D2BAC">
            <w:pPr>
              <w:pStyle w:val="DETTableTextFinancial"/>
              <w:jc w:val="right"/>
            </w:pPr>
          </w:p>
        </w:tc>
      </w:tr>
      <w:tr w:rsidR="006016B9" w:rsidRPr="0087752B" w14:paraId="7BCE5C2D" w14:textId="77777777" w:rsidTr="008D2BAC">
        <w:tc>
          <w:tcPr>
            <w:tcW w:w="1264" w:type="dxa"/>
            <w:tcBorders>
              <w:top w:val="nil"/>
              <w:left w:val="nil"/>
              <w:bottom w:val="nil"/>
              <w:right w:val="nil"/>
            </w:tcBorders>
            <w:shd w:val="clear" w:color="auto" w:fill="F8F8F8"/>
            <w:vAlign w:val="bottom"/>
          </w:tcPr>
          <w:p w14:paraId="76EC44DB" w14:textId="77777777" w:rsidR="006016B9" w:rsidRPr="0087752B" w:rsidRDefault="006016B9" w:rsidP="008D2BAC">
            <w:pPr>
              <w:pStyle w:val="DETTableTextFinancial"/>
              <w:rPr>
                <w:b/>
              </w:rPr>
            </w:pPr>
            <w:r w:rsidRPr="0087752B">
              <w:rPr>
                <w:b/>
              </w:rPr>
              <w:t>June 2016</w:t>
            </w:r>
          </w:p>
        </w:tc>
        <w:tc>
          <w:tcPr>
            <w:tcW w:w="1264" w:type="dxa"/>
            <w:tcBorders>
              <w:top w:val="nil"/>
              <w:left w:val="nil"/>
              <w:bottom w:val="nil"/>
              <w:right w:val="nil"/>
            </w:tcBorders>
            <w:shd w:val="clear" w:color="auto" w:fill="F8F8F8"/>
            <w:vAlign w:val="bottom"/>
          </w:tcPr>
          <w:p w14:paraId="611A78B9" w14:textId="77777777" w:rsidR="006016B9" w:rsidRPr="0087752B" w:rsidRDefault="006016B9" w:rsidP="008D2BAC">
            <w:pPr>
              <w:pStyle w:val="DETTableTextFinancial"/>
              <w:jc w:val="right"/>
            </w:pPr>
          </w:p>
        </w:tc>
        <w:tc>
          <w:tcPr>
            <w:tcW w:w="1264" w:type="dxa"/>
            <w:tcBorders>
              <w:top w:val="nil"/>
              <w:left w:val="nil"/>
              <w:bottom w:val="nil"/>
              <w:right w:val="nil"/>
            </w:tcBorders>
            <w:shd w:val="clear" w:color="auto" w:fill="F8F8F8"/>
            <w:vAlign w:val="bottom"/>
          </w:tcPr>
          <w:p w14:paraId="4F963217" w14:textId="77777777" w:rsidR="006016B9" w:rsidRPr="0087752B" w:rsidRDefault="006016B9" w:rsidP="008D2BAC">
            <w:pPr>
              <w:pStyle w:val="DETTableTextFinancial"/>
              <w:jc w:val="right"/>
            </w:pPr>
          </w:p>
        </w:tc>
        <w:tc>
          <w:tcPr>
            <w:tcW w:w="1264" w:type="dxa"/>
            <w:tcBorders>
              <w:top w:val="nil"/>
              <w:left w:val="nil"/>
              <w:bottom w:val="nil"/>
              <w:right w:val="nil"/>
            </w:tcBorders>
            <w:shd w:val="clear" w:color="auto" w:fill="F8F8F8"/>
            <w:vAlign w:val="bottom"/>
          </w:tcPr>
          <w:p w14:paraId="500C70E0" w14:textId="77777777" w:rsidR="006016B9" w:rsidRPr="0087752B" w:rsidRDefault="006016B9" w:rsidP="008D2BAC">
            <w:pPr>
              <w:pStyle w:val="DETTableTextFinancial"/>
              <w:jc w:val="right"/>
            </w:pPr>
          </w:p>
        </w:tc>
        <w:tc>
          <w:tcPr>
            <w:tcW w:w="1265" w:type="dxa"/>
            <w:tcBorders>
              <w:top w:val="nil"/>
              <w:left w:val="nil"/>
              <w:bottom w:val="nil"/>
              <w:right w:val="nil"/>
            </w:tcBorders>
            <w:shd w:val="clear" w:color="auto" w:fill="F8F8F8"/>
            <w:vAlign w:val="bottom"/>
          </w:tcPr>
          <w:p w14:paraId="08531706" w14:textId="77777777" w:rsidR="006016B9" w:rsidRPr="0087752B" w:rsidRDefault="006016B9" w:rsidP="008D2BAC">
            <w:pPr>
              <w:pStyle w:val="DETTableTextFinancial"/>
              <w:jc w:val="right"/>
            </w:pPr>
            <w:r w:rsidRPr="0087752B">
              <w:t> </w:t>
            </w:r>
          </w:p>
        </w:tc>
        <w:tc>
          <w:tcPr>
            <w:tcW w:w="1265" w:type="dxa"/>
            <w:tcBorders>
              <w:top w:val="nil"/>
              <w:left w:val="nil"/>
              <w:bottom w:val="nil"/>
              <w:right w:val="nil"/>
            </w:tcBorders>
            <w:shd w:val="clear" w:color="auto" w:fill="F8F8F8"/>
            <w:vAlign w:val="bottom"/>
          </w:tcPr>
          <w:p w14:paraId="76A6E5E4" w14:textId="77777777" w:rsidR="006016B9" w:rsidRPr="0087752B" w:rsidRDefault="006016B9" w:rsidP="008D2BAC">
            <w:pPr>
              <w:pStyle w:val="DETTableTextFinancial"/>
              <w:jc w:val="right"/>
            </w:pPr>
          </w:p>
        </w:tc>
      </w:tr>
      <w:tr w:rsidR="006016B9" w:rsidRPr="0087752B" w14:paraId="55E44EB6" w14:textId="77777777" w:rsidTr="008D2BAC">
        <w:tc>
          <w:tcPr>
            <w:tcW w:w="1264" w:type="dxa"/>
            <w:tcBorders>
              <w:top w:val="nil"/>
              <w:left w:val="nil"/>
              <w:bottom w:val="nil"/>
              <w:right w:val="nil"/>
            </w:tcBorders>
            <w:shd w:val="clear" w:color="auto" w:fill="F8F8F8"/>
            <w:vAlign w:val="bottom"/>
          </w:tcPr>
          <w:p w14:paraId="36B33065" w14:textId="77777777" w:rsidR="006016B9" w:rsidRPr="0087752B" w:rsidRDefault="006016B9" w:rsidP="008D2BAC">
            <w:pPr>
              <w:pStyle w:val="DETTableTextFinancial"/>
            </w:pPr>
            <w:r w:rsidRPr="0087752B">
              <w:t>Victorian Public Service</w:t>
            </w:r>
          </w:p>
        </w:tc>
        <w:tc>
          <w:tcPr>
            <w:tcW w:w="1264" w:type="dxa"/>
            <w:tcBorders>
              <w:top w:val="nil"/>
              <w:left w:val="nil"/>
              <w:bottom w:val="nil"/>
              <w:right w:val="nil"/>
            </w:tcBorders>
            <w:shd w:val="clear" w:color="auto" w:fill="F8F8F8"/>
            <w:vAlign w:val="bottom"/>
          </w:tcPr>
          <w:p w14:paraId="13546AE3" w14:textId="77777777" w:rsidR="006016B9" w:rsidRPr="0087752B" w:rsidRDefault="006016B9" w:rsidP="008D2BAC">
            <w:pPr>
              <w:pStyle w:val="DETTableTextFinancial"/>
              <w:jc w:val="right"/>
            </w:pPr>
            <w:r w:rsidRPr="0087752B">
              <w:t>2479</w:t>
            </w:r>
          </w:p>
        </w:tc>
        <w:tc>
          <w:tcPr>
            <w:tcW w:w="1264" w:type="dxa"/>
            <w:tcBorders>
              <w:top w:val="nil"/>
              <w:left w:val="nil"/>
              <w:bottom w:val="nil"/>
              <w:right w:val="nil"/>
            </w:tcBorders>
            <w:shd w:val="clear" w:color="auto" w:fill="F8F8F8"/>
            <w:vAlign w:val="bottom"/>
          </w:tcPr>
          <w:p w14:paraId="289531ED" w14:textId="77777777" w:rsidR="006016B9" w:rsidRPr="0087752B" w:rsidRDefault="006016B9" w:rsidP="008D2BAC">
            <w:pPr>
              <w:pStyle w:val="DETTableTextFinancial"/>
              <w:jc w:val="right"/>
            </w:pPr>
            <w:r w:rsidRPr="0087752B">
              <w:t>1727</w:t>
            </w:r>
          </w:p>
        </w:tc>
        <w:tc>
          <w:tcPr>
            <w:tcW w:w="1264" w:type="dxa"/>
            <w:tcBorders>
              <w:top w:val="nil"/>
              <w:left w:val="nil"/>
              <w:bottom w:val="nil"/>
              <w:right w:val="nil"/>
            </w:tcBorders>
            <w:shd w:val="clear" w:color="auto" w:fill="F8F8F8"/>
            <w:vAlign w:val="bottom"/>
          </w:tcPr>
          <w:p w14:paraId="7EA9120F" w14:textId="77777777" w:rsidR="006016B9" w:rsidRPr="0087752B" w:rsidRDefault="006016B9" w:rsidP="008D2BAC">
            <w:pPr>
              <w:pStyle w:val="DETTableTextFinancial"/>
              <w:jc w:val="right"/>
            </w:pPr>
            <w:r w:rsidRPr="0087752B">
              <w:t>752</w:t>
            </w:r>
          </w:p>
        </w:tc>
        <w:tc>
          <w:tcPr>
            <w:tcW w:w="1265" w:type="dxa"/>
            <w:tcBorders>
              <w:top w:val="nil"/>
              <w:left w:val="nil"/>
              <w:bottom w:val="nil"/>
              <w:right w:val="nil"/>
            </w:tcBorders>
            <w:shd w:val="clear" w:color="auto" w:fill="F8F8F8"/>
            <w:vAlign w:val="bottom"/>
          </w:tcPr>
          <w:p w14:paraId="3726B5CC" w14:textId="77777777" w:rsidR="006016B9" w:rsidRPr="0087752B" w:rsidRDefault="006016B9" w:rsidP="008D2BAC">
            <w:pPr>
              <w:pStyle w:val="DETTableTextFinancial"/>
              <w:jc w:val="right"/>
            </w:pPr>
            <w:r w:rsidRPr="0087752B">
              <w:t>2209.6</w:t>
            </w:r>
          </w:p>
        </w:tc>
        <w:tc>
          <w:tcPr>
            <w:tcW w:w="1265" w:type="dxa"/>
            <w:tcBorders>
              <w:top w:val="nil"/>
              <w:left w:val="nil"/>
              <w:bottom w:val="nil"/>
              <w:right w:val="nil"/>
            </w:tcBorders>
            <w:shd w:val="clear" w:color="auto" w:fill="F8F8F8"/>
            <w:vAlign w:val="bottom"/>
          </w:tcPr>
          <w:p w14:paraId="63191FC2" w14:textId="77777777" w:rsidR="006016B9" w:rsidRPr="0087752B" w:rsidRDefault="006016B9" w:rsidP="008D2BAC">
            <w:pPr>
              <w:pStyle w:val="DETTableTextFinancial"/>
              <w:jc w:val="right"/>
            </w:pPr>
            <w:r w:rsidRPr="0087752B">
              <w:t>264.1</w:t>
            </w:r>
          </w:p>
        </w:tc>
      </w:tr>
      <w:tr w:rsidR="006016B9" w:rsidRPr="0087752B" w14:paraId="28F6E89D" w14:textId="77777777" w:rsidTr="008D2BAC">
        <w:tc>
          <w:tcPr>
            <w:tcW w:w="1264" w:type="dxa"/>
            <w:tcBorders>
              <w:top w:val="nil"/>
              <w:left w:val="nil"/>
              <w:bottom w:val="single" w:sz="4" w:space="0" w:color="auto"/>
              <w:right w:val="nil"/>
            </w:tcBorders>
            <w:shd w:val="clear" w:color="auto" w:fill="F8F8F8"/>
            <w:vAlign w:val="bottom"/>
          </w:tcPr>
          <w:p w14:paraId="32AC71E9" w14:textId="77777777" w:rsidR="006016B9" w:rsidRPr="0087752B" w:rsidRDefault="006016B9" w:rsidP="008D2BAC">
            <w:pPr>
              <w:pStyle w:val="DETTableTextFinancial"/>
            </w:pPr>
            <w:r w:rsidRPr="0087752B">
              <w:t>Government Teaching Service</w:t>
            </w:r>
          </w:p>
        </w:tc>
        <w:tc>
          <w:tcPr>
            <w:tcW w:w="1264" w:type="dxa"/>
            <w:tcBorders>
              <w:top w:val="nil"/>
              <w:left w:val="nil"/>
              <w:bottom w:val="single" w:sz="4" w:space="0" w:color="auto"/>
              <w:right w:val="nil"/>
            </w:tcBorders>
            <w:shd w:val="clear" w:color="auto" w:fill="F8F8F8"/>
            <w:vAlign w:val="bottom"/>
          </w:tcPr>
          <w:p w14:paraId="1C9AD0A9" w14:textId="77777777" w:rsidR="006016B9" w:rsidRPr="0087752B" w:rsidRDefault="006016B9" w:rsidP="008D2BAC">
            <w:pPr>
              <w:pStyle w:val="DETTableTextFinancial"/>
              <w:jc w:val="right"/>
            </w:pPr>
            <w:r w:rsidRPr="0087752B">
              <w:t>49,874</w:t>
            </w:r>
          </w:p>
        </w:tc>
        <w:tc>
          <w:tcPr>
            <w:tcW w:w="1264" w:type="dxa"/>
            <w:tcBorders>
              <w:top w:val="nil"/>
              <w:left w:val="nil"/>
              <w:bottom w:val="single" w:sz="4" w:space="0" w:color="auto"/>
              <w:right w:val="nil"/>
            </w:tcBorders>
            <w:shd w:val="clear" w:color="auto" w:fill="F8F8F8"/>
            <w:vAlign w:val="bottom"/>
          </w:tcPr>
          <w:p w14:paraId="7A43B523" w14:textId="77777777" w:rsidR="006016B9" w:rsidRPr="0087752B" w:rsidRDefault="006016B9" w:rsidP="008D2BAC">
            <w:pPr>
              <w:pStyle w:val="DETTableTextFinancial"/>
              <w:jc w:val="right"/>
            </w:pPr>
            <w:r w:rsidRPr="0087752B">
              <w:t>33,105</w:t>
            </w:r>
          </w:p>
        </w:tc>
        <w:tc>
          <w:tcPr>
            <w:tcW w:w="1264" w:type="dxa"/>
            <w:tcBorders>
              <w:top w:val="nil"/>
              <w:left w:val="nil"/>
              <w:bottom w:val="single" w:sz="4" w:space="0" w:color="auto"/>
              <w:right w:val="nil"/>
            </w:tcBorders>
            <w:shd w:val="clear" w:color="auto" w:fill="F8F8F8"/>
            <w:vAlign w:val="bottom"/>
          </w:tcPr>
          <w:p w14:paraId="12890670" w14:textId="77777777" w:rsidR="006016B9" w:rsidRPr="0087752B" w:rsidRDefault="006016B9" w:rsidP="008D2BAC">
            <w:pPr>
              <w:pStyle w:val="DETTableTextFinancial"/>
              <w:jc w:val="right"/>
            </w:pPr>
            <w:r w:rsidRPr="0087752B">
              <w:t>16,769</w:t>
            </w:r>
          </w:p>
        </w:tc>
        <w:tc>
          <w:tcPr>
            <w:tcW w:w="1265" w:type="dxa"/>
            <w:tcBorders>
              <w:top w:val="nil"/>
              <w:left w:val="nil"/>
              <w:bottom w:val="single" w:sz="4" w:space="0" w:color="auto"/>
              <w:right w:val="nil"/>
            </w:tcBorders>
            <w:shd w:val="clear" w:color="auto" w:fill="F8F8F8"/>
            <w:vAlign w:val="bottom"/>
          </w:tcPr>
          <w:p w14:paraId="2DC8C0F1" w14:textId="77777777" w:rsidR="006016B9" w:rsidRPr="0087752B" w:rsidRDefault="006016B9" w:rsidP="008D2BAC">
            <w:pPr>
              <w:pStyle w:val="DETTableTextFinancial"/>
              <w:jc w:val="right"/>
            </w:pPr>
            <w:r w:rsidRPr="0087752B">
              <w:t>43,842.0</w:t>
            </w:r>
          </w:p>
        </w:tc>
        <w:tc>
          <w:tcPr>
            <w:tcW w:w="1265" w:type="dxa"/>
            <w:tcBorders>
              <w:top w:val="nil"/>
              <w:left w:val="nil"/>
              <w:bottom w:val="single" w:sz="4" w:space="0" w:color="auto"/>
              <w:right w:val="nil"/>
            </w:tcBorders>
            <w:shd w:val="clear" w:color="auto" w:fill="F8F8F8"/>
            <w:vAlign w:val="bottom"/>
          </w:tcPr>
          <w:p w14:paraId="099EB79E" w14:textId="77777777" w:rsidR="006016B9" w:rsidRPr="0087752B" w:rsidRDefault="006016B9" w:rsidP="008D2BAC">
            <w:pPr>
              <w:pStyle w:val="DETTableTextFinancial"/>
              <w:jc w:val="right"/>
            </w:pPr>
            <w:r w:rsidRPr="0087752B">
              <w:t>14,484.0</w:t>
            </w:r>
          </w:p>
        </w:tc>
      </w:tr>
      <w:tr w:rsidR="006016B9" w:rsidRPr="0087752B" w14:paraId="0C732BC9" w14:textId="77777777" w:rsidTr="008D2BAC">
        <w:tc>
          <w:tcPr>
            <w:tcW w:w="1264" w:type="dxa"/>
            <w:tcBorders>
              <w:top w:val="single" w:sz="4" w:space="0" w:color="auto"/>
              <w:left w:val="nil"/>
              <w:bottom w:val="single" w:sz="4" w:space="0" w:color="auto"/>
              <w:right w:val="nil"/>
            </w:tcBorders>
            <w:shd w:val="clear" w:color="auto" w:fill="F8F8F8"/>
            <w:vAlign w:val="bottom"/>
          </w:tcPr>
          <w:p w14:paraId="23469C10" w14:textId="77777777" w:rsidR="006016B9" w:rsidRPr="0087752B" w:rsidRDefault="006016B9" w:rsidP="008D2BAC">
            <w:pPr>
              <w:pStyle w:val="DETTableTextFinancial"/>
              <w:rPr>
                <w:b/>
              </w:rPr>
            </w:pPr>
            <w:r w:rsidRPr="0087752B">
              <w:rPr>
                <w:b/>
              </w:rPr>
              <w:t>Total</w:t>
            </w:r>
          </w:p>
        </w:tc>
        <w:tc>
          <w:tcPr>
            <w:tcW w:w="1264" w:type="dxa"/>
            <w:tcBorders>
              <w:top w:val="single" w:sz="4" w:space="0" w:color="auto"/>
              <w:left w:val="nil"/>
              <w:bottom w:val="single" w:sz="4" w:space="0" w:color="auto"/>
              <w:right w:val="nil"/>
            </w:tcBorders>
            <w:shd w:val="clear" w:color="auto" w:fill="F8F8F8"/>
            <w:vAlign w:val="bottom"/>
          </w:tcPr>
          <w:p w14:paraId="66DDE129" w14:textId="77777777" w:rsidR="006016B9" w:rsidRPr="0033633C" w:rsidRDefault="006016B9" w:rsidP="008D2BAC">
            <w:pPr>
              <w:pStyle w:val="DETTableTextFinancial"/>
              <w:jc w:val="right"/>
              <w:rPr>
                <w:b/>
              </w:rPr>
            </w:pPr>
            <w:r w:rsidRPr="0033633C">
              <w:rPr>
                <w:b/>
              </w:rPr>
              <w:t>52,353</w:t>
            </w:r>
          </w:p>
        </w:tc>
        <w:tc>
          <w:tcPr>
            <w:tcW w:w="1264" w:type="dxa"/>
            <w:tcBorders>
              <w:top w:val="single" w:sz="4" w:space="0" w:color="auto"/>
              <w:left w:val="nil"/>
              <w:bottom w:val="single" w:sz="4" w:space="0" w:color="auto"/>
              <w:right w:val="nil"/>
            </w:tcBorders>
            <w:shd w:val="clear" w:color="auto" w:fill="F8F8F8"/>
            <w:vAlign w:val="bottom"/>
          </w:tcPr>
          <w:p w14:paraId="6913C971" w14:textId="77777777" w:rsidR="006016B9" w:rsidRPr="0033633C" w:rsidRDefault="006016B9" w:rsidP="008D2BAC">
            <w:pPr>
              <w:pStyle w:val="DETTableTextFinancial"/>
              <w:jc w:val="right"/>
              <w:rPr>
                <w:b/>
              </w:rPr>
            </w:pPr>
            <w:r w:rsidRPr="0033633C">
              <w:rPr>
                <w:b/>
              </w:rPr>
              <w:t>34,832</w:t>
            </w:r>
          </w:p>
        </w:tc>
        <w:tc>
          <w:tcPr>
            <w:tcW w:w="1264" w:type="dxa"/>
            <w:tcBorders>
              <w:top w:val="single" w:sz="4" w:space="0" w:color="auto"/>
              <w:left w:val="nil"/>
              <w:bottom w:val="single" w:sz="4" w:space="0" w:color="auto"/>
              <w:right w:val="nil"/>
            </w:tcBorders>
            <w:shd w:val="clear" w:color="auto" w:fill="F8F8F8"/>
            <w:vAlign w:val="bottom"/>
          </w:tcPr>
          <w:p w14:paraId="3723F54E" w14:textId="77777777" w:rsidR="006016B9" w:rsidRPr="0033633C" w:rsidRDefault="006016B9" w:rsidP="008D2BAC">
            <w:pPr>
              <w:pStyle w:val="DETTableTextFinancial"/>
              <w:jc w:val="right"/>
              <w:rPr>
                <w:b/>
              </w:rPr>
            </w:pPr>
            <w:r w:rsidRPr="0033633C">
              <w:rPr>
                <w:b/>
              </w:rPr>
              <w:t>17,521</w:t>
            </w:r>
          </w:p>
        </w:tc>
        <w:tc>
          <w:tcPr>
            <w:tcW w:w="1265" w:type="dxa"/>
            <w:tcBorders>
              <w:top w:val="single" w:sz="4" w:space="0" w:color="auto"/>
              <w:left w:val="nil"/>
              <w:bottom w:val="single" w:sz="4" w:space="0" w:color="auto"/>
              <w:right w:val="nil"/>
            </w:tcBorders>
            <w:shd w:val="clear" w:color="auto" w:fill="F8F8F8"/>
            <w:vAlign w:val="bottom"/>
          </w:tcPr>
          <w:p w14:paraId="79867179" w14:textId="77777777" w:rsidR="006016B9" w:rsidRPr="0033633C" w:rsidRDefault="006016B9" w:rsidP="008D2BAC">
            <w:pPr>
              <w:pStyle w:val="DETTableTextFinancial"/>
              <w:jc w:val="right"/>
              <w:rPr>
                <w:b/>
              </w:rPr>
            </w:pPr>
            <w:r w:rsidRPr="0033633C">
              <w:rPr>
                <w:b/>
              </w:rPr>
              <w:t>46,051.6</w:t>
            </w:r>
          </w:p>
        </w:tc>
        <w:tc>
          <w:tcPr>
            <w:tcW w:w="1265" w:type="dxa"/>
            <w:tcBorders>
              <w:top w:val="single" w:sz="4" w:space="0" w:color="auto"/>
              <w:left w:val="nil"/>
              <w:bottom w:val="single" w:sz="4" w:space="0" w:color="auto"/>
              <w:right w:val="nil"/>
            </w:tcBorders>
            <w:shd w:val="clear" w:color="auto" w:fill="F8F8F8"/>
            <w:vAlign w:val="bottom"/>
          </w:tcPr>
          <w:p w14:paraId="35BC1B61" w14:textId="77777777" w:rsidR="006016B9" w:rsidRPr="0033633C" w:rsidRDefault="006016B9" w:rsidP="008D2BAC">
            <w:pPr>
              <w:pStyle w:val="DETTableTextFinancial"/>
              <w:jc w:val="right"/>
              <w:rPr>
                <w:b/>
              </w:rPr>
            </w:pPr>
            <w:r w:rsidRPr="0033633C">
              <w:rPr>
                <w:b/>
              </w:rPr>
              <w:t>14,748.1</w:t>
            </w:r>
          </w:p>
        </w:tc>
      </w:tr>
    </w:tbl>
    <w:p w14:paraId="396385CD" w14:textId="77777777" w:rsidR="006016B9" w:rsidRPr="0087752B" w:rsidRDefault="006016B9" w:rsidP="006016B9"/>
    <w:p w14:paraId="3A10E3C3" w14:textId="77777777" w:rsidR="006016B9" w:rsidRPr="0087752B" w:rsidRDefault="006016B9" w:rsidP="006016B9"/>
    <w:p w14:paraId="34FE84F6" w14:textId="77777777" w:rsidR="006016B9" w:rsidRPr="0087752B" w:rsidRDefault="006016B9" w:rsidP="006016B9">
      <w:r w:rsidRPr="0087752B">
        <w:br w:type="page"/>
      </w:r>
    </w:p>
    <w:p w14:paraId="58D20D61" w14:textId="77777777" w:rsidR="006016B9" w:rsidRPr="0087752B" w:rsidRDefault="006016B9" w:rsidP="007540CD">
      <w:pPr>
        <w:pStyle w:val="DETTableheading"/>
      </w:pPr>
      <w:r w:rsidRPr="0087752B">
        <w:lastRenderedPageBreak/>
        <w:t>Victorian Public Service staff employment levels June 2015 and 2016</w:t>
      </w:r>
    </w:p>
    <w:tbl>
      <w:tblPr>
        <w:tblW w:w="0" w:type="auto"/>
        <w:tblLayout w:type="fixed"/>
        <w:tblLook w:val="04A0" w:firstRow="1" w:lastRow="0" w:firstColumn="1" w:lastColumn="0" w:noHBand="0" w:noVBand="1"/>
      </w:tblPr>
      <w:tblGrid>
        <w:gridCol w:w="1384"/>
        <w:gridCol w:w="1134"/>
        <w:gridCol w:w="851"/>
        <w:gridCol w:w="1134"/>
        <w:gridCol w:w="1134"/>
        <w:gridCol w:w="850"/>
        <w:gridCol w:w="1099"/>
      </w:tblGrid>
      <w:tr w:rsidR="006016B9" w:rsidRPr="0087752B" w14:paraId="0DD69083" w14:textId="77777777" w:rsidTr="00791AA9">
        <w:tc>
          <w:tcPr>
            <w:tcW w:w="1384" w:type="dxa"/>
            <w:tcBorders>
              <w:top w:val="nil"/>
              <w:left w:val="nil"/>
              <w:bottom w:val="nil"/>
              <w:right w:val="nil"/>
            </w:tcBorders>
            <w:shd w:val="clear" w:color="auto" w:fill="7F7F7F" w:themeFill="text1" w:themeFillTint="80"/>
            <w:vAlign w:val="center"/>
          </w:tcPr>
          <w:p w14:paraId="0D581F3A" w14:textId="77777777" w:rsidR="006016B9" w:rsidRPr="0087752B" w:rsidRDefault="006016B9" w:rsidP="008D2BAC">
            <w:pPr>
              <w:pStyle w:val="DETTablecolumnheading"/>
              <w:jc w:val="left"/>
            </w:pPr>
          </w:p>
        </w:tc>
        <w:tc>
          <w:tcPr>
            <w:tcW w:w="3119" w:type="dxa"/>
            <w:gridSpan w:val="3"/>
            <w:tcBorders>
              <w:top w:val="nil"/>
              <w:left w:val="nil"/>
              <w:bottom w:val="nil"/>
              <w:right w:val="nil"/>
            </w:tcBorders>
            <w:shd w:val="clear" w:color="auto" w:fill="7F7F7F" w:themeFill="text1" w:themeFillTint="80"/>
            <w:vAlign w:val="center"/>
          </w:tcPr>
          <w:p w14:paraId="08B2B782" w14:textId="77777777" w:rsidR="006016B9" w:rsidRPr="0087752B" w:rsidRDefault="006016B9" w:rsidP="008D2BAC">
            <w:pPr>
              <w:pStyle w:val="DETTablecolumnheading"/>
              <w:jc w:val="left"/>
            </w:pPr>
            <w:r w:rsidRPr="0087752B">
              <w:t>2015</w:t>
            </w:r>
          </w:p>
        </w:tc>
        <w:tc>
          <w:tcPr>
            <w:tcW w:w="3083" w:type="dxa"/>
            <w:gridSpan w:val="3"/>
            <w:tcBorders>
              <w:top w:val="nil"/>
              <w:left w:val="nil"/>
              <w:bottom w:val="nil"/>
              <w:right w:val="nil"/>
            </w:tcBorders>
            <w:shd w:val="clear" w:color="auto" w:fill="7F7F7F" w:themeFill="text1" w:themeFillTint="80"/>
            <w:vAlign w:val="center"/>
          </w:tcPr>
          <w:p w14:paraId="4B36BBFC" w14:textId="77777777" w:rsidR="006016B9" w:rsidRPr="0087752B" w:rsidRDefault="006016B9" w:rsidP="008D2BAC">
            <w:pPr>
              <w:pStyle w:val="DETTablecolumnheading"/>
              <w:jc w:val="left"/>
            </w:pPr>
            <w:r w:rsidRPr="0087752B">
              <w:t>2016</w:t>
            </w:r>
          </w:p>
        </w:tc>
      </w:tr>
      <w:tr w:rsidR="00A8286F" w:rsidRPr="0087752B" w14:paraId="0B01E04E" w14:textId="77777777" w:rsidTr="00791AA9">
        <w:tc>
          <w:tcPr>
            <w:tcW w:w="1384" w:type="dxa"/>
            <w:tcBorders>
              <w:top w:val="nil"/>
              <w:left w:val="nil"/>
              <w:bottom w:val="nil"/>
              <w:right w:val="nil"/>
            </w:tcBorders>
            <w:shd w:val="clear" w:color="auto" w:fill="7F7F7F" w:themeFill="text1" w:themeFillTint="80"/>
            <w:vAlign w:val="center"/>
          </w:tcPr>
          <w:p w14:paraId="7B729C85" w14:textId="77777777" w:rsidR="006016B9" w:rsidRPr="0087752B" w:rsidRDefault="006016B9" w:rsidP="008D2BAC">
            <w:pPr>
              <w:pStyle w:val="DETTablecolumnheading"/>
              <w:jc w:val="left"/>
            </w:pPr>
          </w:p>
        </w:tc>
        <w:tc>
          <w:tcPr>
            <w:tcW w:w="1985" w:type="dxa"/>
            <w:gridSpan w:val="2"/>
            <w:tcBorders>
              <w:top w:val="nil"/>
              <w:left w:val="nil"/>
              <w:bottom w:val="nil"/>
              <w:right w:val="nil"/>
            </w:tcBorders>
            <w:shd w:val="clear" w:color="auto" w:fill="7F7F7F" w:themeFill="text1" w:themeFillTint="80"/>
            <w:vAlign w:val="center"/>
          </w:tcPr>
          <w:p w14:paraId="76EB9D96" w14:textId="77777777" w:rsidR="006016B9" w:rsidRPr="00791AA9" w:rsidRDefault="006016B9" w:rsidP="008D2BAC">
            <w:pPr>
              <w:pStyle w:val="DETTablecolumnheading"/>
              <w:jc w:val="left"/>
              <w:rPr>
                <w:sz w:val="15"/>
                <w:szCs w:val="15"/>
              </w:rPr>
            </w:pPr>
            <w:r w:rsidRPr="00791AA9">
              <w:rPr>
                <w:sz w:val="15"/>
                <w:szCs w:val="15"/>
              </w:rPr>
              <w:t>Ongoing</w:t>
            </w:r>
          </w:p>
        </w:tc>
        <w:tc>
          <w:tcPr>
            <w:tcW w:w="1134" w:type="dxa"/>
            <w:tcBorders>
              <w:top w:val="nil"/>
              <w:left w:val="nil"/>
              <w:bottom w:val="nil"/>
              <w:right w:val="nil"/>
            </w:tcBorders>
            <w:shd w:val="clear" w:color="auto" w:fill="7F7F7F" w:themeFill="text1" w:themeFillTint="80"/>
            <w:vAlign w:val="center"/>
          </w:tcPr>
          <w:p w14:paraId="48098CB0" w14:textId="77777777" w:rsidR="006016B9" w:rsidRPr="00791AA9" w:rsidRDefault="006016B9" w:rsidP="008D2BAC">
            <w:pPr>
              <w:pStyle w:val="DETTablecolumnheading"/>
              <w:jc w:val="left"/>
              <w:rPr>
                <w:sz w:val="15"/>
                <w:szCs w:val="15"/>
              </w:rPr>
            </w:pPr>
            <w:r w:rsidRPr="00791AA9">
              <w:rPr>
                <w:sz w:val="15"/>
                <w:szCs w:val="15"/>
              </w:rPr>
              <w:t>Fixed term and casual employees</w:t>
            </w:r>
            <w:r w:rsidRPr="00791AA9">
              <w:rPr>
                <w:rStyle w:val="FootnoteReference"/>
                <w:sz w:val="15"/>
                <w:szCs w:val="15"/>
              </w:rPr>
              <w:t>2</w:t>
            </w:r>
          </w:p>
        </w:tc>
        <w:tc>
          <w:tcPr>
            <w:tcW w:w="1984" w:type="dxa"/>
            <w:gridSpan w:val="2"/>
            <w:tcBorders>
              <w:top w:val="nil"/>
              <w:left w:val="nil"/>
              <w:bottom w:val="nil"/>
              <w:right w:val="nil"/>
            </w:tcBorders>
            <w:shd w:val="clear" w:color="auto" w:fill="7F7F7F" w:themeFill="text1" w:themeFillTint="80"/>
            <w:vAlign w:val="center"/>
          </w:tcPr>
          <w:p w14:paraId="316705E5" w14:textId="77777777" w:rsidR="006016B9" w:rsidRPr="00791AA9" w:rsidRDefault="006016B9" w:rsidP="008D2BAC">
            <w:pPr>
              <w:pStyle w:val="DETTablecolumnheading"/>
              <w:jc w:val="left"/>
              <w:rPr>
                <w:sz w:val="15"/>
                <w:szCs w:val="15"/>
              </w:rPr>
            </w:pPr>
            <w:r w:rsidRPr="00791AA9">
              <w:rPr>
                <w:sz w:val="15"/>
                <w:szCs w:val="15"/>
              </w:rPr>
              <w:t>Ongoing</w:t>
            </w:r>
          </w:p>
        </w:tc>
        <w:tc>
          <w:tcPr>
            <w:tcW w:w="1099" w:type="dxa"/>
            <w:tcBorders>
              <w:top w:val="nil"/>
              <w:left w:val="nil"/>
              <w:bottom w:val="nil"/>
              <w:right w:val="nil"/>
            </w:tcBorders>
            <w:shd w:val="clear" w:color="auto" w:fill="7F7F7F" w:themeFill="text1" w:themeFillTint="80"/>
            <w:vAlign w:val="center"/>
          </w:tcPr>
          <w:p w14:paraId="5859E061" w14:textId="77777777" w:rsidR="006016B9" w:rsidRPr="00791AA9" w:rsidRDefault="006016B9" w:rsidP="008D2BAC">
            <w:pPr>
              <w:pStyle w:val="DETTablecolumnheading"/>
              <w:jc w:val="left"/>
              <w:rPr>
                <w:sz w:val="15"/>
                <w:szCs w:val="15"/>
              </w:rPr>
            </w:pPr>
            <w:r w:rsidRPr="00791AA9">
              <w:rPr>
                <w:sz w:val="15"/>
                <w:szCs w:val="15"/>
              </w:rPr>
              <w:t>Fixed term and casual employees</w:t>
            </w:r>
            <w:r w:rsidRPr="00791AA9">
              <w:rPr>
                <w:rStyle w:val="FootnoteReference"/>
                <w:sz w:val="15"/>
                <w:szCs w:val="15"/>
              </w:rPr>
              <w:t>2</w:t>
            </w:r>
          </w:p>
        </w:tc>
      </w:tr>
      <w:tr w:rsidR="00A8286F" w:rsidRPr="0087752B" w14:paraId="3239694E" w14:textId="77777777" w:rsidTr="00791AA9">
        <w:tc>
          <w:tcPr>
            <w:tcW w:w="1384" w:type="dxa"/>
            <w:tcBorders>
              <w:top w:val="nil"/>
              <w:left w:val="nil"/>
              <w:bottom w:val="nil"/>
              <w:right w:val="nil"/>
            </w:tcBorders>
            <w:shd w:val="clear" w:color="auto" w:fill="7F7F7F" w:themeFill="text1" w:themeFillTint="80"/>
            <w:vAlign w:val="center"/>
          </w:tcPr>
          <w:p w14:paraId="6206B580" w14:textId="77777777" w:rsidR="006016B9" w:rsidRPr="0087752B" w:rsidRDefault="006016B9" w:rsidP="008D2BAC">
            <w:pPr>
              <w:pStyle w:val="DETTablecolumnheading"/>
              <w:jc w:val="left"/>
            </w:pPr>
          </w:p>
        </w:tc>
        <w:tc>
          <w:tcPr>
            <w:tcW w:w="1134" w:type="dxa"/>
            <w:tcBorders>
              <w:top w:val="nil"/>
              <w:left w:val="nil"/>
              <w:bottom w:val="nil"/>
              <w:right w:val="nil"/>
            </w:tcBorders>
            <w:shd w:val="clear" w:color="auto" w:fill="7F7F7F" w:themeFill="text1" w:themeFillTint="80"/>
            <w:vAlign w:val="center"/>
          </w:tcPr>
          <w:p w14:paraId="366DCCF0" w14:textId="77777777" w:rsidR="006016B9" w:rsidRPr="00791AA9" w:rsidRDefault="006016B9" w:rsidP="008D2BAC">
            <w:pPr>
              <w:pStyle w:val="DETTablecolumnheading"/>
              <w:jc w:val="left"/>
              <w:rPr>
                <w:sz w:val="15"/>
                <w:szCs w:val="15"/>
              </w:rPr>
            </w:pPr>
            <w:r w:rsidRPr="00791AA9">
              <w:rPr>
                <w:sz w:val="15"/>
                <w:szCs w:val="15"/>
              </w:rPr>
              <w:t>Employees (headcount</w:t>
            </w:r>
            <w:r w:rsidRPr="00791AA9">
              <w:rPr>
                <w:rStyle w:val="FootnoteReference"/>
                <w:sz w:val="15"/>
                <w:szCs w:val="15"/>
              </w:rPr>
              <w:t>1</w:t>
            </w:r>
            <w:r w:rsidRPr="00791AA9">
              <w:rPr>
                <w:sz w:val="15"/>
                <w:szCs w:val="15"/>
              </w:rPr>
              <w:t>)</w:t>
            </w:r>
          </w:p>
        </w:tc>
        <w:tc>
          <w:tcPr>
            <w:tcW w:w="851" w:type="dxa"/>
            <w:tcBorders>
              <w:top w:val="nil"/>
              <w:left w:val="nil"/>
              <w:bottom w:val="nil"/>
              <w:right w:val="nil"/>
            </w:tcBorders>
            <w:shd w:val="clear" w:color="auto" w:fill="7F7F7F" w:themeFill="text1" w:themeFillTint="80"/>
            <w:vAlign w:val="center"/>
          </w:tcPr>
          <w:p w14:paraId="2D5BDA12" w14:textId="77777777" w:rsidR="006016B9" w:rsidRPr="00791AA9" w:rsidRDefault="006016B9" w:rsidP="008D2BAC">
            <w:pPr>
              <w:pStyle w:val="DETTablecolumnheading"/>
              <w:jc w:val="left"/>
              <w:rPr>
                <w:sz w:val="15"/>
                <w:szCs w:val="15"/>
              </w:rPr>
            </w:pPr>
            <w:r w:rsidRPr="00791AA9">
              <w:rPr>
                <w:sz w:val="15"/>
                <w:szCs w:val="15"/>
              </w:rPr>
              <w:t>FTE</w:t>
            </w:r>
          </w:p>
        </w:tc>
        <w:tc>
          <w:tcPr>
            <w:tcW w:w="1134" w:type="dxa"/>
            <w:tcBorders>
              <w:top w:val="nil"/>
              <w:left w:val="nil"/>
              <w:bottom w:val="nil"/>
              <w:right w:val="nil"/>
            </w:tcBorders>
            <w:shd w:val="clear" w:color="auto" w:fill="7F7F7F" w:themeFill="text1" w:themeFillTint="80"/>
            <w:vAlign w:val="center"/>
          </w:tcPr>
          <w:p w14:paraId="37C9B7EF" w14:textId="77777777" w:rsidR="006016B9" w:rsidRPr="00791AA9" w:rsidRDefault="006016B9" w:rsidP="008D2BAC">
            <w:pPr>
              <w:pStyle w:val="DETTablecolumnheading"/>
              <w:jc w:val="left"/>
              <w:rPr>
                <w:sz w:val="15"/>
                <w:szCs w:val="15"/>
              </w:rPr>
            </w:pPr>
            <w:r w:rsidRPr="00791AA9">
              <w:rPr>
                <w:sz w:val="15"/>
                <w:szCs w:val="15"/>
              </w:rPr>
              <w:t>FTE</w:t>
            </w:r>
          </w:p>
        </w:tc>
        <w:tc>
          <w:tcPr>
            <w:tcW w:w="1134" w:type="dxa"/>
            <w:tcBorders>
              <w:top w:val="nil"/>
              <w:left w:val="nil"/>
              <w:bottom w:val="nil"/>
              <w:right w:val="nil"/>
            </w:tcBorders>
            <w:shd w:val="clear" w:color="auto" w:fill="7F7F7F" w:themeFill="text1" w:themeFillTint="80"/>
            <w:vAlign w:val="center"/>
          </w:tcPr>
          <w:p w14:paraId="50A22C08" w14:textId="77777777" w:rsidR="006016B9" w:rsidRPr="00791AA9" w:rsidRDefault="006016B9" w:rsidP="008D2BAC">
            <w:pPr>
              <w:pStyle w:val="DETTablecolumnheading"/>
              <w:jc w:val="left"/>
              <w:rPr>
                <w:sz w:val="15"/>
                <w:szCs w:val="15"/>
              </w:rPr>
            </w:pPr>
            <w:r w:rsidRPr="00791AA9">
              <w:rPr>
                <w:sz w:val="15"/>
                <w:szCs w:val="15"/>
              </w:rPr>
              <w:t>Employees (headcount</w:t>
            </w:r>
            <w:r w:rsidRPr="00791AA9">
              <w:rPr>
                <w:rStyle w:val="FootnoteReference"/>
                <w:sz w:val="15"/>
                <w:szCs w:val="15"/>
              </w:rPr>
              <w:t>1</w:t>
            </w:r>
            <w:r w:rsidRPr="00791AA9">
              <w:rPr>
                <w:sz w:val="15"/>
                <w:szCs w:val="15"/>
              </w:rPr>
              <w:t>)</w:t>
            </w:r>
          </w:p>
        </w:tc>
        <w:tc>
          <w:tcPr>
            <w:tcW w:w="850" w:type="dxa"/>
            <w:tcBorders>
              <w:top w:val="nil"/>
              <w:left w:val="nil"/>
              <w:bottom w:val="nil"/>
              <w:right w:val="nil"/>
            </w:tcBorders>
            <w:shd w:val="clear" w:color="auto" w:fill="7F7F7F" w:themeFill="text1" w:themeFillTint="80"/>
            <w:vAlign w:val="center"/>
          </w:tcPr>
          <w:p w14:paraId="7880116F" w14:textId="77777777" w:rsidR="006016B9" w:rsidRPr="00791AA9" w:rsidRDefault="006016B9" w:rsidP="008D2BAC">
            <w:pPr>
              <w:pStyle w:val="DETTablecolumnheading"/>
              <w:jc w:val="left"/>
              <w:rPr>
                <w:sz w:val="15"/>
                <w:szCs w:val="15"/>
              </w:rPr>
            </w:pPr>
            <w:r w:rsidRPr="00791AA9">
              <w:rPr>
                <w:sz w:val="15"/>
                <w:szCs w:val="15"/>
              </w:rPr>
              <w:t>FTE</w:t>
            </w:r>
          </w:p>
        </w:tc>
        <w:tc>
          <w:tcPr>
            <w:tcW w:w="1099" w:type="dxa"/>
            <w:tcBorders>
              <w:top w:val="nil"/>
              <w:left w:val="nil"/>
              <w:bottom w:val="nil"/>
              <w:right w:val="nil"/>
            </w:tcBorders>
            <w:shd w:val="clear" w:color="auto" w:fill="7F7F7F" w:themeFill="text1" w:themeFillTint="80"/>
            <w:vAlign w:val="center"/>
          </w:tcPr>
          <w:p w14:paraId="6429CA0E" w14:textId="77777777" w:rsidR="006016B9" w:rsidRPr="00791AA9" w:rsidRDefault="006016B9" w:rsidP="008D2BAC">
            <w:pPr>
              <w:pStyle w:val="DETTablecolumnheading"/>
              <w:jc w:val="left"/>
              <w:rPr>
                <w:sz w:val="15"/>
                <w:szCs w:val="15"/>
              </w:rPr>
            </w:pPr>
            <w:r w:rsidRPr="00791AA9">
              <w:rPr>
                <w:sz w:val="15"/>
                <w:szCs w:val="15"/>
              </w:rPr>
              <w:t>FTE</w:t>
            </w:r>
          </w:p>
        </w:tc>
      </w:tr>
      <w:tr w:rsidR="00A8286F" w:rsidRPr="0087752B" w14:paraId="7FDA4E7B" w14:textId="77777777" w:rsidTr="00791AA9">
        <w:tc>
          <w:tcPr>
            <w:tcW w:w="1384" w:type="dxa"/>
            <w:tcBorders>
              <w:top w:val="nil"/>
              <w:left w:val="nil"/>
              <w:bottom w:val="nil"/>
              <w:right w:val="nil"/>
            </w:tcBorders>
            <w:vAlign w:val="bottom"/>
          </w:tcPr>
          <w:p w14:paraId="5F89B697" w14:textId="77777777" w:rsidR="006016B9" w:rsidRPr="0087752B" w:rsidRDefault="006016B9" w:rsidP="008D2BAC">
            <w:pPr>
              <w:pStyle w:val="DETTableTextFinancial"/>
              <w:rPr>
                <w:b/>
              </w:rPr>
            </w:pPr>
            <w:r w:rsidRPr="0087752B">
              <w:rPr>
                <w:b/>
              </w:rPr>
              <w:t>Gender</w:t>
            </w:r>
          </w:p>
        </w:tc>
        <w:tc>
          <w:tcPr>
            <w:tcW w:w="1134" w:type="dxa"/>
            <w:tcBorders>
              <w:top w:val="nil"/>
              <w:left w:val="nil"/>
              <w:bottom w:val="nil"/>
              <w:right w:val="nil"/>
            </w:tcBorders>
            <w:vAlign w:val="bottom"/>
          </w:tcPr>
          <w:p w14:paraId="412EB637" w14:textId="77777777" w:rsidR="006016B9" w:rsidRPr="0087752B" w:rsidRDefault="006016B9" w:rsidP="008D2BAC">
            <w:pPr>
              <w:pStyle w:val="DETTableTextFinancial"/>
            </w:pPr>
            <w:r w:rsidRPr="0087752B">
              <w:t> </w:t>
            </w:r>
          </w:p>
        </w:tc>
        <w:tc>
          <w:tcPr>
            <w:tcW w:w="851" w:type="dxa"/>
            <w:tcBorders>
              <w:top w:val="nil"/>
              <w:left w:val="nil"/>
              <w:bottom w:val="nil"/>
              <w:right w:val="nil"/>
            </w:tcBorders>
            <w:vAlign w:val="bottom"/>
          </w:tcPr>
          <w:p w14:paraId="38114362" w14:textId="77777777" w:rsidR="006016B9" w:rsidRPr="0087752B" w:rsidRDefault="006016B9" w:rsidP="008D2BAC">
            <w:pPr>
              <w:pStyle w:val="DETTableTextFinancial"/>
            </w:pPr>
            <w:r w:rsidRPr="0087752B">
              <w:t> </w:t>
            </w:r>
          </w:p>
        </w:tc>
        <w:tc>
          <w:tcPr>
            <w:tcW w:w="1134" w:type="dxa"/>
            <w:tcBorders>
              <w:top w:val="nil"/>
              <w:left w:val="nil"/>
              <w:bottom w:val="nil"/>
              <w:right w:val="nil"/>
            </w:tcBorders>
            <w:vAlign w:val="bottom"/>
          </w:tcPr>
          <w:p w14:paraId="0952D38E" w14:textId="77777777" w:rsidR="006016B9" w:rsidRPr="0087752B" w:rsidRDefault="006016B9" w:rsidP="008D2BAC">
            <w:pPr>
              <w:pStyle w:val="DETTableTextFinancial"/>
            </w:pPr>
            <w:r w:rsidRPr="0087752B">
              <w:t> </w:t>
            </w:r>
          </w:p>
        </w:tc>
        <w:tc>
          <w:tcPr>
            <w:tcW w:w="1134" w:type="dxa"/>
            <w:tcBorders>
              <w:top w:val="nil"/>
              <w:left w:val="nil"/>
              <w:bottom w:val="nil"/>
              <w:right w:val="nil"/>
            </w:tcBorders>
            <w:shd w:val="clear" w:color="auto" w:fill="F8F8F8"/>
            <w:vAlign w:val="bottom"/>
          </w:tcPr>
          <w:p w14:paraId="498AB6F7" w14:textId="77777777" w:rsidR="006016B9" w:rsidRPr="0087752B" w:rsidRDefault="006016B9" w:rsidP="008D2BAC">
            <w:pPr>
              <w:pStyle w:val="DETTableTextFinancial"/>
            </w:pPr>
            <w:r w:rsidRPr="0087752B">
              <w:t> </w:t>
            </w:r>
          </w:p>
        </w:tc>
        <w:tc>
          <w:tcPr>
            <w:tcW w:w="850" w:type="dxa"/>
            <w:tcBorders>
              <w:top w:val="nil"/>
              <w:left w:val="nil"/>
              <w:bottom w:val="nil"/>
              <w:right w:val="nil"/>
            </w:tcBorders>
            <w:shd w:val="clear" w:color="auto" w:fill="F8F8F8"/>
            <w:vAlign w:val="bottom"/>
          </w:tcPr>
          <w:p w14:paraId="699A0D66" w14:textId="77777777" w:rsidR="006016B9" w:rsidRPr="0087752B" w:rsidRDefault="006016B9" w:rsidP="008D2BAC">
            <w:pPr>
              <w:pStyle w:val="DETTableTextFinancial"/>
            </w:pPr>
            <w:r w:rsidRPr="0087752B">
              <w:t> </w:t>
            </w:r>
          </w:p>
        </w:tc>
        <w:tc>
          <w:tcPr>
            <w:tcW w:w="1099" w:type="dxa"/>
            <w:tcBorders>
              <w:top w:val="nil"/>
              <w:left w:val="nil"/>
              <w:bottom w:val="nil"/>
              <w:right w:val="nil"/>
            </w:tcBorders>
            <w:shd w:val="clear" w:color="auto" w:fill="F8F8F8"/>
            <w:vAlign w:val="bottom"/>
          </w:tcPr>
          <w:p w14:paraId="560102EE" w14:textId="77777777" w:rsidR="006016B9" w:rsidRPr="0087752B" w:rsidRDefault="006016B9" w:rsidP="008D2BAC">
            <w:pPr>
              <w:pStyle w:val="DETTableTextFinancial"/>
            </w:pPr>
            <w:r w:rsidRPr="0087752B">
              <w:t> </w:t>
            </w:r>
          </w:p>
        </w:tc>
      </w:tr>
      <w:tr w:rsidR="00A8286F" w:rsidRPr="0087752B" w14:paraId="31DCDC29" w14:textId="77777777" w:rsidTr="00791AA9">
        <w:tc>
          <w:tcPr>
            <w:tcW w:w="1384" w:type="dxa"/>
            <w:tcBorders>
              <w:top w:val="nil"/>
              <w:left w:val="nil"/>
              <w:bottom w:val="nil"/>
              <w:right w:val="nil"/>
            </w:tcBorders>
            <w:vAlign w:val="bottom"/>
          </w:tcPr>
          <w:p w14:paraId="7501C5B5" w14:textId="77777777" w:rsidR="006016B9" w:rsidRPr="0087752B" w:rsidRDefault="006016B9" w:rsidP="008D2BAC">
            <w:pPr>
              <w:pStyle w:val="DETTableTextFinancial"/>
            </w:pPr>
            <w:r w:rsidRPr="0087752B">
              <w:t>Male</w:t>
            </w:r>
          </w:p>
        </w:tc>
        <w:tc>
          <w:tcPr>
            <w:tcW w:w="1134" w:type="dxa"/>
            <w:tcBorders>
              <w:top w:val="nil"/>
              <w:left w:val="nil"/>
              <w:bottom w:val="nil"/>
              <w:right w:val="nil"/>
            </w:tcBorders>
            <w:vAlign w:val="bottom"/>
          </w:tcPr>
          <w:p w14:paraId="600AA8DD" w14:textId="77777777" w:rsidR="006016B9" w:rsidRPr="0087752B" w:rsidRDefault="006016B9" w:rsidP="008D2BAC">
            <w:pPr>
              <w:pStyle w:val="DETTableTextFinancial"/>
              <w:jc w:val="right"/>
            </w:pPr>
            <w:r w:rsidRPr="0087752B">
              <w:t>595</w:t>
            </w:r>
          </w:p>
        </w:tc>
        <w:tc>
          <w:tcPr>
            <w:tcW w:w="851" w:type="dxa"/>
            <w:tcBorders>
              <w:top w:val="nil"/>
              <w:left w:val="nil"/>
              <w:bottom w:val="nil"/>
              <w:right w:val="nil"/>
            </w:tcBorders>
            <w:vAlign w:val="bottom"/>
          </w:tcPr>
          <w:p w14:paraId="13FD06B9" w14:textId="77777777" w:rsidR="006016B9" w:rsidRPr="0087752B" w:rsidRDefault="006016B9" w:rsidP="008D2BAC">
            <w:pPr>
              <w:pStyle w:val="DETTableTextFinancial"/>
              <w:jc w:val="right"/>
            </w:pPr>
            <w:r w:rsidRPr="0087752B">
              <w:t>581.4</w:t>
            </w:r>
          </w:p>
        </w:tc>
        <w:tc>
          <w:tcPr>
            <w:tcW w:w="1134" w:type="dxa"/>
            <w:tcBorders>
              <w:top w:val="nil"/>
              <w:left w:val="nil"/>
              <w:bottom w:val="nil"/>
              <w:right w:val="nil"/>
            </w:tcBorders>
            <w:vAlign w:val="bottom"/>
          </w:tcPr>
          <w:p w14:paraId="6CF791EA" w14:textId="77777777" w:rsidR="006016B9" w:rsidRPr="0087752B" w:rsidRDefault="006016B9" w:rsidP="008D2BAC">
            <w:pPr>
              <w:pStyle w:val="DETTableTextFinancial"/>
              <w:jc w:val="right"/>
            </w:pPr>
            <w:r w:rsidRPr="0087752B">
              <w:t>36.3</w:t>
            </w:r>
          </w:p>
        </w:tc>
        <w:tc>
          <w:tcPr>
            <w:tcW w:w="1134" w:type="dxa"/>
            <w:tcBorders>
              <w:top w:val="nil"/>
              <w:left w:val="nil"/>
              <w:bottom w:val="nil"/>
              <w:right w:val="nil"/>
            </w:tcBorders>
            <w:shd w:val="clear" w:color="auto" w:fill="F8F8F8"/>
            <w:vAlign w:val="bottom"/>
          </w:tcPr>
          <w:p w14:paraId="70A5AC60" w14:textId="77777777" w:rsidR="006016B9" w:rsidRPr="0087752B" w:rsidRDefault="006016B9" w:rsidP="008D2BAC">
            <w:pPr>
              <w:pStyle w:val="DETTableTextFinancial"/>
              <w:jc w:val="right"/>
            </w:pPr>
            <w:r w:rsidRPr="0087752B">
              <w:t>597</w:t>
            </w:r>
          </w:p>
        </w:tc>
        <w:tc>
          <w:tcPr>
            <w:tcW w:w="850" w:type="dxa"/>
            <w:tcBorders>
              <w:top w:val="nil"/>
              <w:left w:val="nil"/>
              <w:bottom w:val="nil"/>
              <w:right w:val="nil"/>
            </w:tcBorders>
            <w:shd w:val="clear" w:color="auto" w:fill="F8F8F8"/>
            <w:vAlign w:val="bottom"/>
          </w:tcPr>
          <w:p w14:paraId="1ED2CE25" w14:textId="77777777" w:rsidR="006016B9" w:rsidRPr="0087752B" w:rsidRDefault="006016B9" w:rsidP="008D2BAC">
            <w:pPr>
              <w:pStyle w:val="DETTableTextFinancial"/>
              <w:jc w:val="right"/>
            </w:pPr>
            <w:r w:rsidRPr="0087752B">
              <w:t>582.9</w:t>
            </w:r>
          </w:p>
        </w:tc>
        <w:tc>
          <w:tcPr>
            <w:tcW w:w="1099" w:type="dxa"/>
            <w:tcBorders>
              <w:top w:val="nil"/>
              <w:left w:val="nil"/>
              <w:bottom w:val="nil"/>
              <w:right w:val="nil"/>
            </w:tcBorders>
            <w:shd w:val="clear" w:color="auto" w:fill="F8F8F8"/>
            <w:vAlign w:val="bottom"/>
          </w:tcPr>
          <w:p w14:paraId="183B313E" w14:textId="77777777" w:rsidR="006016B9" w:rsidRPr="0087752B" w:rsidRDefault="006016B9" w:rsidP="008D2BAC">
            <w:pPr>
              <w:pStyle w:val="DETTableTextFinancial"/>
              <w:jc w:val="right"/>
            </w:pPr>
            <w:r w:rsidRPr="0087752B">
              <w:t>66.7</w:t>
            </w:r>
          </w:p>
        </w:tc>
      </w:tr>
      <w:tr w:rsidR="00A8286F" w:rsidRPr="0087752B" w14:paraId="1225A0FA" w14:textId="77777777" w:rsidTr="00791AA9">
        <w:tc>
          <w:tcPr>
            <w:tcW w:w="1384" w:type="dxa"/>
            <w:tcBorders>
              <w:top w:val="nil"/>
              <w:left w:val="nil"/>
              <w:bottom w:val="single" w:sz="4" w:space="0" w:color="auto"/>
              <w:right w:val="nil"/>
            </w:tcBorders>
            <w:vAlign w:val="bottom"/>
          </w:tcPr>
          <w:p w14:paraId="00F6D30F" w14:textId="77777777" w:rsidR="006016B9" w:rsidRPr="0087752B" w:rsidRDefault="006016B9" w:rsidP="008D2BAC">
            <w:pPr>
              <w:pStyle w:val="DETTableTextFinancial"/>
            </w:pPr>
            <w:r w:rsidRPr="0087752B">
              <w:t>Female</w:t>
            </w:r>
          </w:p>
        </w:tc>
        <w:tc>
          <w:tcPr>
            <w:tcW w:w="1134" w:type="dxa"/>
            <w:tcBorders>
              <w:top w:val="nil"/>
              <w:left w:val="nil"/>
              <w:bottom w:val="single" w:sz="4" w:space="0" w:color="auto"/>
              <w:right w:val="nil"/>
            </w:tcBorders>
            <w:vAlign w:val="bottom"/>
          </w:tcPr>
          <w:p w14:paraId="180BA8D7" w14:textId="402176E3" w:rsidR="006016B9" w:rsidRPr="0087752B" w:rsidRDefault="006016B9" w:rsidP="008D2BAC">
            <w:pPr>
              <w:pStyle w:val="DETTableTextFinancial"/>
              <w:jc w:val="right"/>
            </w:pPr>
            <w:r w:rsidRPr="0087752B">
              <w:t>1</w:t>
            </w:r>
            <w:r w:rsidR="00A8286F">
              <w:t>,</w:t>
            </w:r>
            <w:r w:rsidRPr="0087752B">
              <w:t>837</w:t>
            </w:r>
          </w:p>
        </w:tc>
        <w:tc>
          <w:tcPr>
            <w:tcW w:w="851" w:type="dxa"/>
            <w:tcBorders>
              <w:top w:val="nil"/>
              <w:left w:val="nil"/>
              <w:bottom w:val="single" w:sz="4" w:space="0" w:color="auto"/>
              <w:right w:val="nil"/>
            </w:tcBorders>
            <w:vAlign w:val="bottom"/>
          </w:tcPr>
          <w:p w14:paraId="1258F10A" w14:textId="56BE03AA" w:rsidR="006016B9" w:rsidRPr="0087752B" w:rsidRDefault="006016B9" w:rsidP="008D2BAC">
            <w:pPr>
              <w:pStyle w:val="DETTableTextFinancial"/>
              <w:jc w:val="right"/>
            </w:pPr>
            <w:r w:rsidRPr="0087752B">
              <w:t>1</w:t>
            </w:r>
            <w:r w:rsidR="00A8286F">
              <w:t>,</w:t>
            </w:r>
            <w:r w:rsidRPr="0087752B">
              <w:t>587.5</w:t>
            </w:r>
          </w:p>
        </w:tc>
        <w:tc>
          <w:tcPr>
            <w:tcW w:w="1134" w:type="dxa"/>
            <w:tcBorders>
              <w:top w:val="nil"/>
              <w:left w:val="nil"/>
              <w:bottom w:val="single" w:sz="4" w:space="0" w:color="auto"/>
              <w:right w:val="nil"/>
            </w:tcBorders>
            <w:vAlign w:val="bottom"/>
          </w:tcPr>
          <w:p w14:paraId="7923BCB2" w14:textId="77777777" w:rsidR="006016B9" w:rsidRPr="0087752B" w:rsidRDefault="006016B9" w:rsidP="008D2BAC">
            <w:pPr>
              <w:pStyle w:val="DETTableTextFinancial"/>
              <w:jc w:val="right"/>
            </w:pPr>
            <w:r w:rsidRPr="0087752B">
              <w:t>127.0</w:t>
            </w:r>
          </w:p>
        </w:tc>
        <w:tc>
          <w:tcPr>
            <w:tcW w:w="1134" w:type="dxa"/>
            <w:tcBorders>
              <w:top w:val="nil"/>
              <w:left w:val="nil"/>
              <w:bottom w:val="single" w:sz="4" w:space="0" w:color="auto"/>
              <w:right w:val="nil"/>
            </w:tcBorders>
            <w:shd w:val="clear" w:color="auto" w:fill="F8F8F8"/>
            <w:vAlign w:val="bottom"/>
          </w:tcPr>
          <w:p w14:paraId="6B0AF9BA" w14:textId="755E0FFF" w:rsidR="006016B9" w:rsidRPr="0087752B" w:rsidRDefault="006016B9" w:rsidP="008D2BAC">
            <w:pPr>
              <w:pStyle w:val="DETTableTextFinancial"/>
              <w:jc w:val="right"/>
            </w:pPr>
            <w:r w:rsidRPr="0087752B">
              <w:t>1</w:t>
            </w:r>
            <w:r w:rsidR="00A8286F">
              <w:t>,</w:t>
            </w:r>
            <w:r w:rsidRPr="0087752B">
              <w:t>882</w:t>
            </w:r>
          </w:p>
        </w:tc>
        <w:tc>
          <w:tcPr>
            <w:tcW w:w="850" w:type="dxa"/>
            <w:tcBorders>
              <w:top w:val="nil"/>
              <w:left w:val="nil"/>
              <w:bottom w:val="single" w:sz="4" w:space="0" w:color="auto"/>
              <w:right w:val="nil"/>
            </w:tcBorders>
            <w:shd w:val="clear" w:color="auto" w:fill="F8F8F8"/>
            <w:vAlign w:val="bottom"/>
          </w:tcPr>
          <w:p w14:paraId="1F1B3CF3" w14:textId="0851AF85" w:rsidR="006016B9" w:rsidRPr="0087752B" w:rsidRDefault="006016B9" w:rsidP="008D2BAC">
            <w:pPr>
              <w:pStyle w:val="DETTableTextFinancial"/>
              <w:jc w:val="right"/>
            </w:pPr>
            <w:r w:rsidRPr="0087752B">
              <w:t>1</w:t>
            </w:r>
            <w:r w:rsidR="00A8286F">
              <w:t>,</w:t>
            </w:r>
            <w:r w:rsidRPr="0087752B">
              <w:t>626.7</w:t>
            </w:r>
          </w:p>
        </w:tc>
        <w:tc>
          <w:tcPr>
            <w:tcW w:w="1099" w:type="dxa"/>
            <w:tcBorders>
              <w:top w:val="nil"/>
              <w:left w:val="nil"/>
              <w:bottom w:val="single" w:sz="4" w:space="0" w:color="auto"/>
              <w:right w:val="nil"/>
            </w:tcBorders>
            <w:shd w:val="clear" w:color="auto" w:fill="F8F8F8"/>
            <w:vAlign w:val="bottom"/>
          </w:tcPr>
          <w:p w14:paraId="72FDEACD" w14:textId="77777777" w:rsidR="006016B9" w:rsidRPr="0087752B" w:rsidRDefault="006016B9" w:rsidP="008D2BAC">
            <w:pPr>
              <w:pStyle w:val="DETTableTextFinancial"/>
              <w:jc w:val="right"/>
            </w:pPr>
            <w:r w:rsidRPr="0087752B">
              <w:t>197.4</w:t>
            </w:r>
          </w:p>
        </w:tc>
      </w:tr>
      <w:tr w:rsidR="00A8286F" w:rsidRPr="0087752B" w14:paraId="61F43E91" w14:textId="77777777" w:rsidTr="00791AA9">
        <w:tc>
          <w:tcPr>
            <w:tcW w:w="1384" w:type="dxa"/>
            <w:tcBorders>
              <w:top w:val="single" w:sz="4" w:space="0" w:color="auto"/>
              <w:left w:val="nil"/>
              <w:bottom w:val="single" w:sz="4" w:space="0" w:color="auto"/>
              <w:right w:val="nil"/>
            </w:tcBorders>
            <w:vAlign w:val="bottom"/>
          </w:tcPr>
          <w:p w14:paraId="489D5CE1" w14:textId="77777777" w:rsidR="006016B9" w:rsidRPr="0087752B" w:rsidRDefault="006016B9" w:rsidP="008D2BAC">
            <w:pPr>
              <w:pStyle w:val="DETTableTextFinancial"/>
              <w:rPr>
                <w:b/>
              </w:rPr>
            </w:pPr>
            <w:r w:rsidRPr="0087752B">
              <w:rPr>
                <w:b/>
              </w:rPr>
              <w:t>Total</w:t>
            </w:r>
          </w:p>
        </w:tc>
        <w:tc>
          <w:tcPr>
            <w:tcW w:w="1134" w:type="dxa"/>
            <w:tcBorders>
              <w:top w:val="single" w:sz="4" w:space="0" w:color="auto"/>
              <w:left w:val="nil"/>
              <w:bottom w:val="single" w:sz="4" w:space="0" w:color="auto"/>
              <w:right w:val="nil"/>
            </w:tcBorders>
            <w:vAlign w:val="bottom"/>
          </w:tcPr>
          <w:p w14:paraId="5800F735" w14:textId="2054A1AB" w:rsidR="006016B9" w:rsidRPr="0087752B" w:rsidRDefault="006016B9" w:rsidP="008D2BAC">
            <w:pPr>
              <w:pStyle w:val="DETTableTextFinancial"/>
              <w:jc w:val="right"/>
              <w:rPr>
                <w:b/>
              </w:rPr>
            </w:pPr>
            <w:r w:rsidRPr="0087752B">
              <w:rPr>
                <w:b/>
              </w:rPr>
              <w:t>2</w:t>
            </w:r>
            <w:r w:rsidR="00A8286F">
              <w:rPr>
                <w:b/>
              </w:rPr>
              <w:t>,</w:t>
            </w:r>
            <w:r w:rsidRPr="0087752B">
              <w:rPr>
                <w:b/>
              </w:rPr>
              <w:t>432</w:t>
            </w:r>
          </w:p>
        </w:tc>
        <w:tc>
          <w:tcPr>
            <w:tcW w:w="851" w:type="dxa"/>
            <w:tcBorders>
              <w:top w:val="single" w:sz="4" w:space="0" w:color="auto"/>
              <w:left w:val="nil"/>
              <w:bottom w:val="single" w:sz="4" w:space="0" w:color="auto"/>
              <w:right w:val="nil"/>
            </w:tcBorders>
            <w:vAlign w:val="bottom"/>
          </w:tcPr>
          <w:p w14:paraId="3818936E" w14:textId="56E4DEB5" w:rsidR="006016B9" w:rsidRPr="0087752B" w:rsidRDefault="006016B9" w:rsidP="008D2BAC">
            <w:pPr>
              <w:pStyle w:val="DETTableTextFinancial"/>
              <w:jc w:val="right"/>
              <w:rPr>
                <w:b/>
              </w:rPr>
            </w:pPr>
            <w:r w:rsidRPr="0087752B">
              <w:rPr>
                <w:b/>
              </w:rPr>
              <w:t>2</w:t>
            </w:r>
            <w:r w:rsidR="00A8286F">
              <w:rPr>
                <w:b/>
              </w:rPr>
              <w:t>,</w:t>
            </w:r>
            <w:r w:rsidRPr="0087752B">
              <w:rPr>
                <w:b/>
              </w:rPr>
              <w:t>168.9</w:t>
            </w:r>
          </w:p>
        </w:tc>
        <w:tc>
          <w:tcPr>
            <w:tcW w:w="1134" w:type="dxa"/>
            <w:tcBorders>
              <w:top w:val="single" w:sz="4" w:space="0" w:color="auto"/>
              <w:left w:val="nil"/>
              <w:bottom w:val="single" w:sz="4" w:space="0" w:color="auto"/>
              <w:right w:val="nil"/>
            </w:tcBorders>
            <w:vAlign w:val="bottom"/>
          </w:tcPr>
          <w:p w14:paraId="21DCC15F" w14:textId="77777777" w:rsidR="006016B9" w:rsidRPr="0087752B" w:rsidRDefault="006016B9" w:rsidP="008D2BAC">
            <w:pPr>
              <w:pStyle w:val="DETTableTextFinancial"/>
              <w:jc w:val="right"/>
              <w:rPr>
                <w:b/>
              </w:rPr>
            </w:pPr>
            <w:r w:rsidRPr="0087752B">
              <w:rPr>
                <w:b/>
              </w:rPr>
              <w:t>163.3</w:t>
            </w:r>
          </w:p>
        </w:tc>
        <w:tc>
          <w:tcPr>
            <w:tcW w:w="1134" w:type="dxa"/>
            <w:tcBorders>
              <w:top w:val="single" w:sz="4" w:space="0" w:color="auto"/>
              <w:left w:val="nil"/>
              <w:bottom w:val="single" w:sz="4" w:space="0" w:color="auto"/>
              <w:right w:val="nil"/>
            </w:tcBorders>
            <w:shd w:val="clear" w:color="auto" w:fill="F8F8F8"/>
            <w:vAlign w:val="bottom"/>
          </w:tcPr>
          <w:p w14:paraId="2CF32E42" w14:textId="4A226497" w:rsidR="006016B9" w:rsidRPr="0087752B" w:rsidRDefault="006016B9" w:rsidP="008D2BAC">
            <w:pPr>
              <w:pStyle w:val="DETTableTextFinancial"/>
              <w:jc w:val="right"/>
              <w:rPr>
                <w:b/>
              </w:rPr>
            </w:pPr>
            <w:r w:rsidRPr="0087752B">
              <w:rPr>
                <w:b/>
              </w:rPr>
              <w:t>2</w:t>
            </w:r>
            <w:r w:rsidR="00A8286F">
              <w:rPr>
                <w:b/>
              </w:rPr>
              <w:t>,</w:t>
            </w:r>
            <w:r w:rsidRPr="0087752B">
              <w:rPr>
                <w:b/>
              </w:rPr>
              <w:t>479</w:t>
            </w:r>
          </w:p>
        </w:tc>
        <w:tc>
          <w:tcPr>
            <w:tcW w:w="850" w:type="dxa"/>
            <w:tcBorders>
              <w:top w:val="single" w:sz="4" w:space="0" w:color="auto"/>
              <w:left w:val="nil"/>
              <w:bottom w:val="single" w:sz="4" w:space="0" w:color="auto"/>
              <w:right w:val="nil"/>
            </w:tcBorders>
            <w:shd w:val="clear" w:color="auto" w:fill="F8F8F8"/>
            <w:vAlign w:val="bottom"/>
          </w:tcPr>
          <w:p w14:paraId="08425E2A" w14:textId="7CD081F0" w:rsidR="006016B9" w:rsidRPr="0087752B" w:rsidRDefault="006016B9" w:rsidP="008D2BAC">
            <w:pPr>
              <w:pStyle w:val="DETTableTextFinancial"/>
              <w:jc w:val="right"/>
              <w:rPr>
                <w:b/>
              </w:rPr>
            </w:pPr>
            <w:r w:rsidRPr="0087752B">
              <w:rPr>
                <w:b/>
              </w:rPr>
              <w:t>2</w:t>
            </w:r>
            <w:r w:rsidR="00A8286F">
              <w:rPr>
                <w:b/>
              </w:rPr>
              <w:t>,</w:t>
            </w:r>
            <w:r w:rsidRPr="0087752B">
              <w:rPr>
                <w:b/>
              </w:rPr>
              <w:t>209.6</w:t>
            </w:r>
          </w:p>
        </w:tc>
        <w:tc>
          <w:tcPr>
            <w:tcW w:w="1099" w:type="dxa"/>
            <w:tcBorders>
              <w:top w:val="single" w:sz="4" w:space="0" w:color="auto"/>
              <w:left w:val="nil"/>
              <w:bottom w:val="single" w:sz="4" w:space="0" w:color="auto"/>
              <w:right w:val="nil"/>
            </w:tcBorders>
            <w:shd w:val="clear" w:color="auto" w:fill="F8F8F8"/>
            <w:vAlign w:val="bottom"/>
          </w:tcPr>
          <w:p w14:paraId="75232FF8" w14:textId="77777777" w:rsidR="006016B9" w:rsidRPr="0087752B" w:rsidRDefault="006016B9" w:rsidP="008D2BAC">
            <w:pPr>
              <w:pStyle w:val="DETTableTextFinancial"/>
              <w:jc w:val="right"/>
              <w:rPr>
                <w:b/>
              </w:rPr>
            </w:pPr>
            <w:r w:rsidRPr="0087752B">
              <w:rPr>
                <w:b/>
              </w:rPr>
              <w:t>264.1</w:t>
            </w:r>
          </w:p>
        </w:tc>
      </w:tr>
      <w:tr w:rsidR="00A8286F" w:rsidRPr="0087752B" w14:paraId="4EC13999" w14:textId="77777777" w:rsidTr="00791AA9">
        <w:tc>
          <w:tcPr>
            <w:tcW w:w="1384" w:type="dxa"/>
            <w:tcBorders>
              <w:left w:val="nil"/>
              <w:bottom w:val="nil"/>
              <w:right w:val="nil"/>
            </w:tcBorders>
            <w:vAlign w:val="bottom"/>
          </w:tcPr>
          <w:p w14:paraId="72113C14" w14:textId="77777777" w:rsidR="006016B9" w:rsidRPr="0087752B" w:rsidRDefault="006016B9" w:rsidP="008D2BAC">
            <w:pPr>
              <w:pStyle w:val="DETTableTextFinancial"/>
              <w:rPr>
                <w:b/>
              </w:rPr>
            </w:pPr>
            <w:r w:rsidRPr="0087752B">
              <w:rPr>
                <w:b/>
              </w:rPr>
              <w:t>Age</w:t>
            </w:r>
            <w:r w:rsidRPr="0087752B">
              <w:rPr>
                <w:rStyle w:val="FootnoteReference"/>
                <w:b/>
              </w:rPr>
              <w:t>3</w:t>
            </w:r>
          </w:p>
        </w:tc>
        <w:tc>
          <w:tcPr>
            <w:tcW w:w="1134" w:type="dxa"/>
            <w:tcBorders>
              <w:left w:val="nil"/>
              <w:bottom w:val="nil"/>
              <w:right w:val="nil"/>
            </w:tcBorders>
            <w:vAlign w:val="bottom"/>
          </w:tcPr>
          <w:p w14:paraId="1A3AD1B1" w14:textId="77777777" w:rsidR="006016B9" w:rsidRPr="0087752B" w:rsidRDefault="006016B9" w:rsidP="008D2BAC">
            <w:pPr>
              <w:pStyle w:val="DETTableTextFinancial"/>
              <w:jc w:val="right"/>
            </w:pPr>
            <w:r w:rsidRPr="0087752B">
              <w:t> </w:t>
            </w:r>
          </w:p>
        </w:tc>
        <w:tc>
          <w:tcPr>
            <w:tcW w:w="851" w:type="dxa"/>
            <w:tcBorders>
              <w:left w:val="nil"/>
              <w:bottom w:val="nil"/>
              <w:right w:val="nil"/>
            </w:tcBorders>
            <w:vAlign w:val="bottom"/>
          </w:tcPr>
          <w:p w14:paraId="5D8B21AE" w14:textId="77777777" w:rsidR="006016B9" w:rsidRPr="0087752B" w:rsidRDefault="006016B9" w:rsidP="008D2BAC">
            <w:pPr>
              <w:pStyle w:val="DETTableTextFinancial"/>
              <w:jc w:val="right"/>
            </w:pPr>
            <w:r w:rsidRPr="0087752B">
              <w:t> </w:t>
            </w:r>
          </w:p>
        </w:tc>
        <w:tc>
          <w:tcPr>
            <w:tcW w:w="1134" w:type="dxa"/>
            <w:tcBorders>
              <w:left w:val="nil"/>
              <w:bottom w:val="nil"/>
              <w:right w:val="nil"/>
            </w:tcBorders>
            <w:vAlign w:val="bottom"/>
          </w:tcPr>
          <w:p w14:paraId="3D97FAC2" w14:textId="77777777" w:rsidR="006016B9" w:rsidRPr="0087752B" w:rsidRDefault="006016B9" w:rsidP="008D2BAC">
            <w:pPr>
              <w:pStyle w:val="DETTableTextFinancial"/>
              <w:jc w:val="right"/>
            </w:pPr>
            <w:r w:rsidRPr="0087752B">
              <w:t> </w:t>
            </w:r>
          </w:p>
        </w:tc>
        <w:tc>
          <w:tcPr>
            <w:tcW w:w="1134" w:type="dxa"/>
            <w:tcBorders>
              <w:left w:val="nil"/>
              <w:bottom w:val="nil"/>
              <w:right w:val="nil"/>
            </w:tcBorders>
            <w:shd w:val="clear" w:color="auto" w:fill="F8F8F8"/>
            <w:vAlign w:val="bottom"/>
          </w:tcPr>
          <w:p w14:paraId="0A7BC98F" w14:textId="77777777" w:rsidR="006016B9" w:rsidRPr="0087752B" w:rsidRDefault="006016B9" w:rsidP="008D2BAC">
            <w:pPr>
              <w:pStyle w:val="DETTableTextFinancial"/>
              <w:jc w:val="right"/>
            </w:pPr>
            <w:r w:rsidRPr="0087752B">
              <w:t> </w:t>
            </w:r>
          </w:p>
        </w:tc>
        <w:tc>
          <w:tcPr>
            <w:tcW w:w="850" w:type="dxa"/>
            <w:tcBorders>
              <w:left w:val="nil"/>
              <w:bottom w:val="nil"/>
              <w:right w:val="nil"/>
            </w:tcBorders>
            <w:shd w:val="clear" w:color="auto" w:fill="F8F8F8"/>
            <w:vAlign w:val="bottom"/>
          </w:tcPr>
          <w:p w14:paraId="49F027B3" w14:textId="77777777" w:rsidR="006016B9" w:rsidRPr="0087752B" w:rsidRDefault="006016B9" w:rsidP="008D2BAC">
            <w:pPr>
              <w:pStyle w:val="DETTableTextFinancial"/>
              <w:jc w:val="right"/>
            </w:pPr>
            <w:r w:rsidRPr="0087752B">
              <w:t> </w:t>
            </w:r>
          </w:p>
        </w:tc>
        <w:tc>
          <w:tcPr>
            <w:tcW w:w="1099" w:type="dxa"/>
            <w:tcBorders>
              <w:left w:val="nil"/>
              <w:bottom w:val="nil"/>
              <w:right w:val="nil"/>
            </w:tcBorders>
            <w:shd w:val="clear" w:color="auto" w:fill="F8F8F8"/>
            <w:vAlign w:val="bottom"/>
          </w:tcPr>
          <w:p w14:paraId="1D2FD313" w14:textId="77777777" w:rsidR="006016B9" w:rsidRPr="0087752B" w:rsidRDefault="006016B9" w:rsidP="008D2BAC">
            <w:pPr>
              <w:pStyle w:val="DETTableTextFinancial"/>
              <w:jc w:val="right"/>
            </w:pPr>
            <w:r w:rsidRPr="0087752B">
              <w:t> </w:t>
            </w:r>
          </w:p>
        </w:tc>
      </w:tr>
      <w:tr w:rsidR="00A8286F" w:rsidRPr="0087752B" w14:paraId="7E2FE5F1" w14:textId="77777777" w:rsidTr="00791AA9">
        <w:tc>
          <w:tcPr>
            <w:tcW w:w="1384" w:type="dxa"/>
            <w:tcBorders>
              <w:top w:val="nil"/>
              <w:left w:val="nil"/>
              <w:bottom w:val="nil"/>
              <w:right w:val="nil"/>
            </w:tcBorders>
            <w:vAlign w:val="bottom"/>
          </w:tcPr>
          <w:p w14:paraId="65CB772D" w14:textId="77777777" w:rsidR="006016B9" w:rsidRPr="0087752B" w:rsidRDefault="006016B9" w:rsidP="008D2BAC">
            <w:pPr>
              <w:pStyle w:val="DETTableTextFinancial"/>
            </w:pPr>
            <w:r w:rsidRPr="0087752B">
              <w:t>Under 25</w:t>
            </w:r>
          </w:p>
        </w:tc>
        <w:tc>
          <w:tcPr>
            <w:tcW w:w="1134" w:type="dxa"/>
            <w:tcBorders>
              <w:top w:val="nil"/>
              <w:left w:val="nil"/>
              <w:bottom w:val="nil"/>
              <w:right w:val="nil"/>
            </w:tcBorders>
            <w:vAlign w:val="bottom"/>
          </w:tcPr>
          <w:p w14:paraId="49A7D5F5" w14:textId="77777777" w:rsidR="006016B9" w:rsidRPr="0087752B" w:rsidRDefault="006016B9" w:rsidP="008D2BAC">
            <w:pPr>
              <w:pStyle w:val="DETTableTextFinancial"/>
              <w:jc w:val="right"/>
            </w:pPr>
            <w:r w:rsidRPr="0087752B">
              <w:t>21</w:t>
            </w:r>
          </w:p>
        </w:tc>
        <w:tc>
          <w:tcPr>
            <w:tcW w:w="851" w:type="dxa"/>
            <w:tcBorders>
              <w:top w:val="nil"/>
              <w:left w:val="nil"/>
              <w:bottom w:val="nil"/>
              <w:right w:val="nil"/>
            </w:tcBorders>
            <w:vAlign w:val="bottom"/>
          </w:tcPr>
          <w:p w14:paraId="46C80553" w14:textId="77777777" w:rsidR="006016B9" w:rsidRPr="0087752B" w:rsidRDefault="006016B9" w:rsidP="008D2BAC">
            <w:pPr>
              <w:pStyle w:val="DETTableTextFinancial"/>
              <w:jc w:val="right"/>
            </w:pPr>
            <w:r w:rsidRPr="0087752B">
              <w:t>20.9</w:t>
            </w:r>
          </w:p>
        </w:tc>
        <w:tc>
          <w:tcPr>
            <w:tcW w:w="1134" w:type="dxa"/>
            <w:tcBorders>
              <w:top w:val="nil"/>
              <w:left w:val="nil"/>
              <w:bottom w:val="nil"/>
              <w:right w:val="nil"/>
            </w:tcBorders>
            <w:vAlign w:val="bottom"/>
          </w:tcPr>
          <w:p w14:paraId="02811B85" w14:textId="77777777" w:rsidR="006016B9" w:rsidRPr="0087752B" w:rsidRDefault="006016B9" w:rsidP="008D2BAC">
            <w:pPr>
              <w:pStyle w:val="DETTableTextFinancial"/>
              <w:jc w:val="right"/>
            </w:pPr>
            <w:r w:rsidRPr="0087752B">
              <w:t>10.2</w:t>
            </w:r>
          </w:p>
        </w:tc>
        <w:tc>
          <w:tcPr>
            <w:tcW w:w="1134" w:type="dxa"/>
            <w:tcBorders>
              <w:top w:val="nil"/>
              <w:left w:val="nil"/>
              <w:bottom w:val="nil"/>
              <w:right w:val="nil"/>
            </w:tcBorders>
            <w:shd w:val="clear" w:color="auto" w:fill="F8F8F8"/>
            <w:vAlign w:val="bottom"/>
          </w:tcPr>
          <w:p w14:paraId="2E09730B" w14:textId="77777777" w:rsidR="006016B9" w:rsidRPr="0087752B" w:rsidRDefault="006016B9" w:rsidP="008D2BAC">
            <w:pPr>
              <w:pStyle w:val="DETTableTextFinancial"/>
              <w:jc w:val="right"/>
            </w:pPr>
            <w:r w:rsidRPr="0087752B">
              <w:t>18</w:t>
            </w:r>
          </w:p>
        </w:tc>
        <w:tc>
          <w:tcPr>
            <w:tcW w:w="850" w:type="dxa"/>
            <w:tcBorders>
              <w:top w:val="nil"/>
              <w:left w:val="nil"/>
              <w:bottom w:val="nil"/>
              <w:right w:val="nil"/>
            </w:tcBorders>
            <w:shd w:val="clear" w:color="auto" w:fill="F8F8F8"/>
            <w:vAlign w:val="bottom"/>
          </w:tcPr>
          <w:p w14:paraId="3B8F298B" w14:textId="77777777" w:rsidR="006016B9" w:rsidRPr="0087752B" w:rsidRDefault="006016B9" w:rsidP="008D2BAC">
            <w:pPr>
              <w:pStyle w:val="DETTableTextFinancial"/>
              <w:jc w:val="right"/>
            </w:pPr>
            <w:r w:rsidRPr="0087752B">
              <w:t>17.6</w:t>
            </w:r>
          </w:p>
        </w:tc>
        <w:tc>
          <w:tcPr>
            <w:tcW w:w="1099" w:type="dxa"/>
            <w:tcBorders>
              <w:top w:val="nil"/>
              <w:left w:val="nil"/>
              <w:bottom w:val="nil"/>
              <w:right w:val="nil"/>
            </w:tcBorders>
            <w:shd w:val="clear" w:color="auto" w:fill="F8F8F8"/>
            <w:vAlign w:val="bottom"/>
          </w:tcPr>
          <w:p w14:paraId="7E397AFB" w14:textId="77777777" w:rsidR="006016B9" w:rsidRPr="0087752B" w:rsidRDefault="006016B9" w:rsidP="008D2BAC">
            <w:pPr>
              <w:pStyle w:val="DETTableTextFinancial"/>
              <w:jc w:val="right"/>
            </w:pPr>
            <w:r w:rsidRPr="0087752B">
              <w:t>11.7</w:t>
            </w:r>
          </w:p>
        </w:tc>
      </w:tr>
      <w:tr w:rsidR="00A8286F" w:rsidRPr="0087752B" w14:paraId="56C83245" w14:textId="77777777" w:rsidTr="00791AA9">
        <w:tc>
          <w:tcPr>
            <w:tcW w:w="1384" w:type="dxa"/>
            <w:tcBorders>
              <w:top w:val="nil"/>
              <w:left w:val="nil"/>
              <w:bottom w:val="nil"/>
              <w:right w:val="nil"/>
            </w:tcBorders>
            <w:vAlign w:val="bottom"/>
          </w:tcPr>
          <w:p w14:paraId="0E954B03" w14:textId="77777777" w:rsidR="006016B9" w:rsidRPr="0087752B" w:rsidRDefault="006016B9" w:rsidP="008D2BAC">
            <w:pPr>
              <w:pStyle w:val="DETTableTextFinancial"/>
            </w:pPr>
            <w:r w:rsidRPr="0087752B">
              <w:t>25-34</w:t>
            </w:r>
          </w:p>
        </w:tc>
        <w:tc>
          <w:tcPr>
            <w:tcW w:w="1134" w:type="dxa"/>
            <w:tcBorders>
              <w:top w:val="nil"/>
              <w:left w:val="nil"/>
              <w:bottom w:val="nil"/>
              <w:right w:val="nil"/>
            </w:tcBorders>
            <w:vAlign w:val="bottom"/>
          </w:tcPr>
          <w:p w14:paraId="106B5A54" w14:textId="77777777" w:rsidR="006016B9" w:rsidRPr="0087752B" w:rsidRDefault="006016B9" w:rsidP="008D2BAC">
            <w:pPr>
              <w:pStyle w:val="DETTableTextFinancial"/>
              <w:jc w:val="right"/>
            </w:pPr>
            <w:r w:rsidRPr="0087752B">
              <w:t>398</w:t>
            </w:r>
          </w:p>
        </w:tc>
        <w:tc>
          <w:tcPr>
            <w:tcW w:w="851" w:type="dxa"/>
            <w:tcBorders>
              <w:top w:val="nil"/>
              <w:left w:val="nil"/>
              <w:bottom w:val="nil"/>
              <w:right w:val="nil"/>
            </w:tcBorders>
            <w:vAlign w:val="bottom"/>
          </w:tcPr>
          <w:p w14:paraId="017510C0" w14:textId="77777777" w:rsidR="006016B9" w:rsidRPr="0087752B" w:rsidRDefault="006016B9" w:rsidP="008D2BAC">
            <w:pPr>
              <w:pStyle w:val="DETTableTextFinancial"/>
              <w:jc w:val="right"/>
            </w:pPr>
            <w:r w:rsidRPr="0087752B">
              <w:t>361.1</w:t>
            </w:r>
          </w:p>
        </w:tc>
        <w:tc>
          <w:tcPr>
            <w:tcW w:w="1134" w:type="dxa"/>
            <w:tcBorders>
              <w:top w:val="nil"/>
              <w:left w:val="nil"/>
              <w:bottom w:val="nil"/>
              <w:right w:val="nil"/>
            </w:tcBorders>
            <w:vAlign w:val="bottom"/>
          </w:tcPr>
          <w:p w14:paraId="03104D20" w14:textId="77777777" w:rsidR="006016B9" w:rsidRPr="0087752B" w:rsidRDefault="006016B9" w:rsidP="008D2BAC">
            <w:pPr>
              <w:pStyle w:val="DETTableTextFinancial"/>
              <w:jc w:val="right"/>
            </w:pPr>
            <w:r w:rsidRPr="0087752B">
              <w:t>73.6</w:t>
            </w:r>
          </w:p>
        </w:tc>
        <w:tc>
          <w:tcPr>
            <w:tcW w:w="1134" w:type="dxa"/>
            <w:tcBorders>
              <w:top w:val="nil"/>
              <w:left w:val="nil"/>
              <w:bottom w:val="nil"/>
              <w:right w:val="nil"/>
            </w:tcBorders>
            <w:shd w:val="clear" w:color="auto" w:fill="F8F8F8"/>
            <w:vAlign w:val="bottom"/>
          </w:tcPr>
          <w:p w14:paraId="236B8105" w14:textId="77777777" w:rsidR="006016B9" w:rsidRPr="0087752B" w:rsidRDefault="006016B9" w:rsidP="008D2BAC">
            <w:pPr>
              <w:pStyle w:val="DETTableTextFinancial"/>
              <w:jc w:val="right"/>
            </w:pPr>
            <w:r w:rsidRPr="0087752B">
              <w:t>376</w:t>
            </w:r>
          </w:p>
        </w:tc>
        <w:tc>
          <w:tcPr>
            <w:tcW w:w="850" w:type="dxa"/>
            <w:tcBorders>
              <w:top w:val="nil"/>
              <w:left w:val="nil"/>
              <w:bottom w:val="nil"/>
              <w:right w:val="nil"/>
            </w:tcBorders>
            <w:shd w:val="clear" w:color="auto" w:fill="F8F8F8"/>
            <w:vAlign w:val="bottom"/>
          </w:tcPr>
          <w:p w14:paraId="6E416B39" w14:textId="77777777" w:rsidR="006016B9" w:rsidRPr="0087752B" w:rsidRDefault="006016B9" w:rsidP="008D2BAC">
            <w:pPr>
              <w:pStyle w:val="DETTableTextFinancial"/>
              <w:jc w:val="right"/>
            </w:pPr>
            <w:r w:rsidRPr="0087752B">
              <w:t>341.2</w:t>
            </w:r>
          </w:p>
        </w:tc>
        <w:tc>
          <w:tcPr>
            <w:tcW w:w="1099" w:type="dxa"/>
            <w:tcBorders>
              <w:top w:val="nil"/>
              <w:left w:val="nil"/>
              <w:bottom w:val="nil"/>
              <w:right w:val="nil"/>
            </w:tcBorders>
            <w:shd w:val="clear" w:color="auto" w:fill="F8F8F8"/>
            <w:vAlign w:val="bottom"/>
          </w:tcPr>
          <w:p w14:paraId="5EBB696C" w14:textId="77777777" w:rsidR="006016B9" w:rsidRPr="0087752B" w:rsidRDefault="006016B9" w:rsidP="008D2BAC">
            <w:pPr>
              <w:pStyle w:val="DETTableTextFinancial"/>
              <w:jc w:val="right"/>
            </w:pPr>
            <w:r w:rsidRPr="0087752B">
              <w:t>107.6</w:t>
            </w:r>
          </w:p>
        </w:tc>
      </w:tr>
      <w:tr w:rsidR="00A8286F" w:rsidRPr="0087752B" w14:paraId="3F659632" w14:textId="77777777" w:rsidTr="00791AA9">
        <w:tc>
          <w:tcPr>
            <w:tcW w:w="1384" w:type="dxa"/>
            <w:tcBorders>
              <w:top w:val="nil"/>
              <w:left w:val="nil"/>
              <w:bottom w:val="nil"/>
              <w:right w:val="nil"/>
            </w:tcBorders>
            <w:vAlign w:val="bottom"/>
          </w:tcPr>
          <w:p w14:paraId="593D5955" w14:textId="77777777" w:rsidR="006016B9" w:rsidRPr="0087752B" w:rsidRDefault="006016B9" w:rsidP="008D2BAC">
            <w:pPr>
              <w:pStyle w:val="DETTableTextFinancial"/>
            </w:pPr>
            <w:r w:rsidRPr="0087752B">
              <w:t>35-44</w:t>
            </w:r>
          </w:p>
        </w:tc>
        <w:tc>
          <w:tcPr>
            <w:tcW w:w="1134" w:type="dxa"/>
            <w:tcBorders>
              <w:top w:val="nil"/>
              <w:left w:val="nil"/>
              <w:bottom w:val="nil"/>
              <w:right w:val="nil"/>
            </w:tcBorders>
            <w:vAlign w:val="bottom"/>
          </w:tcPr>
          <w:p w14:paraId="2198EAAC" w14:textId="77777777" w:rsidR="006016B9" w:rsidRPr="0087752B" w:rsidRDefault="006016B9" w:rsidP="008D2BAC">
            <w:pPr>
              <w:pStyle w:val="DETTableTextFinancial"/>
              <w:jc w:val="right"/>
            </w:pPr>
            <w:r w:rsidRPr="0087752B">
              <w:t>610</w:t>
            </w:r>
          </w:p>
        </w:tc>
        <w:tc>
          <w:tcPr>
            <w:tcW w:w="851" w:type="dxa"/>
            <w:tcBorders>
              <w:top w:val="nil"/>
              <w:left w:val="nil"/>
              <w:bottom w:val="nil"/>
              <w:right w:val="nil"/>
            </w:tcBorders>
            <w:vAlign w:val="bottom"/>
          </w:tcPr>
          <w:p w14:paraId="026F8555" w14:textId="77777777" w:rsidR="006016B9" w:rsidRPr="0087752B" w:rsidRDefault="006016B9" w:rsidP="008D2BAC">
            <w:pPr>
              <w:pStyle w:val="DETTableTextFinancial"/>
              <w:jc w:val="right"/>
            </w:pPr>
            <w:r w:rsidRPr="0087752B">
              <w:t>525.6</w:t>
            </w:r>
          </w:p>
        </w:tc>
        <w:tc>
          <w:tcPr>
            <w:tcW w:w="1134" w:type="dxa"/>
            <w:tcBorders>
              <w:top w:val="nil"/>
              <w:left w:val="nil"/>
              <w:bottom w:val="nil"/>
              <w:right w:val="nil"/>
            </w:tcBorders>
            <w:vAlign w:val="bottom"/>
          </w:tcPr>
          <w:p w14:paraId="0B5AADE0" w14:textId="77777777" w:rsidR="006016B9" w:rsidRPr="0087752B" w:rsidRDefault="006016B9" w:rsidP="008D2BAC">
            <w:pPr>
              <w:pStyle w:val="DETTableTextFinancial"/>
              <w:jc w:val="right"/>
            </w:pPr>
            <w:r w:rsidRPr="0087752B">
              <w:t>42.1</w:t>
            </w:r>
          </w:p>
        </w:tc>
        <w:tc>
          <w:tcPr>
            <w:tcW w:w="1134" w:type="dxa"/>
            <w:tcBorders>
              <w:top w:val="nil"/>
              <w:left w:val="nil"/>
              <w:bottom w:val="nil"/>
              <w:right w:val="nil"/>
            </w:tcBorders>
            <w:shd w:val="clear" w:color="auto" w:fill="F8F8F8"/>
            <w:vAlign w:val="bottom"/>
          </w:tcPr>
          <w:p w14:paraId="30CD335C" w14:textId="77777777" w:rsidR="006016B9" w:rsidRPr="0087752B" w:rsidRDefault="006016B9" w:rsidP="008D2BAC">
            <w:pPr>
              <w:pStyle w:val="DETTableTextFinancial"/>
              <w:jc w:val="right"/>
            </w:pPr>
            <w:r w:rsidRPr="0087752B">
              <w:t>641</w:t>
            </w:r>
          </w:p>
        </w:tc>
        <w:tc>
          <w:tcPr>
            <w:tcW w:w="850" w:type="dxa"/>
            <w:tcBorders>
              <w:top w:val="nil"/>
              <w:left w:val="nil"/>
              <w:bottom w:val="nil"/>
              <w:right w:val="nil"/>
            </w:tcBorders>
            <w:shd w:val="clear" w:color="auto" w:fill="F8F8F8"/>
            <w:vAlign w:val="bottom"/>
          </w:tcPr>
          <w:p w14:paraId="4B3817BE" w14:textId="77777777" w:rsidR="006016B9" w:rsidRPr="0087752B" w:rsidRDefault="006016B9" w:rsidP="008D2BAC">
            <w:pPr>
              <w:pStyle w:val="DETTableTextFinancial"/>
              <w:jc w:val="right"/>
            </w:pPr>
            <w:r w:rsidRPr="0087752B">
              <w:t>553.0</w:t>
            </w:r>
          </w:p>
        </w:tc>
        <w:tc>
          <w:tcPr>
            <w:tcW w:w="1099" w:type="dxa"/>
            <w:tcBorders>
              <w:top w:val="nil"/>
              <w:left w:val="nil"/>
              <w:bottom w:val="nil"/>
              <w:right w:val="nil"/>
            </w:tcBorders>
            <w:shd w:val="clear" w:color="auto" w:fill="F8F8F8"/>
            <w:vAlign w:val="bottom"/>
          </w:tcPr>
          <w:p w14:paraId="41F3C1FB" w14:textId="77777777" w:rsidR="006016B9" w:rsidRPr="0087752B" w:rsidRDefault="006016B9" w:rsidP="008D2BAC">
            <w:pPr>
              <w:pStyle w:val="DETTableTextFinancial"/>
              <w:jc w:val="right"/>
            </w:pPr>
            <w:r w:rsidRPr="0087752B">
              <w:t>73.4</w:t>
            </w:r>
          </w:p>
        </w:tc>
      </w:tr>
      <w:tr w:rsidR="00A8286F" w:rsidRPr="0087752B" w14:paraId="7473B413" w14:textId="77777777" w:rsidTr="00791AA9">
        <w:tc>
          <w:tcPr>
            <w:tcW w:w="1384" w:type="dxa"/>
            <w:tcBorders>
              <w:top w:val="nil"/>
              <w:left w:val="nil"/>
              <w:bottom w:val="nil"/>
              <w:right w:val="nil"/>
            </w:tcBorders>
            <w:vAlign w:val="bottom"/>
          </w:tcPr>
          <w:p w14:paraId="373FD81A" w14:textId="77777777" w:rsidR="006016B9" w:rsidRPr="0087752B" w:rsidRDefault="006016B9" w:rsidP="008D2BAC">
            <w:pPr>
              <w:pStyle w:val="DETTableTextFinancial"/>
            </w:pPr>
            <w:r w:rsidRPr="0087752B">
              <w:t>45-54</w:t>
            </w:r>
          </w:p>
        </w:tc>
        <w:tc>
          <w:tcPr>
            <w:tcW w:w="1134" w:type="dxa"/>
            <w:tcBorders>
              <w:top w:val="nil"/>
              <w:left w:val="nil"/>
              <w:bottom w:val="nil"/>
              <w:right w:val="nil"/>
            </w:tcBorders>
            <w:vAlign w:val="bottom"/>
          </w:tcPr>
          <w:p w14:paraId="2752326A" w14:textId="77777777" w:rsidR="006016B9" w:rsidRPr="0087752B" w:rsidRDefault="006016B9" w:rsidP="008D2BAC">
            <w:pPr>
              <w:pStyle w:val="DETTableTextFinancial"/>
              <w:jc w:val="right"/>
            </w:pPr>
            <w:r w:rsidRPr="0087752B">
              <w:t>670</w:t>
            </w:r>
          </w:p>
        </w:tc>
        <w:tc>
          <w:tcPr>
            <w:tcW w:w="851" w:type="dxa"/>
            <w:tcBorders>
              <w:top w:val="nil"/>
              <w:left w:val="nil"/>
              <w:bottom w:val="nil"/>
              <w:right w:val="nil"/>
            </w:tcBorders>
            <w:vAlign w:val="bottom"/>
          </w:tcPr>
          <w:p w14:paraId="1764E59A" w14:textId="77777777" w:rsidR="006016B9" w:rsidRPr="0087752B" w:rsidRDefault="006016B9" w:rsidP="008D2BAC">
            <w:pPr>
              <w:pStyle w:val="DETTableTextFinancial"/>
              <w:jc w:val="right"/>
            </w:pPr>
            <w:r w:rsidRPr="0087752B">
              <w:t>602.0</w:t>
            </w:r>
          </w:p>
        </w:tc>
        <w:tc>
          <w:tcPr>
            <w:tcW w:w="1134" w:type="dxa"/>
            <w:tcBorders>
              <w:top w:val="nil"/>
              <w:left w:val="nil"/>
              <w:bottom w:val="nil"/>
              <w:right w:val="nil"/>
            </w:tcBorders>
            <w:vAlign w:val="bottom"/>
          </w:tcPr>
          <w:p w14:paraId="14C8F74D" w14:textId="77777777" w:rsidR="006016B9" w:rsidRPr="0087752B" w:rsidRDefault="006016B9" w:rsidP="008D2BAC">
            <w:pPr>
              <w:pStyle w:val="DETTableTextFinancial"/>
              <w:jc w:val="right"/>
            </w:pPr>
            <w:r w:rsidRPr="0087752B">
              <w:t>23.4</w:t>
            </w:r>
          </w:p>
        </w:tc>
        <w:tc>
          <w:tcPr>
            <w:tcW w:w="1134" w:type="dxa"/>
            <w:tcBorders>
              <w:top w:val="nil"/>
              <w:left w:val="nil"/>
              <w:bottom w:val="nil"/>
              <w:right w:val="nil"/>
            </w:tcBorders>
            <w:shd w:val="clear" w:color="auto" w:fill="F8F8F8"/>
            <w:vAlign w:val="bottom"/>
          </w:tcPr>
          <w:p w14:paraId="7CC3FAD8" w14:textId="77777777" w:rsidR="006016B9" w:rsidRPr="0087752B" w:rsidRDefault="006016B9" w:rsidP="008D2BAC">
            <w:pPr>
              <w:pStyle w:val="DETTableTextFinancial"/>
              <w:jc w:val="right"/>
            </w:pPr>
            <w:r w:rsidRPr="0087752B">
              <w:t>668</w:t>
            </w:r>
          </w:p>
        </w:tc>
        <w:tc>
          <w:tcPr>
            <w:tcW w:w="850" w:type="dxa"/>
            <w:tcBorders>
              <w:top w:val="nil"/>
              <w:left w:val="nil"/>
              <w:bottom w:val="nil"/>
              <w:right w:val="nil"/>
            </w:tcBorders>
            <w:shd w:val="clear" w:color="auto" w:fill="F8F8F8"/>
            <w:vAlign w:val="bottom"/>
          </w:tcPr>
          <w:p w14:paraId="057B2151" w14:textId="77777777" w:rsidR="006016B9" w:rsidRPr="0087752B" w:rsidRDefault="006016B9" w:rsidP="008D2BAC">
            <w:pPr>
              <w:pStyle w:val="DETTableTextFinancial"/>
              <w:jc w:val="right"/>
            </w:pPr>
            <w:r w:rsidRPr="0087752B">
              <w:t>604.2</w:t>
            </w:r>
          </w:p>
        </w:tc>
        <w:tc>
          <w:tcPr>
            <w:tcW w:w="1099" w:type="dxa"/>
            <w:tcBorders>
              <w:top w:val="nil"/>
              <w:left w:val="nil"/>
              <w:bottom w:val="nil"/>
              <w:right w:val="nil"/>
            </w:tcBorders>
            <w:shd w:val="clear" w:color="auto" w:fill="F8F8F8"/>
            <w:vAlign w:val="bottom"/>
          </w:tcPr>
          <w:p w14:paraId="5FB9C2D1" w14:textId="77777777" w:rsidR="006016B9" w:rsidRPr="0087752B" w:rsidRDefault="006016B9" w:rsidP="008D2BAC">
            <w:pPr>
              <w:pStyle w:val="DETTableTextFinancial"/>
              <w:jc w:val="right"/>
            </w:pPr>
            <w:r w:rsidRPr="0087752B">
              <w:t>39.9</w:t>
            </w:r>
          </w:p>
        </w:tc>
      </w:tr>
      <w:tr w:rsidR="00A8286F" w:rsidRPr="0087752B" w14:paraId="442B983B" w14:textId="77777777" w:rsidTr="00791AA9">
        <w:tc>
          <w:tcPr>
            <w:tcW w:w="1384" w:type="dxa"/>
            <w:tcBorders>
              <w:top w:val="nil"/>
              <w:left w:val="nil"/>
              <w:bottom w:val="nil"/>
              <w:right w:val="nil"/>
            </w:tcBorders>
            <w:vAlign w:val="bottom"/>
          </w:tcPr>
          <w:p w14:paraId="15D0292D" w14:textId="77777777" w:rsidR="006016B9" w:rsidRPr="0087752B" w:rsidRDefault="006016B9" w:rsidP="008D2BAC">
            <w:pPr>
              <w:pStyle w:val="DETTableTextFinancial"/>
            </w:pPr>
            <w:r w:rsidRPr="0087752B">
              <w:t>55-64</w:t>
            </w:r>
          </w:p>
        </w:tc>
        <w:tc>
          <w:tcPr>
            <w:tcW w:w="1134" w:type="dxa"/>
            <w:tcBorders>
              <w:top w:val="nil"/>
              <w:left w:val="nil"/>
              <w:bottom w:val="nil"/>
              <w:right w:val="nil"/>
            </w:tcBorders>
            <w:vAlign w:val="bottom"/>
          </w:tcPr>
          <w:p w14:paraId="6DC868F4" w14:textId="77777777" w:rsidR="006016B9" w:rsidRPr="0087752B" w:rsidRDefault="006016B9" w:rsidP="008D2BAC">
            <w:pPr>
              <w:pStyle w:val="DETTableTextFinancial"/>
              <w:jc w:val="right"/>
            </w:pPr>
            <w:r w:rsidRPr="0087752B">
              <w:t>659</w:t>
            </w:r>
          </w:p>
        </w:tc>
        <w:tc>
          <w:tcPr>
            <w:tcW w:w="851" w:type="dxa"/>
            <w:tcBorders>
              <w:top w:val="nil"/>
              <w:left w:val="nil"/>
              <w:bottom w:val="nil"/>
              <w:right w:val="nil"/>
            </w:tcBorders>
            <w:vAlign w:val="bottom"/>
          </w:tcPr>
          <w:p w14:paraId="3C6F4F07" w14:textId="77777777" w:rsidR="006016B9" w:rsidRPr="0087752B" w:rsidRDefault="006016B9" w:rsidP="008D2BAC">
            <w:pPr>
              <w:pStyle w:val="DETTableTextFinancial"/>
              <w:jc w:val="right"/>
            </w:pPr>
            <w:r w:rsidRPr="0087752B">
              <w:t>598.3</w:t>
            </w:r>
          </w:p>
        </w:tc>
        <w:tc>
          <w:tcPr>
            <w:tcW w:w="1134" w:type="dxa"/>
            <w:tcBorders>
              <w:top w:val="nil"/>
              <w:left w:val="nil"/>
              <w:bottom w:val="nil"/>
              <w:right w:val="nil"/>
            </w:tcBorders>
            <w:vAlign w:val="bottom"/>
          </w:tcPr>
          <w:p w14:paraId="15379916" w14:textId="77777777" w:rsidR="006016B9" w:rsidRPr="0087752B" w:rsidRDefault="006016B9" w:rsidP="008D2BAC">
            <w:pPr>
              <w:pStyle w:val="DETTableTextFinancial"/>
              <w:jc w:val="right"/>
            </w:pPr>
            <w:r w:rsidRPr="0087752B">
              <w:t>11.0</w:t>
            </w:r>
          </w:p>
        </w:tc>
        <w:tc>
          <w:tcPr>
            <w:tcW w:w="1134" w:type="dxa"/>
            <w:tcBorders>
              <w:top w:val="nil"/>
              <w:left w:val="nil"/>
              <w:bottom w:val="nil"/>
              <w:right w:val="nil"/>
            </w:tcBorders>
            <w:shd w:val="clear" w:color="auto" w:fill="F8F8F8"/>
            <w:vAlign w:val="bottom"/>
          </w:tcPr>
          <w:p w14:paraId="10F896CB" w14:textId="77777777" w:rsidR="006016B9" w:rsidRPr="0087752B" w:rsidRDefault="006016B9" w:rsidP="008D2BAC">
            <w:pPr>
              <w:pStyle w:val="DETTableTextFinancial"/>
              <w:jc w:val="right"/>
            </w:pPr>
            <w:r w:rsidRPr="0087752B">
              <w:t>674</w:t>
            </w:r>
          </w:p>
        </w:tc>
        <w:tc>
          <w:tcPr>
            <w:tcW w:w="850" w:type="dxa"/>
            <w:tcBorders>
              <w:top w:val="nil"/>
              <w:left w:val="nil"/>
              <w:bottom w:val="nil"/>
              <w:right w:val="nil"/>
            </w:tcBorders>
            <w:shd w:val="clear" w:color="auto" w:fill="F8F8F8"/>
            <w:vAlign w:val="bottom"/>
          </w:tcPr>
          <w:p w14:paraId="2BBDAD42" w14:textId="77777777" w:rsidR="006016B9" w:rsidRPr="0087752B" w:rsidRDefault="006016B9" w:rsidP="008D2BAC">
            <w:pPr>
              <w:pStyle w:val="DETTableTextFinancial"/>
              <w:jc w:val="right"/>
            </w:pPr>
            <w:r w:rsidRPr="0087752B">
              <w:t>608.8</w:t>
            </w:r>
          </w:p>
        </w:tc>
        <w:tc>
          <w:tcPr>
            <w:tcW w:w="1099" w:type="dxa"/>
            <w:tcBorders>
              <w:top w:val="nil"/>
              <w:left w:val="nil"/>
              <w:bottom w:val="nil"/>
              <w:right w:val="nil"/>
            </w:tcBorders>
            <w:shd w:val="clear" w:color="auto" w:fill="F8F8F8"/>
            <w:vAlign w:val="bottom"/>
          </w:tcPr>
          <w:p w14:paraId="26AC89B4" w14:textId="77777777" w:rsidR="006016B9" w:rsidRPr="0087752B" w:rsidRDefault="006016B9" w:rsidP="008D2BAC">
            <w:pPr>
              <w:pStyle w:val="DETTableTextFinancial"/>
              <w:jc w:val="right"/>
            </w:pPr>
            <w:r w:rsidRPr="0087752B">
              <w:t>28.3</w:t>
            </w:r>
          </w:p>
        </w:tc>
      </w:tr>
      <w:tr w:rsidR="00A8286F" w:rsidRPr="0087752B" w14:paraId="18FFE37F" w14:textId="77777777" w:rsidTr="00791AA9">
        <w:tc>
          <w:tcPr>
            <w:tcW w:w="1384" w:type="dxa"/>
            <w:tcBorders>
              <w:top w:val="nil"/>
              <w:left w:val="nil"/>
              <w:bottom w:val="single" w:sz="4" w:space="0" w:color="auto"/>
              <w:right w:val="nil"/>
            </w:tcBorders>
            <w:vAlign w:val="bottom"/>
          </w:tcPr>
          <w:p w14:paraId="577BE11B" w14:textId="77777777" w:rsidR="006016B9" w:rsidRPr="0087752B" w:rsidRDefault="006016B9" w:rsidP="008D2BAC">
            <w:pPr>
              <w:pStyle w:val="DETTableTextFinancial"/>
            </w:pPr>
            <w:r w:rsidRPr="0087752B">
              <w:t>Over 64</w:t>
            </w:r>
          </w:p>
        </w:tc>
        <w:tc>
          <w:tcPr>
            <w:tcW w:w="1134" w:type="dxa"/>
            <w:tcBorders>
              <w:top w:val="nil"/>
              <w:left w:val="nil"/>
              <w:bottom w:val="single" w:sz="4" w:space="0" w:color="auto"/>
              <w:right w:val="nil"/>
            </w:tcBorders>
            <w:vAlign w:val="bottom"/>
          </w:tcPr>
          <w:p w14:paraId="4677A233" w14:textId="77777777" w:rsidR="006016B9" w:rsidRPr="0087752B" w:rsidRDefault="006016B9" w:rsidP="008D2BAC">
            <w:pPr>
              <w:pStyle w:val="DETTableTextFinancial"/>
              <w:jc w:val="right"/>
            </w:pPr>
            <w:r w:rsidRPr="0087752B">
              <w:t>74</w:t>
            </w:r>
          </w:p>
        </w:tc>
        <w:tc>
          <w:tcPr>
            <w:tcW w:w="851" w:type="dxa"/>
            <w:tcBorders>
              <w:top w:val="nil"/>
              <w:left w:val="nil"/>
              <w:bottom w:val="single" w:sz="4" w:space="0" w:color="auto"/>
              <w:right w:val="nil"/>
            </w:tcBorders>
            <w:vAlign w:val="bottom"/>
          </w:tcPr>
          <w:p w14:paraId="76964CC0" w14:textId="77777777" w:rsidR="006016B9" w:rsidRPr="0087752B" w:rsidRDefault="006016B9" w:rsidP="008D2BAC">
            <w:pPr>
              <w:pStyle w:val="DETTableTextFinancial"/>
              <w:jc w:val="right"/>
            </w:pPr>
            <w:r w:rsidRPr="0087752B">
              <w:t>61.0</w:t>
            </w:r>
          </w:p>
        </w:tc>
        <w:tc>
          <w:tcPr>
            <w:tcW w:w="1134" w:type="dxa"/>
            <w:tcBorders>
              <w:top w:val="nil"/>
              <w:left w:val="nil"/>
              <w:bottom w:val="single" w:sz="4" w:space="0" w:color="auto"/>
              <w:right w:val="nil"/>
            </w:tcBorders>
            <w:vAlign w:val="bottom"/>
          </w:tcPr>
          <w:p w14:paraId="7F0B53DD" w14:textId="77777777" w:rsidR="006016B9" w:rsidRPr="0087752B" w:rsidRDefault="006016B9" w:rsidP="008D2BAC">
            <w:pPr>
              <w:pStyle w:val="DETTableTextFinancial"/>
              <w:jc w:val="right"/>
            </w:pPr>
            <w:r w:rsidRPr="0087752B">
              <w:t>3.0</w:t>
            </w:r>
          </w:p>
        </w:tc>
        <w:tc>
          <w:tcPr>
            <w:tcW w:w="1134" w:type="dxa"/>
            <w:tcBorders>
              <w:top w:val="nil"/>
              <w:left w:val="nil"/>
              <w:bottom w:val="single" w:sz="4" w:space="0" w:color="auto"/>
              <w:right w:val="nil"/>
            </w:tcBorders>
            <w:shd w:val="clear" w:color="auto" w:fill="F8F8F8"/>
            <w:vAlign w:val="bottom"/>
          </w:tcPr>
          <w:p w14:paraId="709D37B3" w14:textId="77777777" w:rsidR="006016B9" w:rsidRPr="0087752B" w:rsidRDefault="006016B9" w:rsidP="008D2BAC">
            <w:pPr>
              <w:pStyle w:val="DETTableTextFinancial"/>
              <w:jc w:val="right"/>
            </w:pPr>
            <w:r w:rsidRPr="0087752B">
              <w:t>102</w:t>
            </w:r>
          </w:p>
        </w:tc>
        <w:tc>
          <w:tcPr>
            <w:tcW w:w="850" w:type="dxa"/>
            <w:tcBorders>
              <w:top w:val="nil"/>
              <w:left w:val="nil"/>
              <w:bottom w:val="single" w:sz="4" w:space="0" w:color="auto"/>
              <w:right w:val="nil"/>
            </w:tcBorders>
            <w:shd w:val="clear" w:color="auto" w:fill="F8F8F8"/>
            <w:vAlign w:val="bottom"/>
          </w:tcPr>
          <w:p w14:paraId="5A6EB5F4" w14:textId="77777777" w:rsidR="006016B9" w:rsidRPr="0087752B" w:rsidRDefault="006016B9" w:rsidP="008D2BAC">
            <w:pPr>
              <w:pStyle w:val="DETTableTextFinancial"/>
              <w:jc w:val="right"/>
            </w:pPr>
            <w:r w:rsidRPr="0087752B">
              <w:t>84.8</w:t>
            </w:r>
          </w:p>
        </w:tc>
        <w:tc>
          <w:tcPr>
            <w:tcW w:w="1099" w:type="dxa"/>
            <w:tcBorders>
              <w:top w:val="nil"/>
              <w:left w:val="nil"/>
              <w:bottom w:val="single" w:sz="4" w:space="0" w:color="auto"/>
              <w:right w:val="nil"/>
            </w:tcBorders>
            <w:shd w:val="clear" w:color="auto" w:fill="F8F8F8"/>
            <w:vAlign w:val="bottom"/>
          </w:tcPr>
          <w:p w14:paraId="64472914" w14:textId="77777777" w:rsidR="006016B9" w:rsidRPr="0087752B" w:rsidRDefault="006016B9" w:rsidP="008D2BAC">
            <w:pPr>
              <w:pStyle w:val="DETTableTextFinancial"/>
              <w:jc w:val="right"/>
            </w:pPr>
            <w:r w:rsidRPr="0087752B">
              <w:t>3.2</w:t>
            </w:r>
          </w:p>
        </w:tc>
      </w:tr>
      <w:tr w:rsidR="00A8286F" w:rsidRPr="0087752B" w14:paraId="07301BF6" w14:textId="77777777" w:rsidTr="00791AA9">
        <w:tc>
          <w:tcPr>
            <w:tcW w:w="1384" w:type="dxa"/>
            <w:tcBorders>
              <w:top w:val="single" w:sz="4" w:space="0" w:color="auto"/>
              <w:left w:val="nil"/>
              <w:bottom w:val="single" w:sz="4" w:space="0" w:color="auto"/>
              <w:right w:val="nil"/>
            </w:tcBorders>
            <w:vAlign w:val="bottom"/>
          </w:tcPr>
          <w:p w14:paraId="2BC742F3" w14:textId="77777777" w:rsidR="006016B9" w:rsidRPr="0087752B" w:rsidRDefault="006016B9" w:rsidP="008D2BAC">
            <w:pPr>
              <w:pStyle w:val="DETTableTextFinancial"/>
              <w:rPr>
                <w:b/>
              </w:rPr>
            </w:pPr>
            <w:r w:rsidRPr="0087752B">
              <w:rPr>
                <w:b/>
              </w:rPr>
              <w:t>Total</w:t>
            </w:r>
          </w:p>
        </w:tc>
        <w:tc>
          <w:tcPr>
            <w:tcW w:w="1134" w:type="dxa"/>
            <w:tcBorders>
              <w:top w:val="single" w:sz="4" w:space="0" w:color="auto"/>
              <w:left w:val="nil"/>
              <w:bottom w:val="single" w:sz="4" w:space="0" w:color="auto"/>
              <w:right w:val="nil"/>
            </w:tcBorders>
            <w:vAlign w:val="bottom"/>
          </w:tcPr>
          <w:p w14:paraId="16602684" w14:textId="75E0B55B" w:rsidR="006016B9" w:rsidRPr="0087752B" w:rsidRDefault="006016B9" w:rsidP="008D2BAC">
            <w:pPr>
              <w:pStyle w:val="DETTableTextFinancial"/>
              <w:jc w:val="right"/>
              <w:rPr>
                <w:b/>
              </w:rPr>
            </w:pPr>
            <w:r w:rsidRPr="0087752B">
              <w:rPr>
                <w:b/>
              </w:rPr>
              <w:t>2</w:t>
            </w:r>
            <w:r w:rsidR="00A8286F">
              <w:rPr>
                <w:b/>
              </w:rPr>
              <w:t>,</w:t>
            </w:r>
            <w:r w:rsidRPr="0087752B">
              <w:rPr>
                <w:b/>
              </w:rPr>
              <w:t>432</w:t>
            </w:r>
          </w:p>
        </w:tc>
        <w:tc>
          <w:tcPr>
            <w:tcW w:w="851" w:type="dxa"/>
            <w:tcBorders>
              <w:top w:val="single" w:sz="4" w:space="0" w:color="auto"/>
              <w:left w:val="nil"/>
              <w:bottom w:val="single" w:sz="4" w:space="0" w:color="auto"/>
              <w:right w:val="nil"/>
            </w:tcBorders>
            <w:vAlign w:val="bottom"/>
          </w:tcPr>
          <w:p w14:paraId="01B25F50" w14:textId="01252A43" w:rsidR="006016B9" w:rsidRPr="0087752B" w:rsidRDefault="006016B9" w:rsidP="008D2BAC">
            <w:pPr>
              <w:pStyle w:val="DETTableTextFinancial"/>
              <w:jc w:val="right"/>
              <w:rPr>
                <w:b/>
              </w:rPr>
            </w:pPr>
            <w:r w:rsidRPr="0087752B">
              <w:rPr>
                <w:b/>
              </w:rPr>
              <w:t>2</w:t>
            </w:r>
            <w:r w:rsidR="00A8286F">
              <w:rPr>
                <w:b/>
              </w:rPr>
              <w:t>,</w:t>
            </w:r>
            <w:r w:rsidRPr="0087752B">
              <w:rPr>
                <w:b/>
              </w:rPr>
              <w:t>168.9</w:t>
            </w:r>
          </w:p>
        </w:tc>
        <w:tc>
          <w:tcPr>
            <w:tcW w:w="1134" w:type="dxa"/>
            <w:tcBorders>
              <w:top w:val="single" w:sz="4" w:space="0" w:color="auto"/>
              <w:left w:val="nil"/>
              <w:bottom w:val="single" w:sz="4" w:space="0" w:color="auto"/>
              <w:right w:val="nil"/>
            </w:tcBorders>
            <w:vAlign w:val="bottom"/>
          </w:tcPr>
          <w:p w14:paraId="32FF2CDF" w14:textId="77777777" w:rsidR="006016B9" w:rsidRPr="0087752B" w:rsidRDefault="006016B9" w:rsidP="008D2BAC">
            <w:pPr>
              <w:pStyle w:val="DETTableTextFinancial"/>
              <w:jc w:val="right"/>
              <w:rPr>
                <w:b/>
              </w:rPr>
            </w:pPr>
            <w:r w:rsidRPr="0087752B">
              <w:rPr>
                <w:b/>
              </w:rPr>
              <w:t>163.3</w:t>
            </w:r>
          </w:p>
        </w:tc>
        <w:tc>
          <w:tcPr>
            <w:tcW w:w="1134" w:type="dxa"/>
            <w:tcBorders>
              <w:top w:val="single" w:sz="4" w:space="0" w:color="auto"/>
              <w:left w:val="nil"/>
              <w:bottom w:val="single" w:sz="4" w:space="0" w:color="auto"/>
              <w:right w:val="nil"/>
            </w:tcBorders>
            <w:shd w:val="clear" w:color="auto" w:fill="F8F8F8"/>
            <w:vAlign w:val="bottom"/>
          </w:tcPr>
          <w:p w14:paraId="02693252" w14:textId="081C3238" w:rsidR="006016B9" w:rsidRPr="0087752B" w:rsidRDefault="006016B9" w:rsidP="008D2BAC">
            <w:pPr>
              <w:pStyle w:val="DETTableTextFinancial"/>
              <w:jc w:val="right"/>
              <w:rPr>
                <w:b/>
              </w:rPr>
            </w:pPr>
            <w:r w:rsidRPr="0087752B">
              <w:rPr>
                <w:b/>
              </w:rPr>
              <w:t>2</w:t>
            </w:r>
            <w:r w:rsidR="00A8286F">
              <w:rPr>
                <w:b/>
              </w:rPr>
              <w:t>,</w:t>
            </w:r>
            <w:r w:rsidRPr="0087752B">
              <w:rPr>
                <w:b/>
              </w:rPr>
              <w:t>479</w:t>
            </w:r>
          </w:p>
        </w:tc>
        <w:tc>
          <w:tcPr>
            <w:tcW w:w="850" w:type="dxa"/>
            <w:tcBorders>
              <w:top w:val="single" w:sz="4" w:space="0" w:color="auto"/>
              <w:left w:val="nil"/>
              <w:bottom w:val="single" w:sz="4" w:space="0" w:color="auto"/>
              <w:right w:val="nil"/>
            </w:tcBorders>
            <w:shd w:val="clear" w:color="auto" w:fill="F8F8F8"/>
            <w:vAlign w:val="bottom"/>
          </w:tcPr>
          <w:p w14:paraId="18BC2CF6" w14:textId="38CEA877" w:rsidR="006016B9" w:rsidRPr="0087752B" w:rsidRDefault="006016B9" w:rsidP="008D2BAC">
            <w:pPr>
              <w:pStyle w:val="DETTableTextFinancial"/>
              <w:jc w:val="right"/>
              <w:rPr>
                <w:b/>
              </w:rPr>
            </w:pPr>
            <w:r w:rsidRPr="0087752B">
              <w:rPr>
                <w:b/>
              </w:rPr>
              <w:t>2</w:t>
            </w:r>
            <w:r w:rsidR="00A8286F">
              <w:rPr>
                <w:b/>
              </w:rPr>
              <w:t>,</w:t>
            </w:r>
            <w:r w:rsidRPr="0087752B">
              <w:rPr>
                <w:b/>
              </w:rPr>
              <w:t>209.6</w:t>
            </w:r>
          </w:p>
        </w:tc>
        <w:tc>
          <w:tcPr>
            <w:tcW w:w="1099" w:type="dxa"/>
            <w:tcBorders>
              <w:top w:val="single" w:sz="4" w:space="0" w:color="auto"/>
              <w:left w:val="nil"/>
              <w:bottom w:val="single" w:sz="4" w:space="0" w:color="auto"/>
              <w:right w:val="nil"/>
            </w:tcBorders>
            <w:shd w:val="clear" w:color="auto" w:fill="F8F8F8"/>
            <w:vAlign w:val="bottom"/>
          </w:tcPr>
          <w:p w14:paraId="0615A38D" w14:textId="77777777" w:rsidR="006016B9" w:rsidRPr="0087752B" w:rsidRDefault="006016B9" w:rsidP="008D2BAC">
            <w:pPr>
              <w:pStyle w:val="DETTableTextFinancial"/>
              <w:jc w:val="right"/>
              <w:rPr>
                <w:b/>
              </w:rPr>
            </w:pPr>
            <w:r w:rsidRPr="0087752B">
              <w:rPr>
                <w:b/>
              </w:rPr>
              <w:t>264.1</w:t>
            </w:r>
          </w:p>
        </w:tc>
      </w:tr>
      <w:tr w:rsidR="00A8286F" w:rsidRPr="0087752B" w14:paraId="621AF233" w14:textId="77777777" w:rsidTr="00791AA9">
        <w:tc>
          <w:tcPr>
            <w:tcW w:w="1384" w:type="dxa"/>
            <w:tcBorders>
              <w:left w:val="nil"/>
              <w:bottom w:val="nil"/>
              <w:right w:val="nil"/>
            </w:tcBorders>
            <w:vAlign w:val="bottom"/>
          </w:tcPr>
          <w:p w14:paraId="5BAD67A2" w14:textId="77777777" w:rsidR="006016B9" w:rsidRPr="0087752B" w:rsidRDefault="006016B9" w:rsidP="008D2BAC">
            <w:pPr>
              <w:pStyle w:val="DETTableTextFinancial"/>
              <w:rPr>
                <w:b/>
              </w:rPr>
            </w:pPr>
            <w:r w:rsidRPr="0087752B">
              <w:rPr>
                <w:b/>
              </w:rPr>
              <w:t>Classification</w:t>
            </w:r>
            <w:r w:rsidRPr="0087752B">
              <w:rPr>
                <w:rStyle w:val="FootnoteReference"/>
                <w:b/>
              </w:rPr>
              <w:t>1</w:t>
            </w:r>
          </w:p>
        </w:tc>
        <w:tc>
          <w:tcPr>
            <w:tcW w:w="1134" w:type="dxa"/>
            <w:tcBorders>
              <w:left w:val="nil"/>
              <w:bottom w:val="nil"/>
              <w:right w:val="nil"/>
            </w:tcBorders>
            <w:vAlign w:val="bottom"/>
          </w:tcPr>
          <w:p w14:paraId="266DA5B1" w14:textId="77777777" w:rsidR="006016B9" w:rsidRPr="0087752B" w:rsidRDefault="006016B9" w:rsidP="008D2BAC">
            <w:pPr>
              <w:pStyle w:val="DETTableTextFinancial"/>
              <w:jc w:val="right"/>
            </w:pPr>
            <w:r w:rsidRPr="0087752B">
              <w:t> </w:t>
            </w:r>
          </w:p>
        </w:tc>
        <w:tc>
          <w:tcPr>
            <w:tcW w:w="851" w:type="dxa"/>
            <w:tcBorders>
              <w:left w:val="nil"/>
              <w:bottom w:val="nil"/>
              <w:right w:val="nil"/>
            </w:tcBorders>
            <w:vAlign w:val="bottom"/>
          </w:tcPr>
          <w:p w14:paraId="577A4A18" w14:textId="77777777" w:rsidR="006016B9" w:rsidRPr="0087752B" w:rsidRDefault="006016B9" w:rsidP="008D2BAC">
            <w:pPr>
              <w:pStyle w:val="DETTableTextFinancial"/>
              <w:jc w:val="right"/>
            </w:pPr>
            <w:r w:rsidRPr="0087752B">
              <w:t> </w:t>
            </w:r>
          </w:p>
        </w:tc>
        <w:tc>
          <w:tcPr>
            <w:tcW w:w="1134" w:type="dxa"/>
            <w:tcBorders>
              <w:left w:val="nil"/>
              <w:bottom w:val="nil"/>
              <w:right w:val="nil"/>
            </w:tcBorders>
            <w:vAlign w:val="bottom"/>
          </w:tcPr>
          <w:p w14:paraId="09796FE9" w14:textId="77777777" w:rsidR="006016B9" w:rsidRPr="0087752B" w:rsidRDefault="006016B9" w:rsidP="008D2BAC">
            <w:pPr>
              <w:pStyle w:val="DETTableTextFinancial"/>
              <w:jc w:val="right"/>
            </w:pPr>
            <w:r w:rsidRPr="0087752B">
              <w:t> </w:t>
            </w:r>
          </w:p>
        </w:tc>
        <w:tc>
          <w:tcPr>
            <w:tcW w:w="1134" w:type="dxa"/>
            <w:tcBorders>
              <w:left w:val="nil"/>
              <w:bottom w:val="nil"/>
              <w:right w:val="nil"/>
            </w:tcBorders>
            <w:shd w:val="clear" w:color="auto" w:fill="F8F8F8"/>
            <w:vAlign w:val="bottom"/>
          </w:tcPr>
          <w:p w14:paraId="12C6F46C" w14:textId="77777777" w:rsidR="006016B9" w:rsidRPr="0087752B" w:rsidRDefault="006016B9" w:rsidP="008D2BAC">
            <w:pPr>
              <w:pStyle w:val="DETTableTextFinancial"/>
              <w:jc w:val="right"/>
            </w:pPr>
            <w:r w:rsidRPr="0087752B">
              <w:t> </w:t>
            </w:r>
          </w:p>
        </w:tc>
        <w:tc>
          <w:tcPr>
            <w:tcW w:w="850" w:type="dxa"/>
            <w:tcBorders>
              <w:left w:val="nil"/>
              <w:bottom w:val="nil"/>
              <w:right w:val="nil"/>
            </w:tcBorders>
            <w:shd w:val="clear" w:color="auto" w:fill="F8F8F8"/>
            <w:vAlign w:val="bottom"/>
          </w:tcPr>
          <w:p w14:paraId="759B7E3E" w14:textId="77777777" w:rsidR="006016B9" w:rsidRPr="0087752B" w:rsidRDefault="006016B9" w:rsidP="008D2BAC">
            <w:pPr>
              <w:pStyle w:val="DETTableTextFinancial"/>
              <w:jc w:val="right"/>
            </w:pPr>
            <w:r w:rsidRPr="0087752B">
              <w:t> </w:t>
            </w:r>
          </w:p>
        </w:tc>
        <w:tc>
          <w:tcPr>
            <w:tcW w:w="1099" w:type="dxa"/>
            <w:tcBorders>
              <w:left w:val="nil"/>
              <w:bottom w:val="nil"/>
              <w:right w:val="nil"/>
            </w:tcBorders>
            <w:shd w:val="clear" w:color="auto" w:fill="F8F8F8"/>
            <w:vAlign w:val="bottom"/>
          </w:tcPr>
          <w:p w14:paraId="6946F467" w14:textId="77777777" w:rsidR="006016B9" w:rsidRPr="0087752B" w:rsidRDefault="006016B9" w:rsidP="008D2BAC">
            <w:pPr>
              <w:pStyle w:val="DETTableTextFinancial"/>
              <w:jc w:val="right"/>
            </w:pPr>
            <w:r w:rsidRPr="0087752B">
              <w:t> </w:t>
            </w:r>
          </w:p>
        </w:tc>
      </w:tr>
      <w:tr w:rsidR="00A8286F" w:rsidRPr="0087752B" w14:paraId="28509854" w14:textId="77777777" w:rsidTr="00791AA9">
        <w:tc>
          <w:tcPr>
            <w:tcW w:w="1384" w:type="dxa"/>
            <w:tcBorders>
              <w:top w:val="nil"/>
              <w:left w:val="nil"/>
              <w:bottom w:val="nil"/>
              <w:right w:val="nil"/>
            </w:tcBorders>
            <w:vAlign w:val="bottom"/>
          </w:tcPr>
          <w:p w14:paraId="3ECA861D" w14:textId="77777777" w:rsidR="006016B9" w:rsidRPr="0087752B" w:rsidRDefault="006016B9" w:rsidP="008D2BAC">
            <w:pPr>
              <w:pStyle w:val="DETTableTextFinancial"/>
            </w:pPr>
            <w:r w:rsidRPr="0087752B">
              <w:t>VPSG1</w:t>
            </w:r>
          </w:p>
        </w:tc>
        <w:tc>
          <w:tcPr>
            <w:tcW w:w="1134" w:type="dxa"/>
            <w:tcBorders>
              <w:top w:val="nil"/>
              <w:left w:val="nil"/>
              <w:bottom w:val="nil"/>
              <w:right w:val="nil"/>
            </w:tcBorders>
            <w:vAlign w:val="bottom"/>
          </w:tcPr>
          <w:p w14:paraId="7A87DC7A" w14:textId="77777777" w:rsidR="006016B9" w:rsidRPr="0087752B" w:rsidRDefault="006016B9" w:rsidP="008D2BAC">
            <w:pPr>
              <w:pStyle w:val="DETTableTextFinancial"/>
              <w:jc w:val="right"/>
            </w:pPr>
            <w:r w:rsidRPr="0087752B">
              <w:t>4</w:t>
            </w:r>
          </w:p>
        </w:tc>
        <w:tc>
          <w:tcPr>
            <w:tcW w:w="851" w:type="dxa"/>
            <w:tcBorders>
              <w:top w:val="nil"/>
              <w:left w:val="nil"/>
              <w:bottom w:val="nil"/>
              <w:right w:val="nil"/>
            </w:tcBorders>
            <w:vAlign w:val="bottom"/>
          </w:tcPr>
          <w:p w14:paraId="49221B46" w14:textId="77777777" w:rsidR="006016B9" w:rsidRPr="0087752B" w:rsidRDefault="006016B9" w:rsidP="008D2BAC">
            <w:pPr>
              <w:pStyle w:val="DETTableTextFinancial"/>
              <w:jc w:val="right"/>
            </w:pPr>
            <w:r w:rsidRPr="0087752B">
              <w:t>3.8</w:t>
            </w:r>
          </w:p>
        </w:tc>
        <w:tc>
          <w:tcPr>
            <w:tcW w:w="1134" w:type="dxa"/>
            <w:tcBorders>
              <w:top w:val="nil"/>
              <w:left w:val="nil"/>
              <w:bottom w:val="nil"/>
              <w:right w:val="nil"/>
            </w:tcBorders>
            <w:vAlign w:val="bottom"/>
          </w:tcPr>
          <w:p w14:paraId="3C7D1616" w14:textId="77777777" w:rsidR="006016B9" w:rsidRPr="0087752B" w:rsidRDefault="006016B9" w:rsidP="008D2BAC">
            <w:pPr>
              <w:pStyle w:val="DETTableTextFinancial"/>
              <w:jc w:val="right"/>
            </w:pPr>
            <w:r w:rsidRPr="0087752B">
              <w:t>0.5</w:t>
            </w:r>
          </w:p>
        </w:tc>
        <w:tc>
          <w:tcPr>
            <w:tcW w:w="1134" w:type="dxa"/>
            <w:tcBorders>
              <w:top w:val="nil"/>
              <w:left w:val="nil"/>
              <w:bottom w:val="nil"/>
              <w:right w:val="nil"/>
            </w:tcBorders>
            <w:shd w:val="clear" w:color="auto" w:fill="F8F8F8"/>
            <w:vAlign w:val="bottom"/>
          </w:tcPr>
          <w:p w14:paraId="25C512AD" w14:textId="77777777" w:rsidR="006016B9" w:rsidRPr="0087752B" w:rsidRDefault="006016B9" w:rsidP="008D2BAC">
            <w:pPr>
              <w:pStyle w:val="DETTableTextFinancial"/>
              <w:jc w:val="right"/>
            </w:pPr>
            <w:r w:rsidRPr="0087752B">
              <w:t>1</w:t>
            </w:r>
          </w:p>
        </w:tc>
        <w:tc>
          <w:tcPr>
            <w:tcW w:w="850" w:type="dxa"/>
            <w:tcBorders>
              <w:top w:val="nil"/>
              <w:left w:val="nil"/>
              <w:bottom w:val="nil"/>
              <w:right w:val="nil"/>
            </w:tcBorders>
            <w:shd w:val="clear" w:color="auto" w:fill="F8F8F8"/>
            <w:vAlign w:val="bottom"/>
          </w:tcPr>
          <w:p w14:paraId="146A31AB" w14:textId="77777777" w:rsidR="006016B9" w:rsidRPr="0087752B" w:rsidRDefault="006016B9" w:rsidP="008D2BAC">
            <w:pPr>
              <w:pStyle w:val="DETTableTextFinancial"/>
              <w:jc w:val="right"/>
            </w:pPr>
            <w:r w:rsidRPr="0087752B">
              <w:t>1.0</w:t>
            </w:r>
          </w:p>
        </w:tc>
        <w:tc>
          <w:tcPr>
            <w:tcW w:w="1099" w:type="dxa"/>
            <w:tcBorders>
              <w:top w:val="nil"/>
              <w:left w:val="nil"/>
              <w:bottom w:val="nil"/>
              <w:right w:val="nil"/>
            </w:tcBorders>
            <w:shd w:val="clear" w:color="auto" w:fill="F8F8F8"/>
            <w:vAlign w:val="bottom"/>
          </w:tcPr>
          <w:p w14:paraId="49003726" w14:textId="77777777" w:rsidR="006016B9" w:rsidRPr="0087752B" w:rsidRDefault="006016B9" w:rsidP="008D2BAC">
            <w:pPr>
              <w:pStyle w:val="DETTableTextFinancial"/>
              <w:jc w:val="right"/>
            </w:pPr>
            <w:r w:rsidRPr="0087752B">
              <w:t>1.9</w:t>
            </w:r>
          </w:p>
        </w:tc>
      </w:tr>
      <w:tr w:rsidR="00A8286F" w:rsidRPr="0087752B" w14:paraId="7A4E626C" w14:textId="77777777" w:rsidTr="00791AA9">
        <w:tc>
          <w:tcPr>
            <w:tcW w:w="1384" w:type="dxa"/>
            <w:tcBorders>
              <w:top w:val="nil"/>
              <w:left w:val="nil"/>
              <w:bottom w:val="nil"/>
              <w:right w:val="nil"/>
            </w:tcBorders>
            <w:vAlign w:val="bottom"/>
          </w:tcPr>
          <w:p w14:paraId="36F09B18" w14:textId="77777777" w:rsidR="006016B9" w:rsidRPr="0087752B" w:rsidRDefault="006016B9" w:rsidP="008D2BAC">
            <w:pPr>
              <w:pStyle w:val="DETTableTextFinancial"/>
            </w:pPr>
            <w:r w:rsidRPr="0087752B">
              <w:t>VPSG24</w:t>
            </w:r>
          </w:p>
        </w:tc>
        <w:tc>
          <w:tcPr>
            <w:tcW w:w="1134" w:type="dxa"/>
            <w:tcBorders>
              <w:top w:val="nil"/>
              <w:left w:val="nil"/>
              <w:bottom w:val="nil"/>
              <w:right w:val="nil"/>
            </w:tcBorders>
            <w:vAlign w:val="bottom"/>
          </w:tcPr>
          <w:p w14:paraId="477AB39F" w14:textId="77777777" w:rsidR="006016B9" w:rsidRPr="0087752B" w:rsidRDefault="006016B9" w:rsidP="008D2BAC">
            <w:pPr>
              <w:pStyle w:val="DETTableTextFinancial"/>
              <w:jc w:val="right"/>
            </w:pPr>
            <w:r w:rsidRPr="0087752B">
              <w:t>107</w:t>
            </w:r>
          </w:p>
        </w:tc>
        <w:tc>
          <w:tcPr>
            <w:tcW w:w="851" w:type="dxa"/>
            <w:tcBorders>
              <w:top w:val="nil"/>
              <w:left w:val="nil"/>
              <w:bottom w:val="nil"/>
              <w:right w:val="nil"/>
            </w:tcBorders>
            <w:vAlign w:val="bottom"/>
          </w:tcPr>
          <w:p w14:paraId="4949B4AD" w14:textId="77777777" w:rsidR="006016B9" w:rsidRPr="0087752B" w:rsidRDefault="006016B9" w:rsidP="008D2BAC">
            <w:pPr>
              <w:pStyle w:val="DETTableTextFinancial"/>
              <w:jc w:val="right"/>
            </w:pPr>
            <w:r w:rsidRPr="0087752B">
              <w:t>97.1</w:t>
            </w:r>
          </w:p>
        </w:tc>
        <w:tc>
          <w:tcPr>
            <w:tcW w:w="1134" w:type="dxa"/>
            <w:tcBorders>
              <w:top w:val="nil"/>
              <w:left w:val="nil"/>
              <w:bottom w:val="nil"/>
              <w:right w:val="nil"/>
            </w:tcBorders>
            <w:vAlign w:val="bottom"/>
          </w:tcPr>
          <w:p w14:paraId="2BA5297D" w14:textId="77777777" w:rsidR="006016B9" w:rsidRPr="0087752B" w:rsidRDefault="006016B9" w:rsidP="008D2BAC">
            <w:pPr>
              <w:pStyle w:val="DETTableTextFinancial"/>
              <w:jc w:val="right"/>
            </w:pPr>
            <w:r w:rsidRPr="0087752B">
              <w:t>18.7</w:t>
            </w:r>
          </w:p>
        </w:tc>
        <w:tc>
          <w:tcPr>
            <w:tcW w:w="1134" w:type="dxa"/>
            <w:tcBorders>
              <w:top w:val="nil"/>
              <w:left w:val="nil"/>
              <w:bottom w:val="nil"/>
              <w:right w:val="nil"/>
            </w:tcBorders>
            <w:shd w:val="clear" w:color="auto" w:fill="F8F8F8"/>
            <w:vAlign w:val="bottom"/>
          </w:tcPr>
          <w:p w14:paraId="7A3575AD" w14:textId="77777777" w:rsidR="006016B9" w:rsidRPr="0087752B" w:rsidRDefault="006016B9" w:rsidP="008D2BAC">
            <w:pPr>
              <w:pStyle w:val="DETTableTextFinancial"/>
              <w:jc w:val="right"/>
            </w:pPr>
            <w:r w:rsidRPr="0087752B">
              <w:t>117</w:t>
            </w:r>
          </w:p>
        </w:tc>
        <w:tc>
          <w:tcPr>
            <w:tcW w:w="850" w:type="dxa"/>
            <w:tcBorders>
              <w:top w:val="nil"/>
              <w:left w:val="nil"/>
              <w:bottom w:val="nil"/>
              <w:right w:val="nil"/>
            </w:tcBorders>
            <w:shd w:val="clear" w:color="auto" w:fill="F8F8F8"/>
            <w:vAlign w:val="bottom"/>
          </w:tcPr>
          <w:p w14:paraId="6FF062CF" w14:textId="77777777" w:rsidR="006016B9" w:rsidRPr="0087752B" w:rsidRDefault="006016B9" w:rsidP="008D2BAC">
            <w:pPr>
              <w:pStyle w:val="DETTableTextFinancial"/>
              <w:jc w:val="right"/>
            </w:pPr>
            <w:r w:rsidRPr="0087752B">
              <w:t>108.1</w:t>
            </w:r>
          </w:p>
        </w:tc>
        <w:tc>
          <w:tcPr>
            <w:tcW w:w="1099" w:type="dxa"/>
            <w:tcBorders>
              <w:top w:val="nil"/>
              <w:left w:val="nil"/>
              <w:bottom w:val="nil"/>
              <w:right w:val="nil"/>
            </w:tcBorders>
            <w:shd w:val="clear" w:color="auto" w:fill="F8F8F8"/>
            <w:vAlign w:val="bottom"/>
          </w:tcPr>
          <w:p w14:paraId="740B8DDE" w14:textId="77777777" w:rsidR="006016B9" w:rsidRPr="0087752B" w:rsidRDefault="006016B9" w:rsidP="008D2BAC">
            <w:pPr>
              <w:pStyle w:val="DETTableTextFinancial"/>
              <w:jc w:val="right"/>
            </w:pPr>
            <w:r w:rsidRPr="0087752B">
              <w:t>7.0</w:t>
            </w:r>
          </w:p>
        </w:tc>
      </w:tr>
      <w:tr w:rsidR="00A8286F" w:rsidRPr="0087752B" w14:paraId="2BB5BD9A" w14:textId="77777777" w:rsidTr="00791AA9">
        <w:tc>
          <w:tcPr>
            <w:tcW w:w="1384" w:type="dxa"/>
            <w:tcBorders>
              <w:top w:val="nil"/>
              <w:left w:val="nil"/>
              <w:bottom w:val="nil"/>
              <w:right w:val="nil"/>
            </w:tcBorders>
            <w:vAlign w:val="bottom"/>
          </w:tcPr>
          <w:p w14:paraId="2C22D547" w14:textId="77777777" w:rsidR="006016B9" w:rsidRPr="0087752B" w:rsidRDefault="006016B9" w:rsidP="008D2BAC">
            <w:pPr>
              <w:pStyle w:val="DETTableTextFinancial"/>
            </w:pPr>
            <w:r w:rsidRPr="0087752B">
              <w:t>VPSG3</w:t>
            </w:r>
          </w:p>
        </w:tc>
        <w:tc>
          <w:tcPr>
            <w:tcW w:w="1134" w:type="dxa"/>
            <w:tcBorders>
              <w:top w:val="nil"/>
              <w:left w:val="nil"/>
              <w:bottom w:val="nil"/>
              <w:right w:val="nil"/>
            </w:tcBorders>
            <w:vAlign w:val="bottom"/>
          </w:tcPr>
          <w:p w14:paraId="4F5CCB00" w14:textId="77777777" w:rsidR="006016B9" w:rsidRPr="0087752B" w:rsidRDefault="006016B9" w:rsidP="008D2BAC">
            <w:pPr>
              <w:pStyle w:val="DETTableTextFinancial"/>
              <w:jc w:val="right"/>
            </w:pPr>
            <w:r w:rsidRPr="0087752B">
              <w:t>272</w:t>
            </w:r>
          </w:p>
        </w:tc>
        <w:tc>
          <w:tcPr>
            <w:tcW w:w="851" w:type="dxa"/>
            <w:tcBorders>
              <w:top w:val="nil"/>
              <w:left w:val="nil"/>
              <w:bottom w:val="nil"/>
              <w:right w:val="nil"/>
            </w:tcBorders>
            <w:vAlign w:val="bottom"/>
          </w:tcPr>
          <w:p w14:paraId="35E4A068" w14:textId="77777777" w:rsidR="006016B9" w:rsidRPr="0087752B" w:rsidRDefault="006016B9" w:rsidP="008D2BAC">
            <w:pPr>
              <w:pStyle w:val="DETTableTextFinancial"/>
              <w:jc w:val="right"/>
            </w:pPr>
            <w:r w:rsidRPr="0087752B">
              <w:t>253.4</w:t>
            </w:r>
          </w:p>
        </w:tc>
        <w:tc>
          <w:tcPr>
            <w:tcW w:w="1134" w:type="dxa"/>
            <w:tcBorders>
              <w:top w:val="nil"/>
              <w:left w:val="nil"/>
              <w:bottom w:val="nil"/>
              <w:right w:val="nil"/>
            </w:tcBorders>
            <w:vAlign w:val="bottom"/>
          </w:tcPr>
          <w:p w14:paraId="1EEA94B8" w14:textId="77777777" w:rsidR="006016B9" w:rsidRPr="0087752B" w:rsidRDefault="006016B9" w:rsidP="008D2BAC">
            <w:pPr>
              <w:pStyle w:val="DETTableTextFinancial"/>
              <w:jc w:val="right"/>
            </w:pPr>
            <w:r w:rsidRPr="0087752B">
              <w:t>15.6</w:t>
            </w:r>
          </w:p>
        </w:tc>
        <w:tc>
          <w:tcPr>
            <w:tcW w:w="1134" w:type="dxa"/>
            <w:tcBorders>
              <w:top w:val="nil"/>
              <w:left w:val="nil"/>
              <w:bottom w:val="nil"/>
              <w:right w:val="nil"/>
            </w:tcBorders>
            <w:shd w:val="clear" w:color="auto" w:fill="F8F8F8"/>
            <w:vAlign w:val="bottom"/>
          </w:tcPr>
          <w:p w14:paraId="28580FA4" w14:textId="77777777" w:rsidR="006016B9" w:rsidRPr="0087752B" w:rsidRDefault="006016B9" w:rsidP="008D2BAC">
            <w:pPr>
              <w:pStyle w:val="DETTableTextFinancial"/>
              <w:jc w:val="right"/>
            </w:pPr>
            <w:r w:rsidRPr="0087752B">
              <w:t>280</w:t>
            </w:r>
          </w:p>
        </w:tc>
        <w:tc>
          <w:tcPr>
            <w:tcW w:w="850" w:type="dxa"/>
            <w:tcBorders>
              <w:top w:val="nil"/>
              <w:left w:val="nil"/>
              <w:bottom w:val="nil"/>
              <w:right w:val="nil"/>
            </w:tcBorders>
            <w:shd w:val="clear" w:color="auto" w:fill="F8F8F8"/>
            <w:vAlign w:val="bottom"/>
          </w:tcPr>
          <w:p w14:paraId="555CD447" w14:textId="77777777" w:rsidR="006016B9" w:rsidRPr="0087752B" w:rsidRDefault="006016B9" w:rsidP="008D2BAC">
            <w:pPr>
              <w:pStyle w:val="DETTableTextFinancial"/>
              <w:jc w:val="right"/>
            </w:pPr>
            <w:r w:rsidRPr="0087752B">
              <w:t>261.1</w:t>
            </w:r>
          </w:p>
        </w:tc>
        <w:tc>
          <w:tcPr>
            <w:tcW w:w="1099" w:type="dxa"/>
            <w:tcBorders>
              <w:top w:val="nil"/>
              <w:left w:val="nil"/>
              <w:bottom w:val="nil"/>
              <w:right w:val="nil"/>
            </w:tcBorders>
            <w:shd w:val="clear" w:color="auto" w:fill="F8F8F8"/>
            <w:vAlign w:val="bottom"/>
          </w:tcPr>
          <w:p w14:paraId="65488F7E" w14:textId="77777777" w:rsidR="006016B9" w:rsidRPr="0087752B" w:rsidRDefault="006016B9" w:rsidP="008D2BAC">
            <w:pPr>
              <w:pStyle w:val="DETTableTextFinancial"/>
              <w:jc w:val="right"/>
            </w:pPr>
            <w:r w:rsidRPr="0087752B">
              <w:t>34.7</w:t>
            </w:r>
          </w:p>
        </w:tc>
      </w:tr>
      <w:tr w:rsidR="00A8286F" w:rsidRPr="0087752B" w14:paraId="2D774187" w14:textId="77777777" w:rsidTr="00791AA9">
        <w:tc>
          <w:tcPr>
            <w:tcW w:w="1384" w:type="dxa"/>
            <w:tcBorders>
              <w:top w:val="nil"/>
              <w:left w:val="nil"/>
              <w:bottom w:val="nil"/>
              <w:right w:val="nil"/>
            </w:tcBorders>
            <w:vAlign w:val="bottom"/>
          </w:tcPr>
          <w:p w14:paraId="763774D7" w14:textId="77777777" w:rsidR="006016B9" w:rsidRPr="0087752B" w:rsidRDefault="006016B9" w:rsidP="008D2BAC">
            <w:pPr>
              <w:pStyle w:val="DETTableTextFinancial"/>
            </w:pPr>
            <w:r w:rsidRPr="0087752B">
              <w:t>VPSG4</w:t>
            </w:r>
          </w:p>
        </w:tc>
        <w:tc>
          <w:tcPr>
            <w:tcW w:w="1134" w:type="dxa"/>
            <w:tcBorders>
              <w:top w:val="nil"/>
              <w:left w:val="nil"/>
              <w:bottom w:val="nil"/>
              <w:right w:val="nil"/>
            </w:tcBorders>
            <w:vAlign w:val="bottom"/>
          </w:tcPr>
          <w:p w14:paraId="488A4947" w14:textId="77777777" w:rsidR="006016B9" w:rsidRPr="0087752B" w:rsidRDefault="006016B9" w:rsidP="008D2BAC">
            <w:pPr>
              <w:pStyle w:val="DETTableTextFinancial"/>
              <w:jc w:val="right"/>
            </w:pPr>
            <w:r w:rsidRPr="0087752B">
              <w:t>329</w:t>
            </w:r>
          </w:p>
        </w:tc>
        <w:tc>
          <w:tcPr>
            <w:tcW w:w="851" w:type="dxa"/>
            <w:tcBorders>
              <w:top w:val="nil"/>
              <w:left w:val="nil"/>
              <w:bottom w:val="nil"/>
              <w:right w:val="nil"/>
            </w:tcBorders>
            <w:vAlign w:val="bottom"/>
          </w:tcPr>
          <w:p w14:paraId="7C29F54B" w14:textId="77777777" w:rsidR="006016B9" w:rsidRPr="0087752B" w:rsidRDefault="006016B9" w:rsidP="008D2BAC">
            <w:pPr>
              <w:pStyle w:val="DETTableTextFinancial"/>
              <w:jc w:val="right"/>
            </w:pPr>
            <w:r w:rsidRPr="0087752B">
              <w:t>309.7</w:t>
            </w:r>
          </w:p>
        </w:tc>
        <w:tc>
          <w:tcPr>
            <w:tcW w:w="1134" w:type="dxa"/>
            <w:tcBorders>
              <w:top w:val="nil"/>
              <w:left w:val="nil"/>
              <w:bottom w:val="nil"/>
              <w:right w:val="nil"/>
            </w:tcBorders>
            <w:vAlign w:val="bottom"/>
          </w:tcPr>
          <w:p w14:paraId="70B4298A" w14:textId="77777777" w:rsidR="006016B9" w:rsidRPr="0087752B" w:rsidRDefault="006016B9" w:rsidP="008D2BAC">
            <w:pPr>
              <w:pStyle w:val="DETTableTextFinancial"/>
              <w:jc w:val="right"/>
            </w:pPr>
            <w:r w:rsidRPr="0087752B">
              <w:t>40.1</w:t>
            </w:r>
          </w:p>
        </w:tc>
        <w:tc>
          <w:tcPr>
            <w:tcW w:w="1134" w:type="dxa"/>
            <w:tcBorders>
              <w:top w:val="nil"/>
              <w:left w:val="nil"/>
              <w:bottom w:val="nil"/>
              <w:right w:val="nil"/>
            </w:tcBorders>
            <w:shd w:val="clear" w:color="auto" w:fill="F8F8F8"/>
            <w:vAlign w:val="bottom"/>
          </w:tcPr>
          <w:p w14:paraId="4AAA9788" w14:textId="77777777" w:rsidR="006016B9" w:rsidRPr="0087752B" w:rsidRDefault="006016B9" w:rsidP="008D2BAC">
            <w:pPr>
              <w:pStyle w:val="DETTableTextFinancial"/>
              <w:jc w:val="right"/>
            </w:pPr>
            <w:r w:rsidRPr="0087752B">
              <w:t>337</w:t>
            </w:r>
          </w:p>
        </w:tc>
        <w:tc>
          <w:tcPr>
            <w:tcW w:w="850" w:type="dxa"/>
            <w:tcBorders>
              <w:top w:val="nil"/>
              <w:left w:val="nil"/>
              <w:bottom w:val="nil"/>
              <w:right w:val="nil"/>
            </w:tcBorders>
            <w:shd w:val="clear" w:color="auto" w:fill="F8F8F8"/>
            <w:vAlign w:val="bottom"/>
          </w:tcPr>
          <w:p w14:paraId="0D8414C0" w14:textId="77777777" w:rsidR="006016B9" w:rsidRPr="0087752B" w:rsidRDefault="006016B9" w:rsidP="008D2BAC">
            <w:pPr>
              <w:pStyle w:val="DETTableTextFinancial"/>
              <w:jc w:val="right"/>
            </w:pPr>
            <w:r w:rsidRPr="0087752B">
              <w:t>319.4</w:t>
            </w:r>
          </w:p>
        </w:tc>
        <w:tc>
          <w:tcPr>
            <w:tcW w:w="1099" w:type="dxa"/>
            <w:tcBorders>
              <w:top w:val="nil"/>
              <w:left w:val="nil"/>
              <w:bottom w:val="nil"/>
              <w:right w:val="nil"/>
            </w:tcBorders>
            <w:shd w:val="clear" w:color="auto" w:fill="F8F8F8"/>
            <w:vAlign w:val="bottom"/>
          </w:tcPr>
          <w:p w14:paraId="1F1CC326" w14:textId="77777777" w:rsidR="006016B9" w:rsidRPr="0087752B" w:rsidRDefault="006016B9" w:rsidP="008D2BAC">
            <w:pPr>
              <w:pStyle w:val="DETTableTextFinancial"/>
              <w:jc w:val="right"/>
            </w:pPr>
            <w:r w:rsidRPr="0087752B">
              <w:t>38.8</w:t>
            </w:r>
          </w:p>
        </w:tc>
      </w:tr>
      <w:tr w:rsidR="00A8286F" w:rsidRPr="0087752B" w14:paraId="7753438D" w14:textId="77777777" w:rsidTr="00791AA9">
        <w:tc>
          <w:tcPr>
            <w:tcW w:w="1384" w:type="dxa"/>
            <w:tcBorders>
              <w:top w:val="nil"/>
              <w:left w:val="nil"/>
              <w:bottom w:val="nil"/>
              <w:right w:val="nil"/>
            </w:tcBorders>
            <w:vAlign w:val="bottom"/>
          </w:tcPr>
          <w:p w14:paraId="53199EC6" w14:textId="77777777" w:rsidR="006016B9" w:rsidRPr="0087752B" w:rsidRDefault="006016B9" w:rsidP="008D2BAC">
            <w:pPr>
              <w:pStyle w:val="DETTableTextFinancial"/>
            </w:pPr>
            <w:r w:rsidRPr="0087752B">
              <w:t>VPSG5</w:t>
            </w:r>
          </w:p>
        </w:tc>
        <w:tc>
          <w:tcPr>
            <w:tcW w:w="1134" w:type="dxa"/>
            <w:tcBorders>
              <w:top w:val="nil"/>
              <w:left w:val="nil"/>
              <w:bottom w:val="nil"/>
              <w:right w:val="nil"/>
            </w:tcBorders>
            <w:vAlign w:val="bottom"/>
          </w:tcPr>
          <w:p w14:paraId="18ECFDC1" w14:textId="77777777" w:rsidR="006016B9" w:rsidRPr="0087752B" w:rsidRDefault="006016B9" w:rsidP="008D2BAC">
            <w:pPr>
              <w:pStyle w:val="DETTableTextFinancial"/>
              <w:jc w:val="right"/>
            </w:pPr>
            <w:r w:rsidRPr="0087752B">
              <w:t>617</w:t>
            </w:r>
          </w:p>
        </w:tc>
        <w:tc>
          <w:tcPr>
            <w:tcW w:w="851" w:type="dxa"/>
            <w:tcBorders>
              <w:top w:val="nil"/>
              <w:left w:val="nil"/>
              <w:bottom w:val="nil"/>
              <w:right w:val="nil"/>
            </w:tcBorders>
            <w:vAlign w:val="bottom"/>
          </w:tcPr>
          <w:p w14:paraId="56CF9733" w14:textId="77777777" w:rsidR="006016B9" w:rsidRPr="0087752B" w:rsidRDefault="006016B9" w:rsidP="008D2BAC">
            <w:pPr>
              <w:pStyle w:val="DETTableTextFinancial"/>
              <w:jc w:val="right"/>
            </w:pPr>
            <w:r w:rsidRPr="0087752B">
              <w:t>579.3</w:t>
            </w:r>
          </w:p>
        </w:tc>
        <w:tc>
          <w:tcPr>
            <w:tcW w:w="1134" w:type="dxa"/>
            <w:tcBorders>
              <w:top w:val="nil"/>
              <w:left w:val="nil"/>
              <w:bottom w:val="nil"/>
              <w:right w:val="nil"/>
            </w:tcBorders>
            <w:vAlign w:val="bottom"/>
          </w:tcPr>
          <w:p w14:paraId="74E8614E" w14:textId="77777777" w:rsidR="006016B9" w:rsidRPr="0087752B" w:rsidRDefault="006016B9" w:rsidP="008D2BAC">
            <w:pPr>
              <w:pStyle w:val="DETTableTextFinancial"/>
              <w:jc w:val="right"/>
            </w:pPr>
            <w:r w:rsidRPr="0087752B">
              <w:t>32.4</w:t>
            </w:r>
          </w:p>
        </w:tc>
        <w:tc>
          <w:tcPr>
            <w:tcW w:w="1134" w:type="dxa"/>
            <w:tcBorders>
              <w:top w:val="nil"/>
              <w:left w:val="nil"/>
              <w:bottom w:val="nil"/>
              <w:right w:val="nil"/>
            </w:tcBorders>
            <w:shd w:val="clear" w:color="auto" w:fill="F8F8F8"/>
            <w:vAlign w:val="bottom"/>
          </w:tcPr>
          <w:p w14:paraId="11E9EF1D" w14:textId="77777777" w:rsidR="006016B9" w:rsidRPr="0087752B" w:rsidRDefault="006016B9" w:rsidP="008D2BAC">
            <w:pPr>
              <w:pStyle w:val="DETTableTextFinancial"/>
              <w:jc w:val="right"/>
            </w:pPr>
            <w:r w:rsidRPr="0087752B">
              <w:t>642</w:t>
            </w:r>
          </w:p>
        </w:tc>
        <w:tc>
          <w:tcPr>
            <w:tcW w:w="850" w:type="dxa"/>
            <w:tcBorders>
              <w:top w:val="nil"/>
              <w:left w:val="nil"/>
              <w:bottom w:val="nil"/>
              <w:right w:val="nil"/>
            </w:tcBorders>
            <w:shd w:val="clear" w:color="auto" w:fill="F8F8F8"/>
            <w:vAlign w:val="bottom"/>
          </w:tcPr>
          <w:p w14:paraId="5686F616" w14:textId="77777777" w:rsidR="006016B9" w:rsidRPr="0087752B" w:rsidRDefault="006016B9" w:rsidP="008D2BAC">
            <w:pPr>
              <w:pStyle w:val="DETTableTextFinancial"/>
              <w:jc w:val="right"/>
            </w:pPr>
            <w:r w:rsidRPr="0087752B">
              <w:t>599.8</w:t>
            </w:r>
          </w:p>
        </w:tc>
        <w:tc>
          <w:tcPr>
            <w:tcW w:w="1099" w:type="dxa"/>
            <w:tcBorders>
              <w:top w:val="nil"/>
              <w:left w:val="nil"/>
              <w:bottom w:val="nil"/>
              <w:right w:val="nil"/>
            </w:tcBorders>
            <w:shd w:val="clear" w:color="auto" w:fill="F8F8F8"/>
            <w:vAlign w:val="bottom"/>
          </w:tcPr>
          <w:p w14:paraId="129B9FEF" w14:textId="77777777" w:rsidR="006016B9" w:rsidRPr="0087752B" w:rsidRDefault="006016B9" w:rsidP="008D2BAC">
            <w:pPr>
              <w:pStyle w:val="DETTableTextFinancial"/>
              <w:jc w:val="right"/>
            </w:pPr>
            <w:r w:rsidRPr="0087752B">
              <w:t>97.8</w:t>
            </w:r>
          </w:p>
        </w:tc>
      </w:tr>
      <w:tr w:rsidR="00A8286F" w:rsidRPr="0087752B" w14:paraId="1B80022A" w14:textId="77777777" w:rsidTr="00791AA9">
        <w:tc>
          <w:tcPr>
            <w:tcW w:w="1384" w:type="dxa"/>
            <w:tcBorders>
              <w:top w:val="nil"/>
              <w:left w:val="nil"/>
              <w:bottom w:val="nil"/>
              <w:right w:val="nil"/>
            </w:tcBorders>
            <w:vAlign w:val="bottom"/>
          </w:tcPr>
          <w:p w14:paraId="50536D1C" w14:textId="77777777" w:rsidR="006016B9" w:rsidRPr="0087752B" w:rsidRDefault="006016B9" w:rsidP="008D2BAC">
            <w:pPr>
              <w:pStyle w:val="DETTableTextFinancial"/>
            </w:pPr>
            <w:r w:rsidRPr="0087752B">
              <w:t>VPSG6</w:t>
            </w:r>
          </w:p>
        </w:tc>
        <w:tc>
          <w:tcPr>
            <w:tcW w:w="1134" w:type="dxa"/>
            <w:tcBorders>
              <w:top w:val="nil"/>
              <w:left w:val="nil"/>
              <w:bottom w:val="nil"/>
              <w:right w:val="nil"/>
            </w:tcBorders>
            <w:vAlign w:val="bottom"/>
          </w:tcPr>
          <w:p w14:paraId="2B8DB2CD" w14:textId="77777777" w:rsidR="006016B9" w:rsidRPr="0087752B" w:rsidRDefault="006016B9" w:rsidP="008D2BAC">
            <w:pPr>
              <w:pStyle w:val="DETTableTextFinancial"/>
              <w:jc w:val="right"/>
            </w:pPr>
            <w:r w:rsidRPr="0087752B">
              <w:t>308</w:t>
            </w:r>
          </w:p>
        </w:tc>
        <w:tc>
          <w:tcPr>
            <w:tcW w:w="851" w:type="dxa"/>
            <w:tcBorders>
              <w:top w:val="nil"/>
              <w:left w:val="nil"/>
              <w:bottom w:val="nil"/>
              <w:right w:val="nil"/>
            </w:tcBorders>
            <w:vAlign w:val="bottom"/>
          </w:tcPr>
          <w:p w14:paraId="76111DF6" w14:textId="77777777" w:rsidR="006016B9" w:rsidRPr="0087752B" w:rsidRDefault="006016B9" w:rsidP="008D2BAC">
            <w:pPr>
              <w:pStyle w:val="DETTableTextFinancial"/>
              <w:jc w:val="right"/>
            </w:pPr>
            <w:r w:rsidRPr="0087752B">
              <w:t>300.1</w:t>
            </w:r>
          </w:p>
        </w:tc>
        <w:tc>
          <w:tcPr>
            <w:tcW w:w="1134" w:type="dxa"/>
            <w:tcBorders>
              <w:top w:val="nil"/>
              <w:left w:val="nil"/>
              <w:bottom w:val="nil"/>
              <w:right w:val="nil"/>
            </w:tcBorders>
            <w:vAlign w:val="bottom"/>
          </w:tcPr>
          <w:p w14:paraId="09B76F1D" w14:textId="77777777" w:rsidR="006016B9" w:rsidRPr="0087752B" w:rsidRDefault="006016B9" w:rsidP="008D2BAC">
            <w:pPr>
              <w:pStyle w:val="DETTableTextFinancial"/>
              <w:jc w:val="right"/>
            </w:pPr>
            <w:r w:rsidRPr="0087752B">
              <w:t>13.7</w:t>
            </w:r>
          </w:p>
        </w:tc>
        <w:tc>
          <w:tcPr>
            <w:tcW w:w="1134" w:type="dxa"/>
            <w:tcBorders>
              <w:top w:val="nil"/>
              <w:left w:val="nil"/>
              <w:bottom w:val="nil"/>
              <w:right w:val="nil"/>
            </w:tcBorders>
            <w:shd w:val="clear" w:color="auto" w:fill="F8F8F8"/>
            <w:vAlign w:val="bottom"/>
          </w:tcPr>
          <w:p w14:paraId="5D2E720B" w14:textId="77777777" w:rsidR="006016B9" w:rsidRPr="0087752B" w:rsidRDefault="006016B9" w:rsidP="008D2BAC">
            <w:pPr>
              <w:pStyle w:val="DETTableTextFinancial"/>
              <w:jc w:val="right"/>
            </w:pPr>
            <w:r w:rsidRPr="0087752B">
              <w:t>339</w:t>
            </w:r>
          </w:p>
        </w:tc>
        <w:tc>
          <w:tcPr>
            <w:tcW w:w="850" w:type="dxa"/>
            <w:tcBorders>
              <w:top w:val="nil"/>
              <w:left w:val="nil"/>
              <w:bottom w:val="nil"/>
              <w:right w:val="nil"/>
            </w:tcBorders>
            <w:shd w:val="clear" w:color="auto" w:fill="F8F8F8"/>
            <w:vAlign w:val="bottom"/>
          </w:tcPr>
          <w:p w14:paraId="59D9E6E9" w14:textId="77777777" w:rsidR="006016B9" w:rsidRPr="0087752B" w:rsidRDefault="006016B9" w:rsidP="008D2BAC">
            <w:pPr>
              <w:pStyle w:val="DETTableTextFinancial"/>
              <w:jc w:val="right"/>
            </w:pPr>
            <w:r w:rsidRPr="0087752B">
              <w:t>330.8</w:t>
            </w:r>
          </w:p>
        </w:tc>
        <w:tc>
          <w:tcPr>
            <w:tcW w:w="1099" w:type="dxa"/>
            <w:tcBorders>
              <w:top w:val="nil"/>
              <w:left w:val="nil"/>
              <w:bottom w:val="nil"/>
              <w:right w:val="nil"/>
            </w:tcBorders>
            <w:shd w:val="clear" w:color="auto" w:fill="F8F8F8"/>
            <w:vAlign w:val="bottom"/>
          </w:tcPr>
          <w:p w14:paraId="177C6D76" w14:textId="77777777" w:rsidR="006016B9" w:rsidRPr="0087752B" w:rsidRDefault="006016B9" w:rsidP="008D2BAC">
            <w:pPr>
              <w:pStyle w:val="DETTableTextFinancial"/>
              <w:jc w:val="right"/>
            </w:pPr>
            <w:r w:rsidRPr="0087752B">
              <w:t>44.4</w:t>
            </w:r>
          </w:p>
        </w:tc>
      </w:tr>
      <w:tr w:rsidR="00A8286F" w:rsidRPr="0087752B" w14:paraId="6837C65E" w14:textId="77777777" w:rsidTr="00791AA9">
        <w:tc>
          <w:tcPr>
            <w:tcW w:w="1384" w:type="dxa"/>
            <w:tcBorders>
              <w:top w:val="nil"/>
              <w:left w:val="nil"/>
              <w:bottom w:val="nil"/>
              <w:right w:val="nil"/>
            </w:tcBorders>
            <w:vAlign w:val="bottom"/>
          </w:tcPr>
          <w:p w14:paraId="18DFC4E0" w14:textId="77777777" w:rsidR="006016B9" w:rsidRPr="0087752B" w:rsidRDefault="006016B9" w:rsidP="008D2BAC">
            <w:pPr>
              <w:pStyle w:val="DETTableTextFinancial"/>
            </w:pPr>
            <w:r w:rsidRPr="0087752B">
              <w:t>STS</w:t>
            </w:r>
          </w:p>
        </w:tc>
        <w:tc>
          <w:tcPr>
            <w:tcW w:w="1134" w:type="dxa"/>
            <w:tcBorders>
              <w:top w:val="nil"/>
              <w:left w:val="nil"/>
              <w:bottom w:val="nil"/>
              <w:right w:val="nil"/>
            </w:tcBorders>
            <w:vAlign w:val="bottom"/>
          </w:tcPr>
          <w:p w14:paraId="5B908104" w14:textId="77777777" w:rsidR="006016B9" w:rsidRPr="0087752B" w:rsidRDefault="006016B9" w:rsidP="008D2BAC">
            <w:pPr>
              <w:pStyle w:val="DETTableTextFinancial"/>
              <w:jc w:val="right"/>
            </w:pPr>
            <w:r w:rsidRPr="0087752B">
              <w:t>14</w:t>
            </w:r>
          </w:p>
        </w:tc>
        <w:tc>
          <w:tcPr>
            <w:tcW w:w="851" w:type="dxa"/>
            <w:tcBorders>
              <w:top w:val="nil"/>
              <w:left w:val="nil"/>
              <w:bottom w:val="nil"/>
              <w:right w:val="nil"/>
            </w:tcBorders>
            <w:vAlign w:val="bottom"/>
          </w:tcPr>
          <w:p w14:paraId="51B266C5" w14:textId="77777777" w:rsidR="006016B9" w:rsidRPr="0087752B" w:rsidRDefault="006016B9" w:rsidP="008D2BAC">
            <w:pPr>
              <w:pStyle w:val="DETTableTextFinancial"/>
              <w:jc w:val="right"/>
            </w:pPr>
            <w:r w:rsidRPr="0087752B">
              <w:t>14.0</w:t>
            </w:r>
          </w:p>
        </w:tc>
        <w:tc>
          <w:tcPr>
            <w:tcW w:w="1134" w:type="dxa"/>
            <w:tcBorders>
              <w:top w:val="nil"/>
              <w:left w:val="nil"/>
              <w:bottom w:val="nil"/>
              <w:right w:val="nil"/>
            </w:tcBorders>
            <w:vAlign w:val="bottom"/>
          </w:tcPr>
          <w:p w14:paraId="441D781F" w14:textId="77777777" w:rsidR="006016B9" w:rsidRPr="0087752B" w:rsidRDefault="006016B9" w:rsidP="008D2BAC">
            <w:pPr>
              <w:pStyle w:val="DETTableTextFinancial"/>
              <w:jc w:val="right"/>
            </w:pPr>
            <w:r w:rsidRPr="0087752B">
              <w:t>0.8</w:t>
            </w:r>
          </w:p>
        </w:tc>
        <w:tc>
          <w:tcPr>
            <w:tcW w:w="1134" w:type="dxa"/>
            <w:tcBorders>
              <w:top w:val="nil"/>
              <w:left w:val="nil"/>
              <w:bottom w:val="nil"/>
              <w:right w:val="nil"/>
            </w:tcBorders>
            <w:shd w:val="clear" w:color="auto" w:fill="F8F8F8"/>
            <w:vAlign w:val="bottom"/>
          </w:tcPr>
          <w:p w14:paraId="39960DF6" w14:textId="77777777" w:rsidR="006016B9" w:rsidRPr="0087752B" w:rsidRDefault="006016B9" w:rsidP="008D2BAC">
            <w:pPr>
              <w:pStyle w:val="DETTableTextFinancial"/>
              <w:jc w:val="right"/>
            </w:pPr>
            <w:r w:rsidRPr="0087752B">
              <w:t>18</w:t>
            </w:r>
          </w:p>
        </w:tc>
        <w:tc>
          <w:tcPr>
            <w:tcW w:w="850" w:type="dxa"/>
            <w:tcBorders>
              <w:top w:val="nil"/>
              <w:left w:val="nil"/>
              <w:bottom w:val="nil"/>
              <w:right w:val="nil"/>
            </w:tcBorders>
            <w:shd w:val="clear" w:color="auto" w:fill="F8F8F8"/>
            <w:vAlign w:val="bottom"/>
          </w:tcPr>
          <w:p w14:paraId="4CA261E5" w14:textId="77777777" w:rsidR="006016B9" w:rsidRPr="0087752B" w:rsidRDefault="006016B9" w:rsidP="008D2BAC">
            <w:pPr>
              <w:pStyle w:val="DETTableTextFinancial"/>
              <w:jc w:val="right"/>
            </w:pPr>
            <w:r w:rsidRPr="0087752B">
              <w:t>17.3</w:t>
            </w:r>
          </w:p>
        </w:tc>
        <w:tc>
          <w:tcPr>
            <w:tcW w:w="1099" w:type="dxa"/>
            <w:tcBorders>
              <w:top w:val="nil"/>
              <w:left w:val="nil"/>
              <w:bottom w:val="nil"/>
              <w:right w:val="nil"/>
            </w:tcBorders>
            <w:shd w:val="clear" w:color="auto" w:fill="F8F8F8"/>
            <w:vAlign w:val="bottom"/>
          </w:tcPr>
          <w:p w14:paraId="0C926BA1" w14:textId="77777777" w:rsidR="006016B9" w:rsidRPr="0087752B" w:rsidRDefault="006016B9" w:rsidP="008D2BAC">
            <w:pPr>
              <w:pStyle w:val="DETTableTextFinancial"/>
              <w:jc w:val="right"/>
            </w:pPr>
            <w:r w:rsidRPr="0087752B">
              <w:t>1.8</w:t>
            </w:r>
          </w:p>
        </w:tc>
      </w:tr>
      <w:tr w:rsidR="00A8286F" w:rsidRPr="0087752B" w14:paraId="3EEE377A" w14:textId="77777777" w:rsidTr="00791AA9">
        <w:tc>
          <w:tcPr>
            <w:tcW w:w="1384" w:type="dxa"/>
            <w:tcBorders>
              <w:top w:val="nil"/>
              <w:left w:val="nil"/>
              <w:bottom w:val="nil"/>
              <w:right w:val="nil"/>
            </w:tcBorders>
            <w:vAlign w:val="bottom"/>
          </w:tcPr>
          <w:p w14:paraId="3EC1FDE8" w14:textId="77777777" w:rsidR="006016B9" w:rsidRPr="0087752B" w:rsidRDefault="006016B9" w:rsidP="008D2BAC">
            <w:pPr>
              <w:pStyle w:val="DETTableTextFinancial"/>
            </w:pPr>
            <w:r w:rsidRPr="0087752B">
              <w:t>Executive Officers</w:t>
            </w:r>
          </w:p>
        </w:tc>
        <w:tc>
          <w:tcPr>
            <w:tcW w:w="1134" w:type="dxa"/>
            <w:tcBorders>
              <w:top w:val="nil"/>
              <w:left w:val="nil"/>
              <w:bottom w:val="nil"/>
              <w:right w:val="nil"/>
            </w:tcBorders>
            <w:vAlign w:val="bottom"/>
          </w:tcPr>
          <w:p w14:paraId="33368D7E" w14:textId="77777777" w:rsidR="006016B9" w:rsidRPr="0087752B" w:rsidRDefault="006016B9" w:rsidP="008D2BAC">
            <w:pPr>
              <w:pStyle w:val="DETTableTextFinancial"/>
              <w:jc w:val="right"/>
            </w:pPr>
            <w:r w:rsidRPr="0087752B">
              <w:t>75</w:t>
            </w:r>
          </w:p>
        </w:tc>
        <w:tc>
          <w:tcPr>
            <w:tcW w:w="851" w:type="dxa"/>
            <w:tcBorders>
              <w:top w:val="nil"/>
              <w:left w:val="nil"/>
              <w:bottom w:val="nil"/>
              <w:right w:val="nil"/>
            </w:tcBorders>
            <w:vAlign w:val="bottom"/>
          </w:tcPr>
          <w:p w14:paraId="4EDED6F1" w14:textId="77777777" w:rsidR="006016B9" w:rsidRPr="0087752B" w:rsidRDefault="006016B9" w:rsidP="008D2BAC">
            <w:pPr>
              <w:pStyle w:val="DETTableTextFinancial"/>
              <w:jc w:val="right"/>
            </w:pPr>
            <w:r w:rsidRPr="0087752B">
              <w:t>74.3</w:t>
            </w:r>
          </w:p>
        </w:tc>
        <w:tc>
          <w:tcPr>
            <w:tcW w:w="1134" w:type="dxa"/>
            <w:tcBorders>
              <w:top w:val="nil"/>
              <w:left w:val="nil"/>
              <w:bottom w:val="nil"/>
              <w:right w:val="nil"/>
            </w:tcBorders>
            <w:vAlign w:val="bottom"/>
          </w:tcPr>
          <w:p w14:paraId="55E8AFEB" w14:textId="638FA524" w:rsidR="006016B9" w:rsidRPr="0087752B" w:rsidRDefault="004D1C46" w:rsidP="008D2BAC">
            <w:pPr>
              <w:pStyle w:val="DETTableTextFinancial"/>
              <w:jc w:val="right"/>
            </w:pPr>
            <w:r>
              <w:t>–</w:t>
            </w:r>
          </w:p>
        </w:tc>
        <w:tc>
          <w:tcPr>
            <w:tcW w:w="1134" w:type="dxa"/>
            <w:tcBorders>
              <w:top w:val="nil"/>
              <w:left w:val="nil"/>
              <w:bottom w:val="nil"/>
              <w:right w:val="nil"/>
            </w:tcBorders>
            <w:shd w:val="clear" w:color="auto" w:fill="F8F8F8"/>
            <w:vAlign w:val="bottom"/>
          </w:tcPr>
          <w:p w14:paraId="5AB1B870" w14:textId="77777777" w:rsidR="006016B9" w:rsidRPr="0087752B" w:rsidRDefault="006016B9" w:rsidP="008D2BAC">
            <w:pPr>
              <w:pStyle w:val="DETTableTextFinancial"/>
              <w:jc w:val="right"/>
            </w:pPr>
            <w:r w:rsidRPr="0087752B">
              <w:t>74</w:t>
            </w:r>
          </w:p>
        </w:tc>
        <w:tc>
          <w:tcPr>
            <w:tcW w:w="850" w:type="dxa"/>
            <w:tcBorders>
              <w:top w:val="nil"/>
              <w:left w:val="nil"/>
              <w:bottom w:val="nil"/>
              <w:right w:val="nil"/>
            </w:tcBorders>
            <w:shd w:val="clear" w:color="auto" w:fill="F8F8F8"/>
            <w:vAlign w:val="bottom"/>
          </w:tcPr>
          <w:p w14:paraId="6EFD9A5E" w14:textId="77777777" w:rsidR="006016B9" w:rsidRPr="0087752B" w:rsidRDefault="006016B9" w:rsidP="008D2BAC">
            <w:pPr>
              <w:pStyle w:val="DETTableTextFinancial"/>
              <w:jc w:val="right"/>
            </w:pPr>
            <w:r w:rsidRPr="0087752B">
              <w:t>73.2</w:t>
            </w:r>
          </w:p>
        </w:tc>
        <w:tc>
          <w:tcPr>
            <w:tcW w:w="1099" w:type="dxa"/>
            <w:tcBorders>
              <w:top w:val="nil"/>
              <w:left w:val="nil"/>
              <w:bottom w:val="nil"/>
              <w:right w:val="nil"/>
            </w:tcBorders>
            <w:shd w:val="clear" w:color="auto" w:fill="F8F8F8"/>
            <w:vAlign w:val="bottom"/>
          </w:tcPr>
          <w:p w14:paraId="121807C1" w14:textId="18BF32FE" w:rsidR="006016B9" w:rsidRPr="0087752B" w:rsidRDefault="004D1C46" w:rsidP="008D2BAC">
            <w:pPr>
              <w:pStyle w:val="DETTableTextFinancial"/>
              <w:jc w:val="right"/>
            </w:pPr>
            <w:r>
              <w:t>–</w:t>
            </w:r>
          </w:p>
        </w:tc>
      </w:tr>
      <w:tr w:rsidR="00A8286F" w:rsidRPr="0087752B" w14:paraId="6BAF3A8F" w14:textId="77777777" w:rsidTr="00791AA9">
        <w:tc>
          <w:tcPr>
            <w:tcW w:w="1384" w:type="dxa"/>
            <w:tcBorders>
              <w:top w:val="nil"/>
              <w:left w:val="nil"/>
              <w:bottom w:val="nil"/>
              <w:right w:val="nil"/>
            </w:tcBorders>
            <w:vAlign w:val="bottom"/>
          </w:tcPr>
          <w:p w14:paraId="53D31E48" w14:textId="77777777" w:rsidR="006016B9" w:rsidRPr="0087752B" w:rsidRDefault="006016B9" w:rsidP="008D2BAC">
            <w:pPr>
              <w:pStyle w:val="DETTableTextFinancial"/>
            </w:pPr>
            <w:r w:rsidRPr="0087752B">
              <w:t>Allied Health</w:t>
            </w:r>
          </w:p>
        </w:tc>
        <w:tc>
          <w:tcPr>
            <w:tcW w:w="1134" w:type="dxa"/>
            <w:tcBorders>
              <w:top w:val="nil"/>
              <w:left w:val="nil"/>
              <w:bottom w:val="nil"/>
              <w:right w:val="nil"/>
            </w:tcBorders>
            <w:vAlign w:val="bottom"/>
          </w:tcPr>
          <w:p w14:paraId="653D9DA0" w14:textId="77777777" w:rsidR="006016B9" w:rsidRPr="0087752B" w:rsidRDefault="006016B9" w:rsidP="008D2BAC">
            <w:pPr>
              <w:pStyle w:val="DETTableTextFinancial"/>
              <w:jc w:val="right"/>
            </w:pPr>
            <w:r w:rsidRPr="0087752B">
              <w:t>462</w:t>
            </w:r>
          </w:p>
        </w:tc>
        <w:tc>
          <w:tcPr>
            <w:tcW w:w="851" w:type="dxa"/>
            <w:tcBorders>
              <w:top w:val="nil"/>
              <w:left w:val="nil"/>
              <w:bottom w:val="nil"/>
              <w:right w:val="nil"/>
            </w:tcBorders>
            <w:vAlign w:val="bottom"/>
          </w:tcPr>
          <w:p w14:paraId="07D4EB6E" w14:textId="77777777" w:rsidR="006016B9" w:rsidRPr="0087752B" w:rsidRDefault="006016B9" w:rsidP="008D2BAC">
            <w:pPr>
              <w:pStyle w:val="DETTableTextFinancial"/>
              <w:jc w:val="right"/>
            </w:pPr>
            <w:r w:rsidRPr="0087752B">
              <w:t>363.6</w:t>
            </w:r>
          </w:p>
        </w:tc>
        <w:tc>
          <w:tcPr>
            <w:tcW w:w="1134" w:type="dxa"/>
            <w:tcBorders>
              <w:top w:val="nil"/>
              <w:left w:val="nil"/>
              <w:bottom w:val="nil"/>
              <w:right w:val="nil"/>
            </w:tcBorders>
            <w:vAlign w:val="bottom"/>
          </w:tcPr>
          <w:p w14:paraId="0E588872" w14:textId="77777777" w:rsidR="006016B9" w:rsidRPr="0087752B" w:rsidRDefault="006016B9" w:rsidP="008D2BAC">
            <w:pPr>
              <w:pStyle w:val="DETTableTextFinancial"/>
              <w:jc w:val="right"/>
            </w:pPr>
            <w:r w:rsidRPr="0087752B">
              <w:t>19.3</w:t>
            </w:r>
          </w:p>
        </w:tc>
        <w:tc>
          <w:tcPr>
            <w:tcW w:w="1134" w:type="dxa"/>
            <w:tcBorders>
              <w:top w:val="nil"/>
              <w:left w:val="nil"/>
              <w:bottom w:val="nil"/>
              <w:right w:val="nil"/>
            </w:tcBorders>
            <w:shd w:val="clear" w:color="auto" w:fill="F8F8F8"/>
            <w:vAlign w:val="bottom"/>
          </w:tcPr>
          <w:p w14:paraId="75773AB4" w14:textId="77777777" w:rsidR="006016B9" w:rsidRPr="0087752B" w:rsidRDefault="006016B9" w:rsidP="008D2BAC">
            <w:pPr>
              <w:pStyle w:val="DETTableTextFinancial"/>
              <w:jc w:val="right"/>
            </w:pPr>
            <w:r w:rsidRPr="0087752B">
              <w:t>423</w:t>
            </w:r>
          </w:p>
        </w:tc>
        <w:tc>
          <w:tcPr>
            <w:tcW w:w="850" w:type="dxa"/>
            <w:tcBorders>
              <w:top w:val="nil"/>
              <w:left w:val="nil"/>
              <w:bottom w:val="nil"/>
              <w:right w:val="nil"/>
            </w:tcBorders>
            <w:shd w:val="clear" w:color="auto" w:fill="F8F8F8"/>
            <w:vAlign w:val="bottom"/>
          </w:tcPr>
          <w:p w14:paraId="7A13FB8E" w14:textId="77777777" w:rsidR="006016B9" w:rsidRPr="0087752B" w:rsidRDefault="006016B9" w:rsidP="008D2BAC">
            <w:pPr>
              <w:pStyle w:val="DETTableTextFinancial"/>
              <w:jc w:val="right"/>
            </w:pPr>
            <w:r w:rsidRPr="0087752B">
              <w:t>324.3</w:t>
            </w:r>
          </w:p>
        </w:tc>
        <w:tc>
          <w:tcPr>
            <w:tcW w:w="1099" w:type="dxa"/>
            <w:tcBorders>
              <w:top w:val="nil"/>
              <w:left w:val="nil"/>
              <w:bottom w:val="nil"/>
              <w:right w:val="nil"/>
            </w:tcBorders>
            <w:shd w:val="clear" w:color="auto" w:fill="F8F8F8"/>
            <w:vAlign w:val="bottom"/>
          </w:tcPr>
          <w:p w14:paraId="6BA673A4" w14:textId="77777777" w:rsidR="006016B9" w:rsidRPr="0087752B" w:rsidRDefault="006016B9" w:rsidP="008D2BAC">
            <w:pPr>
              <w:pStyle w:val="DETTableTextFinancial"/>
              <w:jc w:val="right"/>
            </w:pPr>
            <w:r w:rsidRPr="0087752B">
              <w:t>19.2</w:t>
            </w:r>
          </w:p>
        </w:tc>
      </w:tr>
      <w:tr w:rsidR="00A8286F" w:rsidRPr="0087752B" w14:paraId="3D8E0C38" w14:textId="77777777" w:rsidTr="00791AA9">
        <w:tc>
          <w:tcPr>
            <w:tcW w:w="1384" w:type="dxa"/>
            <w:tcBorders>
              <w:top w:val="nil"/>
              <w:left w:val="nil"/>
              <w:bottom w:val="nil"/>
              <w:right w:val="nil"/>
            </w:tcBorders>
            <w:vAlign w:val="bottom"/>
          </w:tcPr>
          <w:p w14:paraId="3C667404" w14:textId="77777777" w:rsidR="006016B9" w:rsidRPr="0087752B" w:rsidRDefault="006016B9" w:rsidP="008D2BAC">
            <w:pPr>
              <w:pStyle w:val="DETTableTextFinancial"/>
            </w:pPr>
            <w:r w:rsidRPr="0087752B">
              <w:t>Nurse</w:t>
            </w:r>
          </w:p>
        </w:tc>
        <w:tc>
          <w:tcPr>
            <w:tcW w:w="1134" w:type="dxa"/>
            <w:tcBorders>
              <w:top w:val="nil"/>
              <w:left w:val="nil"/>
              <w:bottom w:val="nil"/>
              <w:right w:val="nil"/>
            </w:tcBorders>
            <w:vAlign w:val="bottom"/>
          </w:tcPr>
          <w:p w14:paraId="417D7EDE" w14:textId="77777777" w:rsidR="006016B9" w:rsidRPr="0087752B" w:rsidRDefault="006016B9" w:rsidP="008D2BAC">
            <w:pPr>
              <w:pStyle w:val="DETTableTextFinancial"/>
              <w:jc w:val="right"/>
            </w:pPr>
            <w:r w:rsidRPr="0087752B">
              <w:t>242</w:t>
            </w:r>
          </w:p>
        </w:tc>
        <w:tc>
          <w:tcPr>
            <w:tcW w:w="851" w:type="dxa"/>
            <w:tcBorders>
              <w:top w:val="nil"/>
              <w:left w:val="nil"/>
              <w:bottom w:val="nil"/>
              <w:right w:val="nil"/>
            </w:tcBorders>
            <w:vAlign w:val="bottom"/>
          </w:tcPr>
          <w:p w14:paraId="0678D415" w14:textId="77777777" w:rsidR="006016B9" w:rsidRPr="0087752B" w:rsidRDefault="006016B9" w:rsidP="008D2BAC">
            <w:pPr>
              <w:pStyle w:val="DETTableTextFinancial"/>
              <w:jc w:val="right"/>
            </w:pPr>
            <w:r w:rsidRPr="0087752B">
              <w:t>172.8</w:t>
            </w:r>
          </w:p>
        </w:tc>
        <w:tc>
          <w:tcPr>
            <w:tcW w:w="1134" w:type="dxa"/>
            <w:tcBorders>
              <w:top w:val="nil"/>
              <w:left w:val="nil"/>
              <w:bottom w:val="nil"/>
              <w:right w:val="nil"/>
            </w:tcBorders>
            <w:vAlign w:val="bottom"/>
          </w:tcPr>
          <w:p w14:paraId="646CDD67" w14:textId="77777777" w:rsidR="006016B9" w:rsidRPr="0087752B" w:rsidRDefault="006016B9" w:rsidP="008D2BAC">
            <w:pPr>
              <w:pStyle w:val="DETTableTextFinancial"/>
              <w:jc w:val="right"/>
            </w:pPr>
            <w:r w:rsidRPr="0087752B">
              <w:t>22.2</w:t>
            </w:r>
          </w:p>
        </w:tc>
        <w:tc>
          <w:tcPr>
            <w:tcW w:w="1134" w:type="dxa"/>
            <w:tcBorders>
              <w:top w:val="nil"/>
              <w:left w:val="nil"/>
              <w:bottom w:val="nil"/>
              <w:right w:val="nil"/>
            </w:tcBorders>
            <w:shd w:val="clear" w:color="auto" w:fill="F8F8F8"/>
            <w:vAlign w:val="bottom"/>
          </w:tcPr>
          <w:p w14:paraId="3F76A5F7" w14:textId="77777777" w:rsidR="006016B9" w:rsidRPr="0087752B" w:rsidRDefault="006016B9" w:rsidP="008D2BAC">
            <w:pPr>
              <w:pStyle w:val="DETTableTextFinancial"/>
              <w:jc w:val="right"/>
            </w:pPr>
            <w:r w:rsidRPr="0087752B">
              <w:t>246</w:t>
            </w:r>
          </w:p>
        </w:tc>
        <w:tc>
          <w:tcPr>
            <w:tcW w:w="850" w:type="dxa"/>
            <w:tcBorders>
              <w:top w:val="nil"/>
              <w:left w:val="nil"/>
              <w:bottom w:val="nil"/>
              <w:right w:val="nil"/>
            </w:tcBorders>
            <w:shd w:val="clear" w:color="auto" w:fill="F8F8F8"/>
            <w:vAlign w:val="bottom"/>
          </w:tcPr>
          <w:p w14:paraId="45C9BDA3" w14:textId="77777777" w:rsidR="006016B9" w:rsidRPr="0087752B" w:rsidRDefault="006016B9" w:rsidP="008D2BAC">
            <w:pPr>
              <w:pStyle w:val="DETTableTextFinancial"/>
              <w:jc w:val="right"/>
            </w:pPr>
            <w:r w:rsidRPr="0087752B">
              <w:t>173.7</w:t>
            </w:r>
          </w:p>
        </w:tc>
        <w:tc>
          <w:tcPr>
            <w:tcW w:w="1099" w:type="dxa"/>
            <w:tcBorders>
              <w:top w:val="nil"/>
              <w:left w:val="nil"/>
              <w:bottom w:val="nil"/>
              <w:right w:val="nil"/>
            </w:tcBorders>
            <w:shd w:val="clear" w:color="auto" w:fill="F8F8F8"/>
            <w:vAlign w:val="bottom"/>
          </w:tcPr>
          <w:p w14:paraId="677CE5F0" w14:textId="77777777" w:rsidR="006016B9" w:rsidRPr="0087752B" w:rsidRDefault="006016B9" w:rsidP="008D2BAC">
            <w:pPr>
              <w:pStyle w:val="DETTableTextFinancial"/>
              <w:jc w:val="right"/>
            </w:pPr>
            <w:r w:rsidRPr="0087752B">
              <w:t>18.5</w:t>
            </w:r>
          </w:p>
        </w:tc>
      </w:tr>
      <w:tr w:rsidR="00A8286F" w:rsidRPr="0087752B" w14:paraId="5165DB1D" w14:textId="77777777" w:rsidTr="00791AA9">
        <w:tc>
          <w:tcPr>
            <w:tcW w:w="1384" w:type="dxa"/>
            <w:tcBorders>
              <w:top w:val="nil"/>
              <w:left w:val="nil"/>
              <w:bottom w:val="single" w:sz="4" w:space="0" w:color="auto"/>
              <w:right w:val="nil"/>
            </w:tcBorders>
            <w:vAlign w:val="bottom"/>
          </w:tcPr>
          <w:p w14:paraId="0D7786A1" w14:textId="77777777" w:rsidR="006016B9" w:rsidRPr="0087752B" w:rsidRDefault="006016B9" w:rsidP="008D2BAC">
            <w:pPr>
              <w:pStyle w:val="DETTableTextFinancial"/>
            </w:pPr>
            <w:r w:rsidRPr="0087752B">
              <w:t>Other</w:t>
            </w:r>
            <w:r w:rsidRPr="0087752B">
              <w:rPr>
                <w:rStyle w:val="FootnoteReference"/>
              </w:rPr>
              <w:t>5,6</w:t>
            </w:r>
          </w:p>
        </w:tc>
        <w:tc>
          <w:tcPr>
            <w:tcW w:w="1134" w:type="dxa"/>
            <w:tcBorders>
              <w:top w:val="nil"/>
              <w:left w:val="nil"/>
              <w:bottom w:val="single" w:sz="4" w:space="0" w:color="auto"/>
              <w:right w:val="nil"/>
            </w:tcBorders>
            <w:vAlign w:val="bottom"/>
          </w:tcPr>
          <w:p w14:paraId="3D749080" w14:textId="77777777" w:rsidR="006016B9" w:rsidRPr="0087752B" w:rsidRDefault="006016B9" w:rsidP="008D2BAC">
            <w:pPr>
              <w:pStyle w:val="DETTableTextFinancial"/>
              <w:jc w:val="right"/>
            </w:pPr>
            <w:r w:rsidRPr="0087752B">
              <w:t>2</w:t>
            </w:r>
          </w:p>
        </w:tc>
        <w:tc>
          <w:tcPr>
            <w:tcW w:w="851" w:type="dxa"/>
            <w:tcBorders>
              <w:top w:val="nil"/>
              <w:left w:val="nil"/>
              <w:bottom w:val="single" w:sz="4" w:space="0" w:color="auto"/>
              <w:right w:val="nil"/>
            </w:tcBorders>
            <w:vAlign w:val="bottom"/>
          </w:tcPr>
          <w:p w14:paraId="3BD85950" w14:textId="77777777" w:rsidR="006016B9" w:rsidRPr="0087752B" w:rsidRDefault="006016B9" w:rsidP="008D2BAC">
            <w:pPr>
              <w:pStyle w:val="DETTableTextFinancial"/>
              <w:jc w:val="right"/>
            </w:pPr>
            <w:r w:rsidRPr="0087752B">
              <w:t>0.9</w:t>
            </w:r>
          </w:p>
        </w:tc>
        <w:tc>
          <w:tcPr>
            <w:tcW w:w="1134" w:type="dxa"/>
            <w:tcBorders>
              <w:top w:val="nil"/>
              <w:left w:val="nil"/>
              <w:bottom w:val="single" w:sz="4" w:space="0" w:color="auto"/>
              <w:right w:val="nil"/>
            </w:tcBorders>
            <w:vAlign w:val="bottom"/>
          </w:tcPr>
          <w:p w14:paraId="75E73198" w14:textId="7A13F6BD" w:rsidR="006016B9" w:rsidRPr="0087752B" w:rsidRDefault="004D1C46" w:rsidP="008D2BAC">
            <w:pPr>
              <w:pStyle w:val="DETTableTextFinancial"/>
              <w:jc w:val="right"/>
            </w:pPr>
            <w:r>
              <w:t>–</w:t>
            </w:r>
          </w:p>
        </w:tc>
        <w:tc>
          <w:tcPr>
            <w:tcW w:w="1134" w:type="dxa"/>
            <w:tcBorders>
              <w:top w:val="nil"/>
              <w:left w:val="nil"/>
              <w:bottom w:val="single" w:sz="4" w:space="0" w:color="auto"/>
              <w:right w:val="nil"/>
            </w:tcBorders>
            <w:shd w:val="clear" w:color="auto" w:fill="F8F8F8"/>
            <w:vAlign w:val="bottom"/>
          </w:tcPr>
          <w:p w14:paraId="416684C3" w14:textId="77777777" w:rsidR="006016B9" w:rsidRPr="0087752B" w:rsidRDefault="006016B9" w:rsidP="008D2BAC">
            <w:pPr>
              <w:pStyle w:val="DETTableTextFinancial"/>
              <w:jc w:val="right"/>
            </w:pPr>
            <w:r w:rsidRPr="0087752B">
              <w:t>2</w:t>
            </w:r>
          </w:p>
        </w:tc>
        <w:tc>
          <w:tcPr>
            <w:tcW w:w="850" w:type="dxa"/>
            <w:tcBorders>
              <w:top w:val="nil"/>
              <w:left w:val="nil"/>
              <w:bottom w:val="single" w:sz="4" w:space="0" w:color="auto"/>
              <w:right w:val="nil"/>
            </w:tcBorders>
            <w:shd w:val="clear" w:color="auto" w:fill="F8F8F8"/>
            <w:vAlign w:val="bottom"/>
          </w:tcPr>
          <w:p w14:paraId="15000017" w14:textId="77777777" w:rsidR="006016B9" w:rsidRPr="0087752B" w:rsidRDefault="006016B9" w:rsidP="008D2BAC">
            <w:pPr>
              <w:pStyle w:val="DETTableTextFinancial"/>
              <w:jc w:val="right"/>
            </w:pPr>
            <w:r w:rsidRPr="0087752B">
              <w:t>0.9</w:t>
            </w:r>
          </w:p>
        </w:tc>
        <w:tc>
          <w:tcPr>
            <w:tcW w:w="1099" w:type="dxa"/>
            <w:tcBorders>
              <w:top w:val="nil"/>
              <w:left w:val="nil"/>
              <w:bottom w:val="single" w:sz="4" w:space="0" w:color="auto"/>
              <w:right w:val="nil"/>
            </w:tcBorders>
            <w:shd w:val="clear" w:color="auto" w:fill="F8F8F8"/>
            <w:vAlign w:val="bottom"/>
          </w:tcPr>
          <w:p w14:paraId="3C101E44" w14:textId="77777777" w:rsidR="006016B9" w:rsidRPr="0087752B" w:rsidRDefault="006016B9" w:rsidP="008D2BAC">
            <w:pPr>
              <w:pStyle w:val="DETTableTextFinancial"/>
              <w:jc w:val="right"/>
            </w:pPr>
            <w:r w:rsidRPr="0087752B">
              <w:t>0.0</w:t>
            </w:r>
          </w:p>
        </w:tc>
      </w:tr>
      <w:tr w:rsidR="00A8286F" w:rsidRPr="0087752B" w14:paraId="6CEB2845" w14:textId="77777777" w:rsidTr="00791AA9">
        <w:tc>
          <w:tcPr>
            <w:tcW w:w="1384" w:type="dxa"/>
            <w:tcBorders>
              <w:top w:val="single" w:sz="4" w:space="0" w:color="auto"/>
              <w:left w:val="nil"/>
              <w:bottom w:val="single" w:sz="4" w:space="0" w:color="auto"/>
              <w:right w:val="nil"/>
            </w:tcBorders>
            <w:vAlign w:val="bottom"/>
          </w:tcPr>
          <w:p w14:paraId="4B93BB28" w14:textId="77777777" w:rsidR="006016B9" w:rsidRPr="0087752B" w:rsidRDefault="006016B9" w:rsidP="008D2BAC">
            <w:pPr>
              <w:pStyle w:val="DETTableTextFinancial"/>
              <w:rPr>
                <w:b/>
              </w:rPr>
            </w:pPr>
            <w:r w:rsidRPr="0087752B">
              <w:rPr>
                <w:b/>
              </w:rPr>
              <w:t>Total</w:t>
            </w:r>
          </w:p>
        </w:tc>
        <w:tc>
          <w:tcPr>
            <w:tcW w:w="1134" w:type="dxa"/>
            <w:tcBorders>
              <w:top w:val="single" w:sz="4" w:space="0" w:color="auto"/>
              <w:left w:val="nil"/>
              <w:bottom w:val="single" w:sz="4" w:space="0" w:color="auto"/>
              <w:right w:val="nil"/>
            </w:tcBorders>
            <w:vAlign w:val="bottom"/>
          </w:tcPr>
          <w:p w14:paraId="7D7FBC47" w14:textId="5B869357" w:rsidR="006016B9" w:rsidRPr="0087752B" w:rsidRDefault="006016B9" w:rsidP="008D2BAC">
            <w:pPr>
              <w:pStyle w:val="DETTableTextFinancial"/>
              <w:jc w:val="right"/>
              <w:rPr>
                <w:b/>
              </w:rPr>
            </w:pPr>
            <w:r w:rsidRPr="0087752B">
              <w:rPr>
                <w:b/>
              </w:rPr>
              <w:t>2</w:t>
            </w:r>
            <w:r w:rsidR="00A8286F">
              <w:rPr>
                <w:b/>
              </w:rPr>
              <w:t>,</w:t>
            </w:r>
            <w:r w:rsidRPr="0087752B">
              <w:rPr>
                <w:b/>
              </w:rPr>
              <w:t>432</w:t>
            </w:r>
          </w:p>
        </w:tc>
        <w:tc>
          <w:tcPr>
            <w:tcW w:w="851" w:type="dxa"/>
            <w:tcBorders>
              <w:top w:val="single" w:sz="4" w:space="0" w:color="auto"/>
              <w:left w:val="nil"/>
              <w:bottom w:val="single" w:sz="4" w:space="0" w:color="auto"/>
              <w:right w:val="nil"/>
            </w:tcBorders>
            <w:vAlign w:val="bottom"/>
          </w:tcPr>
          <w:p w14:paraId="2866EC53" w14:textId="4CF9A0D7" w:rsidR="006016B9" w:rsidRPr="0087752B" w:rsidRDefault="006016B9" w:rsidP="008D2BAC">
            <w:pPr>
              <w:pStyle w:val="DETTableTextFinancial"/>
              <w:jc w:val="right"/>
              <w:rPr>
                <w:b/>
              </w:rPr>
            </w:pPr>
            <w:r w:rsidRPr="0087752B">
              <w:rPr>
                <w:b/>
              </w:rPr>
              <w:t>2</w:t>
            </w:r>
            <w:r w:rsidR="00A8286F">
              <w:rPr>
                <w:b/>
              </w:rPr>
              <w:t>,</w:t>
            </w:r>
            <w:r w:rsidRPr="0087752B">
              <w:rPr>
                <w:b/>
              </w:rPr>
              <w:t>168.9</w:t>
            </w:r>
          </w:p>
        </w:tc>
        <w:tc>
          <w:tcPr>
            <w:tcW w:w="1134" w:type="dxa"/>
            <w:tcBorders>
              <w:top w:val="single" w:sz="4" w:space="0" w:color="auto"/>
              <w:left w:val="nil"/>
              <w:bottom w:val="single" w:sz="4" w:space="0" w:color="auto"/>
              <w:right w:val="nil"/>
            </w:tcBorders>
            <w:vAlign w:val="bottom"/>
          </w:tcPr>
          <w:p w14:paraId="0F8501CC" w14:textId="77777777" w:rsidR="006016B9" w:rsidRPr="0087752B" w:rsidRDefault="006016B9" w:rsidP="008D2BAC">
            <w:pPr>
              <w:pStyle w:val="DETTableTextFinancial"/>
              <w:jc w:val="right"/>
              <w:rPr>
                <w:b/>
              </w:rPr>
            </w:pPr>
            <w:r w:rsidRPr="0087752B">
              <w:rPr>
                <w:b/>
              </w:rPr>
              <w:t>163.3</w:t>
            </w:r>
          </w:p>
        </w:tc>
        <w:tc>
          <w:tcPr>
            <w:tcW w:w="1134" w:type="dxa"/>
            <w:tcBorders>
              <w:top w:val="single" w:sz="4" w:space="0" w:color="auto"/>
              <w:left w:val="nil"/>
              <w:bottom w:val="single" w:sz="4" w:space="0" w:color="auto"/>
              <w:right w:val="nil"/>
            </w:tcBorders>
            <w:shd w:val="clear" w:color="auto" w:fill="F8F8F8"/>
            <w:vAlign w:val="bottom"/>
          </w:tcPr>
          <w:p w14:paraId="7CA2BA2F" w14:textId="7567A508" w:rsidR="006016B9" w:rsidRPr="0087752B" w:rsidRDefault="006016B9" w:rsidP="008D2BAC">
            <w:pPr>
              <w:pStyle w:val="DETTableTextFinancial"/>
              <w:jc w:val="right"/>
              <w:rPr>
                <w:b/>
              </w:rPr>
            </w:pPr>
            <w:r w:rsidRPr="0087752B">
              <w:rPr>
                <w:b/>
              </w:rPr>
              <w:t>2</w:t>
            </w:r>
            <w:r w:rsidR="00A8286F">
              <w:rPr>
                <w:b/>
              </w:rPr>
              <w:t>,</w:t>
            </w:r>
            <w:r w:rsidRPr="0087752B">
              <w:rPr>
                <w:b/>
              </w:rPr>
              <w:t>479</w:t>
            </w:r>
          </w:p>
        </w:tc>
        <w:tc>
          <w:tcPr>
            <w:tcW w:w="850" w:type="dxa"/>
            <w:tcBorders>
              <w:top w:val="single" w:sz="4" w:space="0" w:color="auto"/>
              <w:left w:val="nil"/>
              <w:bottom w:val="single" w:sz="4" w:space="0" w:color="auto"/>
              <w:right w:val="nil"/>
            </w:tcBorders>
            <w:shd w:val="clear" w:color="auto" w:fill="F8F8F8"/>
            <w:vAlign w:val="bottom"/>
          </w:tcPr>
          <w:p w14:paraId="09CD9D6E" w14:textId="660D2AA8" w:rsidR="006016B9" w:rsidRPr="0087752B" w:rsidRDefault="006016B9" w:rsidP="008D2BAC">
            <w:pPr>
              <w:pStyle w:val="DETTableTextFinancial"/>
              <w:jc w:val="right"/>
              <w:rPr>
                <w:b/>
              </w:rPr>
            </w:pPr>
            <w:r w:rsidRPr="0087752B">
              <w:rPr>
                <w:b/>
              </w:rPr>
              <w:t>2</w:t>
            </w:r>
            <w:r w:rsidR="00A8286F">
              <w:rPr>
                <w:b/>
              </w:rPr>
              <w:t>,</w:t>
            </w:r>
            <w:r w:rsidRPr="0087752B">
              <w:rPr>
                <w:b/>
              </w:rPr>
              <w:t>209.6</w:t>
            </w:r>
          </w:p>
        </w:tc>
        <w:tc>
          <w:tcPr>
            <w:tcW w:w="1099" w:type="dxa"/>
            <w:tcBorders>
              <w:top w:val="single" w:sz="4" w:space="0" w:color="auto"/>
              <w:left w:val="nil"/>
              <w:bottom w:val="single" w:sz="4" w:space="0" w:color="auto"/>
              <w:right w:val="nil"/>
            </w:tcBorders>
            <w:shd w:val="clear" w:color="auto" w:fill="F8F8F8"/>
            <w:vAlign w:val="bottom"/>
          </w:tcPr>
          <w:p w14:paraId="301D3E48" w14:textId="77777777" w:rsidR="006016B9" w:rsidRPr="0087752B" w:rsidRDefault="006016B9" w:rsidP="008D2BAC">
            <w:pPr>
              <w:pStyle w:val="DETTableTextFinancial"/>
              <w:jc w:val="right"/>
              <w:rPr>
                <w:b/>
              </w:rPr>
            </w:pPr>
            <w:r w:rsidRPr="0087752B">
              <w:rPr>
                <w:b/>
              </w:rPr>
              <w:t>264.1</w:t>
            </w:r>
          </w:p>
        </w:tc>
      </w:tr>
    </w:tbl>
    <w:p w14:paraId="1474D049" w14:textId="77777777" w:rsidR="006016B9" w:rsidRPr="0087752B" w:rsidRDefault="006016B9" w:rsidP="006016B9"/>
    <w:p w14:paraId="606745AD" w14:textId="77777777" w:rsidR="006016B9" w:rsidRPr="0087752B" w:rsidRDefault="006016B9" w:rsidP="008D2BAC">
      <w:pPr>
        <w:pStyle w:val="DETFootnoteTextforobjectivestablesOHStable"/>
      </w:pPr>
      <w:r w:rsidRPr="0087752B">
        <w:t>1 ‘Headcount’ refers to the number of people employed where each person counts as an employee regardless of the number of hours engaged to work.</w:t>
      </w:r>
    </w:p>
    <w:p w14:paraId="74E8F0C9" w14:textId="6AEDA0E7" w:rsidR="006016B9" w:rsidRPr="0087752B" w:rsidRDefault="006016B9" w:rsidP="008D2BAC">
      <w:pPr>
        <w:pStyle w:val="DETFootnoteTextforobjectivestablesOHStable"/>
      </w:pPr>
      <w:r w:rsidRPr="0087752B">
        <w:t>2 ‘Casual’ means a person who is subject to clause 25, Casual Employees</w:t>
      </w:r>
      <w:r w:rsidR="00A8286F">
        <w:t>—</w:t>
      </w:r>
      <w:r w:rsidRPr="0087752B">
        <w:t>loading of the VPS Agreement 2006, or similar clauses in other relevant agreements. It includes a person employed on a seasonal basis where such provision is made under an applicable industrial agreement.</w:t>
      </w:r>
    </w:p>
    <w:p w14:paraId="276A4149" w14:textId="77777777" w:rsidR="006016B9" w:rsidRPr="0087752B" w:rsidRDefault="006016B9" w:rsidP="008D2BAC">
      <w:pPr>
        <w:pStyle w:val="DETFootnoteTextforobjectivestablesOHStable"/>
      </w:pPr>
      <w:r w:rsidRPr="0087752B">
        <w:t>3 ‘Age’ of staff calculated as at 30 June each year.</w:t>
      </w:r>
    </w:p>
    <w:p w14:paraId="32576782" w14:textId="77777777" w:rsidR="006016B9" w:rsidRPr="0087752B" w:rsidRDefault="006016B9" w:rsidP="008D2BAC">
      <w:pPr>
        <w:pStyle w:val="DETFootnoteTextforobjectivestablesOHStable"/>
      </w:pPr>
      <w:r w:rsidRPr="0087752B">
        <w:t>4 The category VPSG2 includes graduate recruits.</w:t>
      </w:r>
    </w:p>
    <w:p w14:paraId="5E2AC5D5" w14:textId="0987B379" w:rsidR="006016B9" w:rsidRPr="0087752B" w:rsidRDefault="006016B9" w:rsidP="008D2BAC">
      <w:pPr>
        <w:pStyle w:val="DETFootnoteTextforobjectivestablesOHStable"/>
      </w:pPr>
      <w:r w:rsidRPr="0087752B">
        <w:t xml:space="preserve">5 </w:t>
      </w:r>
      <w:r w:rsidR="00A8286F">
        <w:t>‘</w:t>
      </w:r>
      <w:r w:rsidRPr="0087752B">
        <w:t>Other’ includes Senior Medical Advisors, Ministerial Transport Officers and LOTE Advisors.</w:t>
      </w:r>
    </w:p>
    <w:p w14:paraId="29F473E4" w14:textId="77777777" w:rsidR="006016B9" w:rsidRPr="0087752B" w:rsidRDefault="006016B9" w:rsidP="008D2BAC">
      <w:pPr>
        <w:pStyle w:val="DETFootnoteTextforobjectivestablesOHStable"/>
      </w:pPr>
      <w:r w:rsidRPr="0087752B">
        <w:t>6 For 2016, comprises Senior Medical Advisors.</w:t>
      </w:r>
    </w:p>
    <w:p w14:paraId="220EC0CE" w14:textId="77777777" w:rsidR="006016B9" w:rsidRPr="0087752B" w:rsidRDefault="006016B9" w:rsidP="006016B9">
      <w:r w:rsidRPr="0087752B">
        <w:br w:type="page"/>
      </w:r>
    </w:p>
    <w:p w14:paraId="5582BAFD" w14:textId="3F1F00DF" w:rsidR="006016B9" w:rsidRPr="0087752B" w:rsidRDefault="006016B9" w:rsidP="007540CD">
      <w:pPr>
        <w:pStyle w:val="DETTableheading"/>
      </w:pPr>
      <w:r w:rsidRPr="0087752B">
        <w:lastRenderedPageBreak/>
        <w:t xml:space="preserve">Government </w:t>
      </w:r>
      <w:r w:rsidR="005013C5">
        <w:t>t</w:t>
      </w:r>
      <w:r w:rsidR="005013C5" w:rsidRPr="0087752B">
        <w:t xml:space="preserve">eaching </w:t>
      </w:r>
      <w:r w:rsidR="005013C5">
        <w:t>s</w:t>
      </w:r>
      <w:r w:rsidR="005013C5" w:rsidRPr="0087752B">
        <w:t xml:space="preserve">ervice </w:t>
      </w:r>
      <w:r w:rsidRPr="0087752B">
        <w:t>staff employment levels in June 2015 and 2016</w:t>
      </w:r>
    </w:p>
    <w:tbl>
      <w:tblPr>
        <w:tblW w:w="0" w:type="auto"/>
        <w:tblLook w:val="04A0" w:firstRow="1" w:lastRow="0" w:firstColumn="1" w:lastColumn="0" w:noHBand="0" w:noVBand="1"/>
      </w:tblPr>
      <w:tblGrid>
        <w:gridCol w:w="1258"/>
        <w:gridCol w:w="1132"/>
        <w:gridCol w:w="988"/>
        <w:gridCol w:w="1044"/>
        <w:gridCol w:w="1132"/>
        <w:gridCol w:w="988"/>
        <w:gridCol w:w="1044"/>
      </w:tblGrid>
      <w:tr w:rsidR="006016B9" w:rsidRPr="0087752B" w14:paraId="61D6059F" w14:textId="77777777" w:rsidTr="008D2BAC">
        <w:tc>
          <w:tcPr>
            <w:tcW w:w="1199" w:type="dxa"/>
            <w:tcBorders>
              <w:top w:val="nil"/>
              <w:left w:val="nil"/>
              <w:bottom w:val="nil"/>
              <w:right w:val="nil"/>
            </w:tcBorders>
            <w:shd w:val="clear" w:color="auto" w:fill="7F7F7F" w:themeFill="text1" w:themeFillTint="80"/>
            <w:vAlign w:val="center"/>
          </w:tcPr>
          <w:p w14:paraId="134C608B" w14:textId="77777777" w:rsidR="006016B9" w:rsidRPr="0087752B" w:rsidRDefault="006016B9" w:rsidP="008D2BAC">
            <w:pPr>
              <w:pStyle w:val="DETTablecolumnheading"/>
              <w:jc w:val="left"/>
            </w:pPr>
          </w:p>
        </w:tc>
        <w:tc>
          <w:tcPr>
            <w:tcW w:w="3194" w:type="dxa"/>
            <w:gridSpan w:val="3"/>
            <w:tcBorders>
              <w:top w:val="nil"/>
              <w:left w:val="nil"/>
              <w:bottom w:val="nil"/>
              <w:right w:val="nil"/>
            </w:tcBorders>
            <w:shd w:val="clear" w:color="auto" w:fill="7F7F7F" w:themeFill="text1" w:themeFillTint="80"/>
            <w:vAlign w:val="center"/>
          </w:tcPr>
          <w:p w14:paraId="742065CC" w14:textId="77777777" w:rsidR="006016B9" w:rsidRPr="0087752B" w:rsidRDefault="006016B9" w:rsidP="008D2BAC">
            <w:pPr>
              <w:pStyle w:val="DETTablecolumnheading"/>
              <w:jc w:val="left"/>
            </w:pPr>
            <w:r w:rsidRPr="0087752B">
              <w:t>2015</w:t>
            </w:r>
          </w:p>
        </w:tc>
        <w:tc>
          <w:tcPr>
            <w:tcW w:w="3193" w:type="dxa"/>
            <w:gridSpan w:val="3"/>
            <w:tcBorders>
              <w:top w:val="nil"/>
              <w:left w:val="nil"/>
              <w:bottom w:val="nil"/>
              <w:right w:val="nil"/>
            </w:tcBorders>
            <w:shd w:val="clear" w:color="auto" w:fill="7F7F7F" w:themeFill="text1" w:themeFillTint="80"/>
            <w:vAlign w:val="center"/>
          </w:tcPr>
          <w:p w14:paraId="19EE30E2" w14:textId="77777777" w:rsidR="006016B9" w:rsidRPr="0087752B" w:rsidRDefault="006016B9" w:rsidP="008D2BAC">
            <w:pPr>
              <w:pStyle w:val="DETTablecolumnheading"/>
              <w:jc w:val="left"/>
            </w:pPr>
            <w:r w:rsidRPr="0087752B">
              <w:t>2016</w:t>
            </w:r>
          </w:p>
        </w:tc>
      </w:tr>
      <w:tr w:rsidR="006016B9" w:rsidRPr="0087752B" w14:paraId="2FD2CBD2" w14:textId="77777777" w:rsidTr="008D2BAC">
        <w:tc>
          <w:tcPr>
            <w:tcW w:w="1199" w:type="dxa"/>
            <w:tcBorders>
              <w:top w:val="nil"/>
              <w:left w:val="nil"/>
              <w:bottom w:val="nil"/>
              <w:right w:val="nil"/>
            </w:tcBorders>
            <w:shd w:val="clear" w:color="auto" w:fill="7F7F7F" w:themeFill="text1" w:themeFillTint="80"/>
            <w:vAlign w:val="center"/>
          </w:tcPr>
          <w:p w14:paraId="6AA29574" w14:textId="77777777" w:rsidR="006016B9" w:rsidRPr="0087752B" w:rsidRDefault="006016B9" w:rsidP="008D2BAC">
            <w:pPr>
              <w:pStyle w:val="DETTablecolumnheading"/>
              <w:jc w:val="left"/>
            </w:pPr>
          </w:p>
        </w:tc>
        <w:tc>
          <w:tcPr>
            <w:tcW w:w="2153" w:type="dxa"/>
            <w:gridSpan w:val="2"/>
            <w:tcBorders>
              <w:top w:val="nil"/>
              <w:left w:val="nil"/>
              <w:bottom w:val="nil"/>
              <w:right w:val="nil"/>
            </w:tcBorders>
            <w:shd w:val="clear" w:color="auto" w:fill="7F7F7F" w:themeFill="text1" w:themeFillTint="80"/>
            <w:vAlign w:val="center"/>
          </w:tcPr>
          <w:p w14:paraId="7A4C642B" w14:textId="77777777" w:rsidR="006016B9" w:rsidRPr="00724B68" w:rsidRDefault="006016B9" w:rsidP="008D2BAC">
            <w:pPr>
              <w:pStyle w:val="DETTablecolumnheading"/>
              <w:jc w:val="left"/>
              <w:rPr>
                <w:sz w:val="16"/>
                <w:szCs w:val="16"/>
              </w:rPr>
            </w:pPr>
            <w:r w:rsidRPr="00724B68">
              <w:rPr>
                <w:sz w:val="16"/>
                <w:szCs w:val="16"/>
              </w:rPr>
              <w:t>Ongoing</w:t>
            </w:r>
          </w:p>
        </w:tc>
        <w:tc>
          <w:tcPr>
            <w:tcW w:w="1041" w:type="dxa"/>
            <w:tcBorders>
              <w:top w:val="nil"/>
              <w:left w:val="nil"/>
              <w:bottom w:val="nil"/>
              <w:right w:val="nil"/>
            </w:tcBorders>
            <w:shd w:val="clear" w:color="auto" w:fill="7F7F7F" w:themeFill="text1" w:themeFillTint="80"/>
            <w:vAlign w:val="center"/>
          </w:tcPr>
          <w:p w14:paraId="5FABCE70" w14:textId="77777777" w:rsidR="006016B9" w:rsidRPr="00724B68" w:rsidRDefault="006016B9" w:rsidP="008D2BAC">
            <w:pPr>
              <w:pStyle w:val="DETTablecolumnheading"/>
              <w:jc w:val="left"/>
              <w:rPr>
                <w:sz w:val="16"/>
                <w:szCs w:val="16"/>
              </w:rPr>
            </w:pPr>
            <w:r w:rsidRPr="00724B68">
              <w:rPr>
                <w:sz w:val="16"/>
                <w:szCs w:val="16"/>
              </w:rPr>
              <w:t>Fixed term and casual employees</w:t>
            </w:r>
          </w:p>
        </w:tc>
        <w:tc>
          <w:tcPr>
            <w:tcW w:w="2152" w:type="dxa"/>
            <w:gridSpan w:val="2"/>
            <w:tcBorders>
              <w:top w:val="nil"/>
              <w:left w:val="nil"/>
              <w:bottom w:val="nil"/>
              <w:right w:val="nil"/>
            </w:tcBorders>
            <w:shd w:val="clear" w:color="auto" w:fill="7F7F7F" w:themeFill="text1" w:themeFillTint="80"/>
            <w:vAlign w:val="center"/>
          </w:tcPr>
          <w:p w14:paraId="5D1B929A" w14:textId="77777777" w:rsidR="006016B9" w:rsidRPr="00724B68" w:rsidRDefault="006016B9" w:rsidP="008D2BAC">
            <w:pPr>
              <w:pStyle w:val="DETTablecolumnheading"/>
              <w:jc w:val="left"/>
              <w:rPr>
                <w:sz w:val="16"/>
                <w:szCs w:val="16"/>
              </w:rPr>
            </w:pPr>
            <w:r w:rsidRPr="00724B68">
              <w:rPr>
                <w:sz w:val="16"/>
                <w:szCs w:val="16"/>
              </w:rPr>
              <w:t>Ongoing</w:t>
            </w:r>
          </w:p>
        </w:tc>
        <w:tc>
          <w:tcPr>
            <w:tcW w:w="1041" w:type="dxa"/>
            <w:tcBorders>
              <w:top w:val="nil"/>
              <w:left w:val="nil"/>
              <w:bottom w:val="nil"/>
              <w:right w:val="nil"/>
            </w:tcBorders>
            <w:shd w:val="clear" w:color="auto" w:fill="7F7F7F" w:themeFill="text1" w:themeFillTint="80"/>
            <w:vAlign w:val="center"/>
          </w:tcPr>
          <w:p w14:paraId="05D3F7B7" w14:textId="77777777" w:rsidR="006016B9" w:rsidRPr="00724B68" w:rsidRDefault="006016B9" w:rsidP="008D2BAC">
            <w:pPr>
              <w:pStyle w:val="DETTablecolumnheading"/>
              <w:jc w:val="left"/>
              <w:rPr>
                <w:sz w:val="16"/>
                <w:szCs w:val="16"/>
              </w:rPr>
            </w:pPr>
            <w:r w:rsidRPr="00724B68">
              <w:rPr>
                <w:sz w:val="16"/>
                <w:szCs w:val="16"/>
              </w:rPr>
              <w:t>Fixed term and casual employees</w:t>
            </w:r>
          </w:p>
        </w:tc>
      </w:tr>
      <w:tr w:rsidR="006016B9" w:rsidRPr="0087752B" w14:paraId="7B44DD57" w14:textId="77777777" w:rsidTr="008D2BAC">
        <w:tc>
          <w:tcPr>
            <w:tcW w:w="1199" w:type="dxa"/>
            <w:tcBorders>
              <w:top w:val="nil"/>
              <w:left w:val="nil"/>
              <w:bottom w:val="nil"/>
              <w:right w:val="nil"/>
            </w:tcBorders>
            <w:shd w:val="clear" w:color="auto" w:fill="7F7F7F" w:themeFill="text1" w:themeFillTint="80"/>
            <w:vAlign w:val="center"/>
          </w:tcPr>
          <w:p w14:paraId="44E214CD" w14:textId="77777777" w:rsidR="006016B9" w:rsidRPr="0087752B" w:rsidRDefault="006016B9" w:rsidP="008D2BAC">
            <w:pPr>
              <w:pStyle w:val="DETTablecolumnheading"/>
              <w:jc w:val="left"/>
            </w:pPr>
          </w:p>
        </w:tc>
        <w:tc>
          <w:tcPr>
            <w:tcW w:w="1112" w:type="dxa"/>
            <w:tcBorders>
              <w:top w:val="nil"/>
              <w:left w:val="nil"/>
              <w:bottom w:val="nil"/>
              <w:right w:val="nil"/>
            </w:tcBorders>
            <w:shd w:val="clear" w:color="auto" w:fill="7F7F7F" w:themeFill="text1" w:themeFillTint="80"/>
            <w:vAlign w:val="center"/>
          </w:tcPr>
          <w:p w14:paraId="3044CA53" w14:textId="77777777" w:rsidR="006016B9" w:rsidRPr="00724B68" w:rsidRDefault="006016B9" w:rsidP="008D2BAC">
            <w:pPr>
              <w:pStyle w:val="DETTablecolumnheading"/>
              <w:jc w:val="left"/>
              <w:rPr>
                <w:sz w:val="16"/>
                <w:szCs w:val="16"/>
              </w:rPr>
            </w:pPr>
            <w:r w:rsidRPr="00724B68">
              <w:rPr>
                <w:sz w:val="16"/>
                <w:szCs w:val="16"/>
              </w:rPr>
              <w:t>Employees (headcount)</w:t>
            </w:r>
          </w:p>
        </w:tc>
        <w:tc>
          <w:tcPr>
            <w:tcW w:w="1041" w:type="dxa"/>
            <w:tcBorders>
              <w:top w:val="nil"/>
              <w:left w:val="nil"/>
              <w:bottom w:val="nil"/>
              <w:right w:val="nil"/>
            </w:tcBorders>
            <w:shd w:val="clear" w:color="auto" w:fill="7F7F7F" w:themeFill="text1" w:themeFillTint="80"/>
            <w:vAlign w:val="center"/>
          </w:tcPr>
          <w:p w14:paraId="5A12A16D" w14:textId="77777777" w:rsidR="006016B9" w:rsidRPr="00724B68" w:rsidRDefault="006016B9" w:rsidP="008D2BAC">
            <w:pPr>
              <w:pStyle w:val="DETTablecolumnheading"/>
              <w:jc w:val="left"/>
              <w:rPr>
                <w:sz w:val="16"/>
                <w:szCs w:val="16"/>
              </w:rPr>
            </w:pPr>
            <w:r w:rsidRPr="00724B68">
              <w:rPr>
                <w:sz w:val="16"/>
                <w:szCs w:val="16"/>
              </w:rPr>
              <w:t>FTE</w:t>
            </w:r>
          </w:p>
        </w:tc>
        <w:tc>
          <w:tcPr>
            <w:tcW w:w="1041" w:type="dxa"/>
            <w:tcBorders>
              <w:top w:val="nil"/>
              <w:left w:val="nil"/>
              <w:bottom w:val="nil"/>
              <w:right w:val="nil"/>
            </w:tcBorders>
            <w:shd w:val="clear" w:color="auto" w:fill="7F7F7F" w:themeFill="text1" w:themeFillTint="80"/>
            <w:vAlign w:val="center"/>
          </w:tcPr>
          <w:p w14:paraId="17C7B32F" w14:textId="77777777" w:rsidR="006016B9" w:rsidRPr="00724B68" w:rsidRDefault="006016B9" w:rsidP="008D2BAC">
            <w:pPr>
              <w:pStyle w:val="DETTablecolumnheading"/>
              <w:jc w:val="left"/>
              <w:rPr>
                <w:sz w:val="16"/>
                <w:szCs w:val="16"/>
              </w:rPr>
            </w:pPr>
            <w:r w:rsidRPr="00724B68">
              <w:rPr>
                <w:sz w:val="16"/>
                <w:szCs w:val="16"/>
              </w:rPr>
              <w:t>FTE</w:t>
            </w:r>
          </w:p>
        </w:tc>
        <w:tc>
          <w:tcPr>
            <w:tcW w:w="1111" w:type="dxa"/>
            <w:tcBorders>
              <w:top w:val="nil"/>
              <w:left w:val="nil"/>
              <w:bottom w:val="nil"/>
              <w:right w:val="nil"/>
            </w:tcBorders>
            <w:shd w:val="clear" w:color="auto" w:fill="7F7F7F" w:themeFill="text1" w:themeFillTint="80"/>
            <w:vAlign w:val="center"/>
          </w:tcPr>
          <w:p w14:paraId="6331CAB8" w14:textId="77777777" w:rsidR="006016B9" w:rsidRPr="00724B68" w:rsidRDefault="006016B9" w:rsidP="008D2BAC">
            <w:pPr>
              <w:pStyle w:val="DETTablecolumnheading"/>
              <w:jc w:val="left"/>
              <w:rPr>
                <w:sz w:val="16"/>
                <w:szCs w:val="16"/>
              </w:rPr>
            </w:pPr>
            <w:r w:rsidRPr="00724B68">
              <w:rPr>
                <w:sz w:val="16"/>
                <w:szCs w:val="16"/>
              </w:rPr>
              <w:t>Employees (headcount)</w:t>
            </w:r>
          </w:p>
        </w:tc>
        <w:tc>
          <w:tcPr>
            <w:tcW w:w="1041" w:type="dxa"/>
            <w:tcBorders>
              <w:top w:val="nil"/>
              <w:left w:val="nil"/>
              <w:bottom w:val="nil"/>
              <w:right w:val="nil"/>
            </w:tcBorders>
            <w:shd w:val="clear" w:color="auto" w:fill="7F7F7F" w:themeFill="text1" w:themeFillTint="80"/>
            <w:vAlign w:val="center"/>
          </w:tcPr>
          <w:p w14:paraId="083ADAFA" w14:textId="77777777" w:rsidR="006016B9" w:rsidRPr="00724B68" w:rsidRDefault="006016B9" w:rsidP="008D2BAC">
            <w:pPr>
              <w:pStyle w:val="DETTablecolumnheading"/>
              <w:jc w:val="left"/>
              <w:rPr>
                <w:sz w:val="16"/>
                <w:szCs w:val="16"/>
              </w:rPr>
            </w:pPr>
            <w:r w:rsidRPr="00724B68">
              <w:rPr>
                <w:sz w:val="16"/>
                <w:szCs w:val="16"/>
              </w:rPr>
              <w:t>FTE</w:t>
            </w:r>
          </w:p>
        </w:tc>
        <w:tc>
          <w:tcPr>
            <w:tcW w:w="1041" w:type="dxa"/>
            <w:tcBorders>
              <w:top w:val="nil"/>
              <w:left w:val="nil"/>
              <w:bottom w:val="nil"/>
              <w:right w:val="nil"/>
            </w:tcBorders>
            <w:shd w:val="clear" w:color="auto" w:fill="7F7F7F" w:themeFill="text1" w:themeFillTint="80"/>
            <w:vAlign w:val="center"/>
          </w:tcPr>
          <w:p w14:paraId="54EF4C09" w14:textId="77777777" w:rsidR="006016B9" w:rsidRPr="00724B68" w:rsidRDefault="006016B9" w:rsidP="008D2BAC">
            <w:pPr>
              <w:pStyle w:val="DETTablecolumnheading"/>
              <w:jc w:val="left"/>
              <w:rPr>
                <w:sz w:val="16"/>
                <w:szCs w:val="16"/>
              </w:rPr>
            </w:pPr>
            <w:r w:rsidRPr="00724B68">
              <w:rPr>
                <w:sz w:val="16"/>
                <w:szCs w:val="16"/>
              </w:rPr>
              <w:t>FTE</w:t>
            </w:r>
          </w:p>
        </w:tc>
      </w:tr>
      <w:tr w:rsidR="006016B9" w:rsidRPr="0087752B" w14:paraId="6E51ECB6" w14:textId="77777777" w:rsidTr="008D2BAC">
        <w:tc>
          <w:tcPr>
            <w:tcW w:w="1199" w:type="dxa"/>
            <w:tcBorders>
              <w:top w:val="nil"/>
              <w:left w:val="nil"/>
              <w:bottom w:val="nil"/>
              <w:right w:val="nil"/>
            </w:tcBorders>
            <w:vAlign w:val="bottom"/>
          </w:tcPr>
          <w:p w14:paraId="1BEC5E46" w14:textId="77777777" w:rsidR="006016B9" w:rsidRPr="0087752B" w:rsidRDefault="006016B9" w:rsidP="008D2BAC">
            <w:pPr>
              <w:pStyle w:val="DETTableTextFinancial"/>
              <w:rPr>
                <w:b/>
              </w:rPr>
            </w:pPr>
            <w:r w:rsidRPr="0087752B">
              <w:rPr>
                <w:b/>
              </w:rPr>
              <w:t>Gender</w:t>
            </w:r>
          </w:p>
        </w:tc>
        <w:tc>
          <w:tcPr>
            <w:tcW w:w="1112" w:type="dxa"/>
            <w:tcBorders>
              <w:top w:val="nil"/>
              <w:left w:val="nil"/>
              <w:bottom w:val="nil"/>
              <w:right w:val="nil"/>
            </w:tcBorders>
            <w:vAlign w:val="bottom"/>
          </w:tcPr>
          <w:p w14:paraId="55E96D15" w14:textId="77777777" w:rsidR="006016B9" w:rsidRPr="0087752B" w:rsidRDefault="006016B9" w:rsidP="008D2BAC">
            <w:pPr>
              <w:pStyle w:val="DETTableTextFinancial"/>
            </w:pPr>
            <w:r w:rsidRPr="0087752B">
              <w:t> </w:t>
            </w:r>
          </w:p>
        </w:tc>
        <w:tc>
          <w:tcPr>
            <w:tcW w:w="1041" w:type="dxa"/>
            <w:tcBorders>
              <w:top w:val="nil"/>
              <w:left w:val="nil"/>
              <w:bottom w:val="nil"/>
              <w:right w:val="nil"/>
            </w:tcBorders>
            <w:vAlign w:val="bottom"/>
          </w:tcPr>
          <w:p w14:paraId="770AADAB" w14:textId="77777777" w:rsidR="006016B9" w:rsidRPr="0087752B" w:rsidRDefault="006016B9" w:rsidP="008D2BAC">
            <w:pPr>
              <w:pStyle w:val="DETTableTextFinancial"/>
            </w:pPr>
            <w:r w:rsidRPr="0087752B">
              <w:t> </w:t>
            </w:r>
          </w:p>
        </w:tc>
        <w:tc>
          <w:tcPr>
            <w:tcW w:w="1041" w:type="dxa"/>
            <w:tcBorders>
              <w:top w:val="nil"/>
              <w:left w:val="nil"/>
              <w:bottom w:val="nil"/>
              <w:right w:val="nil"/>
            </w:tcBorders>
            <w:vAlign w:val="bottom"/>
          </w:tcPr>
          <w:p w14:paraId="6FB580AA" w14:textId="77777777" w:rsidR="006016B9" w:rsidRPr="0087752B" w:rsidRDefault="006016B9" w:rsidP="008D2BAC">
            <w:pPr>
              <w:pStyle w:val="DETTableTextFinancial"/>
            </w:pPr>
            <w:r w:rsidRPr="0087752B">
              <w:t> </w:t>
            </w:r>
          </w:p>
        </w:tc>
        <w:tc>
          <w:tcPr>
            <w:tcW w:w="1111" w:type="dxa"/>
            <w:tcBorders>
              <w:top w:val="nil"/>
              <w:left w:val="nil"/>
              <w:bottom w:val="nil"/>
              <w:right w:val="nil"/>
            </w:tcBorders>
            <w:shd w:val="clear" w:color="auto" w:fill="F8F8F8"/>
            <w:vAlign w:val="bottom"/>
          </w:tcPr>
          <w:p w14:paraId="2115EA3A" w14:textId="77777777" w:rsidR="006016B9" w:rsidRPr="0087752B" w:rsidRDefault="006016B9" w:rsidP="008D2BAC">
            <w:pPr>
              <w:pStyle w:val="DETTableTextFinancial"/>
            </w:pPr>
            <w:r w:rsidRPr="0087752B">
              <w:t> </w:t>
            </w:r>
          </w:p>
        </w:tc>
        <w:tc>
          <w:tcPr>
            <w:tcW w:w="1041" w:type="dxa"/>
            <w:tcBorders>
              <w:top w:val="nil"/>
              <w:left w:val="nil"/>
              <w:bottom w:val="nil"/>
              <w:right w:val="nil"/>
            </w:tcBorders>
            <w:shd w:val="clear" w:color="auto" w:fill="F8F8F8"/>
            <w:vAlign w:val="bottom"/>
          </w:tcPr>
          <w:p w14:paraId="60C77F45" w14:textId="77777777" w:rsidR="006016B9" w:rsidRPr="0087752B" w:rsidRDefault="006016B9" w:rsidP="008D2BAC">
            <w:pPr>
              <w:pStyle w:val="DETTableTextFinancial"/>
            </w:pPr>
            <w:r w:rsidRPr="0087752B">
              <w:t> </w:t>
            </w:r>
          </w:p>
        </w:tc>
        <w:tc>
          <w:tcPr>
            <w:tcW w:w="1041" w:type="dxa"/>
            <w:tcBorders>
              <w:top w:val="nil"/>
              <w:left w:val="nil"/>
              <w:bottom w:val="nil"/>
              <w:right w:val="nil"/>
            </w:tcBorders>
            <w:shd w:val="clear" w:color="auto" w:fill="F8F8F8"/>
            <w:vAlign w:val="bottom"/>
          </w:tcPr>
          <w:p w14:paraId="606A6FDA" w14:textId="77777777" w:rsidR="006016B9" w:rsidRPr="0087752B" w:rsidRDefault="006016B9" w:rsidP="008D2BAC">
            <w:pPr>
              <w:pStyle w:val="DETTableTextFinancial"/>
            </w:pPr>
            <w:r w:rsidRPr="0087752B">
              <w:t> </w:t>
            </w:r>
          </w:p>
        </w:tc>
      </w:tr>
      <w:tr w:rsidR="006016B9" w:rsidRPr="0087752B" w14:paraId="3BD034B0" w14:textId="77777777" w:rsidTr="008D2BAC">
        <w:tc>
          <w:tcPr>
            <w:tcW w:w="1199" w:type="dxa"/>
            <w:tcBorders>
              <w:top w:val="nil"/>
              <w:left w:val="nil"/>
              <w:bottom w:val="nil"/>
              <w:right w:val="nil"/>
            </w:tcBorders>
            <w:vAlign w:val="bottom"/>
          </w:tcPr>
          <w:p w14:paraId="57F2FF3F" w14:textId="77777777" w:rsidR="006016B9" w:rsidRPr="0087752B" w:rsidRDefault="006016B9" w:rsidP="008D2BAC">
            <w:pPr>
              <w:pStyle w:val="DETTableTextFinancial"/>
            </w:pPr>
            <w:r w:rsidRPr="0087752B">
              <w:t>Male</w:t>
            </w:r>
          </w:p>
        </w:tc>
        <w:tc>
          <w:tcPr>
            <w:tcW w:w="1112" w:type="dxa"/>
            <w:tcBorders>
              <w:top w:val="nil"/>
              <w:left w:val="nil"/>
              <w:bottom w:val="nil"/>
              <w:right w:val="nil"/>
            </w:tcBorders>
            <w:vAlign w:val="bottom"/>
          </w:tcPr>
          <w:p w14:paraId="2036FAEA" w14:textId="77777777" w:rsidR="006016B9" w:rsidRPr="0087752B" w:rsidRDefault="006016B9" w:rsidP="008D2BAC">
            <w:pPr>
              <w:pStyle w:val="DETTableTextFinancial"/>
              <w:jc w:val="right"/>
            </w:pPr>
            <w:r w:rsidRPr="0087752B">
              <w:t>11,668</w:t>
            </w:r>
          </w:p>
        </w:tc>
        <w:tc>
          <w:tcPr>
            <w:tcW w:w="1041" w:type="dxa"/>
            <w:tcBorders>
              <w:top w:val="nil"/>
              <w:left w:val="nil"/>
              <w:bottom w:val="nil"/>
              <w:right w:val="nil"/>
            </w:tcBorders>
            <w:vAlign w:val="bottom"/>
          </w:tcPr>
          <w:p w14:paraId="7844B37A" w14:textId="77777777" w:rsidR="006016B9" w:rsidRPr="0087752B" w:rsidRDefault="006016B9" w:rsidP="008D2BAC">
            <w:pPr>
              <w:pStyle w:val="DETTableTextFinancial"/>
              <w:jc w:val="right"/>
            </w:pPr>
            <w:r w:rsidRPr="0087752B">
              <w:t>11,121.5</w:t>
            </w:r>
          </w:p>
        </w:tc>
        <w:tc>
          <w:tcPr>
            <w:tcW w:w="1041" w:type="dxa"/>
            <w:tcBorders>
              <w:top w:val="nil"/>
              <w:left w:val="nil"/>
              <w:bottom w:val="nil"/>
              <w:right w:val="nil"/>
            </w:tcBorders>
            <w:vAlign w:val="bottom"/>
          </w:tcPr>
          <w:p w14:paraId="7EA652AB" w14:textId="497DA220" w:rsidR="006016B9" w:rsidRPr="0087752B" w:rsidRDefault="006016B9" w:rsidP="008D2BAC">
            <w:pPr>
              <w:pStyle w:val="DETTableTextFinancial"/>
              <w:jc w:val="right"/>
            </w:pPr>
            <w:r w:rsidRPr="0087752B">
              <w:t>3</w:t>
            </w:r>
            <w:r w:rsidR="005013C5">
              <w:t>,</w:t>
            </w:r>
            <w:r w:rsidRPr="0087752B">
              <w:t>032.5</w:t>
            </w:r>
          </w:p>
        </w:tc>
        <w:tc>
          <w:tcPr>
            <w:tcW w:w="1111" w:type="dxa"/>
            <w:tcBorders>
              <w:top w:val="nil"/>
              <w:left w:val="nil"/>
              <w:bottom w:val="nil"/>
              <w:right w:val="nil"/>
            </w:tcBorders>
            <w:shd w:val="clear" w:color="auto" w:fill="F8F8F8"/>
            <w:vAlign w:val="bottom"/>
          </w:tcPr>
          <w:p w14:paraId="4DBE53FF" w14:textId="77777777" w:rsidR="006016B9" w:rsidRPr="0087752B" w:rsidRDefault="006016B9" w:rsidP="008D2BAC">
            <w:pPr>
              <w:pStyle w:val="DETTableTextFinancial"/>
              <w:jc w:val="right"/>
            </w:pPr>
            <w:r w:rsidRPr="0087752B">
              <w:t>12,044</w:t>
            </w:r>
          </w:p>
        </w:tc>
        <w:tc>
          <w:tcPr>
            <w:tcW w:w="1041" w:type="dxa"/>
            <w:tcBorders>
              <w:top w:val="nil"/>
              <w:left w:val="nil"/>
              <w:bottom w:val="nil"/>
              <w:right w:val="nil"/>
            </w:tcBorders>
            <w:shd w:val="clear" w:color="auto" w:fill="F8F8F8"/>
            <w:vAlign w:val="bottom"/>
          </w:tcPr>
          <w:p w14:paraId="19A92A71" w14:textId="77777777" w:rsidR="006016B9" w:rsidRPr="0087752B" w:rsidRDefault="006016B9" w:rsidP="008D2BAC">
            <w:pPr>
              <w:pStyle w:val="DETTableTextFinancial"/>
              <w:jc w:val="right"/>
            </w:pPr>
            <w:r w:rsidRPr="0087752B">
              <w:t>11,436.2</w:t>
            </w:r>
          </w:p>
        </w:tc>
        <w:tc>
          <w:tcPr>
            <w:tcW w:w="1041" w:type="dxa"/>
            <w:tcBorders>
              <w:top w:val="nil"/>
              <w:left w:val="nil"/>
              <w:bottom w:val="nil"/>
              <w:right w:val="nil"/>
            </w:tcBorders>
            <w:shd w:val="clear" w:color="auto" w:fill="F8F8F8"/>
            <w:vAlign w:val="bottom"/>
          </w:tcPr>
          <w:p w14:paraId="09CDEB80" w14:textId="156BDFE0" w:rsidR="006016B9" w:rsidRPr="0087752B" w:rsidRDefault="006016B9" w:rsidP="008D2BAC">
            <w:pPr>
              <w:pStyle w:val="DETTableTextFinancial"/>
              <w:jc w:val="right"/>
            </w:pPr>
            <w:r w:rsidRPr="0087752B">
              <w:t>3</w:t>
            </w:r>
            <w:r w:rsidR="005013C5">
              <w:t>,</w:t>
            </w:r>
            <w:r w:rsidRPr="0087752B">
              <w:t>148.1</w:t>
            </w:r>
          </w:p>
        </w:tc>
      </w:tr>
      <w:tr w:rsidR="006016B9" w:rsidRPr="0087752B" w14:paraId="04403AAE" w14:textId="77777777" w:rsidTr="008D2BAC">
        <w:tc>
          <w:tcPr>
            <w:tcW w:w="1199" w:type="dxa"/>
            <w:tcBorders>
              <w:top w:val="nil"/>
              <w:left w:val="nil"/>
              <w:bottom w:val="single" w:sz="4" w:space="0" w:color="auto"/>
              <w:right w:val="nil"/>
            </w:tcBorders>
            <w:vAlign w:val="bottom"/>
          </w:tcPr>
          <w:p w14:paraId="3D821DB4" w14:textId="77777777" w:rsidR="006016B9" w:rsidRPr="0087752B" w:rsidRDefault="006016B9" w:rsidP="008D2BAC">
            <w:pPr>
              <w:pStyle w:val="DETTableTextFinancial"/>
            </w:pPr>
            <w:r w:rsidRPr="0087752B">
              <w:t>Female</w:t>
            </w:r>
          </w:p>
        </w:tc>
        <w:tc>
          <w:tcPr>
            <w:tcW w:w="1112" w:type="dxa"/>
            <w:tcBorders>
              <w:top w:val="nil"/>
              <w:left w:val="nil"/>
              <w:bottom w:val="single" w:sz="4" w:space="0" w:color="auto"/>
              <w:right w:val="nil"/>
            </w:tcBorders>
            <w:vAlign w:val="bottom"/>
          </w:tcPr>
          <w:p w14:paraId="43BA4D18" w14:textId="77777777" w:rsidR="006016B9" w:rsidRPr="0087752B" w:rsidRDefault="006016B9" w:rsidP="008D2BAC">
            <w:pPr>
              <w:pStyle w:val="DETTableTextFinancial"/>
              <w:jc w:val="right"/>
            </w:pPr>
            <w:r w:rsidRPr="0087752B">
              <w:t>35,878</w:t>
            </w:r>
          </w:p>
        </w:tc>
        <w:tc>
          <w:tcPr>
            <w:tcW w:w="1041" w:type="dxa"/>
            <w:tcBorders>
              <w:top w:val="nil"/>
              <w:left w:val="nil"/>
              <w:bottom w:val="single" w:sz="4" w:space="0" w:color="auto"/>
              <w:right w:val="nil"/>
            </w:tcBorders>
            <w:vAlign w:val="bottom"/>
          </w:tcPr>
          <w:p w14:paraId="5D2C6F3A" w14:textId="77777777" w:rsidR="006016B9" w:rsidRPr="0087752B" w:rsidRDefault="006016B9" w:rsidP="008D2BAC">
            <w:pPr>
              <w:pStyle w:val="DETTableTextFinancial"/>
              <w:jc w:val="right"/>
            </w:pPr>
            <w:r w:rsidRPr="0087752B">
              <w:t>30,961.4</w:t>
            </w:r>
          </w:p>
        </w:tc>
        <w:tc>
          <w:tcPr>
            <w:tcW w:w="1041" w:type="dxa"/>
            <w:tcBorders>
              <w:top w:val="nil"/>
              <w:left w:val="nil"/>
              <w:bottom w:val="single" w:sz="4" w:space="0" w:color="auto"/>
              <w:right w:val="nil"/>
            </w:tcBorders>
            <w:vAlign w:val="bottom"/>
          </w:tcPr>
          <w:p w14:paraId="0CB3F84A" w14:textId="77777777" w:rsidR="006016B9" w:rsidRPr="0087752B" w:rsidRDefault="006016B9" w:rsidP="008D2BAC">
            <w:pPr>
              <w:pStyle w:val="DETTableTextFinancial"/>
              <w:jc w:val="right"/>
            </w:pPr>
            <w:r w:rsidRPr="0087752B">
              <w:t>11,233.7</w:t>
            </w:r>
          </w:p>
        </w:tc>
        <w:tc>
          <w:tcPr>
            <w:tcW w:w="1111" w:type="dxa"/>
            <w:tcBorders>
              <w:top w:val="nil"/>
              <w:left w:val="nil"/>
              <w:bottom w:val="single" w:sz="4" w:space="0" w:color="auto"/>
              <w:right w:val="nil"/>
            </w:tcBorders>
            <w:shd w:val="clear" w:color="auto" w:fill="F8F8F8"/>
            <w:vAlign w:val="bottom"/>
          </w:tcPr>
          <w:p w14:paraId="6F48D7CB" w14:textId="77777777" w:rsidR="006016B9" w:rsidRPr="0087752B" w:rsidRDefault="006016B9" w:rsidP="008D2BAC">
            <w:pPr>
              <w:pStyle w:val="DETTableTextFinancial"/>
              <w:jc w:val="right"/>
            </w:pPr>
            <w:r w:rsidRPr="0087752B">
              <w:t>37,830</w:t>
            </w:r>
          </w:p>
        </w:tc>
        <w:tc>
          <w:tcPr>
            <w:tcW w:w="1041" w:type="dxa"/>
            <w:tcBorders>
              <w:top w:val="nil"/>
              <w:left w:val="nil"/>
              <w:bottom w:val="single" w:sz="4" w:space="0" w:color="auto"/>
              <w:right w:val="nil"/>
            </w:tcBorders>
            <w:shd w:val="clear" w:color="auto" w:fill="F8F8F8"/>
            <w:vAlign w:val="bottom"/>
          </w:tcPr>
          <w:p w14:paraId="588B6754" w14:textId="77777777" w:rsidR="006016B9" w:rsidRPr="0087752B" w:rsidRDefault="006016B9" w:rsidP="008D2BAC">
            <w:pPr>
              <w:pStyle w:val="DETTableTextFinancial"/>
              <w:jc w:val="right"/>
            </w:pPr>
            <w:r w:rsidRPr="0087752B">
              <w:t>32,405.8</w:t>
            </w:r>
          </w:p>
        </w:tc>
        <w:tc>
          <w:tcPr>
            <w:tcW w:w="1041" w:type="dxa"/>
            <w:tcBorders>
              <w:top w:val="nil"/>
              <w:left w:val="nil"/>
              <w:bottom w:val="single" w:sz="4" w:space="0" w:color="auto"/>
              <w:right w:val="nil"/>
            </w:tcBorders>
            <w:shd w:val="clear" w:color="auto" w:fill="F8F8F8"/>
            <w:vAlign w:val="bottom"/>
          </w:tcPr>
          <w:p w14:paraId="7707E099" w14:textId="77777777" w:rsidR="006016B9" w:rsidRPr="0087752B" w:rsidRDefault="006016B9" w:rsidP="008D2BAC">
            <w:pPr>
              <w:pStyle w:val="DETTableTextFinancial"/>
              <w:jc w:val="right"/>
            </w:pPr>
            <w:r w:rsidRPr="0087752B">
              <w:t>11,335.9</w:t>
            </w:r>
          </w:p>
        </w:tc>
      </w:tr>
      <w:tr w:rsidR="006016B9" w:rsidRPr="0087752B" w14:paraId="79756163" w14:textId="77777777" w:rsidTr="008D2BAC">
        <w:tc>
          <w:tcPr>
            <w:tcW w:w="1199" w:type="dxa"/>
            <w:tcBorders>
              <w:top w:val="single" w:sz="4" w:space="0" w:color="auto"/>
              <w:left w:val="nil"/>
              <w:bottom w:val="single" w:sz="4" w:space="0" w:color="auto"/>
              <w:right w:val="nil"/>
            </w:tcBorders>
            <w:vAlign w:val="bottom"/>
          </w:tcPr>
          <w:p w14:paraId="2F17EAAC" w14:textId="77777777" w:rsidR="006016B9" w:rsidRPr="0087752B" w:rsidRDefault="006016B9" w:rsidP="008D2BAC">
            <w:pPr>
              <w:pStyle w:val="DETTableTextFinancial"/>
              <w:rPr>
                <w:b/>
              </w:rPr>
            </w:pPr>
            <w:r w:rsidRPr="0087752B">
              <w:rPr>
                <w:b/>
              </w:rPr>
              <w:t>Total</w:t>
            </w:r>
          </w:p>
        </w:tc>
        <w:tc>
          <w:tcPr>
            <w:tcW w:w="1112" w:type="dxa"/>
            <w:tcBorders>
              <w:top w:val="single" w:sz="4" w:space="0" w:color="auto"/>
              <w:left w:val="nil"/>
              <w:bottom w:val="single" w:sz="4" w:space="0" w:color="auto"/>
              <w:right w:val="nil"/>
            </w:tcBorders>
            <w:vAlign w:val="bottom"/>
          </w:tcPr>
          <w:p w14:paraId="43928A92" w14:textId="77777777" w:rsidR="006016B9" w:rsidRPr="0087752B" w:rsidRDefault="006016B9" w:rsidP="008D2BAC">
            <w:pPr>
              <w:pStyle w:val="DETTableTextFinancial"/>
              <w:jc w:val="right"/>
              <w:rPr>
                <w:b/>
              </w:rPr>
            </w:pPr>
            <w:r w:rsidRPr="0087752B">
              <w:rPr>
                <w:b/>
              </w:rPr>
              <w:t>47,546</w:t>
            </w:r>
          </w:p>
        </w:tc>
        <w:tc>
          <w:tcPr>
            <w:tcW w:w="1041" w:type="dxa"/>
            <w:tcBorders>
              <w:top w:val="single" w:sz="4" w:space="0" w:color="auto"/>
              <w:left w:val="nil"/>
              <w:bottom w:val="single" w:sz="4" w:space="0" w:color="auto"/>
              <w:right w:val="nil"/>
            </w:tcBorders>
            <w:vAlign w:val="bottom"/>
          </w:tcPr>
          <w:p w14:paraId="67DAE4D2" w14:textId="23714AD9" w:rsidR="006016B9" w:rsidRPr="0087752B" w:rsidRDefault="006016B9" w:rsidP="008D2BAC">
            <w:pPr>
              <w:pStyle w:val="DETTableTextFinancial"/>
              <w:jc w:val="right"/>
              <w:rPr>
                <w:b/>
              </w:rPr>
            </w:pPr>
            <w:r w:rsidRPr="0087752B">
              <w:rPr>
                <w:b/>
              </w:rPr>
              <w:t>42,083</w:t>
            </w:r>
          </w:p>
        </w:tc>
        <w:tc>
          <w:tcPr>
            <w:tcW w:w="1041" w:type="dxa"/>
            <w:tcBorders>
              <w:top w:val="single" w:sz="4" w:space="0" w:color="auto"/>
              <w:left w:val="nil"/>
              <w:bottom w:val="single" w:sz="4" w:space="0" w:color="auto"/>
              <w:right w:val="nil"/>
            </w:tcBorders>
            <w:vAlign w:val="bottom"/>
          </w:tcPr>
          <w:p w14:paraId="538927B3" w14:textId="77777777" w:rsidR="006016B9" w:rsidRPr="0087752B" w:rsidRDefault="006016B9" w:rsidP="008D2BAC">
            <w:pPr>
              <w:pStyle w:val="DETTableTextFinancial"/>
              <w:jc w:val="right"/>
              <w:rPr>
                <w:b/>
              </w:rPr>
            </w:pPr>
            <w:r w:rsidRPr="0087752B">
              <w:rPr>
                <w:b/>
              </w:rPr>
              <w:t>14,266.2</w:t>
            </w:r>
          </w:p>
        </w:tc>
        <w:tc>
          <w:tcPr>
            <w:tcW w:w="1111" w:type="dxa"/>
            <w:tcBorders>
              <w:top w:val="single" w:sz="4" w:space="0" w:color="auto"/>
              <w:left w:val="nil"/>
              <w:bottom w:val="single" w:sz="4" w:space="0" w:color="auto"/>
              <w:right w:val="nil"/>
            </w:tcBorders>
            <w:shd w:val="clear" w:color="auto" w:fill="F8F8F8"/>
            <w:vAlign w:val="bottom"/>
          </w:tcPr>
          <w:p w14:paraId="4FC4EEF2" w14:textId="77777777" w:rsidR="006016B9" w:rsidRPr="0087752B" w:rsidRDefault="006016B9" w:rsidP="008D2BAC">
            <w:pPr>
              <w:pStyle w:val="DETTableTextFinancial"/>
              <w:jc w:val="right"/>
              <w:rPr>
                <w:b/>
              </w:rPr>
            </w:pPr>
            <w:r w:rsidRPr="0087752B">
              <w:rPr>
                <w:b/>
              </w:rPr>
              <w:t>49,874</w:t>
            </w:r>
          </w:p>
        </w:tc>
        <w:tc>
          <w:tcPr>
            <w:tcW w:w="1041" w:type="dxa"/>
            <w:tcBorders>
              <w:top w:val="single" w:sz="4" w:space="0" w:color="auto"/>
              <w:left w:val="nil"/>
              <w:bottom w:val="single" w:sz="4" w:space="0" w:color="auto"/>
              <w:right w:val="nil"/>
            </w:tcBorders>
            <w:shd w:val="clear" w:color="auto" w:fill="F8F8F8"/>
            <w:vAlign w:val="bottom"/>
          </w:tcPr>
          <w:p w14:paraId="510F897D" w14:textId="4C512685" w:rsidR="006016B9" w:rsidRPr="0087752B" w:rsidRDefault="006016B9" w:rsidP="008D2BAC">
            <w:pPr>
              <w:pStyle w:val="DETTableTextFinancial"/>
              <w:jc w:val="right"/>
              <w:rPr>
                <w:b/>
              </w:rPr>
            </w:pPr>
            <w:r w:rsidRPr="0087752B">
              <w:rPr>
                <w:b/>
              </w:rPr>
              <w:t>43,842</w:t>
            </w:r>
          </w:p>
        </w:tc>
        <w:tc>
          <w:tcPr>
            <w:tcW w:w="1041" w:type="dxa"/>
            <w:tcBorders>
              <w:top w:val="single" w:sz="4" w:space="0" w:color="auto"/>
              <w:left w:val="nil"/>
              <w:bottom w:val="single" w:sz="4" w:space="0" w:color="auto"/>
              <w:right w:val="nil"/>
            </w:tcBorders>
            <w:shd w:val="clear" w:color="auto" w:fill="F8F8F8"/>
            <w:vAlign w:val="bottom"/>
          </w:tcPr>
          <w:p w14:paraId="5C1A5680" w14:textId="603FA54A" w:rsidR="006016B9" w:rsidRPr="0087752B" w:rsidRDefault="006016B9" w:rsidP="008D2BAC">
            <w:pPr>
              <w:pStyle w:val="DETTableTextFinancial"/>
              <w:jc w:val="right"/>
              <w:rPr>
                <w:b/>
              </w:rPr>
            </w:pPr>
            <w:r w:rsidRPr="0087752B">
              <w:rPr>
                <w:b/>
              </w:rPr>
              <w:t>14,484</w:t>
            </w:r>
          </w:p>
        </w:tc>
      </w:tr>
      <w:tr w:rsidR="006016B9" w:rsidRPr="0087752B" w14:paraId="24BDC4EC" w14:textId="77777777" w:rsidTr="008D2BAC">
        <w:tc>
          <w:tcPr>
            <w:tcW w:w="1199" w:type="dxa"/>
            <w:tcBorders>
              <w:top w:val="single" w:sz="4" w:space="0" w:color="auto"/>
              <w:left w:val="nil"/>
              <w:bottom w:val="nil"/>
              <w:right w:val="nil"/>
            </w:tcBorders>
            <w:vAlign w:val="bottom"/>
          </w:tcPr>
          <w:p w14:paraId="2725FA98" w14:textId="77777777" w:rsidR="006016B9" w:rsidRPr="0087752B" w:rsidRDefault="006016B9" w:rsidP="008D2BAC">
            <w:pPr>
              <w:pStyle w:val="DETTableTextFinancial"/>
              <w:rPr>
                <w:b/>
              </w:rPr>
            </w:pPr>
            <w:r w:rsidRPr="0087752B">
              <w:rPr>
                <w:b/>
              </w:rPr>
              <w:t>Age</w:t>
            </w:r>
          </w:p>
        </w:tc>
        <w:tc>
          <w:tcPr>
            <w:tcW w:w="1112" w:type="dxa"/>
            <w:tcBorders>
              <w:top w:val="single" w:sz="4" w:space="0" w:color="auto"/>
              <w:left w:val="nil"/>
              <w:bottom w:val="nil"/>
              <w:right w:val="nil"/>
            </w:tcBorders>
            <w:vAlign w:val="bottom"/>
          </w:tcPr>
          <w:p w14:paraId="770B54C9" w14:textId="77777777" w:rsidR="006016B9" w:rsidRPr="0087752B" w:rsidRDefault="006016B9" w:rsidP="008D2BAC">
            <w:pPr>
              <w:pStyle w:val="DETTableTextFinancial"/>
              <w:jc w:val="right"/>
            </w:pPr>
            <w:r w:rsidRPr="0087752B">
              <w:t> </w:t>
            </w:r>
          </w:p>
        </w:tc>
        <w:tc>
          <w:tcPr>
            <w:tcW w:w="1041" w:type="dxa"/>
            <w:tcBorders>
              <w:top w:val="single" w:sz="4" w:space="0" w:color="auto"/>
              <w:left w:val="nil"/>
              <w:bottom w:val="nil"/>
              <w:right w:val="nil"/>
            </w:tcBorders>
            <w:vAlign w:val="bottom"/>
          </w:tcPr>
          <w:p w14:paraId="08C08C5F" w14:textId="77777777" w:rsidR="006016B9" w:rsidRPr="0087752B" w:rsidRDefault="006016B9" w:rsidP="008D2BAC">
            <w:pPr>
              <w:pStyle w:val="DETTableTextFinancial"/>
              <w:jc w:val="right"/>
            </w:pPr>
            <w:r w:rsidRPr="0087752B">
              <w:t> </w:t>
            </w:r>
          </w:p>
        </w:tc>
        <w:tc>
          <w:tcPr>
            <w:tcW w:w="1041" w:type="dxa"/>
            <w:tcBorders>
              <w:top w:val="single" w:sz="4" w:space="0" w:color="auto"/>
              <w:left w:val="nil"/>
              <w:bottom w:val="nil"/>
              <w:right w:val="nil"/>
            </w:tcBorders>
            <w:vAlign w:val="bottom"/>
          </w:tcPr>
          <w:p w14:paraId="5DD5DAF9" w14:textId="77777777" w:rsidR="006016B9" w:rsidRPr="0087752B" w:rsidRDefault="006016B9" w:rsidP="008D2BAC">
            <w:pPr>
              <w:pStyle w:val="DETTableTextFinancial"/>
              <w:jc w:val="right"/>
            </w:pPr>
            <w:r w:rsidRPr="0087752B">
              <w:t> </w:t>
            </w:r>
          </w:p>
        </w:tc>
        <w:tc>
          <w:tcPr>
            <w:tcW w:w="1111" w:type="dxa"/>
            <w:tcBorders>
              <w:top w:val="single" w:sz="4" w:space="0" w:color="auto"/>
              <w:left w:val="nil"/>
              <w:bottom w:val="nil"/>
              <w:right w:val="nil"/>
            </w:tcBorders>
            <w:shd w:val="clear" w:color="auto" w:fill="F8F8F8"/>
            <w:vAlign w:val="bottom"/>
          </w:tcPr>
          <w:p w14:paraId="703E60B7" w14:textId="77777777" w:rsidR="006016B9" w:rsidRPr="0087752B" w:rsidRDefault="006016B9" w:rsidP="008D2BAC">
            <w:pPr>
              <w:pStyle w:val="DETTableTextFinancial"/>
              <w:jc w:val="right"/>
            </w:pPr>
            <w:r w:rsidRPr="0087752B">
              <w:t> </w:t>
            </w:r>
          </w:p>
        </w:tc>
        <w:tc>
          <w:tcPr>
            <w:tcW w:w="1041" w:type="dxa"/>
            <w:tcBorders>
              <w:top w:val="single" w:sz="4" w:space="0" w:color="auto"/>
              <w:left w:val="nil"/>
              <w:bottom w:val="nil"/>
              <w:right w:val="nil"/>
            </w:tcBorders>
            <w:shd w:val="clear" w:color="auto" w:fill="F8F8F8"/>
            <w:vAlign w:val="bottom"/>
          </w:tcPr>
          <w:p w14:paraId="241139A7" w14:textId="77777777" w:rsidR="006016B9" w:rsidRPr="0087752B" w:rsidRDefault="006016B9" w:rsidP="008D2BAC">
            <w:pPr>
              <w:pStyle w:val="DETTableTextFinancial"/>
              <w:jc w:val="right"/>
            </w:pPr>
            <w:r w:rsidRPr="0087752B">
              <w:t> </w:t>
            </w:r>
          </w:p>
        </w:tc>
        <w:tc>
          <w:tcPr>
            <w:tcW w:w="1041" w:type="dxa"/>
            <w:tcBorders>
              <w:top w:val="single" w:sz="4" w:space="0" w:color="auto"/>
              <w:left w:val="nil"/>
              <w:bottom w:val="nil"/>
              <w:right w:val="nil"/>
            </w:tcBorders>
            <w:shd w:val="clear" w:color="auto" w:fill="F8F8F8"/>
            <w:vAlign w:val="bottom"/>
          </w:tcPr>
          <w:p w14:paraId="43DD882B" w14:textId="77777777" w:rsidR="006016B9" w:rsidRPr="0087752B" w:rsidRDefault="006016B9" w:rsidP="008D2BAC">
            <w:pPr>
              <w:pStyle w:val="DETTableTextFinancial"/>
              <w:jc w:val="right"/>
            </w:pPr>
            <w:r w:rsidRPr="0087752B">
              <w:t> </w:t>
            </w:r>
          </w:p>
        </w:tc>
      </w:tr>
      <w:tr w:rsidR="006016B9" w:rsidRPr="0087752B" w14:paraId="73575887" w14:textId="77777777" w:rsidTr="008D2BAC">
        <w:tc>
          <w:tcPr>
            <w:tcW w:w="1199" w:type="dxa"/>
            <w:tcBorders>
              <w:top w:val="nil"/>
              <w:left w:val="nil"/>
              <w:bottom w:val="nil"/>
              <w:right w:val="nil"/>
            </w:tcBorders>
            <w:vAlign w:val="bottom"/>
          </w:tcPr>
          <w:p w14:paraId="1F384969" w14:textId="77777777" w:rsidR="006016B9" w:rsidRPr="0087752B" w:rsidRDefault="006016B9" w:rsidP="008D2BAC">
            <w:pPr>
              <w:pStyle w:val="DETTableTextFinancial"/>
            </w:pPr>
            <w:r w:rsidRPr="0087752B">
              <w:t>Under 25</w:t>
            </w:r>
          </w:p>
        </w:tc>
        <w:tc>
          <w:tcPr>
            <w:tcW w:w="1112" w:type="dxa"/>
            <w:tcBorders>
              <w:top w:val="nil"/>
              <w:left w:val="nil"/>
              <w:bottom w:val="nil"/>
              <w:right w:val="nil"/>
            </w:tcBorders>
            <w:vAlign w:val="bottom"/>
          </w:tcPr>
          <w:p w14:paraId="4D64F30C" w14:textId="77777777" w:rsidR="006016B9" w:rsidRPr="0087752B" w:rsidRDefault="006016B9" w:rsidP="008D2BAC">
            <w:pPr>
              <w:pStyle w:val="DETTableTextFinancial"/>
              <w:jc w:val="right"/>
            </w:pPr>
            <w:r w:rsidRPr="0087752B">
              <w:t>493</w:t>
            </w:r>
          </w:p>
        </w:tc>
        <w:tc>
          <w:tcPr>
            <w:tcW w:w="1041" w:type="dxa"/>
            <w:tcBorders>
              <w:top w:val="nil"/>
              <w:left w:val="nil"/>
              <w:bottom w:val="nil"/>
              <w:right w:val="nil"/>
            </w:tcBorders>
            <w:vAlign w:val="bottom"/>
          </w:tcPr>
          <w:p w14:paraId="34CCEC27" w14:textId="04B4F415" w:rsidR="006016B9" w:rsidRPr="0087752B" w:rsidRDefault="006016B9" w:rsidP="008D2BAC">
            <w:pPr>
              <w:pStyle w:val="DETTableTextFinancial"/>
              <w:jc w:val="right"/>
            </w:pPr>
            <w:r w:rsidRPr="0087752B">
              <w:t>475</w:t>
            </w:r>
          </w:p>
        </w:tc>
        <w:tc>
          <w:tcPr>
            <w:tcW w:w="1041" w:type="dxa"/>
            <w:tcBorders>
              <w:top w:val="nil"/>
              <w:left w:val="nil"/>
              <w:bottom w:val="nil"/>
              <w:right w:val="nil"/>
            </w:tcBorders>
            <w:vAlign w:val="bottom"/>
          </w:tcPr>
          <w:p w14:paraId="348C5103" w14:textId="77777777" w:rsidR="006016B9" w:rsidRPr="0087752B" w:rsidRDefault="006016B9" w:rsidP="008D2BAC">
            <w:pPr>
              <w:pStyle w:val="DETTableTextFinancial"/>
              <w:jc w:val="right"/>
            </w:pPr>
            <w:r w:rsidRPr="0087752B">
              <w:t>2,074.6</w:t>
            </w:r>
          </w:p>
        </w:tc>
        <w:tc>
          <w:tcPr>
            <w:tcW w:w="1111" w:type="dxa"/>
            <w:tcBorders>
              <w:top w:val="nil"/>
              <w:left w:val="nil"/>
              <w:bottom w:val="nil"/>
              <w:right w:val="nil"/>
            </w:tcBorders>
            <w:shd w:val="clear" w:color="auto" w:fill="F8F8F8"/>
            <w:vAlign w:val="bottom"/>
          </w:tcPr>
          <w:p w14:paraId="060CA674" w14:textId="77777777" w:rsidR="006016B9" w:rsidRPr="0087752B" w:rsidRDefault="006016B9" w:rsidP="008D2BAC">
            <w:pPr>
              <w:pStyle w:val="DETTableTextFinancial"/>
              <w:jc w:val="right"/>
            </w:pPr>
            <w:r w:rsidRPr="0087752B">
              <w:t>668</w:t>
            </w:r>
          </w:p>
        </w:tc>
        <w:tc>
          <w:tcPr>
            <w:tcW w:w="1041" w:type="dxa"/>
            <w:tcBorders>
              <w:top w:val="nil"/>
              <w:left w:val="nil"/>
              <w:bottom w:val="nil"/>
              <w:right w:val="nil"/>
            </w:tcBorders>
            <w:shd w:val="clear" w:color="auto" w:fill="F8F8F8"/>
            <w:vAlign w:val="bottom"/>
          </w:tcPr>
          <w:p w14:paraId="2E5A52C2" w14:textId="77777777" w:rsidR="006016B9" w:rsidRPr="0087752B" w:rsidRDefault="006016B9" w:rsidP="008D2BAC">
            <w:pPr>
              <w:pStyle w:val="DETTableTextFinancial"/>
              <w:jc w:val="right"/>
            </w:pPr>
            <w:r w:rsidRPr="0087752B">
              <w:t>622.9</w:t>
            </w:r>
          </w:p>
        </w:tc>
        <w:tc>
          <w:tcPr>
            <w:tcW w:w="1041" w:type="dxa"/>
            <w:tcBorders>
              <w:top w:val="nil"/>
              <w:left w:val="nil"/>
              <w:bottom w:val="nil"/>
              <w:right w:val="nil"/>
            </w:tcBorders>
            <w:shd w:val="clear" w:color="auto" w:fill="F8F8F8"/>
            <w:vAlign w:val="bottom"/>
          </w:tcPr>
          <w:p w14:paraId="5A25B32B" w14:textId="219A0D23" w:rsidR="006016B9" w:rsidRPr="0087752B" w:rsidRDefault="006016B9" w:rsidP="008D2BAC">
            <w:pPr>
              <w:pStyle w:val="DETTableTextFinancial"/>
              <w:jc w:val="right"/>
            </w:pPr>
            <w:r w:rsidRPr="0087752B">
              <w:t>2</w:t>
            </w:r>
            <w:r w:rsidR="005013C5">
              <w:t>,</w:t>
            </w:r>
            <w:r w:rsidRPr="0087752B">
              <w:t>110.3</w:t>
            </w:r>
          </w:p>
        </w:tc>
      </w:tr>
      <w:tr w:rsidR="006016B9" w:rsidRPr="0087752B" w14:paraId="136EE953" w14:textId="77777777" w:rsidTr="008D2BAC">
        <w:tc>
          <w:tcPr>
            <w:tcW w:w="1199" w:type="dxa"/>
            <w:tcBorders>
              <w:top w:val="nil"/>
              <w:left w:val="nil"/>
              <w:bottom w:val="nil"/>
              <w:right w:val="nil"/>
            </w:tcBorders>
            <w:vAlign w:val="bottom"/>
          </w:tcPr>
          <w:p w14:paraId="78EC200F" w14:textId="2D048832" w:rsidR="006016B9" w:rsidRPr="0087752B" w:rsidRDefault="006016B9" w:rsidP="008D2BAC">
            <w:pPr>
              <w:pStyle w:val="DETTableTextFinancial"/>
            </w:pPr>
            <w:r w:rsidRPr="0087752B">
              <w:t>25</w:t>
            </w:r>
            <w:r w:rsidR="005013C5">
              <w:t>–</w:t>
            </w:r>
            <w:r w:rsidRPr="0087752B">
              <w:t>34</w:t>
            </w:r>
          </w:p>
        </w:tc>
        <w:tc>
          <w:tcPr>
            <w:tcW w:w="1112" w:type="dxa"/>
            <w:tcBorders>
              <w:top w:val="nil"/>
              <w:left w:val="nil"/>
              <w:bottom w:val="nil"/>
              <w:right w:val="nil"/>
            </w:tcBorders>
            <w:vAlign w:val="bottom"/>
          </w:tcPr>
          <w:p w14:paraId="1596EABE" w14:textId="77777777" w:rsidR="006016B9" w:rsidRPr="0087752B" w:rsidRDefault="006016B9" w:rsidP="008D2BAC">
            <w:pPr>
              <w:pStyle w:val="DETTableTextFinancial"/>
              <w:jc w:val="right"/>
            </w:pPr>
            <w:r w:rsidRPr="0087752B">
              <w:t>10,537</w:t>
            </w:r>
          </w:p>
        </w:tc>
        <w:tc>
          <w:tcPr>
            <w:tcW w:w="1041" w:type="dxa"/>
            <w:tcBorders>
              <w:top w:val="nil"/>
              <w:left w:val="nil"/>
              <w:bottom w:val="nil"/>
              <w:right w:val="nil"/>
            </w:tcBorders>
            <w:vAlign w:val="bottom"/>
          </w:tcPr>
          <w:p w14:paraId="59B84846" w14:textId="68BE442C" w:rsidR="006016B9" w:rsidRPr="0087752B" w:rsidRDefault="006016B9" w:rsidP="008D2BAC">
            <w:pPr>
              <w:pStyle w:val="DETTableTextFinancial"/>
              <w:jc w:val="right"/>
            </w:pPr>
            <w:r w:rsidRPr="0087752B">
              <w:t>9</w:t>
            </w:r>
            <w:r w:rsidR="005013C5">
              <w:t>,</w:t>
            </w:r>
            <w:r w:rsidRPr="0087752B">
              <w:t>840.6</w:t>
            </w:r>
          </w:p>
        </w:tc>
        <w:tc>
          <w:tcPr>
            <w:tcW w:w="1041" w:type="dxa"/>
            <w:tcBorders>
              <w:top w:val="nil"/>
              <w:left w:val="nil"/>
              <w:bottom w:val="nil"/>
              <w:right w:val="nil"/>
            </w:tcBorders>
            <w:vAlign w:val="bottom"/>
          </w:tcPr>
          <w:p w14:paraId="0DB989B0" w14:textId="48B91D6C" w:rsidR="006016B9" w:rsidRPr="0087752B" w:rsidRDefault="006016B9" w:rsidP="008D2BAC">
            <w:pPr>
              <w:pStyle w:val="DETTableTextFinancial"/>
              <w:jc w:val="right"/>
            </w:pPr>
            <w:r w:rsidRPr="0087752B">
              <w:t>5</w:t>
            </w:r>
            <w:r w:rsidR="005013C5">
              <w:t>,</w:t>
            </w:r>
            <w:r w:rsidRPr="0087752B">
              <w:t>220.6</w:t>
            </w:r>
          </w:p>
        </w:tc>
        <w:tc>
          <w:tcPr>
            <w:tcW w:w="1111" w:type="dxa"/>
            <w:tcBorders>
              <w:top w:val="nil"/>
              <w:left w:val="nil"/>
              <w:bottom w:val="nil"/>
              <w:right w:val="nil"/>
            </w:tcBorders>
            <w:shd w:val="clear" w:color="auto" w:fill="F8F8F8"/>
            <w:vAlign w:val="bottom"/>
          </w:tcPr>
          <w:p w14:paraId="21E3D9C4" w14:textId="77777777" w:rsidR="006016B9" w:rsidRPr="0087752B" w:rsidRDefault="006016B9" w:rsidP="008D2BAC">
            <w:pPr>
              <w:pStyle w:val="DETTableTextFinancial"/>
              <w:jc w:val="right"/>
            </w:pPr>
            <w:r w:rsidRPr="0087752B">
              <w:t>11,294</w:t>
            </w:r>
          </w:p>
        </w:tc>
        <w:tc>
          <w:tcPr>
            <w:tcW w:w="1041" w:type="dxa"/>
            <w:tcBorders>
              <w:top w:val="nil"/>
              <w:left w:val="nil"/>
              <w:bottom w:val="nil"/>
              <w:right w:val="nil"/>
            </w:tcBorders>
            <w:shd w:val="clear" w:color="auto" w:fill="F8F8F8"/>
            <w:vAlign w:val="bottom"/>
          </w:tcPr>
          <w:p w14:paraId="3D25E9DA" w14:textId="77777777" w:rsidR="006016B9" w:rsidRPr="0087752B" w:rsidRDefault="006016B9" w:rsidP="008D2BAC">
            <w:pPr>
              <w:pStyle w:val="DETTableTextFinancial"/>
              <w:jc w:val="right"/>
            </w:pPr>
            <w:r w:rsidRPr="0087752B">
              <w:t>10,492.6</w:t>
            </w:r>
          </w:p>
        </w:tc>
        <w:tc>
          <w:tcPr>
            <w:tcW w:w="1041" w:type="dxa"/>
            <w:tcBorders>
              <w:top w:val="nil"/>
              <w:left w:val="nil"/>
              <w:bottom w:val="nil"/>
              <w:right w:val="nil"/>
            </w:tcBorders>
            <w:shd w:val="clear" w:color="auto" w:fill="F8F8F8"/>
            <w:vAlign w:val="bottom"/>
          </w:tcPr>
          <w:p w14:paraId="72892C21" w14:textId="658713D4" w:rsidR="006016B9" w:rsidRPr="0087752B" w:rsidRDefault="006016B9" w:rsidP="008D2BAC">
            <w:pPr>
              <w:pStyle w:val="DETTableTextFinancial"/>
              <w:jc w:val="right"/>
            </w:pPr>
            <w:r w:rsidRPr="0087752B">
              <w:t>5</w:t>
            </w:r>
            <w:r w:rsidR="005013C5">
              <w:t>,</w:t>
            </w:r>
            <w:r w:rsidRPr="0087752B">
              <w:t>461.1</w:t>
            </w:r>
          </w:p>
        </w:tc>
      </w:tr>
      <w:tr w:rsidR="006016B9" w:rsidRPr="0087752B" w14:paraId="52A0541E" w14:textId="77777777" w:rsidTr="008D2BAC">
        <w:tc>
          <w:tcPr>
            <w:tcW w:w="1199" w:type="dxa"/>
            <w:tcBorders>
              <w:top w:val="nil"/>
              <w:left w:val="nil"/>
              <w:bottom w:val="nil"/>
              <w:right w:val="nil"/>
            </w:tcBorders>
            <w:vAlign w:val="bottom"/>
          </w:tcPr>
          <w:p w14:paraId="20F9C808" w14:textId="21E9B358" w:rsidR="006016B9" w:rsidRPr="0087752B" w:rsidRDefault="006016B9" w:rsidP="008D2BAC">
            <w:pPr>
              <w:pStyle w:val="DETTableTextFinancial"/>
            </w:pPr>
            <w:r w:rsidRPr="0087752B">
              <w:t>35</w:t>
            </w:r>
            <w:r w:rsidR="005013C5">
              <w:t>–</w:t>
            </w:r>
            <w:r w:rsidRPr="0087752B">
              <w:t>44</w:t>
            </w:r>
          </w:p>
        </w:tc>
        <w:tc>
          <w:tcPr>
            <w:tcW w:w="1112" w:type="dxa"/>
            <w:tcBorders>
              <w:top w:val="nil"/>
              <w:left w:val="nil"/>
              <w:bottom w:val="nil"/>
              <w:right w:val="nil"/>
            </w:tcBorders>
            <w:vAlign w:val="bottom"/>
          </w:tcPr>
          <w:p w14:paraId="297B9B32" w14:textId="77777777" w:rsidR="006016B9" w:rsidRPr="0087752B" w:rsidRDefault="006016B9" w:rsidP="008D2BAC">
            <w:pPr>
              <w:pStyle w:val="DETTableTextFinancial"/>
              <w:jc w:val="right"/>
            </w:pPr>
            <w:r w:rsidRPr="0087752B">
              <w:t>10,070</w:t>
            </w:r>
          </w:p>
        </w:tc>
        <w:tc>
          <w:tcPr>
            <w:tcW w:w="1041" w:type="dxa"/>
            <w:tcBorders>
              <w:top w:val="nil"/>
              <w:left w:val="nil"/>
              <w:bottom w:val="nil"/>
              <w:right w:val="nil"/>
            </w:tcBorders>
            <w:vAlign w:val="bottom"/>
          </w:tcPr>
          <w:p w14:paraId="05FDA12A" w14:textId="10A6EC35" w:rsidR="006016B9" w:rsidRPr="0087752B" w:rsidRDefault="006016B9" w:rsidP="008D2BAC">
            <w:pPr>
              <w:pStyle w:val="DETTableTextFinancial"/>
              <w:jc w:val="right"/>
            </w:pPr>
            <w:r w:rsidRPr="0087752B">
              <w:t>8</w:t>
            </w:r>
            <w:r w:rsidR="005013C5">
              <w:t>,</w:t>
            </w:r>
            <w:r w:rsidRPr="0087752B">
              <w:t>724.7</w:t>
            </w:r>
          </w:p>
        </w:tc>
        <w:tc>
          <w:tcPr>
            <w:tcW w:w="1041" w:type="dxa"/>
            <w:tcBorders>
              <w:top w:val="nil"/>
              <w:left w:val="nil"/>
              <w:bottom w:val="nil"/>
              <w:right w:val="nil"/>
            </w:tcBorders>
            <w:vAlign w:val="bottom"/>
          </w:tcPr>
          <w:p w14:paraId="6E1C6D1F" w14:textId="744D4677" w:rsidR="006016B9" w:rsidRPr="0087752B" w:rsidRDefault="006016B9" w:rsidP="008D2BAC">
            <w:pPr>
              <w:pStyle w:val="DETTableTextFinancial"/>
              <w:jc w:val="right"/>
            </w:pPr>
            <w:r w:rsidRPr="0087752B">
              <w:t>2</w:t>
            </w:r>
            <w:r w:rsidR="005013C5">
              <w:t>,</w:t>
            </w:r>
            <w:r w:rsidRPr="0087752B">
              <w:t>830.5</w:t>
            </w:r>
          </w:p>
        </w:tc>
        <w:tc>
          <w:tcPr>
            <w:tcW w:w="1111" w:type="dxa"/>
            <w:tcBorders>
              <w:top w:val="nil"/>
              <w:left w:val="nil"/>
              <w:bottom w:val="nil"/>
              <w:right w:val="nil"/>
            </w:tcBorders>
            <w:shd w:val="clear" w:color="auto" w:fill="F8F8F8"/>
            <w:vAlign w:val="bottom"/>
          </w:tcPr>
          <w:p w14:paraId="53932630" w14:textId="77777777" w:rsidR="006016B9" w:rsidRPr="0087752B" w:rsidRDefault="006016B9" w:rsidP="008D2BAC">
            <w:pPr>
              <w:pStyle w:val="DETTableTextFinancial"/>
              <w:jc w:val="right"/>
            </w:pPr>
            <w:r w:rsidRPr="0087752B">
              <w:t>11,169</w:t>
            </w:r>
          </w:p>
        </w:tc>
        <w:tc>
          <w:tcPr>
            <w:tcW w:w="1041" w:type="dxa"/>
            <w:tcBorders>
              <w:top w:val="nil"/>
              <w:left w:val="nil"/>
              <w:bottom w:val="nil"/>
              <w:right w:val="nil"/>
            </w:tcBorders>
            <w:shd w:val="clear" w:color="auto" w:fill="F8F8F8"/>
            <w:vAlign w:val="bottom"/>
          </w:tcPr>
          <w:p w14:paraId="4F2CD6E1" w14:textId="31F07A55" w:rsidR="006016B9" w:rsidRPr="0087752B" w:rsidRDefault="006016B9" w:rsidP="008D2BAC">
            <w:pPr>
              <w:pStyle w:val="DETTableTextFinancial"/>
              <w:jc w:val="right"/>
            </w:pPr>
            <w:r w:rsidRPr="0087752B">
              <w:t>9</w:t>
            </w:r>
            <w:r w:rsidR="005013C5">
              <w:t>,</w:t>
            </w:r>
            <w:r w:rsidRPr="0087752B">
              <w:t>565.8</w:t>
            </w:r>
          </w:p>
        </w:tc>
        <w:tc>
          <w:tcPr>
            <w:tcW w:w="1041" w:type="dxa"/>
            <w:tcBorders>
              <w:top w:val="nil"/>
              <w:left w:val="nil"/>
              <w:bottom w:val="nil"/>
              <w:right w:val="nil"/>
            </w:tcBorders>
            <w:shd w:val="clear" w:color="auto" w:fill="F8F8F8"/>
            <w:vAlign w:val="bottom"/>
          </w:tcPr>
          <w:p w14:paraId="063C4E9B" w14:textId="1D91EDE5" w:rsidR="006016B9" w:rsidRPr="0087752B" w:rsidRDefault="006016B9" w:rsidP="008D2BAC">
            <w:pPr>
              <w:pStyle w:val="DETTableTextFinancial"/>
              <w:jc w:val="right"/>
            </w:pPr>
            <w:r w:rsidRPr="0087752B">
              <w:t>2</w:t>
            </w:r>
            <w:r w:rsidR="005013C5">
              <w:t>,</w:t>
            </w:r>
            <w:r w:rsidRPr="0087752B">
              <w:t>768</w:t>
            </w:r>
          </w:p>
        </w:tc>
      </w:tr>
      <w:tr w:rsidR="006016B9" w:rsidRPr="0087752B" w14:paraId="70979BD1" w14:textId="77777777" w:rsidTr="008D2BAC">
        <w:tc>
          <w:tcPr>
            <w:tcW w:w="1199" w:type="dxa"/>
            <w:tcBorders>
              <w:top w:val="nil"/>
              <w:left w:val="nil"/>
              <w:bottom w:val="nil"/>
              <w:right w:val="nil"/>
            </w:tcBorders>
            <w:vAlign w:val="bottom"/>
          </w:tcPr>
          <w:p w14:paraId="6BC7EB7F" w14:textId="02602324" w:rsidR="006016B9" w:rsidRPr="0087752B" w:rsidRDefault="006016B9" w:rsidP="008D2BAC">
            <w:pPr>
              <w:pStyle w:val="DETTableTextFinancial"/>
            </w:pPr>
            <w:r w:rsidRPr="0087752B">
              <w:t>45</w:t>
            </w:r>
            <w:r w:rsidR="005013C5">
              <w:t>–</w:t>
            </w:r>
            <w:r w:rsidRPr="0087752B">
              <w:t>54</w:t>
            </w:r>
          </w:p>
        </w:tc>
        <w:tc>
          <w:tcPr>
            <w:tcW w:w="1112" w:type="dxa"/>
            <w:tcBorders>
              <w:top w:val="nil"/>
              <w:left w:val="nil"/>
              <w:bottom w:val="nil"/>
              <w:right w:val="nil"/>
            </w:tcBorders>
            <w:vAlign w:val="bottom"/>
          </w:tcPr>
          <w:p w14:paraId="6FA256DA" w14:textId="77777777" w:rsidR="006016B9" w:rsidRPr="0087752B" w:rsidRDefault="006016B9" w:rsidP="008D2BAC">
            <w:pPr>
              <w:pStyle w:val="DETTableTextFinancial"/>
              <w:jc w:val="right"/>
            </w:pPr>
            <w:r w:rsidRPr="0087752B">
              <w:t>12,951</w:t>
            </w:r>
          </w:p>
        </w:tc>
        <w:tc>
          <w:tcPr>
            <w:tcW w:w="1041" w:type="dxa"/>
            <w:tcBorders>
              <w:top w:val="nil"/>
              <w:left w:val="nil"/>
              <w:bottom w:val="nil"/>
              <w:right w:val="nil"/>
            </w:tcBorders>
            <w:vAlign w:val="bottom"/>
          </w:tcPr>
          <w:p w14:paraId="41EAE2CE" w14:textId="77777777" w:rsidR="006016B9" w:rsidRPr="0087752B" w:rsidRDefault="006016B9" w:rsidP="008D2BAC">
            <w:pPr>
              <w:pStyle w:val="DETTableTextFinancial"/>
              <w:jc w:val="right"/>
            </w:pPr>
            <w:r w:rsidRPr="0087752B">
              <w:t>11,442.7</w:t>
            </w:r>
          </w:p>
        </w:tc>
        <w:tc>
          <w:tcPr>
            <w:tcW w:w="1041" w:type="dxa"/>
            <w:tcBorders>
              <w:top w:val="nil"/>
              <w:left w:val="nil"/>
              <w:bottom w:val="nil"/>
              <w:right w:val="nil"/>
            </w:tcBorders>
            <w:vAlign w:val="bottom"/>
          </w:tcPr>
          <w:p w14:paraId="6B0BCB2E" w14:textId="77777777" w:rsidR="006016B9" w:rsidRPr="0087752B" w:rsidRDefault="006016B9" w:rsidP="008D2BAC">
            <w:pPr>
              <w:pStyle w:val="DETTableTextFinancial"/>
              <w:jc w:val="right"/>
            </w:pPr>
            <w:r w:rsidRPr="0087752B">
              <w:t>2,783.4</w:t>
            </w:r>
          </w:p>
        </w:tc>
        <w:tc>
          <w:tcPr>
            <w:tcW w:w="1111" w:type="dxa"/>
            <w:tcBorders>
              <w:top w:val="nil"/>
              <w:left w:val="nil"/>
              <w:bottom w:val="nil"/>
              <w:right w:val="nil"/>
            </w:tcBorders>
            <w:shd w:val="clear" w:color="auto" w:fill="F8F8F8"/>
            <w:vAlign w:val="bottom"/>
          </w:tcPr>
          <w:p w14:paraId="3E7E9574" w14:textId="77777777" w:rsidR="006016B9" w:rsidRPr="0087752B" w:rsidRDefault="006016B9" w:rsidP="008D2BAC">
            <w:pPr>
              <w:pStyle w:val="DETTableTextFinancial"/>
              <w:jc w:val="right"/>
            </w:pPr>
            <w:r w:rsidRPr="0087752B">
              <w:t>12,911</w:t>
            </w:r>
          </w:p>
        </w:tc>
        <w:tc>
          <w:tcPr>
            <w:tcW w:w="1041" w:type="dxa"/>
            <w:tcBorders>
              <w:top w:val="nil"/>
              <w:left w:val="nil"/>
              <w:bottom w:val="nil"/>
              <w:right w:val="nil"/>
            </w:tcBorders>
            <w:shd w:val="clear" w:color="auto" w:fill="F8F8F8"/>
            <w:vAlign w:val="bottom"/>
          </w:tcPr>
          <w:p w14:paraId="193852CB" w14:textId="77777777" w:rsidR="006016B9" w:rsidRPr="0087752B" w:rsidRDefault="006016B9" w:rsidP="008D2BAC">
            <w:pPr>
              <w:pStyle w:val="DETTableTextFinancial"/>
              <w:jc w:val="right"/>
            </w:pPr>
            <w:r w:rsidRPr="0087752B">
              <w:t>11,328.4</w:t>
            </w:r>
          </w:p>
        </w:tc>
        <w:tc>
          <w:tcPr>
            <w:tcW w:w="1041" w:type="dxa"/>
            <w:tcBorders>
              <w:top w:val="nil"/>
              <w:left w:val="nil"/>
              <w:bottom w:val="nil"/>
              <w:right w:val="nil"/>
            </w:tcBorders>
            <w:shd w:val="clear" w:color="auto" w:fill="F8F8F8"/>
            <w:vAlign w:val="bottom"/>
          </w:tcPr>
          <w:p w14:paraId="20CCEC72" w14:textId="6C13764F" w:rsidR="006016B9" w:rsidRPr="0087752B" w:rsidRDefault="006016B9" w:rsidP="008D2BAC">
            <w:pPr>
              <w:pStyle w:val="DETTableTextFinancial"/>
              <w:jc w:val="right"/>
            </w:pPr>
            <w:r w:rsidRPr="0087752B">
              <w:t>2</w:t>
            </w:r>
            <w:r w:rsidR="005013C5">
              <w:t>,</w:t>
            </w:r>
            <w:r w:rsidRPr="0087752B">
              <w:t>758.7</w:t>
            </w:r>
          </w:p>
        </w:tc>
      </w:tr>
      <w:tr w:rsidR="006016B9" w:rsidRPr="0087752B" w14:paraId="2F18E664" w14:textId="77777777" w:rsidTr="008D2BAC">
        <w:tc>
          <w:tcPr>
            <w:tcW w:w="1199" w:type="dxa"/>
            <w:tcBorders>
              <w:top w:val="nil"/>
              <w:left w:val="nil"/>
              <w:bottom w:val="nil"/>
              <w:right w:val="nil"/>
            </w:tcBorders>
            <w:vAlign w:val="bottom"/>
          </w:tcPr>
          <w:p w14:paraId="034188EE" w14:textId="3D30D15A" w:rsidR="006016B9" w:rsidRPr="0087752B" w:rsidRDefault="006016B9" w:rsidP="008D2BAC">
            <w:pPr>
              <w:pStyle w:val="DETTableTextFinancial"/>
            </w:pPr>
            <w:r w:rsidRPr="0087752B">
              <w:t>55</w:t>
            </w:r>
            <w:r w:rsidR="005013C5">
              <w:t>–</w:t>
            </w:r>
            <w:r w:rsidRPr="0087752B">
              <w:t>64</w:t>
            </w:r>
          </w:p>
        </w:tc>
        <w:tc>
          <w:tcPr>
            <w:tcW w:w="1112" w:type="dxa"/>
            <w:tcBorders>
              <w:top w:val="nil"/>
              <w:left w:val="nil"/>
              <w:bottom w:val="nil"/>
              <w:right w:val="nil"/>
            </w:tcBorders>
            <w:vAlign w:val="bottom"/>
          </w:tcPr>
          <w:p w14:paraId="042ECA70" w14:textId="77777777" w:rsidR="006016B9" w:rsidRPr="0087752B" w:rsidRDefault="006016B9" w:rsidP="008D2BAC">
            <w:pPr>
              <w:pStyle w:val="DETTableTextFinancial"/>
              <w:jc w:val="right"/>
            </w:pPr>
            <w:r w:rsidRPr="0087752B">
              <w:t>12,182</w:t>
            </w:r>
          </w:p>
        </w:tc>
        <w:tc>
          <w:tcPr>
            <w:tcW w:w="1041" w:type="dxa"/>
            <w:tcBorders>
              <w:top w:val="nil"/>
              <w:left w:val="nil"/>
              <w:bottom w:val="nil"/>
              <w:right w:val="nil"/>
            </w:tcBorders>
            <w:vAlign w:val="bottom"/>
          </w:tcPr>
          <w:p w14:paraId="1218D21B" w14:textId="14DC4929" w:rsidR="006016B9" w:rsidRPr="0087752B" w:rsidRDefault="006016B9" w:rsidP="008D2BAC">
            <w:pPr>
              <w:pStyle w:val="DETTableTextFinancial"/>
              <w:jc w:val="right"/>
            </w:pPr>
            <w:r w:rsidRPr="0087752B">
              <w:t>10,584</w:t>
            </w:r>
          </w:p>
        </w:tc>
        <w:tc>
          <w:tcPr>
            <w:tcW w:w="1041" w:type="dxa"/>
            <w:tcBorders>
              <w:top w:val="nil"/>
              <w:left w:val="nil"/>
              <w:bottom w:val="nil"/>
              <w:right w:val="nil"/>
            </w:tcBorders>
            <w:vAlign w:val="bottom"/>
          </w:tcPr>
          <w:p w14:paraId="5D410EBE" w14:textId="339DB18D" w:rsidR="006016B9" w:rsidRPr="0087752B" w:rsidRDefault="006016B9" w:rsidP="008D2BAC">
            <w:pPr>
              <w:pStyle w:val="DETTableTextFinancial"/>
              <w:jc w:val="right"/>
            </w:pPr>
            <w:r w:rsidRPr="0087752B">
              <w:t>1</w:t>
            </w:r>
            <w:r w:rsidR="005013C5">
              <w:t>,</w:t>
            </w:r>
            <w:r w:rsidRPr="0087752B">
              <w:t>243.5</w:t>
            </w:r>
          </w:p>
        </w:tc>
        <w:tc>
          <w:tcPr>
            <w:tcW w:w="1111" w:type="dxa"/>
            <w:tcBorders>
              <w:top w:val="nil"/>
              <w:left w:val="nil"/>
              <w:bottom w:val="nil"/>
              <w:right w:val="nil"/>
            </w:tcBorders>
            <w:shd w:val="clear" w:color="auto" w:fill="F8F8F8"/>
            <w:vAlign w:val="bottom"/>
          </w:tcPr>
          <w:p w14:paraId="23DF81C7" w14:textId="77777777" w:rsidR="006016B9" w:rsidRPr="0087752B" w:rsidRDefault="006016B9" w:rsidP="008D2BAC">
            <w:pPr>
              <w:pStyle w:val="DETTableTextFinancial"/>
              <w:jc w:val="right"/>
            </w:pPr>
            <w:r w:rsidRPr="0087752B">
              <w:t>12,342</w:t>
            </w:r>
          </w:p>
        </w:tc>
        <w:tc>
          <w:tcPr>
            <w:tcW w:w="1041" w:type="dxa"/>
            <w:tcBorders>
              <w:top w:val="nil"/>
              <w:left w:val="nil"/>
              <w:bottom w:val="nil"/>
              <w:right w:val="nil"/>
            </w:tcBorders>
            <w:shd w:val="clear" w:color="auto" w:fill="F8F8F8"/>
            <w:vAlign w:val="bottom"/>
          </w:tcPr>
          <w:p w14:paraId="50827CEB" w14:textId="77777777" w:rsidR="006016B9" w:rsidRPr="0087752B" w:rsidRDefault="006016B9" w:rsidP="008D2BAC">
            <w:pPr>
              <w:pStyle w:val="DETTableTextFinancial"/>
              <w:jc w:val="right"/>
            </w:pPr>
            <w:r w:rsidRPr="0087752B">
              <w:t>10,687.3</w:t>
            </w:r>
          </w:p>
        </w:tc>
        <w:tc>
          <w:tcPr>
            <w:tcW w:w="1041" w:type="dxa"/>
            <w:tcBorders>
              <w:top w:val="nil"/>
              <w:left w:val="nil"/>
              <w:bottom w:val="nil"/>
              <w:right w:val="nil"/>
            </w:tcBorders>
            <w:shd w:val="clear" w:color="auto" w:fill="F8F8F8"/>
            <w:vAlign w:val="bottom"/>
          </w:tcPr>
          <w:p w14:paraId="38FF241B" w14:textId="344BA877" w:rsidR="006016B9" w:rsidRPr="0087752B" w:rsidRDefault="006016B9" w:rsidP="008D2BAC">
            <w:pPr>
              <w:pStyle w:val="DETTableTextFinancial"/>
              <w:jc w:val="right"/>
            </w:pPr>
            <w:r w:rsidRPr="0087752B">
              <w:t>1</w:t>
            </w:r>
            <w:r w:rsidR="005013C5">
              <w:t>,</w:t>
            </w:r>
            <w:r w:rsidRPr="0087752B">
              <w:t>275.5</w:t>
            </w:r>
          </w:p>
        </w:tc>
      </w:tr>
      <w:tr w:rsidR="006016B9" w:rsidRPr="0087752B" w14:paraId="2E111202" w14:textId="77777777" w:rsidTr="008D2BAC">
        <w:tc>
          <w:tcPr>
            <w:tcW w:w="1199" w:type="dxa"/>
            <w:tcBorders>
              <w:top w:val="nil"/>
              <w:left w:val="nil"/>
              <w:bottom w:val="single" w:sz="4" w:space="0" w:color="auto"/>
              <w:right w:val="nil"/>
            </w:tcBorders>
            <w:vAlign w:val="bottom"/>
          </w:tcPr>
          <w:p w14:paraId="694B6836" w14:textId="77777777" w:rsidR="006016B9" w:rsidRPr="0087752B" w:rsidRDefault="006016B9" w:rsidP="008D2BAC">
            <w:pPr>
              <w:pStyle w:val="DETTableTextFinancial"/>
            </w:pPr>
            <w:r w:rsidRPr="0087752B">
              <w:t>Over 64</w:t>
            </w:r>
          </w:p>
        </w:tc>
        <w:tc>
          <w:tcPr>
            <w:tcW w:w="1112" w:type="dxa"/>
            <w:tcBorders>
              <w:top w:val="nil"/>
              <w:left w:val="nil"/>
              <w:bottom w:val="single" w:sz="4" w:space="0" w:color="auto"/>
              <w:right w:val="nil"/>
            </w:tcBorders>
            <w:vAlign w:val="bottom"/>
          </w:tcPr>
          <w:p w14:paraId="0CE9D050" w14:textId="44FF146E" w:rsidR="006016B9" w:rsidRPr="0087752B" w:rsidRDefault="006016B9" w:rsidP="008D2BAC">
            <w:pPr>
              <w:pStyle w:val="DETTableTextFinancial"/>
              <w:jc w:val="right"/>
            </w:pPr>
            <w:r w:rsidRPr="0087752B">
              <w:t>1</w:t>
            </w:r>
            <w:r w:rsidR="005013C5">
              <w:t>,</w:t>
            </w:r>
            <w:r w:rsidRPr="0087752B">
              <w:t>313</w:t>
            </w:r>
          </w:p>
        </w:tc>
        <w:tc>
          <w:tcPr>
            <w:tcW w:w="1041" w:type="dxa"/>
            <w:tcBorders>
              <w:top w:val="nil"/>
              <w:left w:val="nil"/>
              <w:bottom w:val="single" w:sz="4" w:space="0" w:color="auto"/>
              <w:right w:val="nil"/>
            </w:tcBorders>
            <w:vAlign w:val="bottom"/>
          </w:tcPr>
          <w:p w14:paraId="00E947BC" w14:textId="61EF5DBE" w:rsidR="006016B9" w:rsidRPr="0087752B" w:rsidRDefault="006016B9" w:rsidP="008D2BAC">
            <w:pPr>
              <w:pStyle w:val="DETTableTextFinancial"/>
              <w:jc w:val="right"/>
            </w:pPr>
            <w:r w:rsidRPr="0087752B">
              <w:t>1</w:t>
            </w:r>
            <w:r w:rsidR="005013C5">
              <w:t>,</w:t>
            </w:r>
            <w:r w:rsidRPr="0087752B">
              <w:t>016</w:t>
            </w:r>
          </w:p>
        </w:tc>
        <w:tc>
          <w:tcPr>
            <w:tcW w:w="1041" w:type="dxa"/>
            <w:tcBorders>
              <w:top w:val="nil"/>
              <w:left w:val="nil"/>
              <w:bottom w:val="single" w:sz="4" w:space="0" w:color="auto"/>
              <w:right w:val="nil"/>
            </w:tcBorders>
            <w:vAlign w:val="bottom"/>
          </w:tcPr>
          <w:p w14:paraId="1071B365" w14:textId="77777777" w:rsidR="006016B9" w:rsidRPr="0087752B" w:rsidRDefault="006016B9" w:rsidP="008D2BAC">
            <w:pPr>
              <w:pStyle w:val="DETTableTextFinancial"/>
              <w:jc w:val="right"/>
            </w:pPr>
            <w:r w:rsidRPr="0087752B">
              <w:t>113.6</w:t>
            </w:r>
          </w:p>
        </w:tc>
        <w:tc>
          <w:tcPr>
            <w:tcW w:w="1111" w:type="dxa"/>
            <w:tcBorders>
              <w:top w:val="nil"/>
              <w:left w:val="nil"/>
              <w:bottom w:val="single" w:sz="4" w:space="0" w:color="auto"/>
              <w:right w:val="nil"/>
            </w:tcBorders>
            <w:shd w:val="clear" w:color="auto" w:fill="F8F8F8"/>
            <w:vAlign w:val="bottom"/>
          </w:tcPr>
          <w:p w14:paraId="74FBD0BA" w14:textId="45300283" w:rsidR="006016B9" w:rsidRPr="0087752B" w:rsidRDefault="006016B9" w:rsidP="008D2BAC">
            <w:pPr>
              <w:pStyle w:val="DETTableTextFinancial"/>
              <w:jc w:val="right"/>
            </w:pPr>
            <w:r w:rsidRPr="0087752B">
              <w:t>1</w:t>
            </w:r>
            <w:r w:rsidR="005013C5">
              <w:t>,</w:t>
            </w:r>
            <w:r w:rsidRPr="0087752B">
              <w:t>490</w:t>
            </w:r>
          </w:p>
        </w:tc>
        <w:tc>
          <w:tcPr>
            <w:tcW w:w="1041" w:type="dxa"/>
            <w:tcBorders>
              <w:top w:val="nil"/>
              <w:left w:val="nil"/>
              <w:bottom w:val="single" w:sz="4" w:space="0" w:color="auto"/>
              <w:right w:val="nil"/>
            </w:tcBorders>
            <w:shd w:val="clear" w:color="auto" w:fill="F8F8F8"/>
            <w:vAlign w:val="bottom"/>
          </w:tcPr>
          <w:p w14:paraId="7B836D42" w14:textId="36EC368A" w:rsidR="006016B9" w:rsidRPr="0087752B" w:rsidRDefault="006016B9" w:rsidP="008D2BAC">
            <w:pPr>
              <w:pStyle w:val="DETTableTextFinancial"/>
              <w:jc w:val="right"/>
            </w:pPr>
            <w:r w:rsidRPr="0087752B">
              <w:t>1</w:t>
            </w:r>
            <w:r w:rsidR="005013C5">
              <w:t>,</w:t>
            </w:r>
            <w:r w:rsidRPr="0087752B">
              <w:t>145</w:t>
            </w:r>
          </w:p>
        </w:tc>
        <w:tc>
          <w:tcPr>
            <w:tcW w:w="1041" w:type="dxa"/>
            <w:tcBorders>
              <w:top w:val="nil"/>
              <w:left w:val="nil"/>
              <w:bottom w:val="single" w:sz="4" w:space="0" w:color="auto"/>
              <w:right w:val="nil"/>
            </w:tcBorders>
            <w:shd w:val="clear" w:color="auto" w:fill="F8F8F8"/>
            <w:vAlign w:val="bottom"/>
          </w:tcPr>
          <w:p w14:paraId="7C0384F8" w14:textId="77777777" w:rsidR="006016B9" w:rsidRPr="0087752B" w:rsidRDefault="006016B9" w:rsidP="008D2BAC">
            <w:pPr>
              <w:pStyle w:val="DETTableTextFinancial"/>
              <w:jc w:val="right"/>
            </w:pPr>
            <w:r w:rsidRPr="0087752B">
              <w:t>110.4</w:t>
            </w:r>
          </w:p>
        </w:tc>
      </w:tr>
      <w:tr w:rsidR="006016B9" w:rsidRPr="0087752B" w14:paraId="329DD231" w14:textId="77777777" w:rsidTr="008D2BAC">
        <w:tc>
          <w:tcPr>
            <w:tcW w:w="1199" w:type="dxa"/>
            <w:tcBorders>
              <w:top w:val="single" w:sz="4" w:space="0" w:color="auto"/>
              <w:left w:val="nil"/>
              <w:bottom w:val="single" w:sz="4" w:space="0" w:color="auto"/>
              <w:right w:val="nil"/>
            </w:tcBorders>
            <w:vAlign w:val="bottom"/>
          </w:tcPr>
          <w:p w14:paraId="5FECB090" w14:textId="77777777" w:rsidR="006016B9" w:rsidRPr="0087752B" w:rsidRDefault="006016B9" w:rsidP="008D2BAC">
            <w:pPr>
              <w:pStyle w:val="DETTableTextFinancial"/>
              <w:rPr>
                <w:b/>
              </w:rPr>
            </w:pPr>
            <w:r w:rsidRPr="0087752B">
              <w:rPr>
                <w:b/>
              </w:rPr>
              <w:t>Total</w:t>
            </w:r>
          </w:p>
        </w:tc>
        <w:tc>
          <w:tcPr>
            <w:tcW w:w="1112" w:type="dxa"/>
            <w:tcBorders>
              <w:top w:val="single" w:sz="4" w:space="0" w:color="auto"/>
              <w:left w:val="nil"/>
              <w:bottom w:val="single" w:sz="4" w:space="0" w:color="auto"/>
              <w:right w:val="nil"/>
            </w:tcBorders>
            <w:vAlign w:val="bottom"/>
          </w:tcPr>
          <w:p w14:paraId="163E7C5A" w14:textId="77777777" w:rsidR="006016B9" w:rsidRPr="0087752B" w:rsidRDefault="006016B9" w:rsidP="008D2BAC">
            <w:pPr>
              <w:pStyle w:val="DETTableTextFinancial"/>
              <w:jc w:val="right"/>
              <w:rPr>
                <w:b/>
              </w:rPr>
            </w:pPr>
            <w:r w:rsidRPr="0087752B">
              <w:rPr>
                <w:b/>
              </w:rPr>
              <w:t>47,546</w:t>
            </w:r>
          </w:p>
        </w:tc>
        <w:tc>
          <w:tcPr>
            <w:tcW w:w="1041" w:type="dxa"/>
            <w:tcBorders>
              <w:top w:val="single" w:sz="4" w:space="0" w:color="auto"/>
              <w:left w:val="nil"/>
              <w:bottom w:val="single" w:sz="4" w:space="0" w:color="auto"/>
              <w:right w:val="nil"/>
            </w:tcBorders>
            <w:vAlign w:val="bottom"/>
          </w:tcPr>
          <w:p w14:paraId="76353BB8" w14:textId="1EF510EB" w:rsidR="006016B9" w:rsidRPr="0087752B" w:rsidRDefault="006016B9" w:rsidP="008D2BAC">
            <w:pPr>
              <w:pStyle w:val="DETTableTextFinancial"/>
              <w:jc w:val="right"/>
              <w:rPr>
                <w:b/>
              </w:rPr>
            </w:pPr>
            <w:r w:rsidRPr="0087752B">
              <w:rPr>
                <w:b/>
              </w:rPr>
              <w:t>42,083</w:t>
            </w:r>
          </w:p>
        </w:tc>
        <w:tc>
          <w:tcPr>
            <w:tcW w:w="1041" w:type="dxa"/>
            <w:tcBorders>
              <w:top w:val="single" w:sz="4" w:space="0" w:color="auto"/>
              <w:left w:val="nil"/>
              <w:bottom w:val="single" w:sz="4" w:space="0" w:color="auto"/>
              <w:right w:val="nil"/>
            </w:tcBorders>
            <w:vAlign w:val="bottom"/>
          </w:tcPr>
          <w:p w14:paraId="7340F66E" w14:textId="77777777" w:rsidR="006016B9" w:rsidRPr="0087752B" w:rsidRDefault="006016B9" w:rsidP="008D2BAC">
            <w:pPr>
              <w:pStyle w:val="DETTableTextFinancial"/>
              <w:jc w:val="right"/>
              <w:rPr>
                <w:b/>
              </w:rPr>
            </w:pPr>
            <w:r w:rsidRPr="0087752B">
              <w:rPr>
                <w:b/>
              </w:rPr>
              <w:t>14,266.2</w:t>
            </w:r>
          </w:p>
        </w:tc>
        <w:tc>
          <w:tcPr>
            <w:tcW w:w="1111" w:type="dxa"/>
            <w:tcBorders>
              <w:top w:val="single" w:sz="4" w:space="0" w:color="auto"/>
              <w:left w:val="nil"/>
              <w:bottom w:val="single" w:sz="4" w:space="0" w:color="auto"/>
              <w:right w:val="nil"/>
            </w:tcBorders>
            <w:shd w:val="clear" w:color="auto" w:fill="F8F8F8"/>
            <w:vAlign w:val="bottom"/>
          </w:tcPr>
          <w:p w14:paraId="1E3ACC14" w14:textId="77777777" w:rsidR="006016B9" w:rsidRPr="0087752B" w:rsidRDefault="006016B9" w:rsidP="008D2BAC">
            <w:pPr>
              <w:pStyle w:val="DETTableTextFinancial"/>
              <w:jc w:val="right"/>
              <w:rPr>
                <w:b/>
              </w:rPr>
            </w:pPr>
            <w:r w:rsidRPr="0087752B">
              <w:rPr>
                <w:b/>
              </w:rPr>
              <w:t>49,874</w:t>
            </w:r>
          </w:p>
        </w:tc>
        <w:tc>
          <w:tcPr>
            <w:tcW w:w="1041" w:type="dxa"/>
            <w:tcBorders>
              <w:top w:val="single" w:sz="4" w:space="0" w:color="auto"/>
              <w:left w:val="nil"/>
              <w:bottom w:val="single" w:sz="4" w:space="0" w:color="auto"/>
              <w:right w:val="nil"/>
            </w:tcBorders>
            <w:shd w:val="clear" w:color="auto" w:fill="F8F8F8"/>
            <w:vAlign w:val="bottom"/>
          </w:tcPr>
          <w:p w14:paraId="50B3E751" w14:textId="3A96D778" w:rsidR="006016B9" w:rsidRPr="0087752B" w:rsidRDefault="006016B9" w:rsidP="008D2BAC">
            <w:pPr>
              <w:pStyle w:val="DETTableTextFinancial"/>
              <w:jc w:val="right"/>
              <w:rPr>
                <w:b/>
              </w:rPr>
            </w:pPr>
            <w:r w:rsidRPr="0087752B">
              <w:rPr>
                <w:b/>
              </w:rPr>
              <w:t>43,842</w:t>
            </w:r>
          </w:p>
        </w:tc>
        <w:tc>
          <w:tcPr>
            <w:tcW w:w="1041" w:type="dxa"/>
            <w:tcBorders>
              <w:top w:val="single" w:sz="4" w:space="0" w:color="auto"/>
              <w:left w:val="nil"/>
              <w:bottom w:val="single" w:sz="4" w:space="0" w:color="auto"/>
              <w:right w:val="nil"/>
            </w:tcBorders>
            <w:shd w:val="clear" w:color="auto" w:fill="F8F8F8"/>
            <w:vAlign w:val="bottom"/>
          </w:tcPr>
          <w:p w14:paraId="20BDF647" w14:textId="47D4F71A" w:rsidR="006016B9" w:rsidRPr="0087752B" w:rsidRDefault="006016B9" w:rsidP="008D2BAC">
            <w:pPr>
              <w:pStyle w:val="DETTableTextFinancial"/>
              <w:jc w:val="right"/>
              <w:rPr>
                <w:b/>
              </w:rPr>
            </w:pPr>
            <w:r w:rsidRPr="0087752B">
              <w:rPr>
                <w:b/>
              </w:rPr>
              <w:t>14,484</w:t>
            </w:r>
          </w:p>
        </w:tc>
      </w:tr>
      <w:tr w:rsidR="006016B9" w:rsidRPr="0087752B" w14:paraId="38A1BDB1" w14:textId="77777777" w:rsidTr="008D2BAC">
        <w:tc>
          <w:tcPr>
            <w:tcW w:w="1199" w:type="dxa"/>
            <w:tcBorders>
              <w:left w:val="nil"/>
              <w:bottom w:val="nil"/>
              <w:right w:val="nil"/>
            </w:tcBorders>
            <w:vAlign w:val="bottom"/>
          </w:tcPr>
          <w:p w14:paraId="6B9577D1" w14:textId="77777777" w:rsidR="006016B9" w:rsidRPr="0087752B" w:rsidRDefault="006016B9" w:rsidP="008D2BAC">
            <w:pPr>
              <w:pStyle w:val="DETTableTextFinancial"/>
              <w:rPr>
                <w:b/>
              </w:rPr>
            </w:pPr>
            <w:r w:rsidRPr="0087752B">
              <w:rPr>
                <w:b/>
              </w:rPr>
              <w:t>Classification</w:t>
            </w:r>
          </w:p>
        </w:tc>
        <w:tc>
          <w:tcPr>
            <w:tcW w:w="1112" w:type="dxa"/>
            <w:tcBorders>
              <w:left w:val="nil"/>
              <w:bottom w:val="nil"/>
              <w:right w:val="nil"/>
            </w:tcBorders>
            <w:vAlign w:val="bottom"/>
          </w:tcPr>
          <w:p w14:paraId="60227AD8" w14:textId="77777777" w:rsidR="006016B9" w:rsidRPr="0087752B" w:rsidRDefault="006016B9" w:rsidP="008D2BAC">
            <w:pPr>
              <w:pStyle w:val="DETTableTextFinancial"/>
              <w:jc w:val="right"/>
            </w:pPr>
            <w:r w:rsidRPr="0087752B">
              <w:t> </w:t>
            </w:r>
          </w:p>
        </w:tc>
        <w:tc>
          <w:tcPr>
            <w:tcW w:w="1041" w:type="dxa"/>
            <w:tcBorders>
              <w:left w:val="nil"/>
              <w:bottom w:val="nil"/>
              <w:right w:val="nil"/>
            </w:tcBorders>
            <w:vAlign w:val="bottom"/>
          </w:tcPr>
          <w:p w14:paraId="25CF9C4B" w14:textId="77777777" w:rsidR="006016B9" w:rsidRPr="0087752B" w:rsidRDefault="006016B9" w:rsidP="008D2BAC">
            <w:pPr>
              <w:pStyle w:val="DETTableTextFinancial"/>
              <w:jc w:val="right"/>
            </w:pPr>
            <w:r w:rsidRPr="0087752B">
              <w:t> </w:t>
            </w:r>
          </w:p>
        </w:tc>
        <w:tc>
          <w:tcPr>
            <w:tcW w:w="1041" w:type="dxa"/>
            <w:tcBorders>
              <w:left w:val="nil"/>
              <w:bottom w:val="nil"/>
              <w:right w:val="nil"/>
            </w:tcBorders>
            <w:vAlign w:val="bottom"/>
          </w:tcPr>
          <w:p w14:paraId="28ABAB56" w14:textId="77777777" w:rsidR="006016B9" w:rsidRPr="0087752B" w:rsidRDefault="006016B9" w:rsidP="008D2BAC">
            <w:pPr>
              <w:pStyle w:val="DETTableTextFinancial"/>
              <w:jc w:val="right"/>
            </w:pPr>
            <w:r w:rsidRPr="0087752B">
              <w:t> </w:t>
            </w:r>
          </w:p>
        </w:tc>
        <w:tc>
          <w:tcPr>
            <w:tcW w:w="1111" w:type="dxa"/>
            <w:tcBorders>
              <w:left w:val="nil"/>
              <w:bottom w:val="nil"/>
              <w:right w:val="nil"/>
            </w:tcBorders>
            <w:shd w:val="clear" w:color="auto" w:fill="F8F8F8"/>
            <w:vAlign w:val="bottom"/>
          </w:tcPr>
          <w:p w14:paraId="5CD8BDA9" w14:textId="77777777" w:rsidR="006016B9" w:rsidRPr="0087752B" w:rsidRDefault="006016B9" w:rsidP="008D2BAC">
            <w:pPr>
              <w:pStyle w:val="DETTableTextFinancial"/>
              <w:jc w:val="right"/>
            </w:pPr>
            <w:r w:rsidRPr="0087752B">
              <w:t> </w:t>
            </w:r>
          </w:p>
        </w:tc>
        <w:tc>
          <w:tcPr>
            <w:tcW w:w="1041" w:type="dxa"/>
            <w:tcBorders>
              <w:left w:val="nil"/>
              <w:bottom w:val="nil"/>
              <w:right w:val="nil"/>
            </w:tcBorders>
            <w:shd w:val="clear" w:color="auto" w:fill="F8F8F8"/>
            <w:vAlign w:val="bottom"/>
          </w:tcPr>
          <w:p w14:paraId="01F0D7D0" w14:textId="77777777" w:rsidR="006016B9" w:rsidRPr="0087752B" w:rsidRDefault="006016B9" w:rsidP="008D2BAC">
            <w:pPr>
              <w:pStyle w:val="DETTableTextFinancial"/>
              <w:jc w:val="right"/>
            </w:pPr>
            <w:r w:rsidRPr="0087752B">
              <w:t> </w:t>
            </w:r>
          </w:p>
        </w:tc>
        <w:tc>
          <w:tcPr>
            <w:tcW w:w="1041" w:type="dxa"/>
            <w:tcBorders>
              <w:left w:val="nil"/>
              <w:bottom w:val="nil"/>
              <w:right w:val="nil"/>
            </w:tcBorders>
            <w:shd w:val="clear" w:color="auto" w:fill="F8F8F8"/>
            <w:vAlign w:val="bottom"/>
          </w:tcPr>
          <w:p w14:paraId="0F93EAC2" w14:textId="77777777" w:rsidR="006016B9" w:rsidRPr="0087752B" w:rsidRDefault="006016B9" w:rsidP="008D2BAC">
            <w:pPr>
              <w:pStyle w:val="DETTableTextFinancial"/>
              <w:jc w:val="right"/>
            </w:pPr>
            <w:r w:rsidRPr="0087752B">
              <w:t> </w:t>
            </w:r>
          </w:p>
        </w:tc>
      </w:tr>
      <w:tr w:rsidR="006016B9" w:rsidRPr="0087752B" w14:paraId="1668CA1F" w14:textId="77777777" w:rsidTr="008D2BAC">
        <w:tc>
          <w:tcPr>
            <w:tcW w:w="1199" w:type="dxa"/>
            <w:tcBorders>
              <w:top w:val="nil"/>
              <w:left w:val="nil"/>
              <w:bottom w:val="nil"/>
              <w:right w:val="nil"/>
            </w:tcBorders>
            <w:vAlign w:val="bottom"/>
          </w:tcPr>
          <w:p w14:paraId="2FF6F609" w14:textId="77777777" w:rsidR="006016B9" w:rsidRPr="0087752B" w:rsidRDefault="006016B9" w:rsidP="008D2BAC">
            <w:pPr>
              <w:pStyle w:val="DETTableTextFinancial"/>
            </w:pPr>
            <w:r w:rsidRPr="0087752B">
              <w:t>Executive Class</w:t>
            </w:r>
          </w:p>
        </w:tc>
        <w:tc>
          <w:tcPr>
            <w:tcW w:w="1112" w:type="dxa"/>
            <w:tcBorders>
              <w:top w:val="nil"/>
              <w:left w:val="nil"/>
              <w:bottom w:val="nil"/>
              <w:right w:val="nil"/>
            </w:tcBorders>
            <w:vAlign w:val="bottom"/>
          </w:tcPr>
          <w:p w14:paraId="30497CBB" w14:textId="77777777" w:rsidR="006016B9" w:rsidRPr="0087752B" w:rsidRDefault="006016B9" w:rsidP="008D2BAC">
            <w:pPr>
              <w:pStyle w:val="DETTableTextFinancial"/>
              <w:jc w:val="right"/>
            </w:pPr>
            <w:r w:rsidRPr="0087752B">
              <w:t>72</w:t>
            </w:r>
          </w:p>
        </w:tc>
        <w:tc>
          <w:tcPr>
            <w:tcW w:w="1041" w:type="dxa"/>
            <w:tcBorders>
              <w:top w:val="nil"/>
              <w:left w:val="nil"/>
              <w:bottom w:val="nil"/>
              <w:right w:val="nil"/>
            </w:tcBorders>
            <w:vAlign w:val="bottom"/>
          </w:tcPr>
          <w:p w14:paraId="0E42D406" w14:textId="77777777" w:rsidR="006016B9" w:rsidRPr="0087752B" w:rsidRDefault="006016B9" w:rsidP="008D2BAC">
            <w:pPr>
              <w:pStyle w:val="DETTableTextFinancial"/>
              <w:jc w:val="right"/>
            </w:pPr>
            <w:r w:rsidRPr="0087752B">
              <w:t>71.5</w:t>
            </w:r>
          </w:p>
        </w:tc>
        <w:tc>
          <w:tcPr>
            <w:tcW w:w="1041" w:type="dxa"/>
            <w:tcBorders>
              <w:top w:val="nil"/>
              <w:left w:val="nil"/>
              <w:bottom w:val="nil"/>
              <w:right w:val="nil"/>
            </w:tcBorders>
            <w:vAlign w:val="bottom"/>
          </w:tcPr>
          <w:p w14:paraId="34CCA599" w14:textId="77777777" w:rsidR="006016B9" w:rsidRPr="0087752B" w:rsidRDefault="006016B9" w:rsidP="008D2BAC">
            <w:pPr>
              <w:pStyle w:val="DETTableTextFinancial"/>
              <w:jc w:val="right"/>
            </w:pPr>
            <w:r w:rsidRPr="0087752B">
              <w:t>1.5</w:t>
            </w:r>
          </w:p>
        </w:tc>
        <w:tc>
          <w:tcPr>
            <w:tcW w:w="1111" w:type="dxa"/>
            <w:tcBorders>
              <w:top w:val="nil"/>
              <w:left w:val="nil"/>
              <w:bottom w:val="nil"/>
              <w:right w:val="nil"/>
            </w:tcBorders>
            <w:shd w:val="clear" w:color="auto" w:fill="F8F8F8"/>
            <w:vAlign w:val="bottom"/>
          </w:tcPr>
          <w:p w14:paraId="29F9B9FF" w14:textId="77777777" w:rsidR="006016B9" w:rsidRPr="0087752B" w:rsidRDefault="006016B9" w:rsidP="008D2BAC">
            <w:pPr>
              <w:pStyle w:val="DETTableTextFinancial"/>
              <w:jc w:val="right"/>
            </w:pPr>
            <w:r w:rsidRPr="0087752B">
              <w:t>98</w:t>
            </w:r>
          </w:p>
        </w:tc>
        <w:tc>
          <w:tcPr>
            <w:tcW w:w="1041" w:type="dxa"/>
            <w:tcBorders>
              <w:top w:val="nil"/>
              <w:left w:val="nil"/>
              <w:bottom w:val="nil"/>
              <w:right w:val="nil"/>
            </w:tcBorders>
            <w:shd w:val="clear" w:color="auto" w:fill="F8F8F8"/>
            <w:vAlign w:val="bottom"/>
          </w:tcPr>
          <w:p w14:paraId="6C613630" w14:textId="77777777" w:rsidR="006016B9" w:rsidRPr="0087752B" w:rsidRDefault="006016B9" w:rsidP="008D2BAC">
            <w:pPr>
              <w:pStyle w:val="DETTableTextFinancial"/>
              <w:jc w:val="right"/>
            </w:pPr>
            <w:r w:rsidRPr="0087752B">
              <w:t>97.0</w:t>
            </w:r>
          </w:p>
        </w:tc>
        <w:tc>
          <w:tcPr>
            <w:tcW w:w="1041" w:type="dxa"/>
            <w:tcBorders>
              <w:top w:val="nil"/>
              <w:left w:val="nil"/>
              <w:bottom w:val="nil"/>
              <w:right w:val="nil"/>
            </w:tcBorders>
            <w:shd w:val="clear" w:color="auto" w:fill="F8F8F8"/>
            <w:vAlign w:val="bottom"/>
          </w:tcPr>
          <w:p w14:paraId="6868C55F" w14:textId="5018787C" w:rsidR="006016B9" w:rsidRPr="0087752B" w:rsidRDefault="006016B9" w:rsidP="008D2BAC">
            <w:pPr>
              <w:pStyle w:val="DETTableTextFinancial"/>
              <w:jc w:val="right"/>
            </w:pPr>
            <w:r w:rsidRPr="0087752B">
              <w:t>11</w:t>
            </w:r>
          </w:p>
        </w:tc>
      </w:tr>
      <w:tr w:rsidR="006016B9" w:rsidRPr="0087752B" w14:paraId="0FBA7639" w14:textId="77777777" w:rsidTr="008D2BAC">
        <w:tc>
          <w:tcPr>
            <w:tcW w:w="1199" w:type="dxa"/>
            <w:tcBorders>
              <w:top w:val="nil"/>
              <w:left w:val="nil"/>
              <w:bottom w:val="nil"/>
              <w:right w:val="nil"/>
            </w:tcBorders>
            <w:vAlign w:val="bottom"/>
          </w:tcPr>
          <w:p w14:paraId="4D1EBD5C" w14:textId="77777777" w:rsidR="006016B9" w:rsidRPr="0087752B" w:rsidRDefault="006016B9" w:rsidP="008D2BAC">
            <w:pPr>
              <w:pStyle w:val="DETTableTextFinancial"/>
            </w:pPr>
            <w:r w:rsidRPr="0087752B">
              <w:t>Principal Class</w:t>
            </w:r>
            <w:r w:rsidRPr="00724B68">
              <w:rPr>
                <w:rStyle w:val="FootnoteReference"/>
              </w:rPr>
              <w:t>1</w:t>
            </w:r>
          </w:p>
        </w:tc>
        <w:tc>
          <w:tcPr>
            <w:tcW w:w="1112" w:type="dxa"/>
            <w:tcBorders>
              <w:top w:val="nil"/>
              <w:left w:val="nil"/>
              <w:bottom w:val="nil"/>
              <w:right w:val="nil"/>
            </w:tcBorders>
            <w:vAlign w:val="bottom"/>
          </w:tcPr>
          <w:p w14:paraId="2F5351CF" w14:textId="20B1F7A1" w:rsidR="006016B9" w:rsidRPr="0087752B" w:rsidRDefault="006016B9" w:rsidP="008D2BAC">
            <w:pPr>
              <w:pStyle w:val="DETTableTextFinancial"/>
              <w:jc w:val="right"/>
            </w:pPr>
            <w:r w:rsidRPr="0087752B">
              <w:t>3</w:t>
            </w:r>
            <w:r w:rsidR="005013C5">
              <w:t>,</w:t>
            </w:r>
            <w:r w:rsidRPr="0087752B">
              <w:t>032</w:t>
            </w:r>
          </w:p>
        </w:tc>
        <w:tc>
          <w:tcPr>
            <w:tcW w:w="1041" w:type="dxa"/>
            <w:tcBorders>
              <w:top w:val="nil"/>
              <w:left w:val="nil"/>
              <w:bottom w:val="nil"/>
              <w:right w:val="nil"/>
            </w:tcBorders>
            <w:vAlign w:val="bottom"/>
          </w:tcPr>
          <w:p w14:paraId="2A762E71" w14:textId="381CC470" w:rsidR="006016B9" w:rsidRPr="0087752B" w:rsidRDefault="006016B9" w:rsidP="008D2BAC">
            <w:pPr>
              <w:pStyle w:val="DETTableTextFinancial"/>
              <w:jc w:val="right"/>
            </w:pPr>
            <w:r w:rsidRPr="0087752B">
              <w:t>3</w:t>
            </w:r>
            <w:r w:rsidR="005013C5">
              <w:t>,</w:t>
            </w:r>
            <w:r w:rsidRPr="0087752B">
              <w:t>010.4</w:t>
            </w:r>
          </w:p>
        </w:tc>
        <w:tc>
          <w:tcPr>
            <w:tcW w:w="1041" w:type="dxa"/>
            <w:tcBorders>
              <w:top w:val="nil"/>
              <w:left w:val="nil"/>
              <w:bottom w:val="nil"/>
              <w:right w:val="nil"/>
            </w:tcBorders>
            <w:vAlign w:val="bottom"/>
          </w:tcPr>
          <w:p w14:paraId="12E08064" w14:textId="55D3174B" w:rsidR="006016B9" w:rsidRPr="0087752B" w:rsidRDefault="004D1C46" w:rsidP="008D2BAC">
            <w:pPr>
              <w:pStyle w:val="DETTableTextFinancial"/>
              <w:jc w:val="right"/>
            </w:pPr>
            <w:r>
              <w:t>–</w:t>
            </w:r>
          </w:p>
        </w:tc>
        <w:tc>
          <w:tcPr>
            <w:tcW w:w="1111" w:type="dxa"/>
            <w:tcBorders>
              <w:top w:val="nil"/>
              <w:left w:val="nil"/>
              <w:bottom w:val="nil"/>
              <w:right w:val="nil"/>
            </w:tcBorders>
            <w:shd w:val="clear" w:color="auto" w:fill="F8F8F8"/>
            <w:vAlign w:val="bottom"/>
          </w:tcPr>
          <w:p w14:paraId="49AA3FEA" w14:textId="4E587449" w:rsidR="006016B9" w:rsidRPr="0087752B" w:rsidRDefault="006016B9" w:rsidP="008D2BAC">
            <w:pPr>
              <w:pStyle w:val="DETTableTextFinancial"/>
              <w:jc w:val="right"/>
            </w:pPr>
            <w:r w:rsidRPr="0087752B">
              <w:t>3</w:t>
            </w:r>
            <w:r w:rsidR="005013C5">
              <w:t>,</w:t>
            </w:r>
            <w:r w:rsidRPr="0087752B">
              <w:t>008</w:t>
            </w:r>
          </w:p>
        </w:tc>
        <w:tc>
          <w:tcPr>
            <w:tcW w:w="1041" w:type="dxa"/>
            <w:tcBorders>
              <w:top w:val="nil"/>
              <w:left w:val="nil"/>
              <w:bottom w:val="nil"/>
              <w:right w:val="nil"/>
            </w:tcBorders>
            <w:shd w:val="clear" w:color="auto" w:fill="F8F8F8"/>
            <w:vAlign w:val="bottom"/>
          </w:tcPr>
          <w:p w14:paraId="2362C7B4" w14:textId="01678091" w:rsidR="006016B9" w:rsidRPr="0087752B" w:rsidRDefault="006016B9" w:rsidP="008D2BAC">
            <w:pPr>
              <w:pStyle w:val="DETTableTextFinancial"/>
              <w:jc w:val="right"/>
            </w:pPr>
            <w:r w:rsidRPr="0087752B">
              <w:t>2</w:t>
            </w:r>
            <w:r w:rsidR="005013C5">
              <w:t>,</w:t>
            </w:r>
            <w:r w:rsidRPr="0087752B">
              <w:t>986.5</w:t>
            </w:r>
          </w:p>
        </w:tc>
        <w:tc>
          <w:tcPr>
            <w:tcW w:w="1041" w:type="dxa"/>
            <w:tcBorders>
              <w:top w:val="nil"/>
              <w:left w:val="nil"/>
              <w:bottom w:val="nil"/>
              <w:right w:val="nil"/>
            </w:tcBorders>
            <w:shd w:val="clear" w:color="auto" w:fill="F8F8F8"/>
            <w:vAlign w:val="bottom"/>
          </w:tcPr>
          <w:p w14:paraId="1F941A1C" w14:textId="1E3187D1" w:rsidR="006016B9" w:rsidRPr="0087752B" w:rsidRDefault="004D1C46" w:rsidP="008D2BAC">
            <w:pPr>
              <w:pStyle w:val="DETTableTextFinancial"/>
              <w:jc w:val="right"/>
            </w:pPr>
            <w:r>
              <w:t>–</w:t>
            </w:r>
          </w:p>
        </w:tc>
      </w:tr>
      <w:tr w:rsidR="006016B9" w:rsidRPr="0087752B" w14:paraId="236FBD84" w14:textId="77777777" w:rsidTr="008D2BAC">
        <w:tc>
          <w:tcPr>
            <w:tcW w:w="1199" w:type="dxa"/>
            <w:tcBorders>
              <w:top w:val="nil"/>
              <w:left w:val="nil"/>
              <w:bottom w:val="nil"/>
              <w:right w:val="nil"/>
            </w:tcBorders>
            <w:vAlign w:val="bottom"/>
          </w:tcPr>
          <w:p w14:paraId="7F561835" w14:textId="77777777" w:rsidR="006016B9" w:rsidRPr="0087752B" w:rsidRDefault="006016B9" w:rsidP="008D2BAC">
            <w:pPr>
              <w:pStyle w:val="DETTableTextFinancial"/>
            </w:pPr>
            <w:r w:rsidRPr="0087752B">
              <w:t>Teacher Class</w:t>
            </w:r>
            <w:r w:rsidRPr="00724B68">
              <w:rPr>
                <w:rStyle w:val="FootnoteReference"/>
              </w:rPr>
              <w:t>2</w:t>
            </w:r>
          </w:p>
        </w:tc>
        <w:tc>
          <w:tcPr>
            <w:tcW w:w="1112" w:type="dxa"/>
            <w:tcBorders>
              <w:top w:val="nil"/>
              <w:left w:val="nil"/>
              <w:bottom w:val="nil"/>
              <w:right w:val="nil"/>
            </w:tcBorders>
            <w:vAlign w:val="bottom"/>
          </w:tcPr>
          <w:p w14:paraId="24EBAF9A" w14:textId="77777777" w:rsidR="006016B9" w:rsidRPr="0087752B" w:rsidRDefault="006016B9" w:rsidP="008D2BAC">
            <w:pPr>
              <w:pStyle w:val="DETTableTextFinancial"/>
              <w:jc w:val="right"/>
            </w:pPr>
            <w:r w:rsidRPr="0087752B">
              <w:t>33,836</w:t>
            </w:r>
          </w:p>
        </w:tc>
        <w:tc>
          <w:tcPr>
            <w:tcW w:w="1041" w:type="dxa"/>
            <w:tcBorders>
              <w:top w:val="nil"/>
              <w:left w:val="nil"/>
              <w:bottom w:val="nil"/>
              <w:right w:val="nil"/>
            </w:tcBorders>
            <w:vAlign w:val="bottom"/>
          </w:tcPr>
          <w:p w14:paraId="00BC74A6" w14:textId="77777777" w:rsidR="006016B9" w:rsidRPr="0087752B" w:rsidRDefault="006016B9" w:rsidP="008D2BAC">
            <w:pPr>
              <w:pStyle w:val="DETTableTextFinancial"/>
              <w:jc w:val="right"/>
            </w:pPr>
            <w:r w:rsidRPr="0087752B">
              <w:t>30,411.7</w:t>
            </w:r>
          </w:p>
        </w:tc>
        <w:tc>
          <w:tcPr>
            <w:tcW w:w="1041" w:type="dxa"/>
            <w:tcBorders>
              <w:top w:val="nil"/>
              <w:left w:val="nil"/>
              <w:bottom w:val="nil"/>
              <w:right w:val="nil"/>
            </w:tcBorders>
            <w:vAlign w:val="bottom"/>
          </w:tcPr>
          <w:p w14:paraId="58D3C5A4" w14:textId="2BDBD7E8" w:rsidR="006016B9" w:rsidRPr="0087752B" w:rsidRDefault="006016B9" w:rsidP="008D2BAC">
            <w:pPr>
              <w:pStyle w:val="DETTableTextFinancial"/>
              <w:jc w:val="right"/>
            </w:pPr>
            <w:r w:rsidRPr="0087752B">
              <w:t>8</w:t>
            </w:r>
            <w:r w:rsidR="005013C5">
              <w:t>,</w:t>
            </w:r>
            <w:r w:rsidRPr="0087752B">
              <w:t>661.9</w:t>
            </w:r>
          </w:p>
        </w:tc>
        <w:tc>
          <w:tcPr>
            <w:tcW w:w="1111" w:type="dxa"/>
            <w:tcBorders>
              <w:top w:val="nil"/>
              <w:left w:val="nil"/>
              <w:bottom w:val="nil"/>
              <w:right w:val="nil"/>
            </w:tcBorders>
            <w:shd w:val="clear" w:color="auto" w:fill="F8F8F8"/>
            <w:vAlign w:val="bottom"/>
          </w:tcPr>
          <w:p w14:paraId="4F520D67" w14:textId="77777777" w:rsidR="006016B9" w:rsidRPr="0087752B" w:rsidRDefault="006016B9" w:rsidP="008D2BAC">
            <w:pPr>
              <w:pStyle w:val="DETTableTextFinancial"/>
              <w:jc w:val="right"/>
            </w:pPr>
            <w:r w:rsidRPr="0087752B">
              <w:t>34,904</w:t>
            </w:r>
          </w:p>
        </w:tc>
        <w:tc>
          <w:tcPr>
            <w:tcW w:w="1041" w:type="dxa"/>
            <w:tcBorders>
              <w:top w:val="nil"/>
              <w:left w:val="nil"/>
              <w:bottom w:val="nil"/>
              <w:right w:val="nil"/>
            </w:tcBorders>
            <w:shd w:val="clear" w:color="auto" w:fill="F8F8F8"/>
            <w:vAlign w:val="bottom"/>
          </w:tcPr>
          <w:p w14:paraId="19D91225" w14:textId="77777777" w:rsidR="006016B9" w:rsidRPr="0087752B" w:rsidRDefault="006016B9" w:rsidP="008D2BAC">
            <w:pPr>
              <w:pStyle w:val="DETTableTextFinancial"/>
              <w:jc w:val="right"/>
            </w:pPr>
            <w:r w:rsidRPr="0087752B">
              <w:t>31,295.0</w:t>
            </w:r>
          </w:p>
        </w:tc>
        <w:tc>
          <w:tcPr>
            <w:tcW w:w="1041" w:type="dxa"/>
            <w:tcBorders>
              <w:top w:val="nil"/>
              <w:left w:val="nil"/>
              <w:bottom w:val="nil"/>
              <w:right w:val="nil"/>
            </w:tcBorders>
            <w:shd w:val="clear" w:color="auto" w:fill="F8F8F8"/>
            <w:vAlign w:val="bottom"/>
          </w:tcPr>
          <w:p w14:paraId="3799D43B" w14:textId="127D1C10" w:rsidR="006016B9" w:rsidRPr="0087752B" w:rsidRDefault="006016B9" w:rsidP="008D2BAC">
            <w:pPr>
              <w:pStyle w:val="DETTableTextFinancial"/>
              <w:jc w:val="right"/>
            </w:pPr>
            <w:r w:rsidRPr="0087752B">
              <w:t>8</w:t>
            </w:r>
            <w:r w:rsidR="005013C5">
              <w:t>,</w:t>
            </w:r>
            <w:r w:rsidRPr="0087752B">
              <w:t>944.9</w:t>
            </w:r>
          </w:p>
        </w:tc>
      </w:tr>
      <w:tr w:rsidR="006016B9" w:rsidRPr="0087752B" w14:paraId="6F7F9335" w14:textId="77777777" w:rsidTr="008D2BAC">
        <w:tc>
          <w:tcPr>
            <w:tcW w:w="1199" w:type="dxa"/>
            <w:tcBorders>
              <w:top w:val="nil"/>
              <w:left w:val="nil"/>
              <w:bottom w:val="single" w:sz="4" w:space="0" w:color="auto"/>
              <w:right w:val="nil"/>
            </w:tcBorders>
            <w:vAlign w:val="bottom"/>
          </w:tcPr>
          <w:p w14:paraId="10C641E1" w14:textId="77777777" w:rsidR="006016B9" w:rsidRPr="0087752B" w:rsidRDefault="006016B9" w:rsidP="008D2BAC">
            <w:pPr>
              <w:pStyle w:val="DETTableTextFinancial"/>
            </w:pPr>
            <w:r w:rsidRPr="0087752B">
              <w:t>Education Support Class</w:t>
            </w:r>
          </w:p>
        </w:tc>
        <w:tc>
          <w:tcPr>
            <w:tcW w:w="1112" w:type="dxa"/>
            <w:tcBorders>
              <w:top w:val="nil"/>
              <w:left w:val="nil"/>
              <w:bottom w:val="single" w:sz="4" w:space="0" w:color="auto"/>
              <w:right w:val="nil"/>
            </w:tcBorders>
            <w:vAlign w:val="bottom"/>
          </w:tcPr>
          <w:p w14:paraId="20DA0ECF" w14:textId="77777777" w:rsidR="006016B9" w:rsidRPr="0087752B" w:rsidRDefault="006016B9" w:rsidP="008D2BAC">
            <w:pPr>
              <w:pStyle w:val="DETTableTextFinancial"/>
              <w:jc w:val="right"/>
            </w:pPr>
            <w:r w:rsidRPr="0087752B">
              <w:t>10,606</w:t>
            </w:r>
          </w:p>
        </w:tc>
        <w:tc>
          <w:tcPr>
            <w:tcW w:w="1041" w:type="dxa"/>
            <w:tcBorders>
              <w:top w:val="nil"/>
              <w:left w:val="nil"/>
              <w:bottom w:val="single" w:sz="4" w:space="0" w:color="auto"/>
              <w:right w:val="nil"/>
            </w:tcBorders>
            <w:vAlign w:val="bottom"/>
          </w:tcPr>
          <w:p w14:paraId="6876EC45" w14:textId="7CBDFAEA" w:rsidR="006016B9" w:rsidRPr="0087752B" w:rsidRDefault="006016B9" w:rsidP="008D2BAC">
            <w:pPr>
              <w:pStyle w:val="DETTableTextFinancial"/>
              <w:jc w:val="right"/>
            </w:pPr>
            <w:r w:rsidRPr="0087752B">
              <w:t>8</w:t>
            </w:r>
            <w:r w:rsidR="005013C5">
              <w:t>,</w:t>
            </w:r>
            <w:r w:rsidRPr="0087752B">
              <w:t>589.4</w:t>
            </w:r>
          </w:p>
        </w:tc>
        <w:tc>
          <w:tcPr>
            <w:tcW w:w="1041" w:type="dxa"/>
            <w:tcBorders>
              <w:top w:val="nil"/>
              <w:left w:val="nil"/>
              <w:bottom w:val="single" w:sz="4" w:space="0" w:color="auto"/>
              <w:right w:val="nil"/>
            </w:tcBorders>
            <w:vAlign w:val="bottom"/>
          </w:tcPr>
          <w:p w14:paraId="35530170" w14:textId="3E925582" w:rsidR="006016B9" w:rsidRPr="0087752B" w:rsidRDefault="006016B9" w:rsidP="008D2BAC">
            <w:pPr>
              <w:pStyle w:val="DETTableTextFinancial"/>
              <w:jc w:val="right"/>
            </w:pPr>
            <w:r w:rsidRPr="0087752B">
              <w:t>5</w:t>
            </w:r>
            <w:r w:rsidR="005013C5">
              <w:t>,</w:t>
            </w:r>
            <w:r w:rsidRPr="0087752B">
              <w:t>602.8</w:t>
            </w:r>
          </w:p>
        </w:tc>
        <w:tc>
          <w:tcPr>
            <w:tcW w:w="1111" w:type="dxa"/>
            <w:tcBorders>
              <w:top w:val="nil"/>
              <w:left w:val="nil"/>
              <w:bottom w:val="single" w:sz="4" w:space="0" w:color="auto"/>
              <w:right w:val="nil"/>
            </w:tcBorders>
            <w:shd w:val="clear" w:color="auto" w:fill="F8F8F8"/>
            <w:vAlign w:val="bottom"/>
          </w:tcPr>
          <w:p w14:paraId="4C6AEE84" w14:textId="77777777" w:rsidR="006016B9" w:rsidRPr="0087752B" w:rsidRDefault="006016B9" w:rsidP="008D2BAC">
            <w:pPr>
              <w:pStyle w:val="DETTableTextFinancial"/>
              <w:jc w:val="right"/>
            </w:pPr>
            <w:r w:rsidRPr="0087752B">
              <w:t>11,864</w:t>
            </w:r>
          </w:p>
        </w:tc>
        <w:tc>
          <w:tcPr>
            <w:tcW w:w="1041" w:type="dxa"/>
            <w:tcBorders>
              <w:top w:val="nil"/>
              <w:left w:val="nil"/>
              <w:bottom w:val="single" w:sz="4" w:space="0" w:color="auto"/>
              <w:right w:val="nil"/>
            </w:tcBorders>
            <w:shd w:val="clear" w:color="auto" w:fill="F8F8F8"/>
            <w:vAlign w:val="bottom"/>
          </w:tcPr>
          <w:p w14:paraId="3D4D2D13" w14:textId="38D6ADFC" w:rsidR="006016B9" w:rsidRPr="0087752B" w:rsidRDefault="006016B9" w:rsidP="008D2BAC">
            <w:pPr>
              <w:pStyle w:val="DETTableTextFinancial"/>
              <w:jc w:val="right"/>
            </w:pPr>
            <w:r w:rsidRPr="0087752B">
              <w:t>9</w:t>
            </w:r>
            <w:r w:rsidR="005013C5">
              <w:t>,</w:t>
            </w:r>
            <w:r w:rsidRPr="0087752B">
              <w:t>463.5</w:t>
            </w:r>
          </w:p>
        </w:tc>
        <w:tc>
          <w:tcPr>
            <w:tcW w:w="1041" w:type="dxa"/>
            <w:tcBorders>
              <w:top w:val="nil"/>
              <w:left w:val="nil"/>
              <w:bottom w:val="single" w:sz="4" w:space="0" w:color="auto"/>
              <w:right w:val="nil"/>
            </w:tcBorders>
            <w:shd w:val="clear" w:color="auto" w:fill="F8F8F8"/>
            <w:vAlign w:val="bottom"/>
          </w:tcPr>
          <w:p w14:paraId="54C6F3B0" w14:textId="13B13710" w:rsidR="006016B9" w:rsidRPr="0087752B" w:rsidRDefault="006016B9" w:rsidP="008D2BAC">
            <w:pPr>
              <w:pStyle w:val="DETTableTextFinancial"/>
              <w:jc w:val="right"/>
            </w:pPr>
            <w:r w:rsidRPr="0087752B">
              <w:t>5</w:t>
            </w:r>
            <w:r w:rsidR="005013C5">
              <w:t>,</w:t>
            </w:r>
            <w:r w:rsidRPr="0087752B">
              <w:t>528.1</w:t>
            </w:r>
          </w:p>
        </w:tc>
      </w:tr>
      <w:tr w:rsidR="006016B9" w:rsidRPr="0087752B" w14:paraId="5324FE5C" w14:textId="77777777" w:rsidTr="008D2BAC">
        <w:tc>
          <w:tcPr>
            <w:tcW w:w="1199" w:type="dxa"/>
            <w:tcBorders>
              <w:top w:val="single" w:sz="4" w:space="0" w:color="auto"/>
              <w:left w:val="nil"/>
              <w:bottom w:val="single" w:sz="4" w:space="0" w:color="auto"/>
              <w:right w:val="nil"/>
            </w:tcBorders>
            <w:vAlign w:val="bottom"/>
          </w:tcPr>
          <w:p w14:paraId="0C3F4427" w14:textId="77777777" w:rsidR="006016B9" w:rsidRPr="0087752B" w:rsidRDefault="006016B9" w:rsidP="008D2BAC">
            <w:pPr>
              <w:pStyle w:val="DETTableTextFinancial"/>
              <w:rPr>
                <w:b/>
              </w:rPr>
            </w:pPr>
            <w:r w:rsidRPr="0087752B">
              <w:rPr>
                <w:b/>
              </w:rPr>
              <w:t>Total</w:t>
            </w:r>
          </w:p>
        </w:tc>
        <w:tc>
          <w:tcPr>
            <w:tcW w:w="1112" w:type="dxa"/>
            <w:tcBorders>
              <w:top w:val="single" w:sz="4" w:space="0" w:color="auto"/>
              <w:left w:val="nil"/>
              <w:bottom w:val="single" w:sz="4" w:space="0" w:color="auto"/>
              <w:right w:val="nil"/>
            </w:tcBorders>
            <w:vAlign w:val="bottom"/>
          </w:tcPr>
          <w:p w14:paraId="72265538" w14:textId="77777777" w:rsidR="006016B9" w:rsidRPr="0087752B" w:rsidRDefault="006016B9" w:rsidP="008D2BAC">
            <w:pPr>
              <w:pStyle w:val="DETTableTextFinancial"/>
              <w:jc w:val="right"/>
              <w:rPr>
                <w:b/>
              </w:rPr>
            </w:pPr>
            <w:r w:rsidRPr="0087752B">
              <w:rPr>
                <w:b/>
              </w:rPr>
              <w:t>47,546</w:t>
            </w:r>
          </w:p>
        </w:tc>
        <w:tc>
          <w:tcPr>
            <w:tcW w:w="1041" w:type="dxa"/>
            <w:tcBorders>
              <w:top w:val="single" w:sz="4" w:space="0" w:color="auto"/>
              <w:left w:val="nil"/>
              <w:bottom w:val="single" w:sz="4" w:space="0" w:color="auto"/>
              <w:right w:val="nil"/>
            </w:tcBorders>
            <w:vAlign w:val="bottom"/>
          </w:tcPr>
          <w:p w14:paraId="43A0495E" w14:textId="6D342228" w:rsidR="006016B9" w:rsidRPr="0087752B" w:rsidRDefault="006016B9" w:rsidP="008D2BAC">
            <w:pPr>
              <w:pStyle w:val="DETTableTextFinancial"/>
              <w:jc w:val="right"/>
              <w:rPr>
                <w:b/>
              </w:rPr>
            </w:pPr>
            <w:r w:rsidRPr="0087752B">
              <w:rPr>
                <w:b/>
              </w:rPr>
              <w:t>42,083</w:t>
            </w:r>
          </w:p>
        </w:tc>
        <w:tc>
          <w:tcPr>
            <w:tcW w:w="1041" w:type="dxa"/>
            <w:tcBorders>
              <w:top w:val="single" w:sz="4" w:space="0" w:color="auto"/>
              <w:left w:val="nil"/>
              <w:bottom w:val="single" w:sz="4" w:space="0" w:color="auto"/>
              <w:right w:val="nil"/>
            </w:tcBorders>
            <w:vAlign w:val="bottom"/>
          </w:tcPr>
          <w:p w14:paraId="772B7715" w14:textId="77777777" w:rsidR="006016B9" w:rsidRPr="0087752B" w:rsidRDefault="006016B9" w:rsidP="008D2BAC">
            <w:pPr>
              <w:pStyle w:val="DETTableTextFinancial"/>
              <w:jc w:val="right"/>
              <w:rPr>
                <w:b/>
              </w:rPr>
            </w:pPr>
            <w:r w:rsidRPr="0087752B">
              <w:rPr>
                <w:b/>
              </w:rPr>
              <w:t>14,266.2</w:t>
            </w:r>
          </w:p>
        </w:tc>
        <w:tc>
          <w:tcPr>
            <w:tcW w:w="1111" w:type="dxa"/>
            <w:tcBorders>
              <w:top w:val="single" w:sz="4" w:space="0" w:color="auto"/>
              <w:left w:val="nil"/>
              <w:bottom w:val="single" w:sz="4" w:space="0" w:color="auto"/>
              <w:right w:val="nil"/>
            </w:tcBorders>
            <w:shd w:val="clear" w:color="auto" w:fill="F8F8F8"/>
            <w:vAlign w:val="bottom"/>
          </w:tcPr>
          <w:p w14:paraId="59845BF6" w14:textId="77777777" w:rsidR="006016B9" w:rsidRPr="0087752B" w:rsidRDefault="006016B9" w:rsidP="008D2BAC">
            <w:pPr>
              <w:pStyle w:val="DETTableTextFinancial"/>
              <w:jc w:val="right"/>
              <w:rPr>
                <w:b/>
              </w:rPr>
            </w:pPr>
            <w:r w:rsidRPr="0087752B">
              <w:rPr>
                <w:b/>
              </w:rPr>
              <w:t>49,874</w:t>
            </w:r>
          </w:p>
        </w:tc>
        <w:tc>
          <w:tcPr>
            <w:tcW w:w="1041" w:type="dxa"/>
            <w:tcBorders>
              <w:top w:val="single" w:sz="4" w:space="0" w:color="auto"/>
              <w:left w:val="nil"/>
              <w:bottom w:val="single" w:sz="4" w:space="0" w:color="auto"/>
              <w:right w:val="nil"/>
            </w:tcBorders>
            <w:shd w:val="clear" w:color="auto" w:fill="F8F8F8"/>
            <w:vAlign w:val="bottom"/>
          </w:tcPr>
          <w:p w14:paraId="45C8C59B" w14:textId="040F5272" w:rsidR="006016B9" w:rsidRPr="0087752B" w:rsidRDefault="006016B9" w:rsidP="008D2BAC">
            <w:pPr>
              <w:pStyle w:val="DETTableTextFinancial"/>
              <w:jc w:val="right"/>
              <w:rPr>
                <w:b/>
              </w:rPr>
            </w:pPr>
            <w:r w:rsidRPr="0087752B">
              <w:rPr>
                <w:b/>
              </w:rPr>
              <w:t>43,842</w:t>
            </w:r>
          </w:p>
        </w:tc>
        <w:tc>
          <w:tcPr>
            <w:tcW w:w="1041" w:type="dxa"/>
            <w:tcBorders>
              <w:top w:val="single" w:sz="4" w:space="0" w:color="auto"/>
              <w:left w:val="nil"/>
              <w:bottom w:val="single" w:sz="4" w:space="0" w:color="auto"/>
              <w:right w:val="nil"/>
            </w:tcBorders>
            <w:shd w:val="clear" w:color="auto" w:fill="F8F8F8"/>
            <w:vAlign w:val="bottom"/>
          </w:tcPr>
          <w:p w14:paraId="4251B1F6" w14:textId="5ADA80E8" w:rsidR="006016B9" w:rsidRPr="0087752B" w:rsidRDefault="006016B9" w:rsidP="008D2BAC">
            <w:pPr>
              <w:pStyle w:val="DETTableTextFinancial"/>
              <w:jc w:val="right"/>
              <w:rPr>
                <w:b/>
              </w:rPr>
            </w:pPr>
            <w:r w:rsidRPr="0087752B">
              <w:rPr>
                <w:b/>
              </w:rPr>
              <w:t>14,484</w:t>
            </w:r>
          </w:p>
        </w:tc>
      </w:tr>
    </w:tbl>
    <w:p w14:paraId="4D3F0103" w14:textId="77777777" w:rsidR="006016B9" w:rsidRPr="0087752B" w:rsidRDefault="006016B9" w:rsidP="006016B9"/>
    <w:p w14:paraId="0516B805" w14:textId="77777777" w:rsidR="006016B9" w:rsidRPr="0087752B" w:rsidRDefault="006016B9" w:rsidP="008D2BAC">
      <w:pPr>
        <w:pStyle w:val="DETFootnoteTextforobjectivestablesOHStable"/>
      </w:pPr>
      <w:r w:rsidRPr="0087752B">
        <w:t>1 Principal class includes Principals, Assistant Principals and Liaison Principals.</w:t>
      </w:r>
    </w:p>
    <w:p w14:paraId="539E48D2" w14:textId="77777777" w:rsidR="006016B9" w:rsidRPr="0087752B" w:rsidRDefault="006016B9" w:rsidP="008D2BAC">
      <w:pPr>
        <w:pStyle w:val="DETFootnoteTextforobjectivestablesOHStable"/>
      </w:pPr>
      <w:r w:rsidRPr="0087752B">
        <w:t>2 Teacher Class includes Classroom Teachers and Paraprofessionals.</w:t>
      </w:r>
    </w:p>
    <w:p w14:paraId="7A5C722F" w14:textId="77777777" w:rsidR="006016B9" w:rsidRPr="0087752B" w:rsidRDefault="006016B9" w:rsidP="008D2BAC">
      <w:pPr>
        <w:pStyle w:val="DETHeading2"/>
      </w:pPr>
      <w:bookmarkStart w:id="166" w:name="_Toc458069608"/>
      <w:bookmarkStart w:id="167" w:name="_Toc458072387"/>
      <w:bookmarkStart w:id="168" w:name="_Toc458088570"/>
      <w:bookmarkStart w:id="169" w:name="_Toc461013267"/>
      <w:bookmarkStart w:id="170" w:name="_Toc461025846"/>
      <w:bookmarkStart w:id="171" w:name="_Toc462405141"/>
      <w:r w:rsidRPr="0087752B">
        <w:t>Workforce inclusion</w:t>
      </w:r>
      <w:bookmarkEnd w:id="166"/>
      <w:bookmarkEnd w:id="167"/>
      <w:bookmarkEnd w:id="168"/>
      <w:bookmarkEnd w:id="169"/>
      <w:bookmarkEnd w:id="170"/>
      <w:bookmarkEnd w:id="171"/>
    </w:p>
    <w:p w14:paraId="4795635E" w14:textId="77777777" w:rsidR="006016B9" w:rsidRPr="0087752B" w:rsidRDefault="006016B9" w:rsidP="006016B9">
      <w:r w:rsidRPr="0087752B">
        <w:t>The Department is committed to supporting and developing a diverse and inclusive workforce. It adheres to the principles of access, equity and equal opportunity, and the Department’s policies and practices also encourage people of all backgrounds to pursue challenging and rewarding public sector careers at all levels. In the coming year, the Department will formalise plans to improve the diversity and inclusion of its VPS workforce by developing a Workforce Diversity and Inclusion Strategy with measures to track and report on progress. It will also develop a new Aboriginal Inclusion Plan that builds on the existing plan and contains specific actions to engender a more inclusive workplace culture and provide greater support to Koori employees.</w:t>
      </w:r>
    </w:p>
    <w:p w14:paraId="4911F560" w14:textId="77777777" w:rsidR="006016B9" w:rsidRPr="0087752B" w:rsidRDefault="006016B9" w:rsidP="00A25044">
      <w:pPr>
        <w:pStyle w:val="DETHeading2"/>
      </w:pPr>
      <w:bookmarkStart w:id="172" w:name="_Toc458069609"/>
      <w:bookmarkStart w:id="173" w:name="_Toc458072388"/>
      <w:bookmarkStart w:id="174" w:name="_Toc458088571"/>
      <w:bookmarkStart w:id="175" w:name="_Toc461013268"/>
      <w:bookmarkStart w:id="176" w:name="_Toc461025847"/>
      <w:bookmarkStart w:id="177" w:name="_Toc462405142"/>
      <w:r w:rsidRPr="0087752B">
        <w:t>Industrial relations</w:t>
      </w:r>
      <w:bookmarkEnd w:id="172"/>
      <w:bookmarkEnd w:id="173"/>
      <w:bookmarkEnd w:id="174"/>
      <w:bookmarkEnd w:id="175"/>
      <w:bookmarkEnd w:id="176"/>
      <w:bookmarkEnd w:id="177"/>
    </w:p>
    <w:p w14:paraId="50FF30C0" w14:textId="77777777" w:rsidR="006016B9" w:rsidRPr="0087752B" w:rsidRDefault="006016B9" w:rsidP="006016B9">
      <w:r w:rsidRPr="0087752B">
        <w:t xml:space="preserve">Department employees, other than Executive Officers, are covered by industrial agreements. Industrial action is not permitted on matters within industrial agreements prior to their nominal expiry dates. </w:t>
      </w:r>
    </w:p>
    <w:p w14:paraId="68FE1D86" w14:textId="77777777" w:rsidR="006016B9" w:rsidRPr="0087752B" w:rsidRDefault="006016B9" w:rsidP="006016B9">
      <w:r w:rsidRPr="0087752B">
        <w:lastRenderedPageBreak/>
        <w:t xml:space="preserve">The Victorian Government Schools Agreement 2013 covers Government Teaching Service employees and has a nominal expiry date of 31 October 2016. Negotiations towards a new enterprise agreement have been underway since March 2016. </w:t>
      </w:r>
    </w:p>
    <w:p w14:paraId="77BF8D78" w14:textId="77777777" w:rsidR="006016B9" w:rsidRPr="0087752B" w:rsidRDefault="006016B9" w:rsidP="006016B9">
      <w:r w:rsidRPr="0087752B">
        <w:t xml:space="preserve">The Victorian Public Service Agreement 2016 came into effect on 18 May 2016 and will not expire until 31 December 2019. Negotiations to replace the Nurses (Department of Education and Early Childhood Development) Agreement 2012 have been underway since March 2016 following its 31 December 2015 expiration. Should negotiations for the Victorian Government Schools Agreement 2013 not be resolved by 31 October 2016, industrial action may be taken by the unions after that date. Similarly, should no agreement be reached to replace the Nurses (Department of Education and Early Childhood) Agreement 2012, the unions may pursue industrial action. </w:t>
      </w:r>
    </w:p>
    <w:p w14:paraId="0AA33519" w14:textId="77777777" w:rsidR="006016B9" w:rsidRPr="0087752B" w:rsidRDefault="006016B9" w:rsidP="006016B9">
      <w:r w:rsidRPr="0087752B">
        <w:t>No time was lost due to industrial action during 2015–16.</w:t>
      </w:r>
    </w:p>
    <w:p w14:paraId="3238C757" w14:textId="77777777" w:rsidR="006016B9" w:rsidRPr="0087752B" w:rsidRDefault="006016B9" w:rsidP="006016B9">
      <w:pPr>
        <w:rPr>
          <w:highlight w:val="yellow"/>
        </w:rPr>
      </w:pPr>
    </w:p>
    <w:p w14:paraId="4744247B" w14:textId="77777777" w:rsidR="006016B9" w:rsidRPr="0087752B" w:rsidRDefault="006016B9" w:rsidP="006016B9">
      <w:r w:rsidRPr="0087752B">
        <w:br w:type="page"/>
      </w:r>
    </w:p>
    <w:p w14:paraId="1C384E4A" w14:textId="02120F8F" w:rsidR="006016B9" w:rsidRPr="0087752B" w:rsidRDefault="006016B9" w:rsidP="00A25044">
      <w:pPr>
        <w:pStyle w:val="Heading3"/>
      </w:pPr>
      <w:r w:rsidRPr="0087752B">
        <w:lastRenderedPageBreak/>
        <w:t xml:space="preserve">Executive </w:t>
      </w:r>
      <w:r w:rsidR="008C66E6" w:rsidRPr="0087752B">
        <w:t>officers’</w:t>
      </w:r>
      <w:r w:rsidRPr="0087752B">
        <w:t xml:space="preserve"> data</w:t>
      </w:r>
    </w:p>
    <w:p w14:paraId="37202AED" w14:textId="77777777" w:rsidR="006016B9" w:rsidRPr="0087752B" w:rsidRDefault="006016B9" w:rsidP="007540CD">
      <w:pPr>
        <w:pStyle w:val="DETTableheading"/>
      </w:pPr>
      <w:r w:rsidRPr="0087752B">
        <w:t>Number of executive officer positions excluding statutory authorities</w:t>
      </w:r>
    </w:p>
    <w:tbl>
      <w:tblPr>
        <w:tblW w:w="5000" w:type="pct"/>
        <w:tblBorders>
          <w:bottom w:val="single" w:sz="4" w:space="0" w:color="777777"/>
        </w:tblBorders>
        <w:tblCellMar>
          <w:left w:w="43" w:type="dxa"/>
          <w:right w:w="43" w:type="dxa"/>
        </w:tblCellMar>
        <w:tblLook w:val="01E0" w:firstRow="1" w:lastRow="1" w:firstColumn="1" w:lastColumn="1" w:noHBand="0" w:noVBand="0"/>
      </w:tblPr>
      <w:tblGrid>
        <w:gridCol w:w="1116"/>
        <w:gridCol w:w="1058"/>
        <w:gridCol w:w="1057"/>
        <w:gridCol w:w="1057"/>
        <w:gridCol w:w="1057"/>
        <w:gridCol w:w="1057"/>
        <w:gridCol w:w="1054"/>
      </w:tblGrid>
      <w:tr w:rsidR="006016B9" w:rsidRPr="0087752B" w14:paraId="38B853FC" w14:textId="77777777" w:rsidTr="00A25044">
        <w:trPr>
          <w:cantSplit/>
          <w:trHeight w:val="454"/>
        </w:trPr>
        <w:tc>
          <w:tcPr>
            <w:tcW w:w="748" w:type="pct"/>
            <w:shd w:val="clear" w:color="auto" w:fill="7F7F7F" w:themeFill="text1" w:themeFillTint="80"/>
            <w:vAlign w:val="center"/>
          </w:tcPr>
          <w:p w14:paraId="681B88DB" w14:textId="77777777" w:rsidR="006016B9" w:rsidRPr="0087752B" w:rsidRDefault="006016B9" w:rsidP="00A25044">
            <w:pPr>
              <w:pStyle w:val="DETTablecolumnheading"/>
              <w:jc w:val="left"/>
            </w:pPr>
          </w:p>
        </w:tc>
        <w:tc>
          <w:tcPr>
            <w:tcW w:w="1418" w:type="pct"/>
            <w:gridSpan w:val="2"/>
            <w:shd w:val="clear" w:color="auto" w:fill="7F7F7F" w:themeFill="text1" w:themeFillTint="80"/>
            <w:vAlign w:val="center"/>
            <w:hideMark/>
          </w:tcPr>
          <w:p w14:paraId="035E33B2" w14:textId="77777777" w:rsidR="006016B9" w:rsidRPr="0087752B" w:rsidRDefault="006016B9" w:rsidP="00A25044">
            <w:pPr>
              <w:pStyle w:val="DETTablecolumnheading"/>
              <w:jc w:val="left"/>
            </w:pPr>
            <w:r w:rsidRPr="0087752B">
              <w:t>All</w:t>
            </w:r>
          </w:p>
        </w:tc>
        <w:tc>
          <w:tcPr>
            <w:tcW w:w="1418" w:type="pct"/>
            <w:gridSpan w:val="2"/>
            <w:shd w:val="clear" w:color="auto" w:fill="7F7F7F" w:themeFill="text1" w:themeFillTint="80"/>
            <w:vAlign w:val="center"/>
            <w:hideMark/>
          </w:tcPr>
          <w:p w14:paraId="4FF1E9FD" w14:textId="77777777" w:rsidR="006016B9" w:rsidRPr="0087752B" w:rsidRDefault="006016B9" w:rsidP="00A25044">
            <w:pPr>
              <w:pStyle w:val="DETTablecolumnheading"/>
              <w:jc w:val="left"/>
            </w:pPr>
            <w:r w:rsidRPr="0087752B">
              <w:t>Ongoing</w:t>
            </w:r>
          </w:p>
        </w:tc>
        <w:tc>
          <w:tcPr>
            <w:tcW w:w="1416" w:type="pct"/>
            <w:gridSpan w:val="2"/>
            <w:shd w:val="clear" w:color="auto" w:fill="7F7F7F" w:themeFill="text1" w:themeFillTint="80"/>
            <w:vAlign w:val="center"/>
            <w:hideMark/>
          </w:tcPr>
          <w:p w14:paraId="0EAA5CD7" w14:textId="77777777" w:rsidR="006016B9" w:rsidRPr="0087752B" w:rsidRDefault="006016B9" w:rsidP="00A25044">
            <w:pPr>
              <w:pStyle w:val="DETTablecolumnheading"/>
              <w:jc w:val="left"/>
            </w:pPr>
            <w:r w:rsidRPr="0087752B">
              <w:t>Special projects</w:t>
            </w:r>
          </w:p>
        </w:tc>
      </w:tr>
      <w:tr w:rsidR="006016B9" w:rsidRPr="0087752B" w14:paraId="10417AD7" w14:textId="77777777" w:rsidTr="00A25044">
        <w:trPr>
          <w:cantSplit/>
          <w:trHeight w:val="454"/>
        </w:trPr>
        <w:tc>
          <w:tcPr>
            <w:tcW w:w="748" w:type="pct"/>
            <w:shd w:val="clear" w:color="auto" w:fill="7F7F7F" w:themeFill="text1" w:themeFillTint="80"/>
            <w:vAlign w:val="center"/>
            <w:hideMark/>
          </w:tcPr>
          <w:p w14:paraId="127AC703" w14:textId="77777777" w:rsidR="006016B9" w:rsidRPr="0087752B" w:rsidRDefault="006016B9" w:rsidP="00A25044">
            <w:pPr>
              <w:pStyle w:val="DETTablecolumnheading"/>
              <w:jc w:val="left"/>
            </w:pPr>
            <w:r w:rsidRPr="0087752B">
              <w:t>Class</w:t>
            </w:r>
          </w:p>
        </w:tc>
        <w:tc>
          <w:tcPr>
            <w:tcW w:w="709" w:type="pct"/>
            <w:shd w:val="clear" w:color="auto" w:fill="7F7F7F" w:themeFill="text1" w:themeFillTint="80"/>
            <w:vAlign w:val="center"/>
            <w:hideMark/>
          </w:tcPr>
          <w:p w14:paraId="0B31771D" w14:textId="77777777" w:rsidR="006016B9" w:rsidRPr="0087752B" w:rsidRDefault="006016B9" w:rsidP="00A25044">
            <w:pPr>
              <w:pStyle w:val="DETTablecolumnheading"/>
              <w:jc w:val="left"/>
            </w:pPr>
            <w:r w:rsidRPr="0087752B">
              <w:t>Number</w:t>
            </w:r>
          </w:p>
        </w:tc>
        <w:tc>
          <w:tcPr>
            <w:tcW w:w="709" w:type="pct"/>
            <w:shd w:val="clear" w:color="auto" w:fill="7F7F7F" w:themeFill="text1" w:themeFillTint="80"/>
            <w:vAlign w:val="center"/>
            <w:hideMark/>
          </w:tcPr>
          <w:p w14:paraId="03B34FC8" w14:textId="77777777" w:rsidR="006016B9" w:rsidRPr="0087752B" w:rsidRDefault="006016B9" w:rsidP="00A25044">
            <w:pPr>
              <w:pStyle w:val="DETTablecolumnheading"/>
              <w:jc w:val="left"/>
            </w:pPr>
            <w:r w:rsidRPr="0087752B">
              <w:t>Variance</w:t>
            </w:r>
          </w:p>
        </w:tc>
        <w:tc>
          <w:tcPr>
            <w:tcW w:w="709" w:type="pct"/>
            <w:shd w:val="clear" w:color="auto" w:fill="7F7F7F" w:themeFill="text1" w:themeFillTint="80"/>
            <w:vAlign w:val="center"/>
            <w:hideMark/>
          </w:tcPr>
          <w:p w14:paraId="110860A2" w14:textId="77777777" w:rsidR="006016B9" w:rsidRPr="0087752B" w:rsidRDefault="006016B9" w:rsidP="00A25044">
            <w:pPr>
              <w:pStyle w:val="DETTablecolumnheading"/>
              <w:jc w:val="left"/>
            </w:pPr>
            <w:r w:rsidRPr="0087752B">
              <w:t>Number</w:t>
            </w:r>
          </w:p>
        </w:tc>
        <w:tc>
          <w:tcPr>
            <w:tcW w:w="709" w:type="pct"/>
            <w:shd w:val="clear" w:color="auto" w:fill="7F7F7F" w:themeFill="text1" w:themeFillTint="80"/>
            <w:vAlign w:val="center"/>
            <w:hideMark/>
          </w:tcPr>
          <w:p w14:paraId="096FEA71" w14:textId="77777777" w:rsidR="006016B9" w:rsidRPr="0087752B" w:rsidRDefault="006016B9" w:rsidP="00A25044">
            <w:pPr>
              <w:pStyle w:val="DETTablecolumnheading"/>
              <w:jc w:val="left"/>
            </w:pPr>
            <w:r w:rsidRPr="0087752B">
              <w:t>Variance</w:t>
            </w:r>
          </w:p>
        </w:tc>
        <w:tc>
          <w:tcPr>
            <w:tcW w:w="709" w:type="pct"/>
            <w:shd w:val="clear" w:color="auto" w:fill="7F7F7F" w:themeFill="text1" w:themeFillTint="80"/>
            <w:vAlign w:val="center"/>
            <w:hideMark/>
          </w:tcPr>
          <w:p w14:paraId="25819E62" w14:textId="77777777" w:rsidR="006016B9" w:rsidRPr="0087752B" w:rsidRDefault="006016B9" w:rsidP="00A25044">
            <w:pPr>
              <w:pStyle w:val="DETTablecolumnheading"/>
              <w:jc w:val="left"/>
            </w:pPr>
            <w:r w:rsidRPr="0087752B">
              <w:t>Number</w:t>
            </w:r>
          </w:p>
        </w:tc>
        <w:tc>
          <w:tcPr>
            <w:tcW w:w="707" w:type="pct"/>
            <w:shd w:val="clear" w:color="auto" w:fill="7F7F7F" w:themeFill="text1" w:themeFillTint="80"/>
            <w:vAlign w:val="center"/>
            <w:hideMark/>
          </w:tcPr>
          <w:p w14:paraId="78A5EB51" w14:textId="77777777" w:rsidR="006016B9" w:rsidRPr="0087752B" w:rsidRDefault="006016B9" w:rsidP="00A25044">
            <w:pPr>
              <w:pStyle w:val="DETTablecolumnheading"/>
              <w:jc w:val="left"/>
            </w:pPr>
            <w:r w:rsidRPr="0087752B">
              <w:t>Variance</w:t>
            </w:r>
          </w:p>
        </w:tc>
      </w:tr>
      <w:tr w:rsidR="006016B9" w:rsidRPr="0087752B" w14:paraId="3BC115B4" w14:textId="77777777" w:rsidTr="006016B9">
        <w:trPr>
          <w:cantSplit/>
          <w:trHeight w:val="454"/>
        </w:trPr>
        <w:tc>
          <w:tcPr>
            <w:tcW w:w="748" w:type="pct"/>
            <w:vAlign w:val="center"/>
          </w:tcPr>
          <w:p w14:paraId="3B1239B0" w14:textId="77777777" w:rsidR="006016B9" w:rsidRPr="0087752B" w:rsidRDefault="006016B9" w:rsidP="00A25044">
            <w:pPr>
              <w:pStyle w:val="DETTableTextFinancial"/>
            </w:pPr>
            <w:r w:rsidRPr="0087752B">
              <w:t>Secretary</w:t>
            </w:r>
          </w:p>
        </w:tc>
        <w:tc>
          <w:tcPr>
            <w:tcW w:w="709" w:type="pct"/>
            <w:vAlign w:val="center"/>
          </w:tcPr>
          <w:p w14:paraId="453BD587" w14:textId="77777777" w:rsidR="006016B9" w:rsidRPr="0087752B" w:rsidRDefault="006016B9" w:rsidP="00A25044">
            <w:pPr>
              <w:pStyle w:val="DETTableTextFinancial"/>
              <w:jc w:val="center"/>
            </w:pPr>
            <w:r w:rsidRPr="0087752B">
              <w:t>1</w:t>
            </w:r>
          </w:p>
        </w:tc>
        <w:tc>
          <w:tcPr>
            <w:tcW w:w="709" w:type="pct"/>
            <w:vAlign w:val="center"/>
          </w:tcPr>
          <w:p w14:paraId="237B658D" w14:textId="77777777" w:rsidR="006016B9" w:rsidRPr="0087752B" w:rsidRDefault="006016B9" w:rsidP="00A25044">
            <w:pPr>
              <w:pStyle w:val="DETTableTextFinancial"/>
              <w:jc w:val="center"/>
            </w:pPr>
            <w:r w:rsidRPr="0087752B">
              <w:t>‒</w:t>
            </w:r>
          </w:p>
        </w:tc>
        <w:tc>
          <w:tcPr>
            <w:tcW w:w="709" w:type="pct"/>
            <w:vAlign w:val="center"/>
          </w:tcPr>
          <w:p w14:paraId="4FF38CF7" w14:textId="77777777" w:rsidR="006016B9" w:rsidRPr="0087752B" w:rsidRDefault="006016B9" w:rsidP="00A25044">
            <w:pPr>
              <w:pStyle w:val="DETTableTextFinancial"/>
              <w:jc w:val="center"/>
            </w:pPr>
            <w:r w:rsidRPr="0087752B">
              <w:t>1</w:t>
            </w:r>
          </w:p>
        </w:tc>
        <w:tc>
          <w:tcPr>
            <w:tcW w:w="709" w:type="pct"/>
            <w:vAlign w:val="center"/>
          </w:tcPr>
          <w:p w14:paraId="4D73C927" w14:textId="77777777" w:rsidR="006016B9" w:rsidRPr="0087752B" w:rsidRDefault="006016B9" w:rsidP="00A25044">
            <w:pPr>
              <w:pStyle w:val="DETTableTextFinancial"/>
              <w:jc w:val="center"/>
            </w:pPr>
            <w:r w:rsidRPr="0087752B">
              <w:t>‒</w:t>
            </w:r>
          </w:p>
        </w:tc>
        <w:tc>
          <w:tcPr>
            <w:tcW w:w="709" w:type="pct"/>
            <w:vAlign w:val="center"/>
          </w:tcPr>
          <w:p w14:paraId="6DF8CCCF" w14:textId="77777777" w:rsidR="006016B9" w:rsidRPr="0087752B" w:rsidRDefault="006016B9" w:rsidP="00A25044">
            <w:pPr>
              <w:pStyle w:val="DETTableTextFinancial"/>
              <w:jc w:val="center"/>
            </w:pPr>
            <w:r w:rsidRPr="0087752B">
              <w:t>‒</w:t>
            </w:r>
          </w:p>
        </w:tc>
        <w:tc>
          <w:tcPr>
            <w:tcW w:w="707" w:type="pct"/>
            <w:vAlign w:val="center"/>
          </w:tcPr>
          <w:p w14:paraId="7CD613C3" w14:textId="77777777" w:rsidR="006016B9" w:rsidRPr="0087752B" w:rsidRDefault="006016B9" w:rsidP="00A25044">
            <w:pPr>
              <w:pStyle w:val="DETTableTextFinancial"/>
              <w:jc w:val="center"/>
            </w:pPr>
            <w:r w:rsidRPr="0087752B">
              <w:t>‒</w:t>
            </w:r>
          </w:p>
        </w:tc>
      </w:tr>
      <w:tr w:rsidR="006016B9" w:rsidRPr="0087752B" w14:paraId="0F287E9F" w14:textId="77777777" w:rsidTr="006016B9">
        <w:trPr>
          <w:cantSplit/>
          <w:trHeight w:val="454"/>
        </w:trPr>
        <w:tc>
          <w:tcPr>
            <w:tcW w:w="748" w:type="pct"/>
            <w:vAlign w:val="center"/>
            <w:hideMark/>
          </w:tcPr>
          <w:p w14:paraId="796A6996" w14:textId="766C81C5" w:rsidR="006016B9" w:rsidRPr="0087752B" w:rsidRDefault="006016B9" w:rsidP="00A25044">
            <w:pPr>
              <w:pStyle w:val="DETTableTextFinancial"/>
            </w:pPr>
            <w:r w:rsidRPr="0087752B">
              <w:t>EO</w:t>
            </w:r>
            <w:r w:rsidR="005D10F1">
              <w:t>–</w:t>
            </w:r>
            <w:r w:rsidRPr="0087752B">
              <w:t>1</w:t>
            </w:r>
          </w:p>
        </w:tc>
        <w:tc>
          <w:tcPr>
            <w:tcW w:w="709" w:type="pct"/>
            <w:vAlign w:val="center"/>
          </w:tcPr>
          <w:p w14:paraId="02619F79" w14:textId="77777777" w:rsidR="006016B9" w:rsidRPr="0087752B" w:rsidRDefault="006016B9" w:rsidP="00A25044">
            <w:pPr>
              <w:pStyle w:val="DETTableTextFinancial"/>
              <w:jc w:val="center"/>
            </w:pPr>
            <w:r w:rsidRPr="0087752B">
              <w:t>3</w:t>
            </w:r>
          </w:p>
        </w:tc>
        <w:tc>
          <w:tcPr>
            <w:tcW w:w="709" w:type="pct"/>
            <w:vAlign w:val="center"/>
          </w:tcPr>
          <w:p w14:paraId="762FA1B9" w14:textId="77777777" w:rsidR="006016B9" w:rsidRPr="0087752B" w:rsidRDefault="006016B9" w:rsidP="00A25044">
            <w:pPr>
              <w:pStyle w:val="DETTableTextFinancial"/>
              <w:jc w:val="center"/>
            </w:pPr>
            <w:r w:rsidRPr="0087752B">
              <w:t>‒</w:t>
            </w:r>
          </w:p>
        </w:tc>
        <w:tc>
          <w:tcPr>
            <w:tcW w:w="709" w:type="pct"/>
            <w:vAlign w:val="center"/>
          </w:tcPr>
          <w:p w14:paraId="1C5C1BF7" w14:textId="77777777" w:rsidR="006016B9" w:rsidRPr="0087752B" w:rsidRDefault="006016B9" w:rsidP="00A25044">
            <w:pPr>
              <w:pStyle w:val="DETTableTextFinancial"/>
              <w:jc w:val="center"/>
            </w:pPr>
            <w:r w:rsidRPr="0087752B">
              <w:t>3</w:t>
            </w:r>
          </w:p>
        </w:tc>
        <w:tc>
          <w:tcPr>
            <w:tcW w:w="709" w:type="pct"/>
            <w:vAlign w:val="center"/>
          </w:tcPr>
          <w:p w14:paraId="14A9908D" w14:textId="77777777" w:rsidR="006016B9" w:rsidRPr="0087752B" w:rsidRDefault="006016B9" w:rsidP="00A25044">
            <w:pPr>
              <w:pStyle w:val="DETTableTextFinancial"/>
              <w:jc w:val="center"/>
            </w:pPr>
            <w:r w:rsidRPr="0087752B">
              <w:t>‒</w:t>
            </w:r>
          </w:p>
        </w:tc>
        <w:tc>
          <w:tcPr>
            <w:tcW w:w="709" w:type="pct"/>
            <w:vAlign w:val="center"/>
          </w:tcPr>
          <w:p w14:paraId="481B1F14" w14:textId="77777777" w:rsidR="006016B9" w:rsidRPr="0087752B" w:rsidRDefault="006016B9" w:rsidP="00A25044">
            <w:pPr>
              <w:pStyle w:val="DETTableTextFinancial"/>
              <w:jc w:val="center"/>
            </w:pPr>
            <w:r w:rsidRPr="0087752B">
              <w:t>‒</w:t>
            </w:r>
          </w:p>
        </w:tc>
        <w:tc>
          <w:tcPr>
            <w:tcW w:w="707" w:type="pct"/>
            <w:vAlign w:val="center"/>
          </w:tcPr>
          <w:p w14:paraId="53842266" w14:textId="77777777" w:rsidR="006016B9" w:rsidRPr="0087752B" w:rsidRDefault="006016B9" w:rsidP="00A25044">
            <w:pPr>
              <w:pStyle w:val="DETTableTextFinancial"/>
              <w:jc w:val="center"/>
            </w:pPr>
            <w:r w:rsidRPr="0087752B">
              <w:t>‒</w:t>
            </w:r>
          </w:p>
        </w:tc>
      </w:tr>
      <w:tr w:rsidR="006016B9" w:rsidRPr="0087752B" w14:paraId="76D82DDE" w14:textId="77777777" w:rsidTr="006016B9">
        <w:trPr>
          <w:cantSplit/>
          <w:trHeight w:val="454"/>
        </w:trPr>
        <w:tc>
          <w:tcPr>
            <w:tcW w:w="748" w:type="pct"/>
            <w:vAlign w:val="center"/>
          </w:tcPr>
          <w:p w14:paraId="1F8E4BE4" w14:textId="3BBB4D44" w:rsidR="006016B9" w:rsidRPr="0087752B" w:rsidRDefault="006016B9" w:rsidP="00A25044">
            <w:pPr>
              <w:pStyle w:val="DETTableTextFinancial"/>
            </w:pPr>
            <w:r w:rsidRPr="0087752B">
              <w:t>EO</w:t>
            </w:r>
            <w:r w:rsidR="005D10F1">
              <w:t>–</w:t>
            </w:r>
            <w:r w:rsidRPr="0087752B">
              <w:t>2</w:t>
            </w:r>
          </w:p>
        </w:tc>
        <w:tc>
          <w:tcPr>
            <w:tcW w:w="709" w:type="pct"/>
            <w:vAlign w:val="center"/>
          </w:tcPr>
          <w:p w14:paraId="31023129" w14:textId="19FFF273" w:rsidR="006016B9" w:rsidRPr="0087752B" w:rsidRDefault="00117DAB" w:rsidP="00A25044">
            <w:pPr>
              <w:pStyle w:val="DETTableTextFinancial"/>
              <w:jc w:val="center"/>
            </w:pPr>
            <w:r>
              <w:t>42</w:t>
            </w:r>
          </w:p>
        </w:tc>
        <w:tc>
          <w:tcPr>
            <w:tcW w:w="709" w:type="pct"/>
            <w:vAlign w:val="center"/>
          </w:tcPr>
          <w:p w14:paraId="3C24C8BD" w14:textId="77777777" w:rsidR="006016B9" w:rsidRPr="0087752B" w:rsidRDefault="006016B9" w:rsidP="00A25044">
            <w:pPr>
              <w:pStyle w:val="DETTableTextFinancial"/>
              <w:jc w:val="center"/>
            </w:pPr>
            <w:r w:rsidRPr="0087752B">
              <w:t>‒</w:t>
            </w:r>
          </w:p>
        </w:tc>
        <w:tc>
          <w:tcPr>
            <w:tcW w:w="709" w:type="pct"/>
            <w:vAlign w:val="center"/>
          </w:tcPr>
          <w:p w14:paraId="6A35C224" w14:textId="5B036F4C" w:rsidR="006016B9" w:rsidRPr="0087752B" w:rsidRDefault="00117DAB" w:rsidP="00A25044">
            <w:pPr>
              <w:pStyle w:val="DETTableTextFinancial"/>
              <w:jc w:val="center"/>
            </w:pPr>
            <w:r>
              <w:t>42</w:t>
            </w:r>
          </w:p>
        </w:tc>
        <w:tc>
          <w:tcPr>
            <w:tcW w:w="709" w:type="pct"/>
            <w:vAlign w:val="center"/>
          </w:tcPr>
          <w:p w14:paraId="2B65C3DC" w14:textId="77777777" w:rsidR="006016B9" w:rsidRPr="0087752B" w:rsidRDefault="006016B9" w:rsidP="00A25044">
            <w:pPr>
              <w:pStyle w:val="DETTableTextFinancial"/>
              <w:jc w:val="center"/>
            </w:pPr>
            <w:r w:rsidRPr="0087752B">
              <w:t>‒</w:t>
            </w:r>
          </w:p>
        </w:tc>
        <w:tc>
          <w:tcPr>
            <w:tcW w:w="709" w:type="pct"/>
            <w:vAlign w:val="center"/>
          </w:tcPr>
          <w:p w14:paraId="7A178E28" w14:textId="77777777" w:rsidR="006016B9" w:rsidRPr="0087752B" w:rsidRDefault="006016B9" w:rsidP="00A25044">
            <w:pPr>
              <w:pStyle w:val="DETTableTextFinancial"/>
              <w:jc w:val="center"/>
            </w:pPr>
            <w:r w:rsidRPr="0087752B">
              <w:t>‒</w:t>
            </w:r>
          </w:p>
        </w:tc>
        <w:tc>
          <w:tcPr>
            <w:tcW w:w="707" w:type="pct"/>
            <w:vAlign w:val="center"/>
          </w:tcPr>
          <w:p w14:paraId="74B5A06B" w14:textId="77777777" w:rsidR="006016B9" w:rsidRPr="0087752B" w:rsidRDefault="006016B9" w:rsidP="00A25044">
            <w:pPr>
              <w:pStyle w:val="DETTableTextFinancial"/>
              <w:jc w:val="center"/>
            </w:pPr>
            <w:r w:rsidRPr="0087752B">
              <w:t>‒</w:t>
            </w:r>
          </w:p>
        </w:tc>
      </w:tr>
      <w:tr w:rsidR="006016B9" w:rsidRPr="0087752B" w14:paraId="009D9898" w14:textId="77777777" w:rsidTr="00A25044">
        <w:trPr>
          <w:cantSplit/>
          <w:trHeight w:val="454"/>
        </w:trPr>
        <w:tc>
          <w:tcPr>
            <w:tcW w:w="748" w:type="pct"/>
            <w:tcBorders>
              <w:bottom w:val="single" w:sz="4" w:space="0" w:color="auto"/>
            </w:tcBorders>
            <w:vAlign w:val="center"/>
            <w:hideMark/>
          </w:tcPr>
          <w:p w14:paraId="5E64875F" w14:textId="1B8FF65B" w:rsidR="006016B9" w:rsidRPr="0087752B" w:rsidRDefault="006016B9" w:rsidP="00A25044">
            <w:pPr>
              <w:pStyle w:val="DETTableTextFinancial"/>
            </w:pPr>
            <w:r w:rsidRPr="0087752B">
              <w:t>EO</w:t>
            </w:r>
            <w:r w:rsidR="005D10F1">
              <w:t>–</w:t>
            </w:r>
            <w:r w:rsidRPr="0087752B">
              <w:t>3</w:t>
            </w:r>
          </w:p>
        </w:tc>
        <w:tc>
          <w:tcPr>
            <w:tcW w:w="709" w:type="pct"/>
            <w:tcBorders>
              <w:bottom w:val="single" w:sz="4" w:space="0" w:color="auto"/>
            </w:tcBorders>
            <w:vAlign w:val="center"/>
          </w:tcPr>
          <w:p w14:paraId="51AA2CBD" w14:textId="3CCE8941" w:rsidR="006016B9" w:rsidRPr="0087752B" w:rsidRDefault="00117DAB" w:rsidP="00A25044">
            <w:pPr>
              <w:pStyle w:val="DETTableTextFinancial"/>
              <w:jc w:val="center"/>
            </w:pPr>
            <w:r>
              <w:t>30</w:t>
            </w:r>
          </w:p>
        </w:tc>
        <w:tc>
          <w:tcPr>
            <w:tcW w:w="709" w:type="pct"/>
            <w:tcBorders>
              <w:bottom w:val="single" w:sz="4" w:space="0" w:color="auto"/>
            </w:tcBorders>
            <w:vAlign w:val="center"/>
          </w:tcPr>
          <w:p w14:paraId="088337B7" w14:textId="77777777" w:rsidR="006016B9" w:rsidRPr="0087752B" w:rsidRDefault="006016B9" w:rsidP="00A25044">
            <w:pPr>
              <w:pStyle w:val="DETTableTextFinancial"/>
              <w:jc w:val="center"/>
            </w:pPr>
            <w:r w:rsidRPr="0087752B">
              <w:t>‒</w:t>
            </w:r>
          </w:p>
        </w:tc>
        <w:tc>
          <w:tcPr>
            <w:tcW w:w="709" w:type="pct"/>
            <w:tcBorders>
              <w:bottom w:val="single" w:sz="4" w:space="0" w:color="auto"/>
            </w:tcBorders>
            <w:vAlign w:val="center"/>
          </w:tcPr>
          <w:p w14:paraId="2CFD0DEC" w14:textId="0CAF4E0C" w:rsidR="006016B9" w:rsidRPr="0087752B" w:rsidRDefault="00117DAB" w:rsidP="00A25044">
            <w:pPr>
              <w:pStyle w:val="DETTableTextFinancial"/>
              <w:jc w:val="center"/>
            </w:pPr>
            <w:r>
              <w:t>30</w:t>
            </w:r>
          </w:p>
        </w:tc>
        <w:tc>
          <w:tcPr>
            <w:tcW w:w="709" w:type="pct"/>
            <w:tcBorders>
              <w:bottom w:val="single" w:sz="4" w:space="0" w:color="auto"/>
            </w:tcBorders>
            <w:vAlign w:val="center"/>
          </w:tcPr>
          <w:p w14:paraId="030BD12F" w14:textId="77777777" w:rsidR="006016B9" w:rsidRPr="0087752B" w:rsidRDefault="006016B9" w:rsidP="00A25044">
            <w:pPr>
              <w:pStyle w:val="DETTableTextFinancial"/>
              <w:jc w:val="center"/>
            </w:pPr>
            <w:r w:rsidRPr="0087752B">
              <w:t>‒</w:t>
            </w:r>
          </w:p>
        </w:tc>
        <w:tc>
          <w:tcPr>
            <w:tcW w:w="709" w:type="pct"/>
            <w:tcBorders>
              <w:bottom w:val="single" w:sz="4" w:space="0" w:color="auto"/>
            </w:tcBorders>
            <w:vAlign w:val="center"/>
          </w:tcPr>
          <w:p w14:paraId="77649F42" w14:textId="77777777" w:rsidR="006016B9" w:rsidRPr="0087752B" w:rsidRDefault="006016B9" w:rsidP="00A25044">
            <w:pPr>
              <w:pStyle w:val="DETTableTextFinancial"/>
              <w:jc w:val="center"/>
            </w:pPr>
            <w:r w:rsidRPr="0087752B">
              <w:t>‒</w:t>
            </w:r>
          </w:p>
        </w:tc>
        <w:tc>
          <w:tcPr>
            <w:tcW w:w="707" w:type="pct"/>
            <w:tcBorders>
              <w:bottom w:val="single" w:sz="4" w:space="0" w:color="auto"/>
            </w:tcBorders>
            <w:vAlign w:val="center"/>
          </w:tcPr>
          <w:p w14:paraId="6A3EA71B" w14:textId="77777777" w:rsidR="006016B9" w:rsidRPr="0087752B" w:rsidRDefault="006016B9" w:rsidP="00A25044">
            <w:pPr>
              <w:pStyle w:val="DETTableTextFinancial"/>
              <w:jc w:val="center"/>
            </w:pPr>
            <w:r w:rsidRPr="0087752B">
              <w:t>‒</w:t>
            </w:r>
          </w:p>
        </w:tc>
      </w:tr>
      <w:tr w:rsidR="006016B9" w:rsidRPr="0087752B" w14:paraId="091DA752" w14:textId="77777777" w:rsidTr="00A25044">
        <w:trPr>
          <w:cantSplit/>
          <w:trHeight w:val="454"/>
        </w:trPr>
        <w:tc>
          <w:tcPr>
            <w:tcW w:w="748" w:type="pct"/>
            <w:tcBorders>
              <w:top w:val="single" w:sz="4" w:space="0" w:color="auto"/>
              <w:bottom w:val="single" w:sz="4" w:space="0" w:color="auto"/>
            </w:tcBorders>
            <w:vAlign w:val="center"/>
            <w:hideMark/>
          </w:tcPr>
          <w:p w14:paraId="38F3B445" w14:textId="77777777" w:rsidR="006016B9" w:rsidRPr="0087752B" w:rsidRDefault="006016B9" w:rsidP="00A25044">
            <w:pPr>
              <w:pStyle w:val="DETTableTextFinancial"/>
              <w:rPr>
                <w:b/>
              </w:rPr>
            </w:pPr>
            <w:r w:rsidRPr="0087752B">
              <w:rPr>
                <w:b/>
              </w:rPr>
              <w:t>Total</w:t>
            </w:r>
          </w:p>
        </w:tc>
        <w:tc>
          <w:tcPr>
            <w:tcW w:w="709" w:type="pct"/>
            <w:tcBorders>
              <w:top w:val="single" w:sz="4" w:space="0" w:color="auto"/>
              <w:bottom w:val="single" w:sz="4" w:space="0" w:color="auto"/>
            </w:tcBorders>
            <w:vAlign w:val="center"/>
          </w:tcPr>
          <w:p w14:paraId="7857859E" w14:textId="40D2FFE8" w:rsidR="006016B9" w:rsidRPr="0087752B" w:rsidRDefault="00117DAB" w:rsidP="00A25044">
            <w:pPr>
              <w:pStyle w:val="DETTableTextFinancial"/>
              <w:jc w:val="center"/>
              <w:rPr>
                <w:b/>
              </w:rPr>
            </w:pPr>
            <w:r>
              <w:rPr>
                <w:b/>
              </w:rPr>
              <w:t>76</w:t>
            </w:r>
          </w:p>
        </w:tc>
        <w:tc>
          <w:tcPr>
            <w:tcW w:w="709" w:type="pct"/>
            <w:tcBorders>
              <w:top w:val="single" w:sz="4" w:space="0" w:color="auto"/>
              <w:bottom w:val="single" w:sz="4" w:space="0" w:color="auto"/>
            </w:tcBorders>
            <w:vAlign w:val="center"/>
          </w:tcPr>
          <w:p w14:paraId="50ADFFCD" w14:textId="77777777" w:rsidR="006016B9" w:rsidRPr="0087752B" w:rsidRDefault="006016B9" w:rsidP="00A25044">
            <w:pPr>
              <w:pStyle w:val="DETTableTextFinancial"/>
              <w:jc w:val="center"/>
              <w:rPr>
                <w:b/>
              </w:rPr>
            </w:pPr>
            <w:r w:rsidRPr="0087752B">
              <w:rPr>
                <w:b/>
              </w:rPr>
              <w:t>‒</w:t>
            </w:r>
          </w:p>
        </w:tc>
        <w:tc>
          <w:tcPr>
            <w:tcW w:w="709" w:type="pct"/>
            <w:tcBorders>
              <w:top w:val="single" w:sz="4" w:space="0" w:color="auto"/>
              <w:bottom w:val="single" w:sz="4" w:space="0" w:color="auto"/>
            </w:tcBorders>
            <w:vAlign w:val="center"/>
          </w:tcPr>
          <w:p w14:paraId="3E3B29A0" w14:textId="2040DD1B" w:rsidR="006016B9" w:rsidRPr="0087752B" w:rsidRDefault="00117DAB" w:rsidP="00A25044">
            <w:pPr>
              <w:pStyle w:val="DETTableTextFinancial"/>
              <w:jc w:val="center"/>
              <w:rPr>
                <w:b/>
              </w:rPr>
            </w:pPr>
            <w:r>
              <w:rPr>
                <w:b/>
              </w:rPr>
              <w:t>76</w:t>
            </w:r>
          </w:p>
        </w:tc>
        <w:tc>
          <w:tcPr>
            <w:tcW w:w="709" w:type="pct"/>
            <w:tcBorders>
              <w:top w:val="single" w:sz="4" w:space="0" w:color="auto"/>
              <w:bottom w:val="single" w:sz="4" w:space="0" w:color="auto"/>
            </w:tcBorders>
            <w:vAlign w:val="center"/>
          </w:tcPr>
          <w:p w14:paraId="7EB8A3E8" w14:textId="77777777" w:rsidR="006016B9" w:rsidRPr="0087752B" w:rsidRDefault="006016B9" w:rsidP="00A25044">
            <w:pPr>
              <w:pStyle w:val="DETTableTextFinancial"/>
              <w:jc w:val="center"/>
              <w:rPr>
                <w:b/>
              </w:rPr>
            </w:pPr>
            <w:r w:rsidRPr="0087752B">
              <w:rPr>
                <w:b/>
              </w:rPr>
              <w:t>‒</w:t>
            </w:r>
          </w:p>
        </w:tc>
        <w:tc>
          <w:tcPr>
            <w:tcW w:w="709" w:type="pct"/>
            <w:tcBorders>
              <w:top w:val="single" w:sz="4" w:space="0" w:color="auto"/>
              <w:bottom w:val="single" w:sz="4" w:space="0" w:color="auto"/>
            </w:tcBorders>
            <w:vAlign w:val="center"/>
          </w:tcPr>
          <w:p w14:paraId="0C74F1BF" w14:textId="77777777" w:rsidR="006016B9" w:rsidRPr="0087752B" w:rsidRDefault="006016B9" w:rsidP="00A25044">
            <w:pPr>
              <w:pStyle w:val="DETTableTextFinancial"/>
              <w:jc w:val="center"/>
              <w:rPr>
                <w:b/>
              </w:rPr>
            </w:pPr>
            <w:r w:rsidRPr="0087752B">
              <w:rPr>
                <w:b/>
              </w:rPr>
              <w:t>‒</w:t>
            </w:r>
          </w:p>
        </w:tc>
        <w:tc>
          <w:tcPr>
            <w:tcW w:w="707" w:type="pct"/>
            <w:tcBorders>
              <w:top w:val="single" w:sz="4" w:space="0" w:color="auto"/>
              <w:bottom w:val="single" w:sz="4" w:space="0" w:color="auto"/>
            </w:tcBorders>
            <w:vAlign w:val="center"/>
          </w:tcPr>
          <w:p w14:paraId="7D6AE69A" w14:textId="77777777" w:rsidR="006016B9" w:rsidRPr="0087752B" w:rsidRDefault="006016B9" w:rsidP="00A25044">
            <w:pPr>
              <w:pStyle w:val="DETTableTextFinancial"/>
              <w:jc w:val="center"/>
              <w:rPr>
                <w:b/>
              </w:rPr>
            </w:pPr>
            <w:r w:rsidRPr="0087752B">
              <w:rPr>
                <w:b/>
              </w:rPr>
              <w:t>‒</w:t>
            </w:r>
          </w:p>
        </w:tc>
      </w:tr>
    </w:tbl>
    <w:p w14:paraId="51A8B48D" w14:textId="77777777" w:rsidR="006016B9" w:rsidRPr="0087752B" w:rsidRDefault="006016B9" w:rsidP="006016B9">
      <w:pPr>
        <w:rPr>
          <w:highlight w:val="yellow"/>
        </w:rPr>
      </w:pPr>
    </w:p>
    <w:p w14:paraId="5023752A" w14:textId="77777777" w:rsidR="006016B9" w:rsidRPr="0087752B" w:rsidRDefault="006016B9" w:rsidP="007540CD">
      <w:pPr>
        <w:pStyle w:val="DETTableheading"/>
      </w:pPr>
      <w:r w:rsidRPr="0087752B">
        <w:t>Breakdown of executive officers by gender excluding statutory authorities</w:t>
      </w:r>
    </w:p>
    <w:tbl>
      <w:tblPr>
        <w:tblW w:w="5000" w:type="pct"/>
        <w:tblCellMar>
          <w:left w:w="43" w:type="dxa"/>
          <w:right w:w="43" w:type="dxa"/>
        </w:tblCellMar>
        <w:tblLook w:val="01E0" w:firstRow="1" w:lastRow="1" w:firstColumn="1" w:lastColumn="1" w:noHBand="0" w:noVBand="0"/>
      </w:tblPr>
      <w:tblGrid>
        <w:gridCol w:w="1084"/>
        <w:gridCol w:w="567"/>
        <w:gridCol w:w="567"/>
        <w:gridCol w:w="567"/>
        <w:gridCol w:w="567"/>
        <w:gridCol w:w="918"/>
        <w:gridCol w:w="567"/>
        <w:gridCol w:w="567"/>
        <w:gridCol w:w="567"/>
        <w:gridCol w:w="567"/>
        <w:gridCol w:w="918"/>
      </w:tblGrid>
      <w:tr w:rsidR="006016B9" w:rsidRPr="0087752B" w14:paraId="55CC889D" w14:textId="77777777" w:rsidTr="00A25044">
        <w:trPr>
          <w:cantSplit/>
          <w:trHeight w:val="454"/>
        </w:trPr>
        <w:tc>
          <w:tcPr>
            <w:tcW w:w="0" w:type="auto"/>
            <w:shd w:val="clear" w:color="auto" w:fill="7F7F7F" w:themeFill="text1" w:themeFillTint="80"/>
            <w:vAlign w:val="center"/>
          </w:tcPr>
          <w:p w14:paraId="7B52B454" w14:textId="77777777" w:rsidR="006016B9" w:rsidRPr="0087752B" w:rsidRDefault="006016B9" w:rsidP="00A25044">
            <w:pPr>
              <w:pStyle w:val="DETTablecolumnheading"/>
              <w:jc w:val="left"/>
            </w:pPr>
          </w:p>
        </w:tc>
        <w:tc>
          <w:tcPr>
            <w:tcW w:w="3186" w:type="dxa"/>
            <w:gridSpan w:val="5"/>
            <w:shd w:val="clear" w:color="auto" w:fill="7F7F7F" w:themeFill="text1" w:themeFillTint="80"/>
          </w:tcPr>
          <w:p w14:paraId="2EDD062F" w14:textId="77777777" w:rsidR="006016B9" w:rsidRPr="0087752B" w:rsidRDefault="006016B9" w:rsidP="00A25044">
            <w:pPr>
              <w:pStyle w:val="DETTablecolumnheading"/>
              <w:jc w:val="left"/>
            </w:pPr>
            <w:r w:rsidRPr="0087752B">
              <w:t>Ongoing</w:t>
            </w:r>
          </w:p>
        </w:tc>
        <w:tc>
          <w:tcPr>
            <w:tcW w:w="3186" w:type="dxa"/>
            <w:gridSpan w:val="5"/>
            <w:shd w:val="clear" w:color="auto" w:fill="7F7F7F" w:themeFill="text1" w:themeFillTint="80"/>
          </w:tcPr>
          <w:p w14:paraId="704302BA" w14:textId="77777777" w:rsidR="006016B9" w:rsidRPr="0087752B" w:rsidRDefault="006016B9" w:rsidP="00A25044">
            <w:pPr>
              <w:pStyle w:val="DETTablecolumnheading"/>
              <w:jc w:val="left"/>
            </w:pPr>
            <w:r w:rsidRPr="0087752B">
              <w:t>Special projects</w:t>
            </w:r>
          </w:p>
        </w:tc>
      </w:tr>
      <w:tr w:rsidR="006016B9" w:rsidRPr="0087752B" w14:paraId="4052542B" w14:textId="77777777" w:rsidTr="00D95C09">
        <w:trPr>
          <w:cantSplit/>
          <w:trHeight w:hRule="exact" w:val="284"/>
        </w:trPr>
        <w:tc>
          <w:tcPr>
            <w:tcW w:w="0" w:type="auto"/>
            <w:shd w:val="clear" w:color="auto" w:fill="7F7F7F" w:themeFill="text1" w:themeFillTint="80"/>
            <w:vAlign w:val="center"/>
          </w:tcPr>
          <w:p w14:paraId="22A1D05E" w14:textId="77777777" w:rsidR="006016B9" w:rsidRPr="0087752B" w:rsidRDefault="006016B9" w:rsidP="00A25044">
            <w:pPr>
              <w:pStyle w:val="DETTablecolumnheading"/>
              <w:jc w:val="left"/>
            </w:pPr>
          </w:p>
        </w:tc>
        <w:tc>
          <w:tcPr>
            <w:tcW w:w="1134" w:type="dxa"/>
            <w:gridSpan w:val="2"/>
            <w:shd w:val="clear" w:color="auto" w:fill="7F7F7F" w:themeFill="text1" w:themeFillTint="80"/>
            <w:vAlign w:val="center"/>
          </w:tcPr>
          <w:p w14:paraId="34C37E1E" w14:textId="77777777" w:rsidR="006016B9" w:rsidRPr="0087752B" w:rsidRDefault="006016B9" w:rsidP="00A25044">
            <w:pPr>
              <w:pStyle w:val="DETTablecolumnheading"/>
              <w:jc w:val="left"/>
            </w:pPr>
            <w:r w:rsidRPr="0087752B">
              <w:t>Male</w:t>
            </w:r>
          </w:p>
        </w:tc>
        <w:tc>
          <w:tcPr>
            <w:tcW w:w="1134" w:type="dxa"/>
            <w:gridSpan w:val="2"/>
            <w:shd w:val="clear" w:color="auto" w:fill="7F7F7F" w:themeFill="text1" w:themeFillTint="80"/>
            <w:vAlign w:val="center"/>
          </w:tcPr>
          <w:p w14:paraId="4ACA01D1" w14:textId="77777777" w:rsidR="006016B9" w:rsidRPr="0087752B" w:rsidRDefault="006016B9" w:rsidP="00A25044">
            <w:pPr>
              <w:pStyle w:val="DETTablecolumnheading"/>
              <w:jc w:val="left"/>
            </w:pPr>
            <w:r w:rsidRPr="0087752B">
              <w:t>Female</w:t>
            </w:r>
          </w:p>
        </w:tc>
        <w:tc>
          <w:tcPr>
            <w:tcW w:w="918" w:type="dxa"/>
            <w:shd w:val="clear" w:color="auto" w:fill="7F7F7F" w:themeFill="text1" w:themeFillTint="80"/>
            <w:vAlign w:val="center"/>
          </w:tcPr>
          <w:p w14:paraId="42B47C40" w14:textId="77777777" w:rsidR="006016B9" w:rsidRPr="0087752B" w:rsidRDefault="006016B9" w:rsidP="00A25044">
            <w:pPr>
              <w:pStyle w:val="DETTablecolumnheading"/>
              <w:jc w:val="left"/>
            </w:pPr>
            <w:r w:rsidRPr="0087752B">
              <w:t>Vacancies</w:t>
            </w:r>
          </w:p>
        </w:tc>
        <w:tc>
          <w:tcPr>
            <w:tcW w:w="1134" w:type="dxa"/>
            <w:gridSpan w:val="2"/>
            <w:shd w:val="clear" w:color="auto" w:fill="7F7F7F" w:themeFill="text1" w:themeFillTint="80"/>
            <w:vAlign w:val="center"/>
          </w:tcPr>
          <w:p w14:paraId="210F8E79" w14:textId="77777777" w:rsidR="006016B9" w:rsidRPr="0087752B" w:rsidRDefault="006016B9" w:rsidP="00A25044">
            <w:pPr>
              <w:pStyle w:val="DETTablecolumnheading"/>
              <w:jc w:val="left"/>
            </w:pPr>
            <w:r w:rsidRPr="0087752B">
              <w:t>Male</w:t>
            </w:r>
          </w:p>
        </w:tc>
        <w:tc>
          <w:tcPr>
            <w:tcW w:w="1134" w:type="dxa"/>
            <w:gridSpan w:val="2"/>
            <w:shd w:val="clear" w:color="auto" w:fill="7F7F7F" w:themeFill="text1" w:themeFillTint="80"/>
            <w:vAlign w:val="center"/>
          </w:tcPr>
          <w:p w14:paraId="6CD98F05" w14:textId="77777777" w:rsidR="006016B9" w:rsidRPr="0087752B" w:rsidRDefault="006016B9" w:rsidP="00A25044">
            <w:pPr>
              <w:pStyle w:val="DETTablecolumnheading"/>
              <w:jc w:val="left"/>
            </w:pPr>
            <w:r w:rsidRPr="0087752B">
              <w:t>Female</w:t>
            </w:r>
          </w:p>
        </w:tc>
        <w:tc>
          <w:tcPr>
            <w:tcW w:w="918" w:type="dxa"/>
            <w:shd w:val="clear" w:color="auto" w:fill="7F7F7F" w:themeFill="text1" w:themeFillTint="80"/>
            <w:vAlign w:val="center"/>
          </w:tcPr>
          <w:p w14:paraId="7150B590" w14:textId="77777777" w:rsidR="006016B9" w:rsidRPr="0087752B" w:rsidRDefault="006016B9" w:rsidP="00A25044">
            <w:pPr>
              <w:pStyle w:val="DETTablecolumnheading"/>
              <w:jc w:val="left"/>
            </w:pPr>
            <w:r w:rsidRPr="0087752B">
              <w:t>Vacancies</w:t>
            </w:r>
          </w:p>
        </w:tc>
      </w:tr>
      <w:tr w:rsidR="006016B9" w:rsidRPr="0087752B" w14:paraId="07C88D5C" w14:textId="77777777" w:rsidTr="00A25044">
        <w:trPr>
          <w:cantSplit/>
          <w:trHeight w:val="454"/>
        </w:trPr>
        <w:tc>
          <w:tcPr>
            <w:tcW w:w="0" w:type="auto"/>
            <w:shd w:val="clear" w:color="auto" w:fill="7F7F7F" w:themeFill="text1" w:themeFillTint="80"/>
            <w:vAlign w:val="center"/>
            <w:hideMark/>
          </w:tcPr>
          <w:p w14:paraId="3173BD07" w14:textId="77777777" w:rsidR="006016B9" w:rsidRPr="0087752B" w:rsidRDefault="006016B9" w:rsidP="00A25044">
            <w:pPr>
              <w:pStyle w:val="DETTablecolumnheading"/>
              <w:jc w:val="left"/>
            </w:pPr>
            <w:r w:rsidRPr="0087752B">
              <w:t>Class</w:t>
            </w:r>
          </w:p>
        </w:tc>
        <w:tc>
          <w:tcPr>
            <w:tcW w:w="567" w:type="dxa"/>
            <w:shd w:val="clear" w:color="auto" w:fill="7F7F7F" w:themeFill="text1" w:themeFillTint="80"/>
            <w:vAlign w:val="center"/>
            <w:hideMark/>
          </w:tcPr>
          <w:p w14:paraId="4027935A" w14:textId="77777777" w:rsidR="006016B9" w:rsidRPr="0087752B" w:rsidRDefault="006016B9" w:rsidP="00A25044">
            <w:pPr>
              <w:pStyle w:val="DETTablecolumnheading"/>
              <w:jc w:val="left"/>
            </w:pPr>
            <w:r w:rsidRPr="0087752B">
              <w:t>No.</w:t>
            </w:r>
          </w:p>
        </w:tc>
        <w:tc>
          <w:tcPr>
            <w:tcW w:w="567" w:type="dxa"/>
            <w:shd w:val="clear" w:color="auto" w:fill="7F7F7F" w:themeFill="text1" w:themeFillTint="80"/>
            <w:vAlign w:val="center"/>
            <w:hideMark/>
          </w:tcPr>
          <w:p w14:paraId="494CCD6B" w14:textId="77777777" w:rsidR="006016B9" w:rsidRPr="0087752B" w:rsidRDefault="006016B9" w:rsidP="00A25044">
            <w:pPr>
              <w:pStyle w:val="DETTablecolumnheading"/>
              <w:jc w:val="left"/>
            </w:pPr>
            <w:r w:rsidRPr="0087752B">
              <w:t>Var.</w:t>
            </w:r>
          </w:p>
        </w:tc>
        <w:tc>
          <w:tcPr>
            <w:tcW w:w="567" w:type="dxa"/>
            <w:shd w:val="clear" w:color="auto" w:fill="7F7F7F" w:themeFill="text1" w:themeFillTint="80"/>
            <w:vAlign w:val="center"/>
            <w:hideMark/>
          </w:tcPr>
          <w:p w14:paraId="22716707" w14:textId="77777777" w:rsidR="006016B9" w:rsidRPr="0087752B" w:rsidRDefault="006016B9" w:rsidP="00A25044">
            <w:pPr>
              <w:pStyle w:val="DETTablecolumnheading"/>
              <w:jc w:val="left"/>
            </w:pPr>
            <w:r w:rsidRPr="0087752B">
              <w:t>No.</w:t>
            </w:r>
          </w:p>
        </w:tc>
        <w:tc>
          <w:tcPr>
            <w:tcW w:w="567" w:type="dxa"/>
            <w:shd w:val="clear" w:color="auto" w:fill="7F7F7F" w:themeFill="text1" w:themeFillTint="80"/>
            <w:vAlign w:val="center"/>
            <w:hideMark/>
          </w:tcPr>
          <w:p w14:paraId="738A3342" w14:textId="77777777" w:rsidR="006016B9" w:rsidRPr="0087752B" w:rsidRDefault="006016B9" w:rsidP="00A25044">
            <w:pPr>
              <w:pStyle w:val="DETTablecolumnheading"/>
              <w:jc w:val="left"/>
            </w:pPr>
            <w:r w:rsidRPr="0087752B">
              <w:t>Var.</w:t>
            </w:r>
          </w:p>
        </w:tc>
        <w:tc>
          <w:tcPr>
            <w:tcW w:w="918" w:type="dxa"/>
            <w:shd w:val="clear" w:color="auto" w:fill="7F7F7F" w:themeFill="text1" w:themeFillTint="80"/>
            <w:vAlign w:val="center"/>
            <w:hideMark/>
          </w:tcPr>
          <w:p w14:paraId="17DD6244" w14:textId="77777777" w:rsidR="006016B9" w:rsidRPr="0087752B" w:rsidRDefault="006016B9" w:rsidP="00A25044">
            <w:pPr>
              <w:pStyle w:val="DETTablecolumnheading"/>
              <w:jc w:val="left"/>
            </w:pPr>
            <w:r w:rsidRPr="0087752B">
              <w:t>Number</w:t>
            </w:r>
          </w:p>
        </w:tc>
        <w:tc>
          <w:tcPr>
            <w:tcW w:w="567" w:type="dxa"/>
            <w:shd w:val="clear" w:color="auto" w:fill="7F7F7F" w:themeFill="text1" w:themeFillTint="80"/>
            <w:vAlign w:val="center"/>
            <w:hideMark/>
          </w:tcPr>
          <w:p w14:paraId="230F84C6" w14:textId="77777777" w:rsidR="006016B9" w:rsidRPr="0087752B" w:rsidRDefault="006016B9" w:rsidP="00A25044">
            <w:pPr>
              <w:pStyle w:val="DETTablecolumnheading"/>
              <w:jc w:val="left"/>
            </w:pPr>
            <w:r w:rsidRPr="0087752B">
              <w:t>No.</w:t>
            </w:r>
          </w:p>
        </w:tc>
        <w:tc>
          <w:tcPr>
            <w:tcW w:w="567" w:type="dxa"/>
            <w:shd w:val="clear" w:color="auto" w:fill="7F7F7F" w:themeFill="text1" w:themeFillTint="80"/>
            <w:vAlign w:val="center"/>
            <w:hideMark/>
          </w:tcPr>
          <w:p w14:paraId="25657101" w14:textId="77777777" w:rsidR="006016B9" w:rsidRPr="0087752B" w:rsidRDefault="006016B9" w:rsidP="00A25044">
            <w:pPr>
              <w:pStyle w:val="DETTablecolumnheading"/>
              <w:jc w:val="left"/>
            </w:pPr>
            <w:r w:rsidRPr="0087752B">
              <w:t>Var.</w:t>
            </w:r>
          </w:p>
        </w:tc>
        <w:tc>
          <w:tcPr>
            <w:tcW w:w="567" w:type="dxa"/>
            <w:shd w:val="clear" w:color="auto" w:fill="7F7F7F" w:themeFill="text1" w:themeFillTint="80"/>
            <w:vAlign w:val="center"/>
            <w:hideMark/>
          </w:tcPr>
          <w:p w14:paraId="3FACFB5F" w14:textId="77777777" w:rsidR="006016B9" w:rsidRPr="0087752B" w:rsidRDefault="006016B9" w:rsidP="00A25044">
            <w:pPr>
              <w:pStyle w:val="DETTablecolumnheading"/>
              <w:jc w:val="left"/>
            </w:pPr>
            <w:r w:rsidRPr="0087752B">
              <w:t>No.</w:t>
            </w:r>
          </w:p>
        </w:tc>
        <w:tc>
          <w:tcPr>
            <w:tcW w:w="567" w:type="dxa"/>
            <w:shd w:val="clear" w:color="auto" w:fill="7F7F7F" w:themeFill="text1" w:themeFillTint="80"/>
            <w:vAlign w:val="center"/>
            <w:hideMark/>
          </w:tcPr>
          <w:p w14:paraId="6A343457" w14:textId="77777777" w:rsidR="006016B9" w:rsidRPr="0087752B" w:rsidRDefault="006016B9" w:rsidP="00A25044">
            <w:pPr>
              <w:pStyle w:val="DETTablecolumnheading"/>
              <w:jc w:val="left"/>
            </w:pPr>
            <w:r w:rsidRPr="0087752B">
              <w:t>Var.</w:t>
            </w:r>
          </w:p>
        </w:tc>
        <w:tc>
          <w:tcPr>
            <w:tcW w:w="918" w:type="dxa"/>
            <w:shd w:val="clear" w:color="auto" w:fill="7F7F7F" w:themeFill="text1" w:themeFillTint="80"/>
            <w:vAlign w:val="center"/>
            <w:hideMark/>
          </w:tcPr>
          <w:p w14:paraId="6FC8DCB9" w14:textId="77777777" w:rsidR="006016B9" w:rsidRPr="0087752B" w:rsidRDefault="006016B9" w:rsidP="00A25044">
            <w:pPr>
              <w:pStyle w:val="DETTablecolumnheading"/>
              <w:jc w:val="left"/>
            </w:pPr>
            <w:r w:rsidRPr="0087752B">
              <w:t>Number</w:t>
            </w:r>
          </w:p>
        </w:tc>
      </w:tr>
      <w:tr w:rsidR="006016B9" w:rsidRPr="0087752B" w14:paraId="3F169647" w14:textId="77777777" w:rsidTr="006016B9">
        <w:trPr>
          <w:cantSplit/>
          <w:trHeight w:val="454"/>
        </w:trPr>
        <w:tc>
          <w:tcPr>
            <w:tcW w:w="0" w:type="auto"/>
            <w:vAlign w:val="center"/>
            <w:hideMark/>
          </w:tcPr>
          <w:p w14:paraId="33E3C87B" w14:textId="77777777" w:rsidR="006016B9" w:rsidRPr="0087752B" w:rsidRDefault="006016B9" w:rsidP="00A25044">
            <w:pPr>
              <w:pStyle w:val="DETTableTextFinancial"/>
            </w:pPr>
            <w:r w:rsidRPr="0087752B">
              <w:t>Secretary</w:t>
            </w:r>
          </w:p>
        </w:tc>
        <w:tc>
          <w:tcPr>
            <w:tcW w:w="567" w:type="dxa"/>
            <w:vAlign w:val="center"/>
          </w:tcPr>
          <w:p w14:paraId="448EEA27" w14:textId="77777777" w:rsidR="006016B9" w:rsidRPr="0087752B" w:rsidRDefault="006016B9" w:rsidP="00A25044">
            <w:pPr>
              <w:pStyle w:val="DETTableTextFinancial"/>
              <w:jc w:val="center"/>
            </w:pPr>
            <w:r w:rsidRPr="0087752B">
              <w:t>‒</w:t>
            </w:r>
          </w:p>
        </w:tc>
        <w:tc>
          <w:tcPr>
            <w:tcW w:w="567" w:type="dxa"/>
            <w:vAlign w:val="center"/>
          </w:tcPr>
          <w:p w14:paraId="39B9C158" w14:textId="023251B7" w:rsidR="006016B9" w:rsidRPr="0087752B" w:rsidRDefault="004D1C46" w:rsidP="00A25044">
            <w:pPr>
              <w:pStyle w:val="DETTableTextFinancial"/>
              <w:jc w:val="center"/>
            </w:pPr>
            <w:r>
              <w:t>–</w:t>
            </w:r>
          </w:p>
        </w:tc>
        <w:tc>
          <w:tcPr>
            <w:tcW w:w="567" w:type="dxa"/>
            <w:vAlign w:val="center"/>
          </w:tcPr>
          <w:p w14:paraId="263B2B61" w14:textId="77777777" w:rsidR="006016B9" w:rsidRPr="0087752B" w:rsidRDefault="006016B9" w:rsidP="00A25044">
            <w:pPr>
              <w:pStyle w:val="DETTableTextFinancial"/>
              <w:jc w:val="center"/>
            </w:pPr>
            <w:r w:rsidRPr="0087752B">
              <w:t>1</w:t>
            </w:r>
          </w:p>
        </w:tc>
        <w:tc>
          <w:tcPr>
            <w:tcW w:w="567" w:type="dxa"/>
            <w:vAlign w:val="center"/>
          </w:tcPr>
          <w:p w14:paraId="46FBFCFB" w14:textId="5F758D54" w:rsidR="006016B9" w:rsidRPr="0087752B" w:rsidRDefault="004D1C46" w:rsidP="00A25044">
            <w:pPr>
              <w:pStyle w:val="DETTableTextFinancial"/>
              <w:jc w:val="center"/>
            </w:pPr>
            <w:r>
              <w:t>–</w:t>
            </w:r>
          </w:p>
        </w:tc>
        <w:tc>
          <w:tcPr>
            <w:tcW w:w="918" w:type="dxa"/>
            <w:tcBorders>
              <w:right w:val="single" w:sz="6" w:space="0" w:color="777777"/>
            </w:tcBorders>
            <w:vAlign w:val="center"/>
          </w:tcPr>
          <w:p w14:paraId="4C2513BB" w14:textId="77777777" w:rsidR="006016B9" w:rsidRPr="0087752B" w:rsidRDefault="006016B9" w:rsidP="00A25044">
            <w:pPr>
              <w:pStyle w:val="DETTableTextFinancial"/>
              <w:jc w:val="center"/>
            </w:pPr>
            <w:r w:rsidRPr="0087752B">
              <w:t>‒</w:t>
            </w:r>
          </w:p>
        </w:tc>
        <w:tc>
          <w:tcPr>
            <w:tcW w:w="567" w:type="dxa"/>
            <w:tcBorders>
              <w:left w:val="single" w:sz="6" w:space="0" w:color="777777"/>
            </w:tcBorders>
            <w:vAlign w:val="center"/>
          </w:tcPr>
          <w:p w14:paraId="4572D203" w14:textId="77777777" w:rsidR="006016B9" w:rsidRPr="0087752B" w:rsidRDefault="006016B9" w:rsidP="00A25044">
            <w:pPr>
              <w:pStyle w:val="DETTableTextFinancial"/>
              <w:jc w:val="center"/>
            </w:pPr>
            <w:r w:rsidRPr="0087752B">
              <w:t>‒</w:t>
            </w:r>
          </w:p>
        </w:tc>
        <w:tc>
          <w:tcPr>
            <w:tcW w:w="567" w:type="dxa"/>
            <w:vAlign w:val="center"/>
          </w:tcPr>
          <w:p w14:paraId="60EF9833" w14:textId="77777777" w:rsidR="006016B9" w:rsidRPr="0087752B" w:rsidRDefault="006016B9" w:rsidP="00A25044">
            <w:pPr>
              <w:pStyle w:val="DETTableTextFinancial"/>
              <w:jc w:val="center"/>
            </w:pPr>
            <w:r w:rsidRPr="0087752B">
              <w:t>‒</w:t>
            </w:r>
          </w:p>
        </w:tc>
        <w:tc>
          <w:tcPr>
            <w:tcW w:w="567" w:type="dxa"/>
            <w:vAlign w:val="center"/>
          </w:tcPr>
          <w:p w14:paraId="62AED7EF" w14:textId="77777777" w:rsidR="006016B9" w:rsidRPr="0087752B" w:rsidRDefault="006016B9" w:rsidP="00A25044">
            <w:pPr>
              <w:pStyle w:val="DETTableTextFinancial"/>
              <w:jc w:val="center"/>
            </w:pPr>
            <w:r w:rsidRPr="0087752B">
              <w:t>‒</w:t>
            </w:r>
          </w:p>
        </w:tc>
        <w:tc>
          <w:tcPr>
            <w:tcW w:w="567" w:type="dxa"/>
            <w:vAlign w:val="center"/>
          </w:tcPr>
          <w:p w14:paraId="689ECBE1" w14:textId="77777777" w:rsidR="006016B9" w:rsidRPr="0087752B" w:rsidRDefault="006016B9" w:rsidP="00A25044">
            <w:pPr>
              <w:pStyle w:val="DETTableTextFinancial"/>
              <w:jc w:val="center"/>
            </w:pPr>
            <w:r w:rsidRPr="0087752B">
              <w:t>‒</w:t>
            </w:r>
          </w:p>
        </w:tc>
        <w:tc>
          <w:tcPr>
            <w:tcW w:w="918" w:type="dxa"/>
            <w:vAlign w:val="center"/>
          </w:tcPr>
          <w:p w14:paraId="2F0071B2" w14:textId="77777777" w:rsidR="006016B9" w:rsidRPr="0087752B" w:rsidRDefault="006016B9" w:rsidP="00A25044">
            <w:pPr>
              <w:pStyle w:val="DETTableTextFinancial"/>
              <w:jc w:val="center"/>
            </w:pPr>
            <w:r w:rsidRPr="0087752B">
              <w:t>‒</w:t>
            </w:r>
          </w:p>
        </w:tc>
      </w:tr>
      <w:tr w:rsidR="006016B9" w:rsidRPr="0087752B" w14:paraId="3B4D4444" w14:textId="77777777" w:rsidTr="006016B9">
        <w:trPr>
          <w:cantSplit/>
          <w:trHeight w:val="454"/>
        </w:trPr>
        <w:tc>
          <w:tcPr>
            <w:tcW w:w="0" w:type="auto"/>
            <w:vAlign w:val="center"/>
          </w:tcPr>
          <w:p w14:paraId="608FE8C0" w14:textId="3BBBC408" w:rsidR="006016B9" w:rsidRPr="0087752B" w:rsidRDefault="006016B9" w:rsidP="00A25044">
            <w:pPr>
              <w:pStyle w:val="DETTableTextFinancial"/>
            </w:pPr>
            <w:r w:rsidRPr="0087752B">
              <w:t>EO</w:t>
            </w:r>
            <w:r w:rsidR="005D10F1">
              <w:t>–</w:t>
            </w:r>
            <w:r w:rsidRPr="0087752B">
              <w:t>1</w:t>
            </w:r>
          </w:p>
        </w:tc>
        <w:tc>
          <w:tcPr>
            <w:tcW w:w="567" w:type="dxa"/>
            <w:vAlign w:val="center"/>
          </w:tcPr>
          <w:p w14:paraId="0BE0E81E" w14:textId="77777777" w:rsidR="006016B9" w:rsidRPr="0087752B" w:rsidRDefault="006016B9" w:rsidP="00A25044">
            <w:pPr>
              <w:pStyle w:val="DETTableTextFinancial"/>
              <w:jc w:val="center"/>
            </w:pPr>
            <w:r w:rsidRPr="0087752B">
              <w:t>1</w:t>
            </w:r>
          </w:p>
        </w:tc>
        <w:tc>
          <w:tcPr>
            <w:tcW w:w="567" w:type="dxa"/>
            <w:vAlign w:val="center"/>
          </w:tcPr>
          <w:p w14:paraId="4E357C9F" w14:textId="77777777" w:rsidR="006016B9" w:rsidRPr="0087752B" w:rsidRDefault="006016B9" w:rsidP="00A25044">
            <w:pPr>
              <w:pStyle w:val="DETTableTextFinancial"/>
              <w:jc w:val="center"/>
            </w:pPr>
            <w:r w:rsidRPr="0087752B">
              <w:t>‒</w:t>
            </w:r>
          </w:p>
        </w:tc>
        <w:tc>
          <w:tcPr>
            <w:tcW w:w="567" w:type="dxa"/>
            <w:vAlign w:val="center"/>
          </w:tcPr>
          <w:p w14:paraId="74FAC2AA" w14:textId="77777777" w:rsidR="006016B9" w:rsidRPr="0087752B" w:rsidRDefault="006016B9" w:rsidP="00A25044">
            <w:pPr>
              <w:pStyle w:val="DETTableTextFinancial"/>
              <w:jc w:val="center"/>
            </w:pPr>
            <w:r w:rsidRPr="0087752B">
              <w:t>2</w:t>
            </w:r>
          </w:p>
        </w:tc>
        <w:tc>
          <w:tcPr>
            <w:tcW w:w="567" w:type="dxa"/>
            <w:vAlign w:val="center"/>
          </w:tcPr>
          <w:p w14:paraId="530AEAF8" w14:textId="77777777" w:rsidR="006016B9" w:rsidRPr="0087752B" w:rsidRDefault="006016B9" w:rsidP="00A25044">
            <w:pPr>
              <w:pStyle w:val="DETTableTextFinancial"/>
              <w:jc w:val="center"/>
            </w:pPr>
            <w:r w:rsidRPr="0087752B">
              <w:t>(+1)</w:t>
            </w:r>
          </w:p>
        </w:tc>
        <w:tc>
          <w:tcPr>
            <w:tcW w:w="918" w:type="dxa"/>
            <w:tcBorders>
              <w:right w:val="single" w:sz="6" w:space="0" w:color="777777"/>
            </w:tcBorders>
            <w:vAlign w:val="center"/>
          </w:tcPr>
          <w:p w14:paraId="64E505A2" w14:textId="2D5C42B2" w:rsidR="006016B9" w:rsidRPr="0087752B" w:rsidRDefault="004D1C46" w:rsidP="00A25044">
            <w:pPr>
              <w:pStyle w:val="DETTableTextFinancial"/>
              <w:jc w:val="center"/>
            </w:pPr>
            <w:r>
              <w:t>–</w:t>
            </w:r>
          </w:p>
        </w:tc>
        <w:tc>
          <w:tcPr>
            <w:tcW w:w="567" w:type="dxa"/>
            <w:tcBorders>
              <w:left w:val="single" w:sz="6" w:space="0" w:color="777777"/>
            </w:tcBorders>
            <w:vAlign w:val="center"/>
          </w:tcPr>
          <w:p w14:paraId="4115F403" w14:textId="77777777" w:rsidR="006016B9" w:rsidRPr="0087752B" w:rsidRDefault="006016B9" w:rsidP="00A25044">
            <w:pPr>
              <w:pStyle w:val="DETTableTextFinancial"/>
              <w:jc w:val="center"/>
            </w:pPr>
            <w:r w:rsidRPr="0087752B">
              <w:t>‒</w:t>
            </w:r>
          </w:p>
        </w:tc>
        <w:tc>
          <w:tcPr>
            <w:tcW w:w="567" w:type="dxa"/>
            <w:vAlign w:val="center"/>
          </w:tcPr>
          <w:p w14:paraId="023F00F8" w14:textId="77777777" w:rsidR="006016B9" w:rsidRPr="0087752B" w:rsidRDefault="006016B9" w:rsidP="00A25044">
            <w:pPr>
              <w:pStyle w:val="DETTableTextFinancial"/>
              <w:jc w:val="center"/>
            </w:pPr>
            <w:r w:rsidRPr="0087752B">
              <w:t>‒</w:t>
            </w:r>
          </w:p>
        </w:tc>
        <w:tc>
          <w:tcPr>
            <w:tcW w:w="567" w:type="dxa"/>
            <w:vAlign w:val="center"/>
          </w:tcPr>
          <w:p w14:paraId="4614D075" w14:textId="77777777" w:rsidR="006016B9" w:rsidRPr="0087752B" w:rsidRDefault="006016B9" w:rsidP="00A25044">
            <w:pPr>
              <w:pStyle w:val="DETTableTextFinancial"/>
              <w:jc w:val="center"/>
            </w:pPr>
            <w:r w:rsidRPr="0087752B">
              <w:t>‒</w:t>
            </w:r>
          </w:p>
        </w:tc>
        <w:tc>
          <w:tcPr>
            <w:tcW w:w="567" w:type="dxa"/>
            <w:vAlign w:val="center"/>
          </w:tcPr>
          <w:p w14:paraId="278DF259" w14:textId="77777777" w:rsidR="006016B9" w:rsidRPr="0087752B" w:rsidRDefault="006016B9" w:rsidP="00A25044">
            <w:pPr>
              <w:pStyle w:val="DETTableTextFinancial"/>
              <w:jc w:val="center"/>
            </w:pPr>
            <w:r w:rsidRPr="0087752B">
              <w:t>‒</w:t>
            </w:r>
          </w:p>
        </w:tc>
        <w:tc>
          <w:tcPr>
            <w:tcW w:w="918" w:type="dxa"/>
            <w:vAlign w:val="center"/>
          </w:tcPr>
          <w:p w14:paraId="0B9702A6" w14:textId="77777777" w:rsidR="006016B9" w:rsidRPr="0087752B" w:rsidRDefault="006016B9" w:rsidP="00A25044">
            <w:pPr>
              <w:pStyle w:val="DETTableTextFinancial"/>
              <w:jc w:val="center"/>
            </w:pPr>
            <w:r w:rsidRPr="0087752B">
              <w:t>‒</w:t>
            </w:r>
          </w:p>
        </w:tc>
      </w:tr>
      <w:tr w:rsidR="004D1C46" w:rsidRPr="0087752B" w14:paraId="49B9F7FE" w14:textId="77777777" w:rsidTr="003D585E">
        <w:trPr>
          <w:cantSplit/>
          <w:trHeight w:val="454"/>
        </w:trPr>
        <w:tc>
          <w:tcPr>
            <w:tcW w:w="0" w:type="auto"/>
            <w:vAlign w:val="center"/>
            <w:hideMark/>
          </w:tcPr>
          <w:p w14:paraId="1E40B3C1" w14:textId="47776DB2" w:rsidR="004D1C46" w:rsidRPr="0087752B" w:rsidRDefault="004D1C46" w:rsidP="004D1C46">
            <w:pPr>
              <w:pStyle w:val="DETTableTextFinancial"/>
            </w:pPr>
            <w:r w:rsidRPr="0087752B">
              <w:t>EO</w:t>
            </w:r>
            <w:r>
              <w:t>–</w:t>
            </w:r>
            <w:r w:rsidRPr="0087752B">
              <w:t>2</w:t>
            </w:r>
          </w:p>
        </w:tc>
        <w:tc>
          <w:tcPr>
            <w:tcW w:w="567" w:type="dxa"/>
            <w:vAlign w:val="center"/>
          </w:tcPr>
          <w:p w14:paraId="333CBECB" w14:textId="55795C72" w:rsidR="004D1C46" w:rsidRPr="0087752B" w:rsidRDefault="003D585E" w:rsidP="004D1C46">
            <w:pPr>
              <w:pStyle w:val="DETTableTextFinancial"/>
              <w:jc w:val="center"/>
            </w:pPr>
            <w:r>
              <w:t>17</w:t>
            </w:r>
          </w:p>
        </w:tc>
        <w:tc>
          <w:tcPr>
            <w:tcW w:w="567" w:type="dxa"/>
            <w:vAlign w:val="center"/>
          </w:tcPr>
          <w:p w14:paraId="3C7036C1" w14:textId="264EA83F" w:rsidR="004D1C46" w:rsidRPr="0087752B" w:rsidRDefault="003D585E" w:rsidP="004D1C46">
            <w:pPr>
              <w:pStyle w:val="DETTableTextFinancial"/>
              <w:jc w:val="center"/>
            </w:pPr>
            <w:r>
              <w:t>(-3</w:t>
            </w:r>
            <w:r w:rsidR="004D1C46" w:rsidRPr="0087752B">
              <w:t>)</w:t>
            </w:r>
          </w:p>
        </w:tc>
        <w:tc>
          <w:tcPr>
            <w:tcW w:w="567" w:type="dxa"/>
            <w:vAlign w:val="center"/>
          </w:tcPr>
          <w:p w14:paraId="37F16F1E" w14:textId="0FC09562" w:rsidR="004D1C46" w:rsidRPr="0087752B" w:rsidRDefault="003D585E" w:rsidP="004D1C46">
            <w:pPr>
              <w:pStyle w:val="DETTableTextFinancial"/>
              <w:jc w:val="center"/>
            </w:pPr>
            <w:r>
              <w:t>18</w:t>
            </w:r>
          </w:p>
        </w:tc>
        <w:tc>
          <w:tcPr>
            <w:tcW w:w="567" w:type="dxa"/>
          </w:tcPr>
          <w:p w14:paraId="4440A60B" w14:textId="435F4302" w:rsidR="004D1C46" w:rsidRPr="0087752B" w:rsidRDefault="003D585E" w:rsidP="003D585E">
            <w:pPr>
              <w:pStyle w:val="DETTableTextFinancial"/>
              <w:jc w:val="center"/>
            </w:pPr>
            <w:r>
              <w:t>_</w:t>
            </w:r>
          </w:p>
        </w:tc>
        <w:tc>
          <w:tcPr>
            <w:tcW w:w="918" w:type="dxa"/>
            <w:tcBorders>
              <w:right w:val="single" w:sz="6" w:space="0" w:color="777777"/>
            </w:tcBorders>
            <w:vAlign w:val="center"/>
          </w:tcPr>
          <w:p w14:paraId="7F2ECD28" w14:textId="0658F349" w:rsidR="004D1C46" w:rsidRPr="0087752B" w:rsidRDefault="003D585E" w:rsidP="004D1C46">
            <w:pPr>
              <w:pStyle w:val="DETTableTextFinancial"/>
              <w:jc w:val="center"/>
            </w:pPr>
            <w:r>
              <w:t>7</w:t>
            </w:r>
          </w:p>
        </w:tc>
        <w:tc>
          <w:tcPr>
            <w:tcW w:w="567" w:type="dxa"/>
            <w:tcBorders>
              <w:left w:val="single" w:sz="6" w:space="0" w:color="777777"/>
            </w:tcBorders>
            <w:vAlign w:val="center"/>
          </w:tcPr>
          <w:p w14:paraId="41817D94" w14:textId="77777777" w:rsidR="004D1C46" w:rsidRPr="0087752B" w:rsidRDefault="004D1C46" w:rsidP="004D1C46">
            <w:pPr>
              <w:pStyle w:val="DETTableTextFinancial"/>
              <w:jc w:val="center"/>
            </w:pPr>
            <w:r w:rsidRPr="0087752B">
              <w:t>‒</w:t>
            </w:r>
          </w:p>
        </w:tc>
        <w:tc>
          <w:tcPr>
            <w:tcW w:w="567" w:type="dxa"/>
            <w:vAlign w:val="center"/>
          </w:tcPr>
          <w:p w14:paraId="1FBB6EF5" w14:textId="77777777" w:rsidR="004D1C46" w:rsidRPr="0087752B" w:rsidRDefault="004D1C46" w:rsidP="004D1C46">
            <w:pPr>
              <w:pStyle w:val="DETTableTextFinancial"/>
              <w:jc w:val="center"/>
            </w:pPr>
            <w:r w:rsidRPr="0087752B">
              <w:t>‒</w:t>
            </w:r>
          </w:p>
        </w:tc>
        <w:tc>
          <w:tcPr>
            <w:tcW w:w="567" w:type="dxa"/>
            <w:vAlign w:val="center"/>
          </w:tcPr>
          <w:p w14:paraId="749C7ED3" w14:textId="77777777" w:rsidR="004D1C46" w:rsidRPr="0087752B" w:rsidRDefault="004D1C46" w:rsidP="004D1C46">
            <w:pPr>
              <w:pStyle w:val="DETTableTextFinancial"/>
              <w:jc w:val="center"/>
            </w:pPr>
            <w:r w:rsidRPr="0087752B">
              <w:t>‒</w:t>
            </w:r>
          </w:p>
        </w:tc>
        <w:tc>
          <w:tcPr>
            <w:tcW w:w="567" w:type="dxa"/>
            <w:vAlign w:val="center"/>
          </w:tcPr>
          <w:p w14:paraId="32BA4BFB" w14:textId="77777777" w:rsidR="004D1C46" w:rsidRPr="0087752B" w:rsidRDefault="004D1C46" w:rsidP="004D1C46">
            <w:pPr>
              <w:pStyle w:val="DETTableTextFinancial"/>
              <w:jc w:val="center"/>
            </w:pPr>
            <w:r w:rsidRPr="0087752B">
              <w:t>‒</w:t>
            </w:r>
          </w:p>
        </w:tc>
        <w:tc>
          <w:tcPr>
            <w:tcW w:w="918" w:type="dxa"/>
            <w:vAlign w:val="center"/>
          </w:tcPr>
          <w:p w14:paraId="3001A23E" w14:textId="77777777" w:rsidR="004D1C46" w:rsidRPr="0087752B" w:rsidRDefault="004D1C46" w:rsidP="004D1C46">
            <w:pPr>
              <w:pStyle w:val="DETTableTextFinancial"/>
              <w:jc w:val="center"/>
            </w:pPr>
            <w:r w:rsidRPr="0087752B">
              <w:t>‒</w:t>
            </w:r>
          </w:p>
        </w:tc>
      </w:tr>
      <w:tr w:rsidR="004D1C46" w:rsidRPr="0087752B" w14:paraId="0C516BDE" w14:textId="77777777" w:rsidTr="00117DAB">
        <w:trPr>
          <w:cantSplit/>
          <w:trHeight w:val="454"/>
        </w:trPr>
        <w:tc>
          <w:tcPr>
            <w:tcW w:w="0" w:type="auto"/>
            <w:tcBorders>
              <w:bottom w:val="single" w:sz="4" w:space="0" w:color="auto"/>
            </w:tcBorders>
            <w:vAlign w:val="center"/>
            <w:hideMark/>
          </w:tcPr>
          <w:p w14:paraId="7E6BB272" w14:textId="72BCDC9A" w:rsidR="004D1C46" w:rsidRPr="0087752B" w:rsidRDefault="004D1C46" w:rsidP="004D1C46">
            <w:pPr>
              <w:pStyle w:val="DETTableTextFinancial"/>
            </w:pPr>
            <w:r w:rsidRPr="0087752B">
              <w:t>EO</w:t>
            </w:r>
            <w:r>
              <w:t>–</w:t>
            </w:r>
            <w:r w:rsidRPr="0087752B">
              <w:t>3</w:t>
            </w:r>
          </w:p>
        </w:tc>
        <w:tc>
          <w:tcPr>
            <w:tcW w:w="567" w:type="dxa"/>
            <w:tcBorders>
              <w:bottom w:val="single" w:sz="4" w:space="0" w:color="auto"/>
            </w:tcBorders>
            <w:vAlign w:val="center"/>
          </w:tcPr>
          <w:p w14:paraId="04A9C431" w14:textId="3091C94D" w:rsidR="004D1C46" w:rsidRPr="0087752B" w:rsidRDefault="00117DAB" w:rsidP="004D1C46">
            <w:pPr>
              <w:pStyle w:val="DETTableTextFinancial"/>
              <w:jc w:val="center"/>
            </w:pPr>
            <w:r>
              <w:t>10</w:t>
            </w:r>
          </w:p>
        </w:tc>
        <w:tc>
          <w:tcPr>
            <w:tcW w:w="567" w:type="dxa"/>
            <w:tcBorders>
              <w:bottom w:val="single" w:sz="4" w:space="0" w:color="auto"/>
            </w:tcBorders>
            <w:vAlign w:val="center"/>
          </w:tcPr>
          <w:p w14:paraId="7FD83A2E" w14:textId="3CE2C499" w:rsidR="004D1C46" w:rsidRPr="0087752B" w:rsidRDefault="00117DAB" w:rsidP="00117DAB">
            <w:pPr>
              <w:pStyle w:val="DETTableTextFinancial"/>
              <w:jc w:val="center"/>
            </w:pPr>
            <w:r>
              <w:t>–</w:t>
            </w:r>
          </w:p>
        </w:tc>
        <w:tc>
          <w:tcPr>
            <w:tcW w:w="567" w:type="dxa"/>
            <w:tcBorders>
              <w:bottom w:val="single" w:sz="4" w:space="0" w:color="auto"/>
            </w:tcBorders>
            <w:vAlign w:val="center"/>
          </w:tcPr>
          <w:p w14:paraId="253CE143" w14:textId="07A397C7" w:rsidR="004D1C46" w:rsidRPr="0087752B" w:rsidRDefault="00117DAB" w:rsidP="004D1C46">
            <w:pPr>
              <w:pStyle w:val="DETTableTextFinancial"/>
              <w:jc w:val="center"/>
            </w:pPr>
            <w:r>
              <w:t>15</w:t>
            </w:r>
          </w:p>
        </w:tc>
        <w:tc>
          <w:tcPr>
            <w:tcW w:w="567" w:type="dxa"/>
            <w:tcBorders>
              <w:bottom w:val="single" w:sz="4" w:space="0" w:color="auto"/>
            </w:tcBorders>
            <w:vAlign w:val="center"/>
          </w:tcPr>
          <w:p w14:paraId="2B9A8635" w14:textId="479FD45E" w:rsidR="004D1C46" w:rsidRPr="0087752B" w:rsidRDefault="00117DAB" w:rsidP="00117DAB">
            <w:pPr>
              <w:pStyle w:val="DETTableTextFinancial"/>
              <w:jc w:val="center"/>
            </w:pPr>
            <w:r>
              <w:t>(-1)</w:t>
            </w:r>
          </w:p>
        </w:tc>
        <w:tc>
          <w:tcPr>
            <w:tcW w:w="918" w:type="dxa"/>
            <w:tcBorders>
              <w:bottom w:val="single" w:sz="4" w:space="0" w:color="auto"/>
              <w:right w:val="single" w:sz="6" w:space="0" w:color="777777"/>
            </w:tcBorders>
            <w:vAlign w:val="center"/>
          </w:tcPr>
          <w:p w14:paraId="621B61F0" w14:textId="58FBC03E" w:rsidR="004D1C46" w:rsidRPr="0087752B" w:rsidRDefault="00117DAB" w:rsidP="004D1C46">
            <w:pPr>
              <w:pStyle w:val="DETTableTextFinancial"/>
              <w:jc w:val="center"/>
            </w:pPr>
            <w:r>
              <w:t>5</w:t>
            </w:r>
          </w:p>
        </w:tc>
        <w:tc>
          <w:tcPr>
            <w:tcW w:w="567" w:type="dxa"/>
            <w:tcBorders>
              <w:left w:val="single" w:sz="6" w:space="0" w:color="777777"/>
              <w:bottom w:val="single" w:sz="4" w:space="0" w:color="auto"/>
            </w:tcBorders>
            <w:vAlign w:val="center"/>
          </w:tcPr>
          <w:p w14:paraId="4F89275A" w14:textId="77777777" w:rsidR="004D1C46" w:rsidRPr="0087752B" w:rsidRDefault="004D1C46" w:rsidP="004D1C46">
            <w:pPr>
              <w:pStyle w:val="DETTableTextFinancial"/>
              <w:jc w:val="center"/>
            </w:pPr>
            <w:r w:rsidRPr="0087752B">
              <w:t>‒</w:t>
            </w:r>
          </w:p>
        </w:tc>
        <w:tc>
          <w:tcPr>
            <w:tcW w:w="567" w:type="dxa"/>
            <w:tcBorders>
              <w:bottom w:val="single" w:sz="4" w:space="0" w:color="auto"/>
            </w:tcBorders>
            <w:vAlign w:val="center"/>
          </w:tcPr>
          <w:p w14:paraId="5BB78880" w14:textId="77777777" w:rsidR="004D1C46" w:rsidRPr="0087752B" w:rsidRDefault="004D1C46" w:rsidP="004D1C46">
            <w:pPr>
              <w:pStyle w:val="DETTableTextFinancial"/>
              <w:jc w:val="center"/>
            </w:pPr>
            <w:r w:rsidRPr="0087752B">
              <w:t>‒</w:t>
            </w:r>
          </w:p>
        </w:tc>
        <w:tc>
          <w:tcPr>
            <w:tcW w:w="567" w:type="dxa"/>
            <w:tcBorders>
              <w:bottom w:val="single" w:sz="4" w:space="0" w:color="auto"/>
            </w:tcBorders>
            <w:vAlign w:val="center"/>
          </w:tcPr>
          <w:p w14:paraId="2AFC8A6A" w14:textId="77777777" w:rsidR="004D1C46" w:rsidRPr="0087752B" w:rsidRDefault="004D1C46" w:rsidP="004D1C46">
            <w:pPr>
              <w:pStyle w:val="DETTableTextFinancial"/>
              <w:jc w:val="center"/>
            </w:pPr>
            <w:r w:rsidRPr="0087752B">
              <w:t>‒</w:t>
            </w:r>
          </w:p>
        </w:tc>
        <w:tc>
          <w:tcPr>
            <w:tcW w:w="567" w:type="dxa"/>
            <w:tcBorders>
              <w:bottom w:val="single" w:sz="4" w:space="0" w:color="auto"/>
            </w:tcBorders>
            <w:vAlign w:val="center"/>
          </w:tcPr>
          <w:p w14:paraId="3556DE46" w14:textId="77777777" w:rsidR="004D1C46" w:rsidRPr="0087752B" w:rsidRDefault="004D1C46" w:rsidP="004D1C46">
            <w:pPr>
              <w:pStyle w:val="DETTableTextFinancial"/>
              <w:jc w:val="center"/>
            </w:pPr>
            <w:r w:rsidRPr="0087752B">
              <w:t>‒</w:t>
            </w:r>
          </w:p>
        </w:tc>
        <w:tc>
          <w:tcPr>
            <w:tcW w:w="918" w:type="dxa"/>
            <w:tcBorders>
              <w:bottom w:val="single" w:sz="4" w:space="0" w:color="auto"/>
            </w:tcBorders>
            <w:vAlign w:val="center"/>
          </w:tcPr>
          <w:p w14:paraId="6099EE22" w14:textId="77777777" w:rsidR="004D1C46" w:rsidRPr="0087752B" w:rsidRDefault="004D1C46" w:rsidP="004D1C46">
            <w:pPr>
              <w:pStyle w:val="DETTableTextFinancial"/>
              <w:jc w:val="center"/>
            </w:pPr>
            <w:r w:rsidRPr="0087752B">
              <w:t>‒</w:t>
            </w:r>
          </w:p>
        </w:tc>
      </w:tr>
      <w:tr w:rsidR="006016B9" w:rsidRPr="0087752B" w14:paraId="598B183D" w14:textId="77777777" w:rsidTr="003D585E">
        <w:trPr>
          <w:cantSplit/>
          <w:trHeight w:val="454"/>
        </w:trPr>
        <w:tc>
          <w:tcPr>
            <w:tcW w:w="0" w:type="auto"/>
            <w:tcBorders>
              <w:top w:val="single" w:sz="4" w:space="0" w:color="auto"/>
              <w:bottom w:val="single" w:sz="4" w:space="0" w:color="auto"/>
            </w:tcBorders>
            <w:vAlign w:val="center"/>
            <w:hideMark/>
          </w:tcPr>
          <w:p w14:paraId="2AA3CB23" w14:textId="77777777" w:rsidR="006016B9" w:rsidRPr="0087752B" w:rsidRDefault="006016B9" w:rsidP="00A25044">
            <w:pPr>
              <w:pStyle w:val="DETTableTextFinancial"/>
              <w:rPr>
                <w:b/>
              </w:rPr>
            </w:pPr>
            <w:r w:rsidRPr="0087752B">
              <w:rPr>
                <w:b/>
              </w:rPr>
              <w:t>Total</w:t>
            </w:r>
          </w:p>
        </w:tc>
        <w:tc>
          <w:tcPr>
            <w:tcW w:w="567" w:type="dxa"/>
            <w:tcBorders>
              <w:top w:val="single" w:sz="4" w:space="0" w:color="auto"/>
              <w:bottom w:val="single" w:sz="4" w:space="0" w:color="auto"/>
            </w:tcBorders>
            <w:vAlign w:val="center"/>
          </w:tcPr>
          <w:p w14:paraId="68B4CCFD" w14:textId="58B64081" w:rsidR="006016B9" w:rsidRPr="0087752B" w:rsidRDefault="003D585E" w:rsidP="00A25044">
            <w:pPr>
              <w:pStyle w:val="DETTableTextFinancial"/>
              <w:jc w:val="center"/>
              <w:rPr>
                <w:b/>
              </w:rPr>
            </w:pPr>
            <w:r>
              <w:rPr>
                <w:b/>
              </w:rPr>
              <w:t>28</w:t>
            </w:r>
          </w:p>
        </w:tc>
        <w:tc>
          <w:tcPr>
            <w:tcW w:w="567" w:type="dxa"/>
            <w:tcBorders>
              <w:top w:val="single" w:sz="4" w:space="0" w:color="auto"/>
              <w:bottom w:val="single" w:sz="4" w:space="0" w:color="auto"/>
            </w:tcBorders>
            <w:vAlign w:val="center"/>
          </w:tcPr>
          <w:p w14:paraId="7B28E67D" w14:textId="79C4DE94" w:rsidR="006016B9" w:rsidRPr="0087752B" w:rsidRDefault="003D585E" w:rsidP="00A25044">
            <w:pPr>
              <w:pStyle w:val="DETTableTextFinancial"/>
              <w:jc w:val="center"/>
              <w:rPr>
                <w:b/>
              </w:rPr>
            </w:pPr>
            <w:r>
              <w:rPr>
                <w:b/>
              </w:rPr>
              <w:t>(-3</w:t>
            </w:r>
            <w:r w:rsidR="006016B9" w:rsidRPr="0087752B">
              <w:rPr>
                <w:b/>
              </w:rPr>
              <w:t>)</w:t>
            </w:r>
          </w:p>
        </w:tc>
        <w:tc>
          <w:tcPr>
            <w:tcW w:w="567" w:type="dxa"/>
            <w:tcBorders>
              <w:top w:val="single" w:sz="4" w:space="0" w:color="auto"/>
              <w:bottom w:val="single" w:sz="4" w:space="0" w:color="auto"/>
            </w:tcBorders>
            <w:vAlign w:val="center"/>
          </w:tcPr>
          <w:p w14:paraId="6B1F4EC8" w14:textId="530A4C4E" w:rsidR="006016B9" w:rsidRPr="0087752B" w:rsidRDefault="003D585E" w:rsidP="00A25044">
            <w:pPr>
              <w:pStyle w:val="DETTableTextFinancial"/>
              <w:jc w:val="center"/>
              <w:rPr>
                <w:b/>
              </w:rPr>
            </w:pPr>
            <w:r>
              <w:rPr>
                <w:b/>
              </w:rPr>
              <w:t>36</w:t>
            </w:r>
          </w:p>
        </w:tc>
        <w:tc>
          <w:tcPr>
            <w:tcW w:w="567" w:type="dxa"/>
            <w:tcBorders>
              <w:top w:val="single" w:sz="4" w:space="0" w:color="auto"/>
              <w:bottom w:val="single" w:sz="4" w:space="0" w:color="auto"/>
            </w:tcBorders>
          </w:tcPr>
          <w:p w14:paraId="2B1E34C9" w14:textId="6890D3E2" w:rsidR="006016B9" w:rsidRPr="003D585E" w:rsidRDefault="003D585E" w:rsidP="003D585E">
            <w:pPr>
              <w:pStyle w:val="DETTableTextFinancial"/>
              <w:jc w:val="center"/>
              <w:rPr>
                <w:b/>
              </w:rPr>
            </w:pPr>
            <w:r w:rsidRPr="003D585E">
              <w:rPr>
                <w:b/>
              </w:rPr>
              <w:t>_</w:t>
            </w:r>
          </w:p>
        </w:tc>
        <w:tc>
          <w:tcPr>
            <w:tcW w:w="918" w:type="dxa"/>
            <w:tcBorders>
              <w:top w:val="single" w:sz="4" w:space="0" w:color="auto"/>
              <w:bottom w:val="single" w:sz="4" w:space="0" w:color="auto"/>
              <w:right w:val="single" w:sz="6" w:space="0" w:color="777777"/>
            </w:tcBorders>
            <w:vAlign w:val="center"/>
          </w:tcPr>
          <w:p w14:paraId="40DBCCAD" w14:textId="53ADA464" w:rsidR="006016B9" w:rsidRPr="0087752B" w:rsidRDefault="003D585E" w:rsidP="00A25044">
            <w:pPr>
              <w:pStyle w:val="DETTableTextFinancial"/>
              <w:jc w:val="center"/>
              <w:rPr>
                <w:b/>
              </w:rPr>
            </w:pPr>
            <w:r>
              <w:rPr>
                <w:b/>
              </w:rPr>
              <w:t>12</w:t>
            </w:r>
          </w:p>
        </w:tc>
        <w:tc>
          <w:tcPr>
            <w:tcW w:w="567" w:type="dxa"/>
            <w:tcBorders>
              <w:top w:val="single" w:sz="4" w:space="0" w:color="auto"/>
              <w:left w:val="single" w:sz="6" w:space="0" w:color="777777"/>
              <w:bottom w:val="single" w:sz="4" w:space="0" w:color="auto"/>
            </w:tcBorders>
            <w:vAlign w:val="center"/>
          </w:tcPr>
          <w:p w14:paraId="4B47D187" w14:textId="77777777" w:rsidR="006016B9" w:rsidRPr="0087752B" w:rsidRDefault="006016B9" w:rsidP="00A25044">
            <w:pPr>
              <w:pStyle w:val="DETTableTextFinancial"/>
              <w:jc w:val="center"/>
              <w:rPr>
                <w:b/>
              </w:rPr>
            </w:pPr>
            <w:r w:rsidRPr="0087752B">
              <w:rPr>
                <w:b/>
              </w:rPr>
              <w:t>‒</w:t>
            </w:r>
          </w:p>
        </w:tc>
        <w:tc>
          <w:tcPr>
            <w:tcW w:w="567" w:type="dxa"/>
            <w:tcBorders>
              <w:top w:val="single" w:sz="4" w:space="0" w:color="auto"/>
              <w:bottom w:val="single" w:sz="4" w:space="0" w:color="auto"/>
            </w:tcBorders>
            <w:vAlign w:val="center"/>
          </w:tcPr>
          <w:p w14:paraId="1D3E093A" w14:textId="77777777" w:rsidR="006016B9" w:rsidRPr="0087752B" w:rsidRDefault="006016B9" w:rsidP="00A25044">
            <w:pPr>
              <w:pStyle w:val="DETTableTextFinancial"/>
              <w:jc w:val="center"/>
              <w:rPr>
                <w:b/>
              </w:rPr>
            </w:pPr>
            <w:r w:rsidRPr="0087752B">
              <w:rPr>
                <w:b/>
              </w:rPr>
              <w:t>‒</w:t>
            </w:r>
          </w:p>
        </w:tc>
        <w:tc>
          <w:tcPr>
            <w:tcW w:w="567" w:type="dxa"/>
            <w:tcBorders>
              <w:top w:val="single" w:sz="4" w:space="0" w:color="auto"/>
              <w:bottom w:val="single" w:sz="4" w:space="0" w:color="auto"/>
            </w:tcBorders>
            <w:vAlign w:val="center"/>
          </w:tcPr>
          <w:p w14:paraId="6FF4C019" w14:textId="77777777" w:rsidR="006016B9" w:rsidRPr="0087752B" w:rsidRDefault="006016B9" w:rsidP="00A25044">
            <w:pPr>
              <w:pStyle w:val="DETTableTextFinancial"/>
              <w:jc w:val="center"/>
              <w:rPr>
                <w:b/>
              </w:rPr>
            </w:pPr>
            <w:r w:rsidRPr="0087752B">
              <w:rPr>
                <w:b/>
              </w:rPr>
              <w:t>‒</w:t>
            </w:r>
          </w:p>
        </w:tc>
        <w:tc>
          <w:tcPr>
            <w:tcW w:w="567" w:type="dxa"/>
            <w:tcBorders>
              <w:top w:val="single" w:sz="4" w:space="0" w:color="auto"/>
              <w:bottom w:val="single" w:sz="4" w:space="0" w:color="auto"/>
            </w:tcBorders>
            <w:vAlign w:val="center"/>
          </w:tcPr>
          <w:p w14:paraId="1B7A6A9B" w14:textId="77777777" w:rsidR="006016B9" w:rsidRPr="0087752B" w:rsidRDefault="006016B9" w:rsidP="00A25044">
            <w:pPr>
              <w:pStyle w:val="DETTableTextFinancial"/>
              <w:jc w:val="center"/>
              <w:rPr>
                <w:b/>
              </w:rPr>
            </w:pPr>
            <w:r w:rsidRPr="0087752B">
              <w:rPr>
                <w:b/>
              </w:rPr>
              <w:t>‒</w:t>
            </w:r>
          </w:p>
        </w:tc>
        <w:tc>
          <w:tcPr>
            <w:tcW w:w="918" w:type="dxa"/>
            <w:tcBorders>
              <w:top w:val="single" w:sz="4" w:space="0" w:color="auto"/>
              <w:bottom w:val="single" w:sz="4" w:space="0" w:color="auto"/>
            </w:tcBorders>
            <w:vAlign w:val="center"/>
          </w:tcPr>
          <w:p w14:paraId="425888F6" w14:textId="77777777" w:rsidR="006016B9" w:rsidRPr="0087752B" w:rsidRDefault="006016B9" w:rsidP="00A25044">
            <w:pPr>
              <w:pStyle w:val="DETTableTextFinancial"/>
              <w:jc w:val="center"/>
              <w:rPr>
                <w:b/>
              </w:rPr>
            </w:pPr>
            <w:r w:rsidRPr="0087752B">
              <w:rPr>
                <w:b/>
              </w:rPr>
              <w:t>‒</w:t>
            </w:r>
          </w:p>
        </w:tc>
      </w:tr>
    </w:tbl>
    <w:p w14:paraId="482DB1F4" w14:textId="77777777" w:rsidR="006016B9" w:rsidRPr="0087752B" w:rsidRDefault="006016B9" w:rsidP="006016B9">
      <w:pPr>
        <w:rPr>
          <w:highlight w:val="yellow"/>
        </w:rPr>
      </w:pPr>
    </w:p>
    <w:p w14:paraId="483C1CC7" w14:textId="77777777" w:rsidR="006016B9" w:rsidRPr="0087752B" w:rsidRDefault="006016B9" w:rsidP="007540CD">
      <w:pPr>
        <w:pStyle w:val="DETTableheading"/>
      </w:pPr>
      <w:r w:rsidRPr="0087752B">
        <w:t>Reconciliation of executive officer numbers</w:t>
      </w:r>
    </w:p>
    <w:tbl>
      <w:tblPr>
        <w:tblW w:w="5000" w:type="pct"/>
        <w:tblBorders>
          <w:bottom w:val="single" w:sz="4" w:space="0" w:color="auto"/>
        </w:tblBorders>
        <w:tblCellMar>
          <w:left w:w="43" w:type="dxa"/>
          <w:right w:w="43" w:type="dxa"/>
        </w:tblCellMar>
        <w:tblLook w:val="01E0" w:firstRow="1" w:lastRow="1" w:firstColumn="1" w:lastColumn="1" w:noHBand="0" w:noVBand="0"/>
      </w:tblPr>
      <w:tblGrid>
        <w:gridCol w:w="874"/>
        <w:gridCol w:w="5082"/>
        <w:gridCol w:w="750"/>
        <w:gridCol w:w="750"/>
      </w:tblGrid>
      <w:tr w:rsidR="006016B9" w:rsidRPr="0087752B" w14:paraId="0B8BA190" w14:textId="77777777" w:rsidTr="00A25044">
        <w:trPr>
          <w:cantSplit/>
          <w:trHeight w:val="454"/>
        </w:trPr>
        <w:tc>
          <w:tcPr>
            <w:tcW w:w="586" w:type="pct"/>
            <w:shd w:val="clear" w:color="auto" w:fill="7F7F7F" w:themeFill="text1" w:themeFillTint="80"/>
            <w:vAlign w:val="center"/>
          </w:tcPr>
          <w:p w14:paraId="4528DEA7" w14:textId="77777777" w:rsidR="006016B9" w:rsidRPr="0087752B" w:rsidRDefault="006016B9" w:rsidP="00A25044">
            <w:pPr>
              <w:pStyle w:val="DETTablecolumnheading"/>
            </w:pPr>
          </w:p>
        </w:tc>
        <w:tc>
          <w:tcPr>
            <w:tcW w:w="3408" w:type="pct"/>
            <w:shd w:val="clear" w:color="auto" w:fill="7F7F7F" w:themeFill="text1" w:themeFillTint="80"/>
            <w:vAlign w:val="center"/>
          </w:tcPr>
          <w:p w14:paraId="4BF276C6" w14:textId="77777777" w:rsidR="006016B9" w:rsidRPr="0087752B" w:rsidRDefault="006016B9" w:rsidP="00A25044">
            <w:pPr>
              <w:pStyle w:val="DETTablecolumnheading"/>
            </w:pPr>
          </w:p>
        </w:tc>
        <w:tc>
          <w:tcPr>
            <w:tcW w:w="503" w:type="pct"/>
            <w:shd w:val="clear" w:color="auto" w:fill="7F7F7F" w:themeFill="text1" w:themeFillTint="80"/>
            <w:vAlign w:val="center"/>
            <w:hideMark/>
          </w:tcPr>
          <w:p w14:paraId="2FC3560F" w14:textId="77777777" w:rsidR="006016B9" w:rsidRPr="0087752B" w:rsidRDefault="006016B9" w:rsidP="00A25044">
            <w:pPr>
              <w:pStyle w:val="DETTablecolumnheading"/>
            </w:pPr>
            <w:r w:rsidRPr="0087752B">
              <w:t>2015</w:t>
            </w:r>
          </w:p>
        </w:tc>
        <w:tc>
          <w:tcPr>
            <w:tcW w:w="503" w:type="pct"/>
            <w:shd w:val="clear" w:color="auto" w:fill="7F7F7F" w:themeFill="text1" w:themeFillTint="80"/>
            <w:vAlign w:val="center"/>
            <w:hideMark/>
          </w:tcPr>
          <w:p w14:paraId="73C945E7" w14:textId="77777777" w:rsidR="006016B9" w:rsidRPr="0087752B" w:rsidRDefault="006016B9" w:rsidP="00A25044">
            <w:pPr>
              <w:pStyle w:val="DETTablecolumnheading"/>
            </w:pPr>
            <w:r w:rsidRPr="0087752B">
              <w:t>2016</w:t>
            </w:r>
          </w:p>
        </w:tc>
      </w:tr>
      <w:tr w:rsidR="006016B9" w:rsidRPr="0087752B" w14:paraId="654E3960" w14:textId="77777777" w:rsidTr="006016B9">
        <w:trPr>
          <w:cantSplit/>
          <w:trHeight w:val="454"/>
        </w:trPr>
        <w:tc>
          <w:tcPr>
            <w:tcW w:w="586" w:type="pct"/>
            <w:vAlign w:val="bottom"/>
          </w:tcPr>
          <w:p w14:paraId="06C1C17F" w14:textId="77777777" w:rsidR="006016B9" w:rsidRPr="0087752B" w:rsidRDefault="006016B9" w:rsidP="00A25044">
            <w:pPr>
              <w:pStyle w:val="DETTableTextFinancial"/>
            </w:pPr>
          </w:p>
        </w:tc>
        <w:tc>
          <w:tcPr>
            <w:tcW w:w="3408" w:type="pct"/>
            <w:vAlign w:val="bottom"/>
            <w:hideMark/>
          </w:tcPr>
          <w:p w14:paraId="5228D0BF" w14:textId="77777777" w:rsidR="006016B9" w:rsidRPr="0087752B" w:rsidRDefault="006016B9" w:rsidP="00A25044">
            <w:pPr>
              <w:pStyle w:val="DETTableTextFinancial"/>
            </w:pPr>
            <w:r w:rsidRPr="0087752B">
              <w:t>Executives with total remuneration over $100,000 (see Note 20)</w:t>
            </w:r>
          </w:p>
        </w:tc>
        <w:tc>
          <w:tcPr>
            <w:tcW w:w="503" w:type="pct"/>
            <w:shd w:val="clear" w:color="auto" w:fill="auto"/>
            <w:vAlign w:val="center"/>
          </w:tcPr>
          <w:p w14:paraId="02DCFE4A" w14:textId="77777777" w:rsidR="006016B9" w:rsidRPr="0087752B" w:rsidRDefault="006016B9" w:rsidP="00A25044">
            <w:pPr>
              <w:pStyle w:val="DETTableTextFinancial"/>
              <w:jc w:val="center"/>
            </w:pPr>
            <w:r w:rsidRPr="0087752B">
              <w:t>70</w:t>
            </w:r>
          </w:p>
        </w:tc>
        <w:tc>
          <w:tcPr>
            <w:tcW w:w="503" w:type="pct"/>
            <w:shd w:val="clear" w:color="auto" w:fill="auto"/>
            <w:vAlign w:val="center"/>
          </w:tcPr>
          <w:p w14:paraId="73141A9F" w14:textId="38F0FF1C" w:rsidR="006016B9" w:rsidRPr="0087752B" w:rsidRDefault="00117DAB" w:rsidP="00A25044">
            <w:pPr>
              <w:pStyle w:val="DETTableTextFinancial"/>
              <w:jc w:val="center"/>
            </w:pPr>
            <w:r>
              <w:t>71</w:t>
            </w:r>
          </w:p>
        </w:tc>
      </w:tr>
      <w:tr w:rsidR="006016B9" w:rsidRPr="0087752B" w14:paraId="56DC7CAC" w14:textId="77777777" w:rsidTr="006016B9">
        <w:trPr>
          <w:cantSplit/>
          <w:trHeight w:val="454"/>
        </w:trPr>
        <w:tc>
          <w:tcPr>
            <w:tcW w:w="586" w:type="pct"/>
            <w:vAlign w:val="bottom"/>
            <w:hideMark/>
          </w:tcPr>
          <w:p w14:paraId="04FC1323" w14:textId="77777777" w:rsidR="006016B9" w:rsidRPr="0087752B" w:rsidRDefault="006016B9" w:rsidP="00A25044">
            <w:pPr>
              <w:pStyle w:val="DETTableTextFinancial"/>
            </w:pPr>
            <w:r w:rsidRPr="0087752B">
              <w:t>Add</w:t>
            </w:r>
          </w:p>
        </w:tc>
        <w:tc>
          <w:tcPr>
            <w:tcW w:w="3408" w:type="pct"/>
            <w:vAlign w:val="bottom"/>
            <w:hideMark/>
          </w:tcPr>
          <w:p w14:paraId="5576D179" w14:textId="77777777" w:rsidR="006016B9" w:rsidRPr="0087752B" w:rsidRDefault="006016B9" w:rsidP="00A25044">
            <w:pPr>
              <w:pStyle w:val="DETTableTextFinancial"/>
            </w:pPr>
            <w:r w:rsidRPr="0087752B">
              <w:t xml:space="preserve">Vacancies </w:t>
            </w:r>
          </w:p>
        </w:tc>
        <w:tc>
          <w:tcPr>
            <w:tcW w:w="503" w:type="pct"/>
            <w:shd w:val="clear" w:color="auto" w:fill="auto"/>
            <w:vAlign w:val="center"/>
          </w:tcPr>
          <w:p w14:paraId="4A4EEBCB" w14:textId="77777777" w:rsidR="006016B9" w:rsidRPr="0087752B" w:rsidRDefault="006016B9" w:rsidP="00A25044">
            <w:pPr>
              <w:pStyle w:val="DETTableTextFinancial"/>
              <w:jc w:val="center"/>
            </w:pPr>
            <w:r w:rsidRPr="0087752B">
              <w:t>9</w:t>
            </w:r>
          </w:p>
        </w:tc>
        <w:tc>
          <w:tcPr>
            <w:tcW w:w="503" w:type="pct"/>
            <w:shd w:val="clear" w:color="auto" w:fill="auto"/>
            <w:vAlign w:val="center"/>
          </w:tcPr>
          <w:p w14:paraId="50B8A69C" w14:textId="77777777" w:rsidR="006016B9" w:rsidRPr="0087752B" w:rsidRDefault="006016B9" w:rsidP="00A25044">
            <w:pPr>
              <w:pStyle w:val="DETTableTextFinancial"/>
              <w:jc w:val="center"/>
            </w:pPr>
            <w:r w:rsidRPr="0087752B">
              <w:t>12</w:t>
            </w:r>
          </w:p>
        </w:tc>
      </w:tr>
      <w:tr w:rsidR="006016B9" w:rsidRPr="0087752B" w14:paraId="18B33F24" w14:textId="77777777" w:rsidTr="006016B9">
        <w:trPr>
          <w:cantSplit/>
          <w:trHeight w:val="454"/>
        </w:trPr>
        <w:tc>
          <w:tcPr>
            <w:tcW w:w="586" w:type="pct"/>
            <w:vAlign w:val="bottom"/>
          </w:tcPr>
          <w:p w14:paraId="63A7AFB1" w14:textId="77777777" w:rsidR="006016B9" w:rsidRPr="0087752B" w:rsidRDefault="006016B9" w:rsidP="00A25044">
            <w:pPr>
              <w:pStyle w:val="DETTableTextFinancial"/>
            </w:pPr>
          </w:p>
        </w:tc>
        <w:tc>
          <w:tcPr>
            <w:tcW w:w="3408" w:type="pct"/>
            <w:vAlign w:val="bottom"/>
            <w:hideMark/>
          </w:tcPr>
          <w:p w14:paraId="330C1801" w14:textId="77777777" w:rsidR="006016B9" w:rsidRPr="0087752B" w:rsidRDefault="006016B9" w:rsidP="00A25044">
            <w:pPr>
              <w:pStyle w:val="DETTableTextFinancial"/>
            </w:pPr>
            <w:r w:rsidRPr="0087752B">
              <w:t>Executives employed with total remuneration less than $100,000</w:t>
            </w:r>
          </w:p>
        </w:tc>
        <w:tc>
          <w:tcPr>
            <w:tcW w:w="503" w:type="pct"/>
            <w:shd w:val="clear" w:color="auto" w:fill="auto"/>
            <w:vAlign w:val="center"/>
          </w:tcPr>
          <w:p w14:paraId="7201BE1E" w14:textId="77777777" w:rsidR="006016B9" w:rsidRPr="0087752B" w:rsidRDefault="006016B9" w:rsidP="00A25044">
            <w:pPr>
              <w:pStyle w:val="DETTableTextFinancial"/>
              <w:jc w:val="center"/>
            </w:pPr>
            <w:r w:rsidRPr="0087752B">
              <w:t>13</w:t>
            </w:r>
          </w:p>
        </w:tc>
        <w:tc>
          <w:tcPr>
            <w:tcW w:w="503" w:type="pct"/>
            <w:shd w:val="clear" w:color="auto" w:fill="auto"/>
            <w:vAlign w:val="center"/>
          </w:tcPr>
          <w:p w14:paraId="47E78A58" w14:textId="77777777" w:rsidR="006016B9" w:rsidRPr="0087752B" w:rsidRDefault="006016B9" w:rsidP="00A25044">
            <w:pPr>
              <w:pStyle w:val="DETTableTextFinancial"/>
              <w:jc w:val="center"/>
            </w:pPr>
            <w:r w:rsidRPr="0087752B">
              <w:t>13</w:t>
            </w:r>
          </w:p>
        </w:tc>
      </w:tr>
      <w:tr w:rsidR="006016B9" w:rsidRPr="0087752B" w14:paraId="1C28F595" w14:textId="77777777" w:rsidTr="006016B9">
        <w:trPr>
          <w:cantSplit/>
          <w:trHeight w:val="454"/>
        </w:trPr>
        <w:tc>
          <w:tcPr>
            <w:tcW w:w="586" w:type="pct"/>
            <w:vAlign w:val="bottom"/>
          </w:tcPr>
          <w:p w14:paraId="2F8A1482" w14:textId="77777777" w:rsidR="006016B9" w:rsidRPr="0087752B" w:rsidRDefault="006016B9" w:rsidP="00A25044">
            <w:pPr>
              <w:pStyle w:val="DETTableTextFinancial"/>
            </w:pPr>
          </w:p>
        </w:tc>
        <w:tc>
          <w:tcPr>
            <w:tcW w:w="3408" w:type="pct"/>
            <w:vAlign w:val="bottom"/>
            <w:hideMark/>
          </w:tcPr>
          <w:p w14:paraId="5F417D31" w14:textId="77777777" w:rsidR="006016B9" w:rsidRPr="0087752B" w:rsidRDefault="006016B9" w:rsidP="00A25044">
            <w:pPr>
              <w:pStyle w:val="DETTableTextFinancial"/>
            </w:pPr>
            <w:r w:rsidRPr="0087752B">
              <w:t>Accountable Officer (Secretary)</w:t>
            </w:r>
          </w:p>
        </w:tc>
        <w:tc>
          <w:tcPr>
            <w:tcW w:w="503" w:type="pct"/>
            <w:shd w:val="clear" w:color="auto" w:fill="auto"/>
            <w:vAlign w:val="center"/>
          </w:tcPr>
          <w:p w14:paraId="6E6CA2F4" w14:textId="77777777" w:rsidR="006016B9" w:rsidRPr="0087752B" w:rsidRDefault="006016B9" w:rsidP="00A25044">
            <w:pPr>
              <w:pStyle w:val="DETTableTextFinancial"/>
              <w:jc w:val="center"/>
            </w:pPr>
            <w:r w:rsidRPr="0087752B">
              <w:t>1</w:t>
            </w:r>
          </w:p>
        </w:tc>
        <w:tc>
          <w:tcPr>
            <w:tcW w:w="503" w:type="pct"/>
            <w:shd w:val="clear" w:color="auto" w:fill="auto"/>
            <w:vAlign w:val="center"/>
          </w:tcPr>
          <w:p w14:paraId="58B468E5" w14:textId="77777777" w:rsidR="006016B9" w:rsidRPr="0087752B" w:rsidRDefault="006016B9" w:rsidP="00A25044">
            <w:pPr>
              <w:pStyle w:val="DETTableTextFinancial"/>
              <w:jc w:val="center"/>
            </w:pPr>
            <w:r w:rsidRPr="0087752B">
              <w:t>1</w:t>
            </w:r>
          </w:p>
        </w:tc>
      </w:tr>
      <w:tr w:rsidR="006016B9" w:rsidRPr="0087752B" w14:paraId="56C3B63B" w14:textId="77777777" w:rsidTr="00A25044">
        <w:trPr>
          <w:cantSplit/>
          <w:trHeight w:val="454"/>
        </w:trPr>
        <w:tc>
          <w:tcPr>
            <w:tcW w:w="586" w:type="pct"/>
            <w:tcBorders>
              <w:bottom w:val="single" w:sz="4" w:space="0" w:color="auto"/>
            </w:tcBorders>
            <w:vAlign w:val="bottom"/>
            <w:hideMark/>
          </w:tcPr>
          <w:p w14:paraId="6A62072E" w14:textId="77777777" w:rsidR="006016B9" w:rsidRPr="0087752B" w:rsidRDefault="006016B9" w:rsidP="00A25044">
            <w:pPr>
              <w:pStyle w:val="DETTableTextFinancial"/>
            </w:pPr>
            <w:r w:rsidRPr="0087752B">
              <w:t>Less</w:t>
            </w:r>
          </w:p>
        </w:tc>
        <w:tc>
          <w:tcPr>
            <w:tcW w:w="3408" w:type="pct"/>
            <w:tcBorders>
              <w:bottom w:val="single" w:sz="4" w:space="0" w:color="auto"/>
            </w:tcBorders>
            <w:vAlign w:val="bottom"/>
            <w:hideMark/>
          </w:tcPr>
          <w:p w14:paraId="4DBA5670" w14:textId="77777777" w:rsidR="006016B9" w:rsidRPr="0087752B" w:rsidRDefault="006016B9" w:rsidP="00A25044">
            <w:pPr>
              <w:pStyle w:val="DETTableTextFinancial"/>
            </w:pPr>
            <w:r w:rsidRPr="0087752B">
              <w:t>Separations</w:t>
            </w:r>
          </w:p>
        </w:tc>
        <w:tc>
          <w:tcPr>
            <w:tcW w:w="503" w:type="pct"/>
            <w:tcBorders>
              <w:bottom w:val="single" w:sz="4" w:space="0" w:color="auto"/>
            </w:tcBorders>
            <w:shd w:val="clear" w:color="auto" w:fill="auto"/>
            <w:vAlign w:val="center"/>
          </w:tcPr>
          <w:p w14:paraId="0092E1A8" w14:textId="77777777" w:rsidR="006016B9" w:rsidRPr="0087752B" w:rsidRDefault="006016B9" w:rsidP="00A25044">
            <w:pPr>
              <w:pStyle w:val="DETTableTextFinancial"/>
              <w:jc w:val="center"/>
            </w:pPr>
            <w:r w:rsidRPr="0087752B">
              <w:t>(17)</w:t>
            </w:r>
          </w:p>
        </w:tc>
        <w:tc>
          <w:tcPr>
            <w:tcW w:w="503" w:type="pct"/>
            <w:tcBorders>
              <w:bottom w:val="single" w:sz="4" w:space="0" w:color="auto"/>
            </w:tcBorders>
            <w:shd w:val="clear" w:color="auto" w:fill="auto"/>
            <w:vAlign w:val="center"/>
          </w:tcPr>
          <w:p w14:paraId="1DE78AC7" w14:textId="77777777" w:rsidR="006016B9" w:rsidRPr="0087752B" w:rsidRDefault="006016B9" w:rsidP="00A25044">
            <w:pPr>
              <w:pStyle w:val="DETTableTextFinancial"/>
              <w:jc w:val="center"/>
            </w:pPr>
            <w:r w:rsidRPr="0087752B">
              <w:t>(21)</w:t>
            </w:r>
          </w:p>
        </w:tc>
      </w:tr>
      <w:tr w:rsidR="006016B9" w:rsidRPr="0087752B" w14:paraId="3CC8AE92" w14:textId="77777777" w:rsidTr="00A25044">
        <w:trPr>
          <w:cantSplit/>
          <w:trHeight w:val="454"/>
        </w:trPr>
        <w:tc>
          <w:tcPr>
            <w:tcW w:w="586" w:type="pct"/>
            <w:tcBorders>
              <w:top w:val="single" w:sz="4" w:space="0" w:color="auto"/>
              <w:bottom w:val="single" w:sz="4" w:space="0" w:color="auto"/>
            </w:tcBorders>
            <w:vAlign w:val="bottom"/>
          </w:tcPr>
          <w:p w14:paraId="2D32D4C8" w14:textId="77777777" w:rsidR="006016B9" w:rsidRPr="0087752B" w:rsidRDefault="006016B9" w:rsidP="00A25044">
            <w:pPr>
              <w:pStyle w:val="DETTableTextFinancial"/>
            </w:pPr>
          </w:p>
        </w:tc>
        <w:tc>
          <w:tcPr>
            <w:tcW w:w="3408" w:type="pct"/>
            <w:tcBorders>
              <w:top w:val="single" w:sz="4" w:space="0" w:color="auto"/>
              <w:bottom w:val="single" w:sz="4" w:space="0" w:color="auto"/>
            </w:tcBorders>
            <w:vAlign w:val="bottom"/>
            <w:hideMark/>
          </w:tcPr>
          <w:p w14:paraId="1219C8A3" w14:textId="77777777" w:rsidR="006016B9" w:rsidRPr="0087752B" w:rsidRDefault="006016B9" w:rsidP="00A25044">
            <w:pPr>
              <w:pStyle w:val="DETTableTextFinancial"/>
              <w:rPr>
                <w:b/>
              </w:rPr>
            </w:pPr>
            <w:r w:rsidRPr="0087752B">
              <w:rPr>
                <w:b/>
              </w:rPr>
              <w:t>Total executive numbers at 30 June</w:t>
            </w:r>
          </w:p>
        </w:tc>
        <w:tc>
          <w:tcPr>
            <w:tcW w:w="503" w:type="pct"/>
            <w:tcBorders>
              <w:top w:val="single" w:sz="4" w:space="0" w:color="auto"/>
              <w:bottom w:val="single" w:sz="4" w:space="0" w:color="auto"/>
            </w:tcBorders>
            <w:shd w:val="clear" w:color="auto" w:fill="auto"/>
            <w:vAlign w:val="center"/>
          </w:tcPr>
          <w:p w14:paraId="0232CFBD" w14:textId="77777777" w:rsidR="006016B9" w:rsidRPr="0087752B" w:rsidRDefault="006016B9" w:rsidP="00A25044">
            <w:pPr>
              <w:pStyle w:val="DETTableTextFinancial"/>
              <w:jc w:val="center"/>
              <w:rPr>
                <w:b/>
              </w:rPr>
            </w:pPr>
            <w:r w:rsidRPr="0087752B">
              <w:rPr>
                <w:b/>
              </w:rPr>
              <w:t>76</w:t>
            </w:r>
          </w:p>
        </w:tc>
        <w:tc>
          <w:tcPr>
            <w:tcW w:w="503" w:type="pct"/>
            <w:tcBorders>
              <w:top w:val="single" w:sz="4" w:space="0" w:color="auto"/>
              <w:bottom w:val="single" w:sz="4" w:space="0" w:color="auto"/>
            </w:tcBorders>
            <w:shd w:val="clear" w:color="auto" w:fill="auto"/>
            <w:vAlign w:val="center"/>
          </w:tcPr>
          <w:p w14:paraId="725833D0" w14:textId="6A4212E5" w:rsidR="006016B9" w:rsidRPr="0087752B" w:rsidRDefault="00117DAB" w:rsidP="00A25044">
            <w:pPr>
              <w:pStyle w:val="DETTableTextFinancial"/>
              <w:jc w:val="center"/>
              <w:rPr>
                <w:b/>
              </w:rPr>
            </w:pPr>
            <w:r>
              <w:rPr>
                <w:b/>
              </w:rPr>
              <w:t>76</w:t>
            </w:r>
          </w:p>
        </w:tc>
      </w:tr>
    </w:tbl>
    <w:p w14:paraId="79DDF91E" w14:textId="77777777" w:rsidR="006016B9" w:rsidRPr="0087752B" w:rsidRDefault="006016B9" w:rsidP="006016B9">
      <w:pPr>
        <w:rPr>
          <w:highlight w:val="yellow"/>
        </w:rPr>
      </w:pPr>
    </w:p>
    <w:p w14:paraId="53AAEB2F" w14:textId="77777777" w:rsidR="006016B9" w:rsidRPr="0087752B" w:rsidRDefault="006016B9" w:rsidP="006016B9">
      <w:r w:rsidRPr="0087752B">
        <w:br w:type="page"/>
      </w:r>
    </w:p>
    <w:p w14:paraId="5F0D4A81" w14:textId="77777777" w:rsidR="006016B9" w:rsidRPr="0087752B" w:rsidRDefault="006016B9" w:rsidP="007540CD">
      <w:pPr>
        <w:pStyle w:val="DETTableheading"/>
      </w:pPr>
      <w:r w:rsidRPr="0087752B">
        <w:lastRenderedPageBreak/>
        <w:t>Number of executive officers for the Department’s portfolio agencies</w:t>
      </w:r>
    </w:p>
    <w:tbl>
      <w:tblPr>
        <w:tblW w:w="5000" w:type="pct"/>
        <w:tblBorders>
          <w:bottom w:val="single" w:sz="12" w:space="0" w:color="777777"/>
        </w:tblBorders>
        <w:tblLayout w:type="fixed"/>
        <w:tblCellMar>
          <w:left w:w="43" w:type="dxa"/>
          <w:right w:w="43" w:type="dxa"/>
        </w:tblCellMar>
        <w:tblLook w:val="01E0" w:firstRow="1" w:lastRow="1" w:firstColumn="1" w:lastColumn="1" w:noHBand="0" w:noVBand="0"/>
      </w:tblPr>
      <w:tblGrid>
        <w:gridCol w:w="1591"/>
        <w:gridCol w:w="820"/>
        <w:gridCol w:w="822"/>
        <w:gridCol w:w="935"/>
        <w:gridCol w:w="822"/>
        <w:gridCol w:w="822"/>
        <w:gridCol w:w="822"/>
        <w:gridCol w:w="822"/>
      </w:tblGrid>
      <w:tr w:rsidR="006016B9" w:rsidRPr="0087752B" w14:paraId="4B00D7B0" w14:textId="77777777" w:rsidTr="00D95C09">
        <w:trPr>
          <w:cantSplit/>
          <w:trHeight w:hRule="exact" w:val="284"/>
        </w:trPr>
        <w:tc>
          <w:tcPr>
            <w:tcW w:w="1591" w:type="dxa"/>
            <w:shd w:val="clear" w:color="auto" w:fill="7F7F7F" w:themeFill="text1" w:themeFillTint="80"/>
            <w:vAlign w:val="center"/>
          </w:tcPr>
          <w:p w14:paraId="1BF02E4D" w14:textId="77777777" w:rsidR="006016B9" w:rsidRPr="0087752B" w:rsidRDefault="006016B9" w:rsidP="00A25044">
            <w:pPr>
              <w:pStyle w:val="DETTablecolumnheading"/>
              <w:jc w:val="left"/>
            </w:pPr>
            <w:r w:rsidRPr="0087752B">
              <w:t>Portfolio agencies</w:t>
            </w:r>
          </w:p>
        </w:tc>
        <w:tc>
          <w:tcPr>
            <w:tcW w:w="1642" w:type="dxa"/>
            <w:gridSpan w:val="2"/>
            <w:shd w:val="clear" w:color="auto" w:fill="7F7F7F" w:themeFill="text1" w:themeFillTint="80"/>
            <w:vAlign w:val="center"/>
            <w:hideMark/>
          </w:tcPr>
          <w:p w14:paraId="682D07FA" w14:textId="77777777" w:rsidR="006016B9" w:rsidRPr="0087752B" w:rsidRDefault="006016B9" w:rsidP="00A25044">
            <w:pPr>
              <w:pStyle w:val="DETTablecolumnheading"/>
              <w:jc w:val="left"/>
            </w:pPr>
            <w:r w:rsidRPr="0087752B">
              <w:t>Total</w:t>
            </w:r>
          </w:p>
        </w:tc>
        <w:tc>
          <w:tcPr>
            <w:tcW w:w="935" w:type="dxa"/>
            <w:shd w:val="clear" w:color="auto" w:fill="7F7F7F" w:themeFill="text1" w:themeFillTint="80"/>
            <w:vAlign w:val="center"/>
            <w:hideMark/>
          </w:tcPr>
          <w:p w14:paraId="2297F104" w14:textId="77777777" w:rsidR="006016B9" w:rsidRPr="0087752B" w:rsidRDefault="006016B9" w:rsidP="00A25044">
            <w:pPr>
              <w:pStyle w:val="DETTablecolumnheading"/>
              <w:jc w:val="left"/>
            </w:pPr>
            <w:r w:rsidRPr="0087752B">
              <w:t>Vacancies</w:t>
            </w:r>
          </w:p>
        </w:tc>
        <w:tc>
          <w:tcPr>
            <w:tcW w:w="1644" w:type="dxa"/>
            <w:gridSpan w:val="2"/>
            <w:shd w:val="clear" w:color="auto" w:fill="7F7F7F" w:themeFill="text1" w:themeFillTint="80"/>
            <w:vAlign w:val="center"/>
            <w:hideMark/>
          </w:tcPr>
          <w:p w14:paraId="3A05EF36" w14:textId="77777777" w:rsidR="006016B9" w:rsidRPr="0087752B" w:rsidRDefault="006016B9" w:rsidP="00A25044">
            <w:pPr>
              <w:pStyle w:val="DETTablecolumnheading"/>
              <w:jc w:val="left"/>
            </w:pPr>
            <w:r w:rsidRPr="0087752B">
              <w:t>Male</w:t>
            </w:r>
          </w:p>
        </w:tc>
        <w:tc>
          <w:tcPr>
            <w:tcW w:w="1644" w:type="dxa"/>
            <w:gridSpan w:val="2"/>
            <w:shd w:val="clear" w:color="auto" w:fill="7F7F7F" w:themeFill="text1" w:themeFillTint="80"/>
            <w:vAlign w:val="center"/>
            <w:hideMark/>
          </w:tcPr>
          <w:p w14:paraId="10B6AC68" w14:textId="77777777" w:rsidR="006016B9" w:rsidRPr="0087752B" w:rsidRDefault="006016B9" w:rsidP="00A25044">
            <w:pPr>
              <w:pStyle w:val="DETTablecolumnheading"/>
              <w:jc w:val="left"/>
            </w:pPr>
            <w:r w:rsidRPr="0087752B">
              <w:t>Female</w:t>
            </w:r>
          </w:p>
        </w:tc>
      </w:tr>
      <w:tr w:rsidR="006016B9" w:rsidRPr="0087752B" w14:paraId="0EB5CF30" w14:textId="77777777" w:rsidTr="00A25044">
        <w:trPr>
          <w:cantSplit/>
          <w:trHeight w:val="454"/>
        </w:trPr>
        <w:tc>
          <w:tcPr>
            <w:tcW w:w="1591" w:type="dxa"/>
            <w:tcBorders>
              <w:bottom w:val="nil"/>
            </w:tcBorders>
            <w:shd w:val="clear" w:color="auto" w:fill="7F7F7F" w:themeFill="text1" w:themeFillTint="80"/>
            <w:vAlign w:val="center"/>
          </w:tcPr>
          <w:p w14:paraId="7A5F66D5" w14:textId="77777777" w:rsidR="006016B9" w:rsidRPr="0087752B" w:rsidRDefault="006016B9" w:rsidP="00A25044">
            <w:pPr>
              <w:pStyle w:val="DETTablecolumnheading"/>
              <w:jc w:val="left"/>
            </w:pPr>
          </w:p>
        </w:tc>
        <w:tc>
          <w:tcPr>
            <w:tcW w:w="820" w:type="dxa"/>
            <w:tcBorders>
              <w:bottom w:val="nil"/>
            </w:tcBorders>
            <w:shd w:val="clear" w:color="auto" w:fill="7F7F7F" w:themeFill="text1" w:themeFillTint="80"/>
            <w:vAlign w:val="center"/>
            <w:hideMark/>
          </w:tcPr>
          <w:p w14:paraId="38F8E8CC" w14:textId="77777777" w:rsidR="006016B9" w:rsidRPr="0087752B" w:rsidRDefault="006016B9" w:rsidP="00A25044">
            <w:pPr>
              <w:pStyle w:val="DETTablecolumnheading"/>
              <w:jc w:val="left"/>
            </w:pPr>
            <w:r w:rsidRPr="0087752B">
              <w:t>Number</w:t>
            </w:r>
          </w:p>
        </w:tc>
        <w:tc>
          <w:tcPr>
            <w:tcW w:w="822" w:type="dxa"/>
            <w:tcBorders>
              <w:bottom w:val="nil"/>
            </w:tcBorders>
            <w:shd w:val="clear" w:color="auto" w:fill="7F7F7F" w:themeFill="text1" w:themeFillTint="80"/>
            <w:vAlign w:val="center"/>
            <w:hideMark/>
          </w:tcPr>
          <w:p w14:paraId="4007B7D8" w14:textId="77777777" w:rsidR="006016B9" w:rsidRPr="0087752B" w:rsidRDefault="006016B9" w:rsidP="00A25044">
            <w:pPr>
              <w:pStyle w:val="DETTablecolumnheading"/>
              <w:jc w:val="left"/>
            </w:pPr>
            <w:r w:rsidRPr="0087752B">
              <w:t>Variance</w:t>
            </w:r>
          </w:p>
        </w:tc>
        <w:tc>
          <w:tcPr>
            <w:tcW w:w="935" w:type="dxa"/>
            <w:tcBorders>
              <w:bottom w:val="nil"/>
            </w:tcBorders>
            <w:shd w:val="clear" w:color="auto" w:fill="7F7F7F" w:themeFill="text1" w:themeFillTint="80"/>
            <w:vAlign w:val="center"/>
            <w:hideMark/>
          </w:tcPr>
          <w:p w14:paraId="0324BC3A" w14:textId="77777777" w:rsidR="006016B9" w:rsidRPr="0087752B" w:rsidRDefault="006016B9" w:rsidP="00A25044">
            <w:pPr>
              <w:pStyle w:val="DETTablecolumnheading"/>
              <w:jc w:val="left"/>
            </w:pPr>
            <w:r w:rsidRPr="0087752B">
              <w:t>Number</w:t>
            </w:r>
          </w:p>
        </w:tc>
        <w:tc>
          <w:tcPr>
            <w:tcW w:w="822" w:type="dxa"/>
            <w:tcBorders>
              <w:bottom w:val="nil"/>
            </w:tcBorders>
            <w:shd w:val="clear" w:color="auto" w:fill="7F7F7F" w:themeFill="text1" w:themeFillTint="80"/>
            <w:vAlign w:val="center"/>
            <w:hideMark/>
          </w:tcPr>
          <w:p w14:paraId="3355BFFB" w14:textId="77777777" w:rsidR="006016B9" w:rsidRPr="0087752B" w:rsidRDefault="006016B9" w:rsidP="00A25044">
            <w:pPr>
              <w:pStyle w:val="DETTablecolumnheading"/>
              <w:jc w:val="left"/>
            </w:pPr>
            <w:r w:rsidRPr="0087752B">
              <w:t>Number</w:t>
            </w:r>
          </w:p>
        </w:tc>
        <w:tc>
          <w:tcPr>
            <w:tcW w:w="822" w:type="dxa"/>
            <w:tcBorders>
              <w:bottom w:val="nil"/>
            </w:tcBorders>
            <w:shd w:val="clear" w:color="auto" w:fill="7F7F7F" w:themeFill="text1" w:themeFillTint="80"/>
            <w:vAlign w:val="center"/>
            <w:hideMark/>
          </w:tcPr>
          <w:p w14:paraId="7BB2E1E4" w14:textId="77777777" w:rsidR="006016B9" w:rsidRPr="0087752B" w:rsidRDefault="006016B9" w:rsidP="00A25044">
            <w:pPr>
              <w:pStyle w:val="DETTablecolumnheading"/>
              <w:jc w:val="left"/>
            </w:pPr>
            <w:r w:rsidRPr="0087752B">
              <w:t>Variance</w:t>
            </w:r>
          </w:p>
        </w:tc>
        <w:tc>
          <w:tcPr>
            <w:tcW w:w="822" w:type="dxa"/>
            <w:tcBorders>
              <w:bottom w:val="nil"/>
            </w:tcBorders>
            <w:shd w:val="clear" w:color="auto" w:fill="7F7F7F" w:themeFill="text1" w:themeFillTint="80"/>
            <w:vAlign w:val="center"/>
            <w:hideMark/>
          </w:tcPr>
          <w:p w14:paraId="1890D347" w14:textId="77777777" w:rsidR="006016B9" w:rsidRPr="0087752B" w:rsidRDefault="006016B9" w:rsidP="00A25044">
            <w:pPr>
              <w:pStyle w:val="DETTablecolumnheading"/>
              <w:jc w:val="left"/>
            </w:pPr>
            <w:r w:rsidRPr="0087752B">
              <w:t>Number</w:t>
            </w:r>
          </w:p>
        </w:tc>
        <w:tc>
          <w:tcPr>
            <w:tcW w:w="822" w:type="dxa"/>
            <w:tcBorders>
              <w:bottom w:val="nil"/>
            </w:tcBorders>
            <w:shd w:val="clear" w:color="auto" w:fill="7F7F7F" w:themeFill="text1" w:themeFillTint="80"/>
            <w:vAlign w:val="center"/>
            <w:hideMark/>
          </w:tcPr>
          <w:p w14:paraId="0706108E" w14:textId="77777777" w:rsidR="006016B9" w:rsidRPr="0087752B" w:rsidRDefault="006016B9" w:rsidP="00A25044">
            <w:pPr>
              <w:pStyle w:val="DETTablecolumnheading"/>
              <w:jc w:val="left"/>
            </w:pPr>
            <w:r w:rsidRPr="0087752B">
              <w:t>Variance</w:t>
            </w:r>
          </w:p>
        </w:tc>
      </w:tr>
      <w:tr w:rsidR="006016B9" w:rsidRPr="0087752B" w14:paraId="249EA3D7" w14:textId="77777777" w:rsidTr="006016B9">
        <w:trPr>
          <w:cantSplit/>
          <w:trHeight w:val="454"/>
        </w:trPr>
        <w:tc>
          <w:tcPr>
            <w:tcW w:w="1591" w:type="dxa"/>
            <w:tcBorders>
              <w:bottom w:val="nil"/>
            </w:tcBorders>
            <w:vAlign w:val="bottom"/>
            <w:hideMark/>
          </w:tcPr>
          <w:p w14:paraId="6FDA0F5E" w14:textId="77777777" w:rsidR="006016B9" w:rsidRPr="0087752B" w:rsidRDefault="006016B9" w:rsidP="00A25044">
            <w:pPr>
              <w:pStyle w:val="DETTableTextFinancial"/>
            </w:pPr>
            <w:r w:rsidRPr="0087752B">
              <w:t>VCAA</w:t>
            </w:r>
          </w:p>
        </w:tc>
        <w:tc>
          <w:tcPr>
            <w:tcW w:w="820" w:type="dxa"/>
            <w:tcBorders>
              <w:bottom w:val="nil"/>
            </w:tcBorders>
            <w:vAlign w:val="bottom"/>
          </w:tcPr>
          <w:p w14:paraId="1B8C8C6D" w14:textId="77777777" w:rsidR="006016B9" w:rsidRPr="0087752B" w:rsidRDefault="006016B9" w:rsidP="00A25044">
            <w:pPr>
              <w:pStyle w:val="DETTableTextFinancial"/>
              <w:jc w:val="center"/>
            </w:pPr>
            <w:r w:rsidRPr="0087752B">
              <w:t>6</w:t>
            </w:r>
          </w:p>
        </w:tc>
        <w:tc>
          <w:tcPr>
            <w:tcW w:w="822" w:type="dxa"/>
            <w:tcBorders>
              <w:bottom w:val="nil"/>
              <w:right w:val="single" w:sz="6" w:space="0" w:color="777777"/>
            </w:tcBorders>
            <w:vAlign w:val="bottom"/>
          </w:tcPr>
          <w:p w14:paraId="79F3EE10" w14:textId="77777777" w:rsidR="006016B9" w:rsidRPr="0087752B" w:rsidRDefault="006016B9" w:rsidP="00A25044">
            <w:pPr>
              <w:pStyle w:val="DETTableTextFinancial"/>
              <w:jc w:val="center"/>
            </w:pPr>
            <w:r w:rsidRPr="0087752B">
              <w:t>‒</w:t>
            </w:r>
          </w:p>
        </w:tc>
        <w:tc>
          <w:tcPr>
            <w:tcW w:w="935" w:type="dxa"/>
            <w:tcBorders>
              <w:left w:val="single" w:sz="6" w:space="0" w:color="777777"/>
              <w:bottom w:val="nil"/>
              <w:right w:val="single" w:sz="6" w:space="0" w:color="777777"/>
            </w:tcBorders>
            <w:vAlign w:val="bottom"/>
          </w:tcPr>
          <w:p w14:paraId="1E00CC0F" w14:textId="77777777" w:rsidR="006016B9" w:rsidRPr="0087752B" w:rsidRDefault="006016B9" w:rsidP="00A25044">
            <w:pPr>
              <w:pStyle w:val="DETTableTextFinancial"/>
              <w:jc w:val="center"/>
            </w:pPr>
            <w:r w:rsidRPr="0087752B">
              <w:t>0</w:t>
            </w:r>
          </w:p>
        </w:tc>
        <w:tc>
          <w:tcPr>
            <w:tcW w:w="822" w:type="dxa"/>
            <w:tcBorders>
              <w:left w:val="single" w:sz="6" w:space="0" w:color="777777"/>
              <w:bottom w:val="nil"/>
            </w:tcBorders>
            <w:vAlign w:val="bottom"/>
          </w:tcPr>
          <w:p w14:paraId="1FA112D3" w14:textId="77777777" w:rsidR="006016B9" w:rsidRPr="0087752B" w:rsidRDefault="006016B9" w:rsidP="00A25044">
            <w:pPr>
              <w:pStyle w:val="DETTableTextFinancial"/>
              <w:jc w:val="center"/>
            </w:pPr>
            <w:r w:rsidRPr="0087752B">
              <w:t>4</w:t>
            </w:r>
          </w:p>
        </w:tc>
        <w:tc>
          <w:tcPr>
            <w:tcW w:w="822" w:type="dxa"/>
            <w:tcBorders>
              <w:bottom w:val="nil"/>
              <w:right w:val="single" w:sz="6" w:space="0" w:color="777777"/>
            </w:tcBorders>
            <w:vAlign w:val="bottom"/>
          </w:tcPr>
          <w:p w14:paraId="015BE50C" w14:textId="77777777" w:rsidR="006016B9" w:rsidRPr="0087752B" w:rsidRDefault="006016B9" w:rsidP="00A25044">
            <w:pPr>
              <w:pStyle w:val="DETTableTextFinancial"/>
              <w:jc w:val="center"/>
            </w:pPr>
            <w:r w:rsidRPr="0087752B">
              <w:t>‒</w:t>
            </w:r>
          </w:p>
        </w:tc>
        <w:tc>
          <w:tcPr>
            <w:tcW w:w="822" w:type="dxa"/>
            <w:tcBorders>
              <w:left w:val="single" w:sz="6" w:space="0" w:color="777777"/>
              <w:bottom w:val="nil"/>
            </w:tcBorders>
            <w:vAlign w:val="bottom"/>
          </w:tcPr>
          <w:p w14:paraId="3D6EC045" w14:textId="77777777" w:rsidR="006016B9" w:rsidRPr="0087752B" w:rsidRDefault="006016B9" w:rsidP="00A25044">
            <w:pPr>
              <w:pStyle w:val="DETTableTextFinancial"/>
              <w:jc w:val="center"/>
            </w:pPr>
            <w:r w:rsidRPr="0087752B">
              <w:t>2</w:t>
            </w:r>
          </w:p>
        </w:tc>
        <w:tc>
          <w:tcPr>
            <w:tcW w:w="822" w:type="dxa"/>
            <w:tcBorders>
              <w:bottom w:val="nil"/>
            </w:tcBorders>
            <w:vAlign w:val="bottom"/>
          </w:tcPr>
          <w:p w14:paraId="5CD2F8C6" w14:textId="77777777" w:rsidR="006016B9" w:rsidRPr="0087752B" w:rsidRDefault="006016B9" w:rsidP="00A25044">
            <w:pPr>
              <w:pStyle w:val="DETTableTextFinancial"/>
              <w:jc w:val="center"/>
            </w:pPr>
            <w:r w:rsidRPr="0087752B">
              <w:t>‒</w:t>
            </w:r>
          </w:p>
        </w:tc>
      </w:tr>
      <w:tr w:rsidR="006016B9" w:rsidRPr="0087752B" w14:paraId="042A88B0" w14:textId="77777777" w:rsidTr="00A25044">
        <w:trPr>
          <w:cantSplit/>
          <w:trHeight w:val="454"/>
        </w:trPr>
        <w:tc>
          <w:tcPr>
            <w:tcW w:w="1591" w:type="dxa"/>
            <w:tcBorders>
              <w:bottom w:val="single" w:sz="4" w:space="0" w:color="auto"/>
            </w:tcBorders>
            <w:vAlign w:val="bottom"/>
            <w:hideMark/>
          </w:tcPr>
          <w:p w14:paraId="750035C3" w14:textId="77777777" w:rsidR="006016B9" w:rsidRPr="0087752B" w:rsidRDefault="006016B9" w:rsidP="00A25044">
            <w:pPr>
              <w:pStyle w:val="DETTableTextFinancial"/>
            </w:pPr>
            <w:r w:rsidRPr="0087752B">
              <w:t>VRQA</w:t>
            </w:r>
          </w:p>
        </w:tc>
        <w:tc>
          <w:tcPr>
            <w:tcW w:w="820" w:type="dxa"/>
            <w:tcBorders>
              <w:bottom w:val="single" w:sz="4" w:space="0" w:color="auto"/>
            </w:tcBorders>
            <w:vAlign w:val="bottom"/>
          </w:tcPr>
          <w:p w14:paraId="241B5EB2" w14:textId="77777777" w:rsidR="006016B9" w:rsidRPr="0087752B" w:rsidRDefault="006016B9" w:rsidP="00A25044">
            <w:pPr>
              <w:pStyle w:val="DETTableTextFinancial"/>
              <w:jc w:val="center"/>
            </w:pPr>
            <w:r w:rsidRPr="0087752B">
              <w:t>3</w:t>
            </w:r>
          </w:p>
        </w:tc>
        <w:tc>
          <w:tcPr>
            <w:tcW w:w="822" w:type="dxa"/>
            <w:tcBorders>
              <w:bottom w:val="single" w:sz="4" w:space="0" w:color="auto"/>
              <w:right w:val="single" w:sz="6" w:space="0" w:color="777777"/>
            </w:tcBorders>
            <w:vAlign w:val="bottom"/>
          </w:tcPr>
          <w:p w14:paraId="490C9906" w14:textId="77777777" w:rsidR="006016B9" w:rsidRPr="0087752B" w:rsidRDefault="006016B9" w:rsidP="00A25044">
            <w:pPr>
              <w:pStyle w:val="DETTableTextFinancial"/>
              <w:jc w:val="center"/>
            </w:pPr>
            <w:r w:rsidRPr="0087752B">
              <w:t>‒</w:t>
            </w:r>
          </w:p>
        </w:tc>
        <w:tc>
          <w:tcPr>
            <w:tcW w:w="935" w:type="dxa"/>
            <w:tcBorders>
              <w:left w:val="single" w:sz="6" w:space="0" w:color="777777"/>
              <w:bottom w:val="single" w:sz="4" w:space="0" w:color="auto"/>
              <w:right w:val="single" w:sz="6" w:space="0" w:color="777777"/>
            </w:tcBorders>
            <w:vAlign w:val="bottom"/>
          </w:tcPr>
          <w:p w14:paraId="0357442A" w14:textId="77777777" w:rsidR="006016B9" w:rsidRPr="0087752B" w:rsidRDefault="006016B9" w:rsidP="00A25044">
            <w:pPr>
              <w:pStyle w:val="DETTableTextFinancial"/>
              <w:jc w:val="center"/>
            </w:pPr>
            <w:r w:rsidRPr="0087752B">
              <w:t>0</w:t>
            </w:r>
          </w:p>
        </w:tc>
        <w:tc>
          <w:tcPr>
            <w:tcW w:w="822" w:type="dxa"/>
            <w:tcBorders>
              <w:left w:val="single" w:sz="6" w:space="0" w:color="777777"/>
              <w:bottom w:val="single" w:sz="4" w:space="0" w:color="auto"/>
            </w:tcBorders>
            <w:vAlign w:val="bottom"/>
          </w:tcPr>
          <w:p w14:paraId="45DEAF96" w14:textId="77777777" w:rsidR="006016B9" w:rsidRPr="0087752B" w:rsidRDefault="006016B9" w:rsidP="00A25044">
            <w:pPr>
              <w:pStyle w:val="DETTableTextFinancial"/>
              <w:jc w:val="center"/>
            </w:pPr>
            <w:r w:rsidRPr="0087752B">
              <w:t>2</w:t>
            </w:r>
          </w:p>
        </w:tc>
        <w:tc>
          <w:tcPr>
            <w:tcW w:w="822" w:type="dxa"/>
            <w:tcBorders>
              <w:bottom w:val="single" w:sz="4" w:space="0" w:color="auto"/>
              <w:right w:val="single" w:sz="6" w:space="0" w:color="777777"/>
            </w:tcBorders>
            <w:vAlign w:val="bottom"/>
          </w:tcPr>
          <w:p w14:paraId="0B02ED67" w14:textId="77777777" w:rsidR="006016B9" w:rsidRPr="0087752B" w:rsidRDefault="006016B9" w:rsidP="00A25044">
            <w:pPr>
              <w:pStyle w:val="DETTableTextFinancial"/>
              <w:jc w:val="center"/>
            </w:pPr>
            <w:r w:rsidRPr="0087752B">
              <w:t>‒</w:t>
            </w:r>
          </w:p>
        </w:tc>
        <w:tc>
          <w:tcPr>
            <w:tcW w:w="822" w:type="dxa"/>
            <w:tcBorders>
              <w:left w:val="single" w:sz="6" w:space="0" w:color="777777"/>
              <w:bottom w:val="single" w:sz="4" w:space="0" w:color="auto"/>
            </w:tcBorders>
            <w:vAlign w:val="bottom"/>
          </w:tcPr>
          <w:p w14:paraId="0A5A4F14" w14:textId="77777777" w:rsidR="006016B9" w:rsidRPr="0087752B" w:rsidRDefault="006016B9" w:rsidP="00A25044">
            <w:pPr>
              <w:pStyle w:val="DETTableTextFinancial"/>
              <w:jc w:val="center"/>
            </w:pPr>
            <w:r w:rsidRPr="0087752B">
              <w:t>1</w:t>
            </w:r>
          </w:p>
        </w:tc>
        <w:tc>
          <w:tcPr>
            <w:tcW w:w="822" w:type="dxa"/>
            <w:tcBorders>
              <w:bottom w:val="single" w:sz="4" w:space="0" w:color="auto"/>
            </w:tcBorders>
            <w:vAlign w:val="bottom"/>
          </w:tcPr>
          <w:p w14:paraId="459870C1" w14:textId="77777777" w:rsidR="006016B9" w:rsidRPr="0087752B" w:rsidRDefault="006016B9" w:rsidP="00A25044">
            <w:pPr>
              <w:pStyle w:val="DETTableTextFinancial"/>
              <w:jc w:val="center"/>
            </w:pPr>
            <w:r w:rsidRPr="0087752B">
              <w:t>‒</w:t>
            </w:r>
          </w:p>
        </w:tc>
      </w:tr>
      <w:tr w:rsidR="006016B9" w:rsidRPr="0087752B" w14:paraId="565AF610" w14:textId="77777777" w:rsidTr="00A25044">
        <w:trPr>
          <w:cantSplit/>
          <w:trHeight w:val="454"/>
        </w:trPr>
        <w:tc>
          <w:tcPr>
            <w:tcW w:w="1591" w:type="dxa"/>
            <w:tcBorders>
              <w:top w:val="single" w:sz="4" w:space="0" w:color="auto"/>
              <w:bottom w:val="single" w:sz="4" w:space="0" w:color="auto"/>
            </w:tcBorders>
            <w:vAlign w:val="bottom"/>
            <w:hideMark/>
          </w:tcPr>
          <w:p w14:paraId="6ECA82FA" w14:textId="77777777" w:rsidR="006016B9" w:rsidRPr="0087752B" w:rsidRDefault="006016B9" w:rsidP="00A25044">
            <w:pPr>
              <w:pStyle w:val="DETTableTextFinancial"/>
              <w:rPr>
                <w:b/>
              </w:rPr>
            </w:pPr>
            <w:r w:rsidRPr="0087752B">
              <w:rPr>
                <w:b/>
              </w:rPr>
              <w:t>Total</w:t>
            </w:r>
          </w:p>
        </w:tc>
        <w:tc>
          <w:tcPr>
            <w:tcW w:w="820" w:type="dxa"/>
            <w:tcBorders>
              <w:top w:val="single" w:sz="4" w:space="0" w:color="auto"/>
              <w:bottom w:val="single" w:sz="4" w:space="0" w:color="auto"/>
            </w:tcBorders>
            <w:vAlign w:val="bottom"/>
          </w:tcPr>
          <w:p w14:paraId="6A0FB61E" w14:textId="77777777" w:rsidR="006016B9" w:rsidRPr="0087752B" w:rsidRDefault="006016B9" w:rsidP="00A25044">
            <w:pPr>
              <w:pStyle w:val="DETTableTextFinancial"/>
              <w:jc w:val="center"/>
              <w:rPr>
                <w:b/>
              </w:rPr>
            </w:pPr>
            <w:r w:rsidRPr="0087752B">
              <w:rPr>
                <w:b/>
              </w:rPr>
              <w:t>9</w:t>
            </w:r>
          </w:p>
        </w:tc>
        <w:tc>
          <w:tcPr>
            <w:tcW w:w="822" w:type="dxa"/>
            <w:tcBorders>
              <w:top w:val="single" w:sz="4" w:space="0" w:color="auto"/>
              <w:bottom w:val="single" w:sz="4" w:space="0" w:color="auto"/>
              <w:right w:val="single" w:sz="6" w:space="0" w:color="777777"/>
            </w:tcBorders>
            <w:vAlign w:val="bottom"/>
          </w:tcPr>
          <w:p w14:paraId="77CA7C21" w14:textId="77777777" w:rsidR="006016B9" w:rsidRPr="0087752B" w:rsidRDefault="006016B9" w:rsidP="00A25044">
            <w:pPr>
              <w:pStyle w:val="DETTableTextFinancial"/>
              <w:jc w:val="center"/>
              <w:rPr>
                <w:b/>
              </w:rPr>
            </w:pPr>
            <w:r w:rsidRPr="0087752B">
              <w:rPr>
                <w:b/>
              </w:rPr>
              <w:t>‒</w:t>
            </w:r>
          </w:p>
        </w:tc>
        <w:tc>
          <w:tcPr>
            <w:tcW w:w="935" w:type="dxa"/>
            <w:tcBorders>
              <w:top w:val="single" w:sz="4" w:space="0" w:color="auto"/>
              <w:left w:val="single" w:sz="6" w:space="0" w:color="777777"/>
              <w:bottom w:val="single" w:sz="4" w:space="0" w:color="auto"/>
              <w:right w:val="single" w:sz="6" w:space="0" w:color="777777"/>
            </w:tcBorders>
            <w:vAlign w:val="bottom"/>
          </w:tcPr>
          <w:p w14:paraId="2E08F906" w14:textId="77777777" w:rsidR="006016B9" w:rsidRPr="0087752B" w:rsidRDefault="006016B9" w:rsidP="00A25044">
            <w:pPr>
              <w:pStyle w:val="DETTableTextFinancial"/>
              <w:jc w:val="center"/>
              <w:rPr>
                <w:b/>
              </w:rPr>
            </w:pPr>
            <w:r w:rsidRPr="0087752B">
              <w:rPr>
                <w:b/>
              </w:rPr>
              <w:t>0</w:t>
            </w:r>
          </w:p>
        </w:tc>
        <w:tc>
          <w:tcPr>
            <w:tcW w:w="822" w:type="dxa"/>
            <w:tcBorders>
              <w:top w:val="single" w:sz="4" w:space="0" w:color="auto"/>
              <w:left w:val="single" w:sz="6" w:space="0" w:color="777777"/>
              <w:bottom w:val="single" w:sz="4" w:space="0" w:color="auto"/>
            </w:tcBorders>
            <w:vAlign w:val="bottom"/>
          </w:tcPr>
          <w:p w14:paraId="2946188C" w14:textId="77777777" w:rsidR="006016B9" w:rsidRPr="0087752B" w:rsidRDefault="006016B9" w:rsidP="00A25044">
            <w:pPr>
              <w:pStyle w:val="DETTableTextFinancial"/>
              <w:jc w:val="center"/>
              <w:rPr>
                <w:b/>
              </w:rPr>
            </w:pPr>
            <w:r w:rsidRPr="0087752B">
              <w:rPr>
                <w:b/>
              </w:rPr>
              <w:t>6</w:t>
            </w:r>
          </w:p>
        </w:tc>
        <w:tc>
          <w:tcPr>
            <w:tcW w:w="822" w:type="dxa"/>
            <w:tcBorders>
              <w:top w:val="single" w:sz="4" w:space="0" w:color="auto"/>
              <w:bottom w:val="single" w:sz="4" w:space="0" w:color="auto"/>
              <w:right w:val="single" w:sz="6" w:space="0" w:color="777777"/>
            </w:tcBorders>
            <w:vAlign w:val="bottom"/>
          </w:tcPr>
          <w:p w14:paraId="012883A3" w14:textId="77777777" w:rsidR="006016B9" w:rsidRPr="0087752B" w:rsidRDefault="006016B9" w:rsidP="00A25044">
            <w:pPr>
              <w:pStyle w:val="DETTableTextFinancial"/>
              <w:jc w:val="center"/>
              <w:rPr>
                <w:b/>
              </w:rPr>
            </w:pPr>
            <w:r w:rsidRPr="0087752B">
              <w:rPr>
                <w:b/>
              </w:rPr>
              <w:t>‒</w:t>
            </w:r>
          </w:p>
        </w:tc>
        <w:tc>
          <w:tcPr>
            <w:tcW w:w="822" w:type="dxa"/>
            <w:tcBorders>
              <w:top w:val="single" w:sz="4" w:space="0" w:color="auto"/>
              <w:left w:val="single" w:sz="6" w:space="0" w:color="777777"/>
              <w:bottom w:val="single" w:sz="4" w:space="0" w:color="auto"/>
            </w:tcBorders>
            <w:vAlign w:val="bottom"/>
          </w:tcPr>
          <w:p w14:paraId="0A4EB05A" w14:textId="77777777" w:rsidR="006016B9" w:rsidRPr="0087752B" w:rsidRDefault="006016B9" w:rsidP="00A25044">
            <w:pPr>
              <w:pStyle w:val="DETTableTextFinancial"/>
              <w:jc w:val="center"/>
              <w:rPr>
                <w:b/>
              </w:rPr>
            </w:pPr>
            <w:r w:rsidRPr="0087752B">
              <w:rPr>
                <w:b/>
              </w:rPr>
              <w:t>3</w:t>
            </w:r>
          </w:p>
        </w:tc>
        <w:tc>
          <w:tcPr>
            <w:tcW w:w="822" w:type="dxa"/>
            <w:tcBorders>
              <w:top w:val="single" w:sz="4" w:space="0" w:color="auto"/>
              <w:bottom w:val="single" w:sz="4" w:space="0" w:color="auto"/>
            </w:tcBorders>
            <w:vAlign w:val="bottom"/>
          </w:tcPr>
          <w:p w14:paraId="07D01FA7" w14:textId="77777777" w:rsidR="006016B9" w:rsidRPr="0087752B" w:rsidRDefault="006016B9" w:rsidP="00A25044">
            <w:pPr>
              <w:pStyle w:val="DETTableTextFinancial"/>
              <w:jc w:val="center"/>
              <w:rPr>
                <w:b/>
              </w:rPr>
            </w:pPr>
            <w:r w:rsidRPr="0087752B">
              <w:rPr>
                <w:b/>
              </w:rPr>
              <w:t>‒</w:t>
            </w:r>
          </w:p>
        </w:tc>
      </w:tr>
    </w:tbl>
    <w:p w14:paraId="32C68938" w14:textId="77777777" w:rsidR="006016B9" w:rsidRPr="0087752B" w:rsidRDefault="006016B9" w:rsidP="007540CD">
      <w:pPr>
        <w:pStyle w:val="DETTableheading"/>
      </w:pPr>
      <w:r w:rsidRPr="0087752B">
        <w:t xml:space="preserve">Number of executive officers for the Department’s portfolio entities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319"/>
        <w:gridCol w:w="786"/>
        <w:gridCol w:w="697"/>
        <w:gridCol w:w="698"/>
        <w:gridCol w:w="696"/>
        <w:gridCol w:w="699"/>
        <w:gridCol w:w="697"/>
        <w:gridCol w:w="698"/>
        <w:gridCol w:w="585"/>
        <w:gridCol w:w="584"/>
      </w:tblGrid>
      <w:tr w:rsidR="006016B9" w:rsidRPr="0087752B" w14:paraId="76CA947D" w14:textId="77777777" w:rsidTr="00D95C09">
        <w:trPr>
          <w:cantSplit/>
          <w:trHeight w:hRule="exact" w:val="284"/>
        </w:trPr>
        <w:tc>
          <w:tcPr>
            <w:tcW w:w="1319" w:type="dxa"/>
            <w:tcBorders>
              <w:top w:val="nil"/>
              <w:left w:val="nil"/>
              <w:bottom w:val="nil"/>
              <w:right w:val="nil"/>
            </w:tcBorders>
            <w:shd w:val="clear" w:color="auto" w:fill="7F7F7F" w:themeFill="text1" w:themeFillTint="80"/>
            <w:vAlign w:val="center"/>
          </w:tcPr>
          <w:p w14:paraId="058B0A61" w14:textId="77777777" w:rsidR="006016B9" w:rsidRPr="0087752B" w:rsidRDefault="006016B9" w:rsidP="00A25044">
            <w:pPr>
              <w:pStyle w:val="DETTablecolumnheading"/>
              <w:jc w:val="left"/>
            </w:pPr>
          </w:p>
        </w:tc>
        <w:tc>
          <w:tcPr>
            <w:tcW w:w="2181" w:type="dxa"/>
            <w:gridSpan w:val="3"/>
            <w:tcBorders>
              <w:top w:val="nil"/>
              <w:left w:val="nil"/>
              <w:bottom w:val="nil"/>
              <w:right w:val="nil"/>
            </w:tcBorders>
            <w:shd w:val="clear" w:color="auto" w:fill="7F7F7F" w:themeFill="text1" w:themeFillTint="80"/>
            <w:vAlign w:val="center"/>
          </w:tcPr>
          <w:p w14:paraId="4219E755" w14:textId="77777777" w:rsidR="006016B9" w:rsidRPr="0087752B" w:rsidRDefault="006016B9" w:rsidP="00A25044">
            <w:pPr>
              <w:pStyle w:val="DETTablecolumnheading"/>
              <w:jc w:val="left"/>
            </w:pPr>
            <w:r w:rsidRPr="0087752B">
              <w:t>2016</w:t>
            </w:r>
          </w:p>
        </w:tc>
        <w:tc>
          <w:tcPr>
            <w:tcW w:w="2092" w:type="dxa"/>
            <w:gridSpan w:val="3"/>
            <w:tcBorders>
              <w:top w:val="nil"/>
              <w:left w:val="nil"/>
              <w:bottom w:val="nil"/>
              <w:right w:val="nil"/>
            </w:tcBorders>
            <w:shd w:val="clear" w:color="auto" w:fill="7F7F7F" w:themeFill="text1" w:themeFillTint="80"/>
            <w:vAlign w:val="center"/>
          </w:tcPr>
          <w:p w14:paraId="76CC7547" w14:textId="77777777" w:rsidR="006016B9" w:rsidRPr="0087752B" w:rsidRDefault="006016B9" w:rsidP="00A25044">
            <w:pPr>
              <w:pStyle w:val="DETTablecolumnheading"/>
              <w:jc w:val="left"/>
            </w:pPr>
            <w:r w:rsidRPr="0087752B">
              <w:t>2015</w:t>
            </w:r>
          </w:p>
        </w:tc>
        <w:tc>
          <w:tcPr>
            <w:tcW w:w="1867" w:type="dxa"/>
            <w:gridSpan w:val="3"/>
            <w:tcBorders>
              <w:top w:val="nil"/>
              <w:left w:val="nil"/>
              <w:bottom w:val="nil"/>
              <w:right w:val="nil"/>
            </w:tcBorders>
            <w:shd w:val="clear" w:color="auto" w:fill="7F7F7F" w:themeFill="text1" w:themeFillTint="80"/>
            <w:vAlign w:val="center"/>
          </w:tcPr>
          <w:p w14:paraId="1CBC16FC" w14:textId="77777777" w:rsidR="006016B9" w:rsidRPr="0087752B" w:rsidRDefault="006016B9" w:rsidP="00A25044">
            <w:pPr>
              <w:pStyle w:val="DETTablecolumnheading"/>
              <w:jc w:val="left"/>
            </w:pPr>
            <w:r w:rsidRPr="0087752B">
              <w:t>Change</w:t>
            </w:r>
          </w:p>
        </w:tc>
      </w:tr>
      <w:tr w:rsidR="006016B9" w:rsidRPr="0087752B" w14:paraId="76D7A2F3" w14:textId="77777777" w:rsidTr="00A25044">
        <w:trPr>
          <w:cantSplit/>
          <w:trHeight w:val="454"/>
        </w:trPr>
        <w:tc>
          <w:tcPr>
            <w:tcW w:w="1319" w:type="dxa"/>
            <w:tcBorders>
              <w:top w:val="nil"/>
              <w:left w:val="nil"/>
              <w:bottom w:val="nil"/>
              <w:right w:val="nil"/>
            </w:tcBorders>
            <w:shd w:val="clear" w:color="auto" w:fill="7F7F7F" w:themeFill="text1" w:themeFillTint="80"/>
            <w:vAlign w:val="center"/>
            <w:hideMark/>
          </w:tcPr>
          <w:p w14:paraId="54AF8289" w14:textId="77777777" w:rsidR="006016B9" w:rsidRPr="0087752B" w:rsidRDefault="006016B9" w:rsidP="00A25044">
            <w:pPr>
              <w:pStyle w:val="DETTablecolumnheading"/>
              <w:jc w:val="left"/>
            </w:pPr>
            <w:r w:rsidRPr="0087752B">
              <w:t>Portfolio agency</w:t>
            </w:r>
          </w:p>
        </w:tc>
        <w:tc>
          <w:tcPr>
            <w:tcW w:w="786" w:type="dxa"/>
            <w:tcBorders>
              <w:top w:val="nil"/>
              <w:left w:val="nil"/>
              <w:bottom w:val="nil"/>
              <w:right w:val="nil"/>
            </w:tcBorders>
            <w:shd w:val="clear" w:color="auto" w:fill="7F7F7F" w:themeFill="text1" w:themeFillTint="80"/>
            <w:vAlign w:val="center"/>
          </w:tcPr>
          <w:p w14:paraId="6C2F96D0" w14:textId="77777777" w:rsidR="006016B9" w:rsidRPr="0087752B" w:rsidRDefault="006016B9" w:rsidP="00A25044">
            <w:pPr>
              <w:pStyle w:val="DETTablecolumnheading"/>
              <w:jc w:val="left"/>
            </w:pPr>
            <w:r w:rsidRPr="0087752B">
              <w:t>Female</w:t>
            </w:r>
          </w:p>
        </w:tc>
        <w:tc>
          <w:tcPr>
            <w:tcW w:w="697" w:type="dxa"/>
            <w:tcBorders>
              <w:top w:val="nil"/>
              <w:left w:val="nil"/>
              <w:bottom w:val="nil"/>
              <w:right w:val="nil"/>
            </w:tcBorders>
            <w:shd w:val="clear" w:color="auto" w:fill="7F7F7F" w:themeFill="text1" w:themeFillTint="80"/>
            <w:vAlign w:val="center"/>
            <w:hideMark/>
          </w:tcPr>
          <w:p w14:paraId="78B9899E" w14:textId="77777777" w:rsidR="006016B9" w:rsidRPr="0087752B" w:rsidRDefault="006016B9" w:rsidP="00A25044">
            <w:pPr>
              <w:pStyle w:val="DETTablecolumnheading"/>
              <w:jc w:val="left"/>
            </w:pPr>
            <w:r w:rsidRPr="0087752B">
              <w:t>Male</w:t>
            </w:r>
          </w:p>
        </w:tc>
        <w:tc>
          <w:tcPr>
            <w:tcW w:w="698" w:type="dxa"/>
            <w:tcBorders>
              <w:top w:val="nil"/>
              <w:left w:val="nil"/>
              <w:bottom w:val="nil"/>
              <w:right w:val="nil"/>
            </w:tcBorders>
            <w:shd w:val="clear" w:color="auto" w:fill="7F7F7F" w:themeFill="text1" w:themeFillTint="80"/>
            <w:vAlign w:val="center"/>
            <w:hideMark/>
          </w:tcPr>
          <w:p w14:paraId="00E16D83" w14:textId="77777777" w:rsidR="006016B9" w:rsidRPr="0087752B" w:rsidRDefault="006016B9" w:rsidP="00A25044">
            <w:pPr>
              <w:pStyle w:val="DETTablecolumnheading"/>
              <w:jc w:val="left"/>
            </w:pPr>
            <w:r w:rsidRPr="0087752B">
              <w:t>Total</w:t>
            </w:r>
          </w:p>
        </w:tc>
        <w:tc>
          <w:tcPr>
            <w:tcW w:w="696" w:type="dxa"/>
            <w:tcBorders>
              <w:top w:val="nil"/>
              <w:left w:val="nil"/>
              <w:bottom w:val="nil"/>
              <w:right w:val="nil"/>
            </w:tcBorders>
            <w:shd w:val="clear" w:color="auto" w:fill="7F7F7F" w:themeFill="text1" w:themeFillTint="80"/>
            <w:vAlign w:val="center"/>
          </w:tcPr>
          <w:p w14:paraId="6332D87C" w14:textId="77777777" w:rsidR="006016B9" w:rsidRPr="0087752B" w:rsidRDefault="006016B9" w:rsidP="00A25044">
            <w:pPr>
              <w:pStyle w:val="DETTablecolumnheading"/>
              <w:jc w:val="left"/>
            </w:pPr>
            <w:r w:rsidRPr="0087752B">
              <w:t>Female</w:t>
            </w:r>
          </w:p>
        </w:tc>
        <w:tc>
          <w:tcPr>
            <w:tcW w:w="699" w:type="dxa"/>
            <w:tcBorders>
              <w:top w:val="nil"/>
              <w:left w:val="nil"/>
              <w:bottom w:val="nil"/>
              <w:right w:val="nil"/>
            </w:tcBorders>
            <w:shd w:val="clear" w:color="auto" w:fill="7F7F7F" w:themeFill="text1" w:themeFillTint="80"/>
            <w:vAlign w:val="center"/>
          </w:tcPr>
          <w:p w14:paraId="30A7F919" w14:textId="77777777" w:rsidR="006016B9" w:rsidRPr="0087752B" w:rsidRDefault="006016B9" w:rsidP="00A25044">
            <w:pPr>
              <w:pStyle w:val="DETTablecolumnheading"/>
              <w:jc w:val="left"/>
            </w:pPr>
            <w:r w:rsidRPr="0087752B">
              <w:t>Male</w:t>
            </w:r>
          </w:p>
        </w:tc>
        <w:tc>
          <w:tcPr>
            <w:tcW w:w="697" w:type="dxa"/>
            <w:tcBorders>
              <w:top w:val="nil"/>
              <w:left w:val="nil"/>
              <w:bottom w:val="nil"/>
              <w:right w:val="nil"/>
            </w:tcBorders>
            <w:shd w:val="clear" w:color="auto" w:fill="7F7F7F" w:themeFill="text1" w:themeFillTint="80"/>
            <w:vAlign w:val="center"/>
            <w:hideMark/>
          </w:tcPr>
          <w:p w14:paraId="370BF02D" w14:textId="77777777" w:rsidR="006016B9" w:rsidRPr="0087752B" w:rsidRDefault="006016B9" w:rsidP="00A25044">
            <w:pPr>
              <w:pStyle w:val="DETTablecolumnheading"/>
              <w:jc w:val="left"/>
            </w:pPr>
            <w:r w:rsidRPr="0087752B">
              <w:t>Total</w:t>
            </w:r>
          </w:p>
        </w:tc>
        <w:tc>
          <w:tcPr>
            <w:tcW w:w="698" w:type="dxa"/>
            <w:tcBorders>
              <w:top w:val="nil"/>
              <w:left w:val="nil"/>
              <w:bottom w:val="nil"/>
              <w:right w:val="nil"/>
            </w:tcBorders>
            <w:shd w:val="clear" w:color="auto" w:fill="7F7F7F" w:themeFill="text1" w:themeFillTint="80"/>
            <w:vAlign w:val="center"/>
          </w:tcPr>
          <w:p w14:paraId="6009BBBF" w14:textId="77777777" w:rsidR="006016B9" w:rsidRPr="0087752B" w:rsidRDefault="006016B9" w:rsidP="00A25044">
            <w:pPr>
              <w:pStyle w:val="DETTablecolumnheading"/>
              <w:jc w:val="left"/>
            </w:pPr>
            <w:r w:rsidRPr="0087752B">
              <w:t>Female</w:t>
            </w:r>
          </w:p>
        </w:tc>
        <w:tc>
          <w:tcPr>
            <w:tcW w:w="585" w:type="dxa"/>
            <w:tcBorders>
              <w:top w:val="nil"/>
              <w:left w:val="nil"/>
              <w:bottom w:val="nil"/>
              <w:right w:val="nil"/>
            </w:tcBorders>
            <w:shd w:val="clear" w:color="auto" w:fill="7F7F7F" w:themeFill="text1" w:themeFillTint="80"/>
            <w:vAlign w:val="center"/>
          </w:tcPr>
          <w:p w14:paraId="70748093" w14:textId="77777777" w:rsidR="006016B9" w:rsidRPr="0087752B" w:rsidRDefault="006016B9" w:rsidP="00A25044">
            <w:pPr>
              <w:pStyle w:val="DETTablecolumnheading"/>
              <w:jc w:val="left"/>
            </w:pPr>
            <w:r w:rsidRPr="0087752B">
              <w:t>Male</w:t>
            </w:r>
          </w:p>
        </w:tc>
        <w:tc>
          <w:tcPr>
            <w:tcW w:w="584" w:type="dxa"/>
            <w:tcBorders>
              <w:top w:val="nil"/>
              <w:left w:val="nil"/>
              <w:bottom w:val="nil"/>
              <w:right w:val="nil"/>
            </w:tcBorders>
            <w:shd w:val="clear" w:color="auto" w:fill="7F7F7F" w:themeFill="text1" w:themeFillTint="80"/>
            <w:vAlign w:val="center"/>
          </w:tcPr>
          <w:p w14:paraId="407580B6" w14:textId="77777777" w:rsidR="006016B9" w:rsidRPr="0087752B" w:rsidRDefault="006016B9" w:rsidP="00A25044">
            <w:pPr>
              <w:pStyle w:val="DETTablecolumnheading"/>
              <w:jc w:val="left"/>
            </w:pPr>
            <w:r w:rsidRPr="0087752B">
              <w:t>Total</w:t>
            </w:r>
          </w:p>
        </w:tc>
      </w:tr>
      <w:tr w:rsidR="006016B9" w:rsidRPr="0087752B" w14:paraId="098BF5A6" w14:textId="77777777" w:rsidTr="00A25044">
        <w:trPr>
          <w:cantSplit/>
          <w:trHeight w:val="454"/>
        </w:trPr>
        <w:tc>
          <w:tcPr>
            <w:tcW w:w="1319" w:type="dxa"/>
            <w:tcBorders>
              <w:top w:val="nil"/>
              <w:left w:val="nil"/>
              <w:bottom w:val="nil"/>
              <w:right w:val="nil"/>
            </w:tcBorders>
            <w:shd w:val="clear" w:color="auto" w:fill="F8F8F8"/>
            <w:vAlign w:val="center"/>
          </w:tcPr>
          <w:p w14:paraId="49934681" w14:textId="77777777" w:rsidR="006016B9" w:rsidRPr="0087752B" w:rsidRDefault="006016B9" w:rsidP="00A25044">
            <w:pPr>
              <w:pStyle w:val="DETTableTextFinancial"/>
            </w:pPr>
            <w:r w:rsidRPr="0087752B">
              <w:t>AMES Australia</w:t>
            </w:r>
          </w:p>
        </w:tc>
        <w:tc>
          <w:tcPr>
            <w:tcW w:w="786" w:type="dxa"/>
            <w:tcBorders>
              <w:top w:val="nil"/>
              <w:left w:val="nil"/>
              <w:bottom w:val="nil"/>
              <w:right w:val="nil"/>
            </w:tcBorders>
            <w:vAlign w:val="center"/>
          </w:tcPr>
          <w:p w14:paraId="32049104" w14:textId="77777777" w:rsidR="006016B9" w:rsidRPr="0087752B" w:rsidRDefault="006016B9" w:rsidP="00A25044">
            <w:pPr>
              <w:pStyle w:val="DETTableTextFinancial"/>
              <w:jc w:val="right"/>
            </w:pPr>
            <w:r w:rsidRPr="0087752B">
              <w:t>6</w:t>
            </w:r>
          </w:p>
        </w:tc>
        <w:tc>
          <w:tcPr>
            <w:tcW w:w="697" w:type="dxa"/>
            <w:tcBorders>
              <w:top w:val="nil"/>
              <w:left w:val="nil"/>
              <w:bottom w:val="nil"/>
              <w:right w:val="nil"/>
            </w:tcBorders>
            <w:vAlign w:val="center"/>
          </w:tcPr>
          <w:p w14:paraId="743C0B3C" w14:textId="77777777" w:rsidR="006016B9" w:rsidRPr="0087752B" w:rsidRDefault="006016B9" w:rsidP="00A25044">
            <w:pPr>
              <w:pStyle w:val="DETTableTextFinancial"/>
              <w:jc w:val="right"/>
            </w:pPr>
            <w:r w:rsidRPr="0087752B">
              <w:t>5</w:t>
            </w:r>
          </w:p>
        </w:tc>
        <w:tc>
          <w:tcPr>
            <w:tcW w:w="698" w:type="dxa"/>
            <w:tcBorders>
              <w:top w:val="nil"/>
              <w:left w:val="nil"/>
              <w:bottom w:val="nil"/>
              <w:right w:val="single" w:sz="4" w:space="0" w:color="auto"/>
            </w:tcBorders>
            <w:vAlign w:val="center"/>
          </w:tcPr>
          <w:p w14:paraId="3E87F342" w14:textId="77777777" w:rsidR="006016B9" w:rsidRPr="0087752B" w:rsidRDefault="006016B9" w:rsidP="00A25044">
            <w:pPr>
              <w:pStyle w:val="DETTableTextFinancial"/>
              <w:jc w:val="right"/>
            </w:pPr>
            <w:r w:rsidRPr="0087752B">
              <w:t>11</w:t>
            </w:r>
          </w:p>
        </w:tc>
        <w:tc>
          <w:tcPr>
            <w:tcW w:w="696" w:type="dxa"/>
            <w:tcBorders>
              <w:top w:val="nil"/>
              <w:left w:val="single" w:sz="4" w:space="0" w:color="auto"/>
              <w:bottom w:val="nil"/>
              <w:right w:val="nil"/>
            </w:tcBorders>
            <w:shd w:val="clear" w:color="auto" w:fill="auto"/>
            <w:vAlign w:val="center"/>
          </w:tcPr>
          <w:p w14:paraId="008C0B90" w14:textId="77777777" w:rsidR="006016B9" w:rsidRPr="0087752B" w:rsidRDefault="006016B9" w:rsidP="00A25044">
            <w:pPr>
              <w:pStyle w:val="DETTableTextFinancial"/>
              <w:jc w:val="right"/>
            </w:pPr>
            <w:r w:rsidRPr="0087752B">
              <w:t>3</w:t>
            </w:r>
          </w:p>
        </w:tc>
        <w:tc>
          <w:tcPr>
            <w:tcW w:w="699" w:type="dxa"/>
            <w:tcBorders>
              <w:top w:val="nil"/>
              <w:left w:val="nil"/>
              <w:bottom w:val="nil"/>
              <w:right w:val="nil"/>
            </w:tcBorders>
            <w:shd w:val="clear" w:color="auto" w:fill="auto"/>
            <w:vAlign w:val="center"/>
          </w:tcPr>
          <w:p w14:paraId="17A44BF6" w14:textId="77777777" w:rsidR="006016B9" w:rsidRPr="0087752B" w:rsidRDefault="006016B9" w:rsidP="00A25044">
            <w:pPr>
              <w:pStyle w:val="DETTableTextFinancial"/>
              <w:jc w:val="right"/>
            </w:pPr>
            <w:r w:rsidRPr="0087752B">
              <w:t>4</w:t>
            </w:r>
          </w:p>
        </w:tc>
        <w:tc>
          <w:tcPr>
            <w:tcW w:w="697" w:type="dxa"/>
            <w:tcBorders>
              <w:top w:val="nil"/>
              <w:left w:val="nil"/>
              <w:bottom w:val="nil"/>
              <w:right w:val="single" w:sz="4" w:space="0" w:color="auto"/>
            </w:tcBorders>
            <w:shd w:val="clear" w:color="auto" w:fill="auto"/>
            <w:vAlign w:val="center"/>
          </w:tcPr>
          <w:p w14:paraId="1502DC23" w14:textId="77777777" w:rsidR="006016B9" w:rsidRPr="0087752B" w:rsidRDefault="006016B9" w:rsidP="00A25044">
            <w:pPr>
              <w:pStyle w:val="DETTableTextFinancial"/>
              <w:jc w:val="right"/>
            </w:pPr>
            <w:r w:rsidRPr="0087752B">
              <w:t>7</w:t>
            </w:r>
          </w:p>
        </w:tc>
        <w:tc>
          <w:tcPr>
            <w:tcW w:w="698" w:type="dxa"/>
            <w:tcBorders>
              <w:top w:val="nil"/>
              <w:left w:val="single" w:sz="4" w:space="0" w:color="auto"/>
              <w:bottom w:val="nil"/>
              <w:right w:val="nil"/>
            </w:tcBorders>
            <w:shd w:val="clear" w:color="auto" w:fill="F8F8F8"/>
            <w:vAlign w:val="center"/>
          </w:tcPr>
          <w:p w14:paraId="29C3D96F" w14:textId="77777777" w:rsidR="006016B9" w:rsidRPr="0087752B" w:rsidRDefault="006016B9" w:rsidP="00A25044">
            <w:pPr>
              <w:pStyle w:val="DETTableTextFinancial"/>
              <w:jc w:val="right"/>
            </w:pPr>
            <w:r w:rsidRPr="0087752B">
              <w:t>3</w:t>
            </w:r>
          </w:p>
        </w:tc>
        <w:tc>
          <w:tcPr>
            <w:tcW w:w="585" w:type="dxa"/>
            <w:tcBorders>
              <w:top w:val="nil"/>
              <w:left w:val="nil"/>
              <w:bottom w:val="nil"/>
              <w:right w:val="nil"/>
            </w:tcBorders>
            <w:shd w:val="clear" w:color="auto" w:fill="F8F8F8"/>
            <w:vAlign w:val="center"/>
          </w:tcPr>
          <w:p w14:paraId="597947AF"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center"/>
          </w:tcPr>
          <w:p w14:paraId="1CBFEA4B" w14:textId="77777777" w:rsidR="006016B9" w:rsidRPr="0087752B" w:rsidRDefault="006016B9" w:rsidP="00A25044">
            <w:pPr>
              <w:pStyle w:val="DETTableTextFinancial"/>
              <w:jc w:val="right"/>
            </w:pPr>
            <w:r w:rsidRPr="0087752B">
              <w:t>4</w:t>
            </w:r>
          </w:p>
        </w:tc>
      </w:tr>
      <w:tr w:rsidR="006016B9" w:rsidRPr="0087752B" w14:paraId="24F04D78" w14:textId="77777777" w:rsidTr="00A25044">
        <w:trPr>
          <w:cantSplit/>
          <w:trHeight w:val="454"/>
        </w:trPr>
        <w:tc>
          <w:tcPr>
            <w:tcW w:w="1319" w:type="dxa"/>
            <w:tcBorders>
              <w:top w:val="nil"/>
              <w:left w:val="nil"/>
              <w:bottom w:val="nil"/>
              <w:right w:val="nil"/>
            </w:tcBorders>
            <w:shd w:val="clear" w:color="auto" w:fill="F8F8F8"/>
            <w:vAlign w:val="center"/>
          </w:tcPr>
          <w:p w14:paraId="595B8FD5" w14:textId="77777777" w:rsidR="006016B9" w:rsidRPr="0087752B" w:rsidRDefault="006016B9" w:rsidP="00A25044">
            <w:pPr>
              <w:pStyle w:val="DETTableTextFinancial"/>
            </w:pPr>
            <w:r w:rsidRPr="0087752B">
              <w:t>Bendigo Kangan Institute</w:t>
            </w:r>
          </w:p>
        </w:tc>
        <w:tc>
          <w:tcPr>
            <w:tcW w:w="786" w:type="dxa"/>
            <w:tcBorders>
              <w:top w:val="nil"/>
              <w:left w:val="nil"/>
              <w:bottom w:val="nil"/>
              <w:right w:val="nil"/>
            </w:tcBorders>
            <w:vAlign w:val="bottom"/>
          </w:tcPr>
          <w:p w14:paraId="28A9D6DE" w14:textId="77777777" w:rsidR="006016B9" w:rsidRPr="0087752B" w:rsidRDefault="006016B9" w:rsidP="00A25044">
            <w:pPr>
              <w:pStyle w:val="DETTableTextFinancial"/>
              <w:jc w:val="right"/>
            </w:pPr>
            <w:r w:rsidRPr="0087752B">
              <w:t>4</w:t>
            </w:r>
          </w:p>
        </w:tc>
        <w:tc>
          <w:tcPr>
            <w:tcW w:w="697" w:type="dxa"/>
            <w:tcBorders>
              <w:top w:val="nil"/>
              <w:left w:val="nil"/>
              <w:bottom w:val="nil"/>
              <w:right w:val="nil"/>
            </w:tcBorders>
            <w:vAlign w:val="bottom"/>
          </w:tcPr>
          <w:p w14:paraId="16A4B920" w14:textId="77777777" w:rsidR="006016B9" w:rsidRPr="0087752B" w:rsidRDefault="006016B9" w:rsidP="00A25044">
            <w:pPr>
              <w:pStyle w:val="DETTableTextFinancial"/>
              <w:jc w:val="right"/>
            </w:pPr>
            <w:r w:rsidRPr="0087752B">
              <w:t>6</w:t>
            </w:r>
          </w:p>
        </w:tc>
        <w:tc>
          <w:tcPr>
            <w:tcW w:w="698" w:type="dxa"/>
            <w:tcBorders>
              <w:top w:val="nil"/>
              <w:left w:val="nil"/>
              <w:bottom w:val="nil"/>
              <w:right w:val="single" w:sz="4" w:space="0" w:color="auto"/>
            </w:tcBorders>
            <w:vAlign w:val="bottom"/>
          </w:tcPr>
          <w:p w14:paraId="485EB620" w14:textId="77777777" w:rsidR="006016B9" w:rsidRPr="0087752B" w:rsidRDefault="006016B9" w:rsidP="00A25044">
            <w:pPr>
              <w:pStyle w:val="DETTableTextFinancial"/>
              <w:jc w:val="right"/>
            </w:pPr>
            <w:r w:rsidRPr="0087752B">
              <w:t>10</w:t>
            </w:r>
          </w:p>
        </w:tc>
        <w:tc>
          <w:tcPr>
            <w:tcW w:w="696" w:type="dxa"/>
            <w:tcBorders>
              <w:top w:val="nil"/>
              <w:left w:val="single" w:sz="4" w:space="0" w:color="auto"/>
              <w:bottom w:val="nil"/>
              <w:right w:val="nil"/>
            </w:tcBorders>
            <w:shd w:val="clear" w:color="auto" w:fill="auto"/>
            <w:vAlign w:val="bottom"/>
          </w:tcPr>
          <w:p w14:paraId="747DB79F" w14:textId="77777777" w:rsidR="006016B9" w:rsidRPr="0087752B" w:rsidRDefault="006016B9" w:rsidP="00A25044">
            <w:pPr>
              <w:pStyle w:val="DETTableTextFinancial"/>
              <w:jc w:val="right"/>
            </w:pPr>
            <w:r w:rsidRPr="0087752B">
              <w:t>5</w:t>
            </w:r>
          </w:p>
        </w:tc>
        <w:tc>
          <w:tcPr>
            <w:tcW w:w="699" w:type="dxa"/>
            <w:tcBorders>
              <w:top w:val="nil"/>
              <w:left w:val="nil"/>
              <w:bottom w:val="nil"/>
              <w:right w:val="nil"/>
            </w:tcBorders>
            <w:shd w:val="clear" w:color="auto" w:fill="auto"/>
            <w:vAlign w:val="bottom"/>
          </w:tcPr>
          <w:p w14:paraId="15FA5257" w14:textId="77777777" w:rsidR="006016B9" w:rsidRPr="0087752B" w:rsidRDefault="006016B9" w:rsidP="00A25044">
            <w:pPr>
              <w:pStyle w:val="DETTableTextFinancial"/>
              <w:jc w:val="right"/>
            </w:pPr>
            <w:r w:rsidRPr="0087752B">
              <w:t>6</w:t>
            </w:r>
          </w:p>
        </w:tc>
        <w:tc>
          <w:tcPr>
            <w:tcW w:w="697" w:type="dxa"/>
            <w:tcBorders>
              <w:top w:val="nil"/>
              <w:left w:val="nil"/>
              <w:bottom w:val="nil"/>
              <w:right w:val="single" w:sz="4" w:space="0" w:color="auto"/>
            </w:tcBorders>
            <w:shd w:val="clear" w:color="auto" w:fill="auto"/>
            <w:vAlign w:val="bottom"/>
          </w:tcPr>
          <w:p w14:paraId="3F358595" w14:textId="77777777" w:rsidR="006016B9" w:rsidRPr="0087752B" w:rsidRDefault="006016B9" w:rsidP="00A25044">
            <w:pPr>
              <w:pStyle w:val="DETTableTextFinancial"/>
              <w:jc w:val="right"/>
            </w:pPr>
            <w:r w:rsidRPr="0087752B">
              <w:t>11</w:t>
            </w:r>
          </w:p>
        </w:tc>
        <w:tc>
          <w:tcPr>
            <w:tcW w:w="698" w:type="dxa"/>
            <w:tcBorders>
              <w:top w:val="nil"/>
              <w:left w:val="single" w:sz="4" w:space="0" w:color="auto"/>
              <w:bottom w:val="nil"/>
              <w:right w:val="nil"/>
            </w:tcBorders>
            <w:shd w:val="clear" w:color="auto" w:fill="F8F8F8"/>
            <w:vAlign w:val="bottom"/>
          </w:tcPr>
          <w:p w14:paraId="035284E4"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0FC0D78D"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741A02F4" w14:textId="77777777" w:rsidR="006016B9" w:rsidRPr="0087752B" w:rsidRDefault="006016B9" w:rsidP="00A25044">
            <w:pPr>
              <w:pStyle w:val="DETTableTextFinancial"/>
              <w:jc w:val="right"/>
            </w:pPr>
            <w:r w:rsidRPr="0087752B">
              <w:t>-1</w:t>
            </w:r>
          </w:p>
        </w:tc>
      </w:tr>
      <w:tr w:rsidR="006016B9" w:rsidRPr="0087752B" w14:paraId="10FC5FD1" w14:textId="77777777" w:rsidTr="00A25044">
        <w:trPr>
          <w:cantSplit/>
          <w:trHeight w:val="454"/>
        </w:trPr>
        <w:tc>
          <w:tcPr>
            <w:tcW w:w="1319" w:type="dxa"/>
            <w:tcBorders>
              <w:top w:val="nil"/>
              <w:left w:val="nil"/>
              <w:bottom w:val="nil"/>
              <w:right w:val="nil"/>
            </w:tcBorders>
            <w:shd w:val="clear" w:color="auto" w:fill="F8F8F8"/>
            <w:vAlign w:val="center"/>
          </w:tcPr>
          <w:p w14:paraId="31D8ADC4" w14:textId="77777777" w:rsidR="006016B9" w:rsidRPr="0087752B" w:rsidRDefault="006016B9" w:rsidP="00A25044">
            <w:pPr>
              <w:pStyle w:val="DETTableTextFinancial"/>
            </w:pPr>
            <w:r w:rsidRPr="0087752B">
              <w:t>Box Hill Institute</w:t>
            </w:r>
          </w:p>
        </w:tc>
        <w:tc>
          <w:tcPr>
            <w:tcW w:w="786" w:type="dxa"/>
            <w:tcBorders>
              <w:top w:val="nil"/>
              <w:left w:val="nil"/>
              <w:bottom w:val="nil"/>
              <w:right w:val="nil"/>
            </w:tcBorders>
            <w:vAlign w:val="bottom"/>
          </w:tcPr>
          <w:p w14:paraId="608F0261" w14:textId="77777777" w:rsidR="006016B9" w:rsidRPr="0087752B" w:rsidRDefault="006016B9" w:rsidP="00A25044">
            <w:pPr>
              <w:pStyle w:val="DETTableTextFinancial"/>
              <w:jc w:val="right"/>
            </w:pPr>
            <w:r w:rsidRPr="0087752B">
              <w:t>8</w:t>
            </w:r>
          </w:p>
        </w:tc>
        <w:tc>
          <w:tcPr>
            <w:tcW w:w="697" w:type="dxa"/>
            <w:tcBorders>
              <w:top w:val="nil"/>
              <w:left w:val="nil"/>
              <w:bottom w:val="nil"/>
              <w:right w:val="nil"/>
            </w:tcBorders>
            <w:vAlign w:val="bottom"/>
          </w:tcPr>
          <w:p w14:paraId="695B3CB2" w14:textId="77777777" w:rsidR="006016B9" w:rsidRPr="0087752B" w:rsidRDefault="006016B9" w:rsidP="00A25044">
            <w:pPr>
              <w:pStyle w:val="DETTableTextFinancial"/>
              <w:jc w:val="right"/>
            </w:pPr>
            <w:r w:rsidRPr="0087752B">
              <w:t>5</w:t>
            </w:r>
          </w:p>
        </w:tc>
        <w:tc>
          <w:tcPr>
            <w:tcW w:w="698" w:type="dxa"/>
            <w:tcBorders>
              <w:top w:val="nil"/>
              <w:left w:val="nil"/>
              <w:bottom w:val="nil"/>
              <w:right w:val="single" w:sz="4" w:space="0" w:color="auto"/>
            </w:tcBorders>
            <w:vAlign w:val="bottom"/>
          </w:tcPr>
          <w:p w14:paraId="6C34635C" w14:textId="77777777" w:rsidR="006016B9" w:rsidRPr="0087752B" w:rsidRDefault="006016B9" w:rsidP="00A25044">
            <w:pPr>
              <w:pStyle w:val="DETTableTextFinancial"/>
              <w:jc w:val="right"/>
            </w:pPr>
            <w:r w:rsidRPr="0087752B">
              <w:t>13</w:t>
            </w:r>
          </w:p>
        </w:tc>
        <w:tc>
          <w:tcPr>
            <w:tcW w:w="696" w:type="dxa"/>
            <w:tcBorders>
              <w:top w:val="nil"/>
              <w:left w:val="single" w:sz="4" w:space="0" w:color="auto"/>
              <w:bottom w:val="nil"/>
              <w:right w:val="nil"/>
            </w:tcBorders>
            <w:shd w:val="clear" w:color="auto" w:fill="auto"/>
            <w:vAlign w:val="bottom"/>
          </w:tcPr>
          <w:p w14:paraId="30D4B370" w14:textId="77777777" w:rsidR="006016B9" w:rsidRPr="0087752B" w:rsidRDefault="006016B9" w:rsidP="00A25044">
            <w:pPr>
              <w:pStyle w:val="DETTableTextFinancial"/>
              <w:jc w:val="right"/>
            </w:pPr>
            <w:r w:rsidRPr="0087752B">
              <w:t>6</w:t>
            </w:r>
          </w:p>
        </w:tc>
        <w:tc>
          <w:tcPr>
            <w:tcW w:w="699" w:type="dxa"/>
            <w:tcBorders>
              <w:top w:val="nil"/>
              <w:left w:val="nil"/>
              <w:bottom w:val="nil"/>
              <w:right w:val="nil"/>
            </w:tcBorders>
            <w:shd w:val="clear" w:color="auto" w:fill="auto"/>
            <w:vAlign w:val="bottom"/>
          </w:tcPr>
          <w:p w14:paraId="6AF4A2A1" w14:textId="77777777" w:rsidR="006016B9" w:rsidRPr="0087752B" w:rsidRDefault="006016B9" w:rsidP="00A25044">
            <w:pPr>
              <w:pStyle w:val="DETTableTextFinancial"/>
              <w:jc w:val="right"/>
            </w:pPr>
            <w:r w:rsidRPr="0087752B">
              <w:t>6</w:t>
            </w:r>
          </w:p>
        </w:tc>
        <w:tc>
          <w:tcPr>
            <w:tcW w:w="697" w:type="dxa"/>
            <w:tcBorders>
              <w:top w:val="nil"/>
              <w:left w:val="nil"/>
              <w:bottom w:val="nil"/>
              <w:right w:val="single" w:sz="4" w:space="0" w:color="auto"/>
            </w:tcBorders>
            <w:shd w:val="clear" w:color="auto" w:fill="auto"/>
            <w:vAlign w:val="bottom"/>
          </w:tcPr>
          <w:p w14:paraId="460FFD9D" w14:textId="77777777" w:rsidR="006016B9" w:rsidRPr="0087752B" w:rsidRDefault="006016B9" w:rsidP="00A25044">
            <w:pPr>
              <w:pStyle w:val="DETTableTextFinancial"/>
              <w:jc w:val="right"/>
            </w:pPr>
            <w:r w:rsidRPr="0087752B">
              <w:t>12</w:t>
            </w:r>
          </w:p>
        </w:tc>
        <w:tc>
          <w:tcPr>
            <w:tcW w:w="698" w:type="dxa"/>
            <w:tcBorders>
              <w:top w:val="nil"/>
              <w:left w:val="single" w:sz="4" w:space="0" w:color="auto"/>
              <w:bottom w:val="nil"/>
              <w:right w:val="nil"/>
            </w:tcBorders>
            <w:shd w:val="clear" w:color="auto" w:fill="F8F8F8"/>
            <w:vAlign w:val="bottom"/>
          </w:tcPr>
          <w:p w14:paraId="6E814514" w14:textId="77777777" w:rsidR="006016B9" w:rsidRPr="0087752B" w:rsidRDefault="006016B9" w:rsidP="00A25044">
            <w:pPr>
              <w:pStyle w:val="DETTableTextFinancial"/>
              <w:jc w:val="right"/>
            </w:pPr>
            <w:r w:rsidRPr="0087752B">
              <w:t>2</w:t>
            </w:r>
          </w:p>
        </w:tc>
        <w:tc>
          <w:tcPr>
            <w:tcW w:w="585" w:type="dxa"/>
            <w:tcBorders>
              <w:top w:val="nil"/>
              <w:left w:val="nil"/>
              <w:bottom w:val="nil"/>
              <w:right w:val="nil"/>
            </w:tcBorders>
            <w:shd w:val="clear" w:color="auto" w:fill="F8F8F8"/>
            <w:vAlign w:val="bottom"/>
          </w:tcPr>
          <w:p w14:paraId="7043F052"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796774E5" w14:textId="77777777" w:rsidR="006016B9" w:rsidRPr="0087752B" w:rsidRDefault="006016B9" w:rsidP="00A25044">
            <w:pPr>
              <w:pStyle w:val="DETTableTextFinancial"/>
              <w:jc w:val="right"/>
            </w:pPr>
            <w:r w:rsidRPr="0087752B">
              <w:t>1</w:t>
            </w:r>
          </w:p>
        </w:tc>
      </w:tr>
      <w:tr w:rsidR="006016B9" w:rsidRPr="0087752B" w14:paraId="3686E962" w14:textId="77777777" w:rsidTr="00A25044">
        <w:trPr>
          <w:cantSplit/>
          <w:trHeight w:val="454"/>
        </w:trPr>
        <w:tc>
          <w:tcPr>
            <w:tcW w:w="1319" w:type="dxa"/>
            <w:tcBorders>
              <w:top w:val="nil"/>
              <w:left w:val="nil"/>
              <w:bottom w:val="nil"/>
              <w:right w:val="nil"/>
            </w:tcBorders>
            <w:shd w:val="clear" w:color="auto" w:fill="F8F8F8"/>
            <w:vAlign w:val="center"/>
          </w:tcPr>
          <w:p w14:paraId="3CF49AAF" w14:textId="77777777" w:rsidR="006016B9" w:rsidRPr="0087752B" w:rsidRDefault="006016B9" w:rsidP="00A25044">
            <w:pPr>
              <w:pStyle w:val="DETTableTextFinancial"/>
            </w:pPr>
            <w:r w:rsidRPr="0087752B">
              <w:t>Centre for Adult Education</w:t>
            </w:r>
          </w:p>
        </w:tc>
        <w:tc>
          <w:tcPr>
            <w:tcW w:w="786" w:type="dxa"/>
            <w:tcBorders>
              <w:top w:val="nil"/>
              <w:left w:val="nil"/>
              <w:bottom w:val="nil"/>
              <w:right w:val="nil"/>
            </w:tcBorders>
            <w:vAlign w:val="bottom"/>
          </w:tcPr>
          <w:p w14:paraId="0EDF098A" w14:textId="453BC51C" w:rsidR="006016B9" w:rsidRPr="0087752B" w:rsidRDefault="00724B68" w:rsidP="00A25044">
            <w:pPr>
              <w:pStyle w:val="DETTableTextFinancial"/>
              <w:jc w:val="right"/>
            </w:pPr>
            <w:r>
              <w:t>0</w:t>
            </w:r>
          </w:p>
        </w:tc>
        <w:tc>
          <w:tcPr>
            <w:tcW w:w="697" w:type="dxa"/>
            <w:tcBorders>
              <w:top w:val="nil"/>
              <w:left w:val="nil"/>
              <w:bottom w:val="nil"/>
              <w:right w:val="nil"/>
            </w:tcBorders>
            <w:vAlign w:val="bottom"/>
          </w:tcPr>
          <w:p w14:paraId="1D7D9E12" w14:textId="16B1476F" w:rsidR="006016B9" w:rsidRPr="0087752B" w:rsidRDefault="00724B68" w:rsidP="00A25044">
            <w:pPr>
              <w:pStyle w:val="DETTableTextFinancial"/>
              <w:jc w:val="right"/>
            </w:pPr>
            <w:r>
              <w:t>0</w:t>
            </w:r>
          </w:p>
        </w:tc>
        <w:tc>
          <w:tcPr>
            <w:tcW w:w="698" w:type="dxa"/>
            <w:tcBorders>
              <w:top w:val="nil"/>
              <w:left w:val="nil"/>
              <w:bottom w:val="nil"/>
              <w:right w:val="single" w:sz="4" w:space="0" w:color="auto"/>
            </w:tcBorders>
            <w:vAlign w:val="bottom"/>
          </w:tcPr>
          <w:p w14:paraId="7725CF15" w14:textId="77777777" w:rsidR="006016B9" w:rsidRPr="0087752B" w:rsidRDefault="006016B9" w:rsidP="00A25044">
            <w:pPr>
              <w:pStyle w:val="DETTableTextFinancial"/>
              <w:jc w:val="right"/>
            </w:pPr>
            <w:r w:rsidRPr="0087752B">
              <w:t>0</w:t>
            </w:r>
          </w:p>
        </w:tc>
        <w:tc>
          <w:tcPr>
            <w:tcW w:w="696" w:type="dxa"/>
            <w:tcBorders>
              <w:top w:val="nil"/>
              <w:left w:val="single" w:sz="4" w:space="0" w:color="auto"/>
              <w:bottom w:val="nil"/>
              <w:right w:val="nil"/>
            </w:tcBorders>
            <w:shd w:val="clear" w:color="auto" w:fill="auto"/>
            <w:vAlign w:val="bottom"/>
          </w:tcPr>
          <w:p w14:paraId="008661D4" w14:textId="77777777" w:rsidR="006016B9" w:rsidRPr="0087752B" w:rsidRDefault="006016B9" w:rsidP="00A25044">
            <w:pPr>
              <w:pStyle w:val="DETTableTextFinancial"/>
              <w:jc w:val="right"/>
            </w:pPr>
            <w:r w:rsidRPr="0087752B">
              <w:t>0</w:t>
            </w:r>
          </w:p>
        </w:tc>
        <w:tc>
          <w:tcPr>
            <w:tcW w:w="699" w:type="dxa"/>
            <w:tcBorders>
              <w:top w:val="nil"/>
              <w:left w:val="nil"/>
              <w:bottom w:val="nil"/>
              <w:right w:val="nil"/>
            </w:tcBorders>
            <w:shd w:val="clear" w:color="auto" w:fill="auto"/>
            <w:vAlign w:val="bottom"/>
          </w:tcPr>
          <w:p w14:paraId="3E63A59B" w14:textId="77777777" w:rsidR="006016B9" w:rsidRPr="0087752B" w:rsidRDefault="006016B9" w:rsidP="00A25044">
            <w:pPr>
              <w:pStyle w:val="DETTableTextFinancial"/>
              <w:jc w:val="right"/>
            </w:pPr>
            <w:r w:rsidRPr="0087752B">
              <w:t>0</w:t>
            </w:r>
          </w:p>
        </w:tc>
        <w:tc>
          <w:tcPr>
            <w:tcW w:w="697" w:type="dxa"/>
            <w:tcBorders>
              <w:top w:val="nil"/>
              <w:left w:val="nil"/>
              <w:bottom w:val="nil"/>
              <w:right w:val="single" w:sz="4" w:space="0" w:color="auto"/>
            </w:tcBorders>
            <w:shd w:val="clear" w:color="auto" w:fill="auto"/>
            <w:vAlign w:val="bottom"/>
          </w:tcPr>
          <w:p w14:paraId="0FD50FDE" w14:textId="77777777" w:rsidR="006016B9" w:rsidRPr="0087752B" w:rsidRDefault="006016B9" w:rsidP="00A25044">
            <w:pPr>
              <w:pStyle w:val="DETTableTextFinancial"/>
              <w:jc w:val="right"/>
            </w:pPr>
            <w:r w:rsidRPr="0087752B">
              <w:t>0</w:t>
            </w:r>
          </w:p>
        </w:tc>
        <w:tc>
          <w:tcPr>
            <w:tcW w:w="698" w:type="dxa"/>
            <w:tcBorders>
              <w:top w:val="nil"/>
              <w:left w:val="single" w:sz="4" w:space="0" w:color="auto"/>
              <w:bottom w:val="nil"/>
              <w:right w:val="nil"/>
            </w:tcBorders>
            <w:shd w:val="clear" w:color="auto" w:fill="F8F8F8"/>
            <w:vAlign w:val="bottom"/>
          </w:tcPr>
          <w:p w14:paraId="7BCE6D72" w14:textId="77777777" w:rsidR="006016B9" w:rsidRPr="0087752B" w:rsidRDefault="006016B9" w:rsidP="00A25044">
            <w:pPr>
              <w:pStyle w:val="DETTableTextFinancial"/>
              <w:jc w:val="right"/>
            </w:pPr>
            <w:r w:rsidRPr="0087752B">
              <w:t>0</w:t>
            </w:r>
          </w:p>
        </w:tc>
        <w:tc>
          <w:tcPr>
            <w:tcW w:w="585" w:type="dxa"/>
            <w:tcBorders>
              <w:top w:val="nil"/>
              <w:left w:val="nil"/>
              <w:bottom w:val="nil"/>
              <w:right w:val="nil"/>
            </w:tcBorders>
            <w:shd w:val="clear" w:color="auto" w:fill="F8F8F8"/>
            <w:vAlign w:val="bottom"/>
          </w:tcPr>
          <w:p w14:paraId="3949984A"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57641BAF" w14:textId="77777777" w:rsidR="006016B9" w:rsidRPr="0087752B" w:rsidRDefault="006016B9" w:rsidP="00A25044">
            <w:pPr>
              <w:pStyle w:val="DETTableTextFinancial"/>
              <w:jc w:val="right"/>
            </w:pPr>
            <w:r w:rsidRPr="0087752B">
              <w:t>0</w:t>
            </w:r>
          </w:p>
        </w:tc>
      </w:tr>
      <w:tr w:rsidR="006016B9" w:rsidRPr="0087752B" w14:paraId="7E21FABC" w14:textId="77777777" w:rsidTr="00A25044">
        <w:trPr>
          <w:cantSplit/>
          <w:trHeight w:val="454"/>
        </w:trPr>
        <w:tc>
          <w:tcPr>
            <w:tcW w:w="1319" w:type="dxa"/>
            <w:tcBorders>
              <w:top w:val="nil"/>
              <w:left w:val="nil"/>
              <w:bottom w:val="nil"/>
              <w:right w:val="nil"/>
            </w:tcBorders>
            <w:shd w:val="clear" w:color="auto" w:fill="F8F8F8"/>
            <w:vAlign w:val="center"/>
          </w:tcPr>
          <w:p w14:paraId="70B42226" w14:textId="77777777" w:rsidR="006016B9" w:rsidRPr="0087752B" w:rsidRDefault="006016B9" w:rsidP="00A25044">
            <w:pPr>
              <w:pStyle w:val="DETTableTextFinancial"/>
            </w:pPr>
            <w:r w:rsidRPr="0087752B">
              <w:t>Chisholm Institute</w:t>
            </w:r>
          </w:p>
        </w:tc>
        <w:tc>
          <w:tcPr>
            <w:tcW w:w="786" w:type="dxa"/>
            <w:tcBorders>
              <w:top w:val="nil"/>
              <w:left w:val="nil"/>
              <w:bottom w:val="nil"/>
              <w:right w:val="nil"/>
            </w:tcBorders>
            <w:vAlign w:val="bottom"/>
          </w:tcPr>
          <w:p w14:paraId="498F0BEF" w14:textId="77777777" w:rsidR="006016B9" w:rsidRPr="0087752B" w:rsidRDefault="006016B9" w:rsidP="00A25044">
            <w:pPr>
              <w:pStyle w:val="DETTableTextFinancial"/>
              <w:jc w:val="right"/>
            </w:pPr>
            <w:r w:rsidRPr="0087752B">
              <w:t>6</w:t>
            </w:r>
          </w:p>
        </w:tc>
        <w:tc>
          <w:tcPr>
            <w:tcW w:w="697" w:type="dxa"/>
            <w:tcBorders>
              <w:top w:val="nil"/>
              <w:left w:val="nil"/>
              <w:bottom w:val="nil"/>
              <w:right w:val="nil"/>
            </w:tcBorders>
            <w:vAlign w:val="bottom"/>
          </w:tcPr>
          <w:p w14:paraId="0FC99AAE" w14:textId="77777777" w:rsidR="006016B9" w:rsidRPr="0087752B" w:rsidRDefault="006016B9" w:rsidP="00A25044">
            <w:pPr>
              <w:pStyle w:val="DETTableTextFinancial"/>
              <w:jc w:val="right"/>
            </w:pPr>
            <w:r w:rsidRPr="0087752B">
              <w:t>5</w:t>
            </w:r>
          </w:p>
        </w:tc>
        <w:tc>
          <w:tcPr>
            <w:tcW w:w="698" w:type="dxa"/>
            <w:tcBorders>
              <w:top w:val="nil"/>
              <w:left w:val="nil"/>
              <w:bottom w:val="nil"/>
              <w:right w:val="single" w:sz="4" w:space="0" w:color="auto"/>
            </w:tcBorders>
            <w:vAlign w:val="bottom"/>
          </w:tcPr>
          <w:p w14:paraId="443FCA4B" w14:textId="77777777" w:rsidR="006016B9" w:rsidRPr="0087752B" w:rsidRDefault="006016B9" w:rsidP="00A25044">
            <w:pPr>
              <w:pStyle w:val="DETTableTextFinancial"/>
              <w:jc w:val="right"/>
            </w:pPr>
            <w:r w:rsidRPr="0087752B">
              <w:t>11</w:t>
            </w:r>
          </w:p>
        </w:tc>
        <w:tc>
          <w:tcPr>
            <w:tcW w:w="696" w:type="dxa"/>
            <w:tcBorders>
              <w:top w:val="nil"/>
              <w:left w:val="single" w:sz="4" w:space="0" w:color="auto"/>
              <w:bottom w:val="nil"/>
              <w:right w:val="nil"/>
            </w:tcBorders>
            <w:shd w:val="clear" w:color="auto" w:fill="auto"/>
            <w:vAlign w:val="bottom"/>
          </w:tcPr>
          <w:p w14:paraId="5E408B37" w14:textId="77777777" w:rsidR="006016B9" w:rsidRPr="0087752B" w:rsidRDefault="006016B9" w:rsidP="00A25044">
            <w:pPr>
              <w:pStyle w:val="DETTableTextFinancial"/>
              <w:jc w:val="right"/>
            </w:pPr>
            <w:r w:rsidRPr="0087752B">
              <w:t>5</w:t>
            </w:r>
          </w:p>
        </w:tc>
        <w:tc>
          <w:tcPr>
            <w:tcW w:w="699" w:type="dxa"/>
            <w:tcBorders>
              <w:top w:val="nil"/>
              <w:left w:val="nil"/>
              <w:bottom w:val="nil"/>
              <w:right w:val="nil"/>
            </w:tcBorders>
            <w:shd w:val="clear" w:color="auto" w:fill="auto"/>
            <w:vAlign w:val="bottom"/>
          </w:tcPr>
          <w:p w14:paraId="6D29B35D" w14:textId="77777777" w:rsidR="006016B9" w:rsidRPr="0087752B" w:rsidRDefault="006016B9" w:rsidP="00A25044">
            <w:pPr>
              <w:pStyle w:val="DETTableTextFinancial"/>
              <w:jc w:val="right"/>
            </w:pPr>
            <w:r w:rsidRPr="0087752B">
              <w:t>5</w:t>
            </w:r>
          </w:p>
        </w:tc>
        <w:tc>
          <w:tcPr>
            <w:tcW w:w="697" w:type="dxa"/>
            <w:tcBorders>
              <w:top w:val="nil"/>
              <w:left w:val="nil"/>
              <w:bottom w:val="nil"/>
              <w:right w:val="single" w:sz="4" w:space="0" w:color="auto"/>
            </w:tcBorders>
            <w:shd w:val="clear" w:color="auto" w:fill="auto"/>
            <w:vAlign w:val="bottom"/>
          </w:tcPr>
          <w:p w14:paraId="73D2F6AF" w14:textId="77777777" w:rsidR="006016B9" w:rsidRPr="0087752B" w:rsidRDefault="006016B9" w:rsidP="00A25044">
            <w:pPr>
              <w:pStyle w:val="DETTableTextFinancial"/>
              <w:jc w:val="right"/>
            </w:pPr>
            <w:r w:rsidRPr="0087752B">
              <w:t>10</w:t>
            </w:r>
          </w:p>
        </w:tc>
        <w:tc>
          <w:tcPr>
            <w:tcW w:w="698" w:type="dxa"/>
            <w:tcBorders>
              <w:top w:val="nil"/>
              <w:left w:val="single" w:sz="4" w:space="0" w:color="auto"/>
              <w:bottom w:val="nil"/>
              <w:right w:val="nil"/>
            </w:tcBorders>
            <w:shd w:val="clear" w:color="auto" w:fill="F8F8F8"/>
            <w:vAlign w:val="bottom"/>
          </w:tcPr>
          <w:p w14:paraId="7F4E9A2C"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057D7AE8"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39E0BF91" w14:textId="77777777" w:rsidR="006016B9" w:rsidRPr="0087752B" w:rsidRDefault="006016B9" w:rsidP="00A25044">
            <w:pPr>
              <w:pStyle w:val="DETTableTextFinancial"/>
              <w:jc w:val="right"/>
            </w:pPr>
            <w:r w:rsidRPr="0087752B">
              <w:t>1</w:t>
            </w:r>
          </w:p>
        </w:tc>
      </w:tr>
      <w:tr w:rsidR="006016B9" w:rsidRPr="0087752B" w14:paraId="1150C2DE" w14:textId="77777777" w:rsidTr="00A25044">
        <w:trPr>
          <w:cantSplit/>
          <w:trHeight w:val="454"/>
        </w:trPr>
        <w:tc>
          <w:tcPr>
            <w:tcW w:w="1319" w:type="dxa"/>
            <w:tcBorders>
              <w:top w:val="nil"/>
              <w:left w:val="nil"/>
              <w:bottom w:val="nil"/>
              <w:right w:val="nil"/>
            </w:tcBorders>
            <w:shd w:val="clear" w:color="auto" w:fill="F8F8F8"/>
            <w:vAlign w:val="center"/>
          </w:tcPr>
          <w:p w14:paraId="789CEF10" w14:textId="77777777" w:rsidR="006016B9" w:rsidRPr="0087752B" w:rsidRDefault="006016B9" w:rsidP="00A25044">
            <w:pPr>
              <w:pStyle w:val="DETTableTextFinancial"/>
            </w:pPr>
            <w:r w:rsidRPr="0087752B">
              <w:t>Federation Training Institute</w:t>
            </w:r>
          </w:p>
        </w:tc>
        <w:tc>
          <w:tcPr>
            <w:tcW w:w="786" w:type="dxa"/>
            <w:tcBorders>
              <w:top w:val="nil"/>
              <w:left w:val="nil"/>
              <w:bottom w:val="nil"/>
              <w:right w:val="nil"/>
            </w:tcBorders>
            <w:vAlign w:val="bottom"/>
          </w:tcPr>
          <w:p w14:paraId="378C20E4" w14:textId="77777777" w:rsidR="006016B9" w:rsidRPr="0087752B" w:rsidRDefault="006016B9" w:rsidP="00A25044">
            <w:pPr>
              <w:pStyle w:val="DETTableTextFinancial"/>
              <w:jc w:val="right"/>
            </w:pPr>
            <w:r w:rsidRPr="0087752B">
              <w:t>3</w:t>
            </w:r>
          </w:p>
        </w:tc>
        <w:tc>
          <w:tcPr>
            <w:tcW w:w="697" w:type="dxa"/>
            <w:tcBorders>
              <w:top w:val="nil"/>
              <w:left w:val="nil"/>
              <w:bottom w:val="nil"/>
              <w:right w:val="nil"/>
            </w:tcBorders>
            <w:vAlign w:val="bottom"/>
          </w:tcPr>
          <w:p w14:paraId="15D689D9" w14:textId="77777777" w:rsidR="006016B9" w:rsidRPr="0087752B" w:rsidRDefault="006016B9" w:rsidP="00A25044">
            <w:pPr>
              <w:pStyle w:val="DETTableTextFinancial"/>
              <w:jc w:val="right"/>
            </w:pPr>
            <w:r w:rsidRPr="0087752B">
              <w:t>3</w:t>
            </w:r>
          </w:p>
        </w:tc>
        <w:tc>
          <w:tcPr>
            <w:tcW w:w="698" w:type="dxa"/>
            <w:tcBorders>
              <w:top w:val="nil"/>
              <w:left w:val="nil"/>
              <w:bottom w:val="nil"/>
              <w:right w:val="single" w:sz="4" w:space="0" w:color="auto"/>
            </w:tcBorders>
            <w:vAlign w:val="bottom"/>
          </w:tcPr>
          <w:p w14:paraId="6272F417" w14:textId="77777777" w:rsidR="006016B9" w:rsidRPr="0087752B" w:rsidRDefault="006016B9" w:rsidP="00A25044">
            <w:pPr>
              <w:pStyle w:val="DETTableTextFinancial"/>
              <w:jc w:val="right"/>
            </w:pPr>
            <w:r w:rsidRPr="0087752B">
              <w:t>6</w:t>
            </w:r>
          </w:p>
        </w:tc>
        <w:tc>
          <w:tcPr>
            <w:tcW w:w="696" w:type="dxa"/>
            <w:tcBorders>
              <w:top w:val="nil"/>
              <w:left w:val="single" w:sz="4" w:space="0" w:color="auto"/>
              <w:bottom w:val="nil"/>
              <w:right w:val="nil"/>
            </w:tcBorders>
            <w:shd w:val="clear" w:color="auto" w:fill="auto"/>
            <w:vAlign w:val="bottom"/>
          </w:tcPr>
          <w:p w14:paraId="6F0B0147" w14:textId="77777777" w:rsidR="006016B9" w:rsidRPr="0087752B" w:rsidRDefault="006016B9" w:rsidP="00A25044">
            <w:pPr>
              <w:pStyle w:val="DETTableTextFinancial"/>
              <w:jc w:val="right"/>
            </w:pPr>
            <w:r w:rsidRPr="0087752B">
              <w:t>2</w:t>
            </w:r>
          </w:p>
        </w:tc>
        <w:tc>
          <w:tcPr>
            <w:tcW w:w="699" w:type="dxa"/>
            <w:tcBorders>
              <w:top w:val="nil"/>
              <w:left w:val="nil"/>
              <w:bottom w:val="nil"/>
              <w:right w:val="nil"/>
            </w:tcBorders>
            <w:shd w:val="clear" w:color="auto" w:fill="auto"/>
            <w:vAlign w:val="bottom"/>
          </w:tcPr>
          <w:p w14:paraId="143CE25A" w14:textId="77777777" w:rsidR="006016B9" w:rsidRPr="0087752B" w:rsidRDefault="006016B9" w:rsidP="00A25044">
            <w:pPr>
              <w:pStyle w:val="DETTableTextFinancial"/>
              <w:jc w:val="right"/>
            </w:pPr>
            <w:r w:rsidRPr="0087752B">
              <w:t>2</w:t>
            </w:r>
          </w:p>
        </w:tc>
        <w:tc>
          <w:tcPr>
            <w:tcW w:w="697" w:type="dxa"/>
            <w:tcBorders>
              <w:top w:val="nil"/>
              <w:left w:val="nil"/>
              <w:bottom w:val="nil"/>
              <w:right w:val="single" w:sz="4" w:space="0" w:color="auto"/>
            </w:tcBorders>
            <w:shd w:val="clear" w:color="auto" w:fill="auto"/>
            <w:vAlign w:val="bottom"/>
          </w:tcPr>
          <w:p w14:paraId="7EC45D59" w14:textId="77777777" w:rsidR="006016B9" w:rsidRPr="0087752B" w:rsidRDefault="006016B9" w:rsidP="00A25044">
            <w:pPr>
              <w:pStyle w:val="DETTableTextFinancial"/>
              <w:jc w:val="right"/>
            </w:pPr>
            <w:r w:rsidRPr="0087752B">
              <w:t>4</w:t>
            </w:r>
          </w:p>
        </w:tc>
        <w:tc>
          <w:tcPr>
            <w:tcW w:w="698" w:type="dxa"/>
            <w:tcBorders>
              <w:top w:val="nil"/>
              <w:left w:val="single" w:sz="4" w:space="0" w:color="auto"/>
              <w:bottom w:val="nil"/>
              <w:right w:val="nil"/>
            </w:tcBorders>
            <w:shd w:val="clear" w:color="auto" w:fill="F8F8F8"/>
            <w:vAlign w:val="bottom"/>
          </w:tcPr>
          <w:p w14:paraId="4E3E2A8C"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41F32995"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288F021C" w14:textId="77777777" w:rsidR="006016B9" w:rsidRPr="0087752B" w:rsidRDefault="006016B9" w:rsidP="00A25044">
            <w:pPr>
              <w:pStyle w:val="DETTableTextFinancial"/>
              <w:jc w:val="right"/>
            </w:pPr>
            <w:r w:rsidRPr="0087752B">
              <w:t>2</w:t>
            </w:r>
          </w:p>
        </w:tc>
      </w:tr>
      <w:tr w:rsidR="006016B9" w:rsidRPr="0087752B" w14:paraId="1635A376" w14:textId="77777777" w:rsidTr="00A25044">
        <w:trPr>
          <w:cantSplit/>
          <w:trHeight w:val="454"/>
        </w:trPr>
        <w:tc>
          <w:tcPr>
            <w:tcW w:w="1319" w:type="dxa"/>
            <w:tcBorders>
              <w:top w:val="nil"/>
              <w:left w:val="nil"/>
              <w:bottom w:val="nil"/>
              <w:right w:val="nil"/>
            </w:tcBorders>
            <w:shd w:val="clear" w:color="auto" w:fill="F8F8F8"/>
            <w:vAlign w:val="center"/>
          </w:tcPr>
          <w:p w14:paraId="62507831" w14:textId="77777777" w:rsidR="006016B9" w:rsidRPr="0087752B" w:rsidRDefault="006016B9" w:rsidP="00A25044">
            <w:pPr>
              <w:pStyle w:val="DETTableTextFinancial"/>
            </w:pPr>
            <w:r w:rsidRPr="0087752B">
              <w:t>Gordon Institute of TAFE</w:t>
            </w:r>
          </w:p>
        </w:tc>
        <w:tc>
          <w:tcPr>
            <w:tcW w:w="786" w:type="dxa"/>
            <w:tcBorders>
              <w:top w:val="nil"/>
              <w:left w:val="nil"/>
              <w:bottom w:val="nil"/>
              <w:right w:val="nil"/>
            </w:tcBorders>
            <w:vAlign w:val="bottom"/>
          </w:tcPr>
          <w:p w14:paraId="441FDCD2" w14:textId="77777777" w:rsidR="006016B9" w:rsidRPr="0087752B" w:rsidRDefault="006016B9" w:rsidP="00A25044">
            <w:pPr>
              <w:pStyle w:val="DETTableTextFinancial"/>
              <w:jc w:val="right"/>
            </w:pPr>
            <w:r w:rsidRPr="0087752B">
              <w:t>3</w:t>
            </w:r>
          </w:p>
        </w:tc>
        <w:tc>
          <w:tcPr>
            <w:tcW w:w="697" w:type="dxa"/>
            <w:tcBorders>
              <w:top w:val="nil"/>
              <w:left w:val="nil"/>
              <w:bottom w:val="nil"/>
              <w:right w:val="nil"/>
            </w:tcBorders>
            <w:vAlign w:val="bottom"/>
          </w:tcPr>
          <w:p w14:paraId="15674925" w14:textId="77777777" w:rsidR="006016B9" w:rsidRPr="0087752B" w:rsidRDefault="006016B9" w:rsidP="00A25044">
            <w:pPr>
              <w:pStyle w:val="DETTableTextFinancial"/>
              <w:jc w:val="right"/>
            </w:pPr>
            <w:r w:rsidRPr="0087752B">
              <w:t>1</w:t>
            </w:r>
          </w:p>
        </w:tc>
        <w:tc>
          <w:tcPr>
            <w:tcW w:w="698" w:type="dxa"/>
            <w:tcBorders>
              <w:top w:val="nil"/>
              <w:left w:val="nil"/>
              <w:bottom w:val="nil"/>
              <w:right w:val="single" w:sz="4" w:space="0" w:color="auto"/>
            </w:tcBorders>
            <w:vAlign w:val="bottom"/>
          </w:tcPr>
          <w:p w14:paraId="366DD6A6" w14:textId="77777777" w:rsidR="006016B9" w:rsidRPr="0087752B" w:rsidRDefault="006016B9" w:rsidP="00A25044">
            <w:pPr>
              <w:pStyle w:val="DETTableTextFinancial"/>
              <w:jc w:val="right"/>
            </w:pPr>
            <w:r w:rsidRPr="0087752B">
              <w:t>4</w:t>
            </w:r>
          </w:p>
        </w:tc>
        <w:tc>
          <w:tcPr>
            <w:tcW w:w="696" w:type="dxa"/>
            <w:tcBorders>
              <w:top w:val="nil"/>
              <w:left w:val="single" w:sz="4" w:space="0" w:color="auto"/>
              <w:bottom w:val="nil"/>
              <w:right w:val="nil"/>
            </w:tcBorders>
            <w:shd w:val="clear" w:color="auto" w:fill="auto"/>
            <w:vAlign w:val="bottom"/>
          </w:tcPr>
          <w:p w14:paraId="2ED07FB6" w14:textId="77777777" w:rsidR="006016B9" w:rsidRPr="0087752B" w:rsidRDefault="006016B9" w:rsidP="00A25044">
            <w:pPr>
              <w:pStyle w:val="DETTableTextFinancial"/>
              <w:jc w:val="right"/>
            </w:pPr>
            <w:r w:rsidRPr="0087752B">
              <w:t>1</w:t>
            </w:r>
          </w:p>
        </w:tc>
        <w:tc>
          <w:tcPr>
            <w:tcW w:w="699" w:type="dxa"/>
            <w:tcBorders>
              <w:top w:val="nil"/>
              <w:left w:val="nil"/>
              <w:bottom w:val="nil"/>
              <w:right w:val="nil"/>
            </w:tcBorders>
            <w:shd w:val="clear" w:color="auto" w:fill="auto"/>
            <w:vAlign w:val="bottom"/>
          </w:tcPr>
          <w:p w14:paraId="0FC0480E" w14:textId="77777777" w:rsidR="006016B9" w:rsidRPr="0087752B" w:rsidRDefault="006016B9" w:rsidP="00A25044">
            <w:pPr>
              <w:pStyle w:val="DETTableTextFinancial"/>
              <w:jc w:val="right"/>
            </w:pPr>
            <w:r w:rsidRPr="0087752B">
              <w:t>2</w:t>
            </w:r>
          </w:p>
        </w:tc>
        <w:tc>
          <w:tcPr>
            <w:tcW w:w="697" w:type="dxa"/>
            <w:tcBorders>
              <w:top w:val="nil"/>
              <w:left w:val="nil"/>
              <w:bottom w:val="nil"/>
              <w:right w:val="single" w:sz="4" w:space="0" w:color="auto"/>
            </w:tcBorders>
            <w:shd w:val="clear" w:color="auto" w:fill="auto"/>
            <w:vAlign w:val="bottom"/>
          </w:tcPr>
          <w:p w14:paraId="5E98F9E1" w14:textId="77777777" w:rsidR="006016B9" w:rsidRPr="0087752B" w:rsidRDefault="006016B9" w:rsidP="00A25044">
            <w:pPr>
              <w:pStyle w:val="DETTableTextFinancial"/>
              <w:jc w:val="right"/>
            </w:pPr>
            <w:r w:rsidRPr="0087752B">
              <w:t>3</w:t>
            </w:r>
          </w:p>
        </w:tc>
        <w:tc>
          <w:tcPr>
            <w:tcW w:w="698" w:type="dxa"/>
            <w:tcBorders>
              <w:top w:val="nil"/>
              <w:left w:val="single" w:sz="4" w:space="0" w:color="auto"/>
              <w:bottom w:val="nil"/>
              <w:right w:val="nil"/>
            </w:tcBorders>
            <w:shd w:val="clear" w:color="auto" w:fill="F8F8F8"/>
            <w:vAlign w:val="bottom"/>
          </w:tcPr>
          <w:p w14:paraId="2DB720CE" w14:textId="77777777" w:rsidR="006016B9" w:rsidRPr="0087752B" w:rsidRDefault="006016B9" w:rsidP="00A25044">
            <w:pPr>
              <w:pStyle w:val="DETTableTextFinancial"/>
              <w:jc w:val="right"/>
            </w:pPr>
            <w:r w:rsidRPr="0087752B">
              <w:t>2</w:t>
            </w:r>
          </w:p>
        </w:tc>
        <w:tc>
          <w:tcPr>
            <w:tcW w:w="585" w:type="dxa"/>
            <w:tcBorders>
              <w:top w:val="nil"/>
              <w:left w:val="nil"/>
              <w:bottom w:val="nil"/>
              <w:right w:val="nil"/>
            </w:tcBorders>
            <w:shd w:val="clear" w:color="auto" w:fill="F8F8F8"/>
            <w:vAlign w:val="bottom"/>
          </w:tcPr>
          <w:p w14:paraId="6572402C"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6B14C0CF" w14:textId="77777777" w:rsidR="006016B9" w:rsidRPr="0087752B" w:rsidRDefault="006016B9" w:rsidP="00A25044">
            <w:pPr>
              <w:pStyle w:val="DETTableTextFinancial"/>
              <w:jc w:val="right"/>
            </w:pPr>
            <w:r w:rsidRPr="0087752B">
              <w:t>1</w:t>
            </w:r>
          </w:p>
        </w:tc>
      </w:tr>
      <w:tr w:rsidR="006016B9" w:rsidRPr="0087752B" w14:paraId="1FCF6DBB" w14:textId="77777777" w:rsidTr="00A25044">
        <w:trPr>
          <w:cantSplit/>
          <w:trHeight w:val="454"/>
        </w:trPr>
        <w:tc>
          <w:tcPr>
            <w:tcW w:w="1319" w:type="dxa"/>
            <w:tcBorders>
              <w:top w:val="nil"/>
              <w:left w:val="nil"/>
              <w:bottom w:val="nil"/>
              <w:right w:val="nil"/>
            </w:tcBorders>
            <w:shd w:val="clear" w:color="auto" w:fill="F8F8F8"/>
            <w:vAlign w:val="center"/>
          </w:tcPr>
          <w:p w14:paraId="22CCACD4" w14:textId="77777777" w:rsidR="006016B9" w:rsidRPr="0087752B" w:rsidRDefault="006016B9" w:rsidP="00A25044">
            <w:pPr>
              <w:pStyle w:val="DETTableTextFinancial"/>
            </w:pPr>
            <w:r w:rsidRPr="0087752B">
              <w:t>Goulburn Ovens Institute of TAFE</w:t>
            </w:r>
          </w:p>
        </w:tc>
        <w:tc>
          <w:tcPr>
            <w:tcW w:w="786" w:type="dxa"/>
            <w:tcBorders>
              <w:top w:val="nil"/>
              <w:left w:val="nil"/>
              <w:bottom w:val="nil"/>
              <w:right w:val="nil"/>
            </w:tcBorders>
            <w:vAlign w:val="bottom"/>
          </w:tcPr>
          <w:p w14:paraId="210EF505" w14:textId="77777777" w:rsidR="006016B9" w:rsidRPr="0087752B" w:rsidRDefault="006016B9" w:rsidP="00A25044">
            <w:pPr>
              <w:pStyle w:val="DETTableTextFinancial"/>
              <w:jc w:val="right"/>
            </w:pPr>
            <w:r w:rsidRPr="0087752B">
              <w:t>2</w:t>
            </w:r>
          </w:p>
        </w:tc>
        <w:tc>
          <w:tcPr>
            <w:tcW w:w="697" w:type="dxa"/>
            <w:tcBorders>
              <w:top w:val="nil"/>
              <w:left w:val="nil"/>
              <w:bottom w:val="nil"/>
              <w:right w:val="nil"/>
            </w:tcBorders>
            <w:vAlign w:val="bottom"/>
          </w:tcPr>
          <w:p w14:paraId="55DA768A" w14:textId="77777777" w:rsidR="006016B9" w:rsidRPr="0087752B" w:rsidRDefault="006016B9" w:rsidP="00A25044">
            <w:pPr>
              <w:pStyle w:val="DETTableTextFinancial"/>
              <w:jc w:val="right"/>
            </w:pPr>
            <w:r w:rsidRPr="0087752B">
              <w:t>3</w:t>
            </w:r>
          </w:p>
        </w:tc>
        <w:tc>
          <w:tcPr>
            <w:tcW w:w="698" w:type="dxa"/>
            <w:tcBorders>
              <w:top w:val="nil"/>
              <w:left w:val="nil"/>
              <w:bottom w:val="nil"/>
              <w:right w:val="single" w:sz="4" w:space="0" w:color="auto"/>
            </w:tcBorders>
            <w:vAlign w:val="bottom"/>
          </w:tcPr>
          <w:p w14:paraId="39026F0A" w14:textId="77777777" w:rsidR="006016B9" w:rsidRPr="0087752B" w:rsidRDefault="006016B9" w:rsidP="00A25044">
            <w:pPr>
              <w:pStyle w:val="DETTableTextFinancial"/>
              <w:jc w:val="right"/>
            </w:pPr>
            <w:r w:rsidRPr="0087752B">
              <w:t>5</w:t>
            </w:r>
          </w:p>
        </w:tc>
        <w:tc>
          <w:tcPr>
            <w:tcW w:w="696" w:type="dxa"/>
            <w:tcBorders>
              <w:top w:val="nil"/>
              <w:left w:val="single" w:sz="4" w:space="0" w:color="auto"/>
              <w:bottom w:val="nil"/>
              <w:right w:val="nil"/>
            </w:tcBorders>
            <w:shd w:val="clear" w:color="auto" w:fill="auto"/>
            <w:vAlign w:val="bottom"/>
          </w:tcPr>
          <w:p w14:paraId="2D6AA37B" w14:textId="77777777" w:rsidR="006016B9" w:rsidRPr="0087752B" w:rsidRDefault="006016B9" w:rsidP="00A25044">
            <w:pPr>
              <w:pStyle w:val="DETTableTextFinancial"/>
              <w:jc w:val="right"/>
            </w:pPr>
            <w:r w:rsidRPr="0087752B">
              <w:t>1</w:t>
            </w:r>
          </w:p>
        </w:tc>
        <w:tc>
          <w:tcPr>
            <w:tcW w:w="699" w:type="dxa"/>
            <w:tcBorders>
              <w:top w:val="nil"/>
              <w:left w:val="nil"/>
              <w:bottom w:val="nil"/>
              <w:right w:val="nil"/>
            </w:tcBorders>
            <w:shd w:val="clear" w:color="auto" w:fill="auto"/>
            <w:vAlign w:val="bottom"/>
          </w:tcPr>
          <w:p w14:paraId="6F0E7F25" w14:textId="77777777" w:rsidR="006016B9" w:rsidRPr="0087752B" w:rsidRDefault="006016B9" w:rsidP="00A25044">
            <w:pPr>
              <w:pStyle w:val="DETTableTextFinancial"/>
              <w:jc w:val="right"/>
            </w:pPr>
            <w:r w:rsidRPr="0087752B">
              <w:t>3</w:t>
            </w:r>
          </w:p>
        </w:tc>
        <w:tc>
          <w:tcPr>
            <w:tcW w:w="697" w:type="dxa"/>
            <w:tcBorders>
              <w:top w:val="nil"/>
              <w:left w:val="nil"/>
              <w:bottom w:val="nil"/>
              <w:right w:val="single" w:sz="4" w:space="0" w:color="auto"/>
            </w:tcBorders>
            <w:shd w:val="clear" w:color="auto" w:fill="auto"/>
            <w:vAlign w:val="bottom"/>
          </w:tcPr>
          <w:p w14:paraId="1A30AA00" w14:textId="77777777" w:rsidR="006016B9" w:rsidRPr="0087752B" w:rsidRDefault="006016B9" w:rsidP="00A25044">
            <w:pPr>
              <w:pStyle w:val="DETTableTextFinancial"/>
              <w:jc w:val="right"/>
            </w:pPr>
            <w:r w:rsidRPr="0087752B">
              <w:t>4</w:t>
            </w:r>
          </w:p>
        </w:tc>
        <w:tc>
          <w:tcPr>
            <w:tcW w:w="698" w:type="dxa"/>
            <w:tcBorders>
              <w:top w:val="nil"/>
              <w:left w:val="single" w:sz="4" w:space="0" w:color="auto"/>
              <w:bottom w:val="nil"/>
              <w:right w:val="nil"/>
            </w:tcBorders>
            <w:shd w:val="clear" w:color="auto" w:fill="F8F8F8"/>
            <w:vAlign w:val="bottom"/>
          </w:tcPr>
          <w:p w14:paraId="57F689B5"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280DB813"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315B8A25" w14:textId="77777777" w:rsidR="006016B9" w:rsidRPr="0087752B" w:rsidRDefault="006016B9" w:rsidP="00A25044">
            <w:pPr>
              <w:pStyle w:val="DETTableTextFinancial"/>
              <w:jc w:val="right"/>
            </w:pPr>
            <w:r w:rsidRPr="0087752B">
              <w:t>1</w:t>
            </w:r>
          </w:p>
        </w:tc>
      </w:tr>
      <w:tr w:rsidR="006016B9" w:rsidRPr="0087752B" w14:paraId="10EE5605" w14:textId="77777777" w:rsidTr="00A25044">
        <w:trPr>
          <w:cantSplit/>
          <w:trHeight w:val="454"/>
        </w:trPr>
        <w:tc>
          <w:tcPr>
            <w:tcW w:w="1319" w:type="dxa"/>
            <w:tcBorders>
              <w:top w:val="nil"/>
              <w:left w:val="nil"/>
              <w:bottom w:val="nil"/>
              <w:right w:val="nil"/>
            </w:tcBorders>
            <w:shd w:val="clear" w:color="auto" w:fill="F8F8F8"/>
            <w:vAlign w:val="center"/>
          </w:tcPr>
          <w:p w14:paraId="73B172ED" w14:textId="77777777" w:rsidR="006016B9" w:rsidRPr="0087752B" w:rsidRDefault="006016B9" w:rsidP="00A25044">
            <w:pPr>
              <w:pStyle w:val="DETTableTextFinancial"/>
            </w:pPr>
            <w:r w:rsidRPr="0087752B">
              <w:t>Holmesglen Institute</w:t>
            </w:r>
          </w:p>
        </w:tc>
        <w:tc>
          <w:tcPr>
            <w:tcW w:w="786" w:type="dxa"/>
            <w:tcBorders>
              <w:top w:val="nil"/>
              <w:left w:val="nil"/>
              <w:bottom w:val="nil"/>
              <w:right w:val="nil"/>
            </w:tcBorders>
            <w:vAlign w:val="bottom"/>
          </w:tcPr>
          <w:p w14:paraId="7992DFB0" w14:textId="77777777" w:rsidR="006016B9" w:rsidRPr="0087752B" w:rsidRDefault="006016B9" w:rsidP="00A25044">
            <w:pPr>
              <w:pStyle w:val="DETTableTextFinancial"/>
              <w:jc w:val="right"/>
            </w:pPr>
            <w:r w:rsidRPr="0087752B">
              <w:t>10</w:t>
            </w:r>
          </w:p>
        </w:tc>
        <w:tc>
          <w:tcPr>
            <w:tcW w:w="697" w:type="dxa"/>
            <w:tcBorders>
              <w:top w:val="nil"/>
              <w:left w:val="nil"/>
              <w:bottom w:val="nil"/>
              <w:right w:val="nil"/>
            </w:tcBorders>
            <w:vAlign w:val="bottom"/>
          </w:tcPr>
          <w:p w14:paraId="129C4ADE" w14:textId="77777777" w:rsidR="006016B9" w:rsidRPr="0087752B" w:rsidRDefault="006016B9" w:rsidP="00A25044">
            <w:pPr>
              <w:pStyle w:val="DETTableTextFinancial"/>
              <w:jc w:val="right"/>
            </w:pPr>
            <w:r w:rsidRPr="0087752B">
              <w:t>7</w:t>
            </w:r>
          </w:p>
        </w:tc>
        <w:tc>
          <w:tcPr>
            <w:tcW w:w="698" w:type="dxa"/>
            <w:tcBorders>
              <w:top w:val="nil"/>
              <w:left w:val="nil"/>
              <w:bottom w:val="nil"/>
              <w:right w:val="single" w:sz="4" w:space="0" w:color="auto"/>
            </w:tcBorders>
            <w:vAlign w:val="bottom"/>
          </w:tcPr>
          <w:p w14:paraId="10F0D7BB" w14:textId="77777777" w:rsidR="006016B9" w:rsidRPr="0087752B" w:rsidRDefault="006016B9" w:rsidP="00A25044">
            <w:pPr>
              <w:pStyle w:val="DETTableTextFinancial"/>
              <w:jc w:val="right"/>
            </w:pPr>
            <w:r w:rsidRPr="0087752B">
              <w:t>17</w:t>
            </w:r>
          </w:p>
        </w:tc>
        <w:tc>
          <w:tcPr>
            <w:tcW w:w="696" w:type="dxa"/>
            <w:tcBorders>
              <w:top w:val="nil"/>
              <w:left w:val="single" w:sz="4" w:space="0" w:color="auto"/>
              <w:bottom w:val="nil"/>
              <w:right w:val="nil"/>
            </w:tcBorders>
            <w:shd w:val="clear" w:color="auto" w:fill="auto"/>
            <w:vAlign w:val="bottom"/>
          </w:tcPr>
          <w:p w14:paraId="0290D370" w14:textId="77777777" w:rsidR="006016B9" w:rsidRPr="0087752B" w:rsidRDefault="006016B9" w:rsidP="00A25044">
            <w:pPr>
              <w:pStyle w:val="DETTableTextFinancial"/>
              <w:jc w:val="right"/>
            </w:pPr>
            <w:r w:rsidRPr="0087752B">
              <w:t>9</w:t>
            </w:r>
          </w:p>
        </w:tc>
        <w:tc>
          <w:tcPr>
            <w:tcW w:w="699" w:type="dxa"/>
            <w:tcBorders>
              <w:top w:val="nil"/>
              <w:left w:val="nil"/>
              <w:bottom w:val="nil"/>
              <w:right w:val="nil"/>
            </w:tcBorders>
            <w:shd w:val="clear" w:color="auto" w:fill="auto"/>
            <w:vAlign w:val="bottom"/>
          </w:tcPr>
          <w:p w14:paraId="090C3380" w14:textId="77777777" w:rsidR="006016B9" w:rsidRPr="0087752B" w:rsidRDefault="006016B9" w:rsidP="00A25044">
            <w:pPr>
              <w:pStyle w:val="DETTableTextFinancial"/>
              <w:jc w:val="right"/>
            </w:pPr>
            <w:r w:rsidRPr="0087752B">
              <w:t>10</w:t>
            </w:r>
          </w:p>
        </w:tc>
        <w:tc>
          <w:tcPr>
            <w:tcW w:w="697" w:type="dxa"/>
            <w:tcBorders>
              <w:top w:val="nil"/>
              <w:left w:val="nil"/>
              <w:bottom w:val="nil"/>
              <w:right w:val="single" w:sz="4" w:space="0" w:color="auto"/>
            </w:tcBorders>
            <w:shd w:val="clear" w:color="auto" w:fill="auto"/>
            <w:vAlign w:val="bottom"/>
          </w:tcPr>
          <w:p w14:paraId="342077BD" w14:textId="77777777" w:rsidR="006016B9" w:rsidRPr="0087752B" w:rsidRDefault="006016B9" w:rsidP="00A25044">
            <w:pPr>
              <w:pStyle w:val="DETTableTextFinancial"/>
              <w:jc w:val="right"/>
            </w:pPr>
            <w:r w:rsidRPr="0087752B">
              <w:t>19</w:t>
            </w:r>
          </w:p>
        </w:tc>
        <w:tc>
          <w:tcPr>
            <w:tcW w:w="698" w:type="dxa"/>
            <w:tcBorders>
              <w:top w:val="nil"/>
              <w:left w:val="single" w:sz="4" w:space="0" w:color="auto"/>
              <w:bottom w:val="nil"/>
              <w:right w:val="nil"/>
            </w:tcBorders>
            <w:shd w:val="clear" w:color="auto" w:fill="F8F8F8"/>
            <w:vAlign w:val="bottom"/>
          </w:tcPr>
          <w:p w14:paraId="5C9E6E02"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44EF23F2" w14:textId="77777777" w:rsidR="006016B9" w:rsidRPr="0087752B" w:rsidRDefault="006016B9" w:rsidP="00A25044">
            <w:pPr>
              <w:pStyle w:val="DETTableTextFinancial"/>
              <w:jc w:val="right"/>
            </w:pPr>
            <w:r w:rsidRPr="0087752B">
              <w:t>-3</w:t>
            </w:r>
          </w:p>
        </w:tc>
        <w:tc>
          <w:tcPr>
            <w:tcW w:w="584" w:type="dxa"/>
            <w:tcBorders>
              <w:top w:val="nil"/>
              <w:left w:val="nil"/>
              <w:bottom w:val="nil"/>
              <w:right w:val="nil"/>
            </w:tcBorders>
            <w:shd w:val="clear" w:color="auto" w:fill="F8F8F8"/>
            <w:vAlign w:val="bottom"/>
          </w:tcPr>
          <w:p w14:paraId="2542DB93" w14:textId="77777777" w:rsidR="006016B9" w:rsidRPr="0087752B" w:rsidRDefault="006016B9" w:rsidP="00A25044">
            <w:pPr>
              <w:pStyle w:val="DETTableTextFinancial"/>
              <w:jc w:val="right"/>
            </w:pPr>
            <w:r w:rsidRPr="0087752B">
              <w:t>-2</w:t>
            </w:r>
          </w:p>
        </w:tc>
      </w:tr>
      <w:tr w:rsidR="006016B9" w:rsidRPr="0087752B" w14:paraId="3A408447" w14:textId="77777777" w:rsidTr="00A25044">
        <w:trPr>
          <w:cantSplit/>
          <w:trHeight w:val="454"/>
        </w:trPr>
        <w:tc>
          <w:tcPr>
            <w:tcW w:w="1319" w:type="dxa"/>
            <w:tcBorders>
              <w:top w:val="nil"/>
              <w:left w:val="nil"/>
              <w:bottom w:val="nil"/>
              <w:right w:val="nil"/>
            </w:tcBorders>
            <w:shd w:val="clear" w:color="auto" w:fill="F8F8F8"/>
            <w:vAlign w:val="center"/>
          </w:tcPr>
          <w:p w14:paraId="2266B976" w14:textId="77777777" w:rsidR="006016B9" w:rsidRPr="0087752B" w:rsidRDefault="006016B9" w:rsidP="00A25044">
            <w:pPr>
              <w:pStyle w:val="DETTableTextFinancial"/>
            </w:pPr>
            <w:r w:rsidRPr="0087752B">
              <w:t>International Fibre Centre</w:t>
            </w:r>
          </w:p>
        </w:tc>
        <w:tc>
          <w:tcPr>
            <w:tcW w:w="786" w:type="dxa"/>
            <w:tcBorders>
              <w:top w:val="nil"/>
              <w:left w:val="nil"/>
              <w:bottom w:val="nil"/>
              <w:right w:val="nil"/>
            </w:tcBorders>
            <w:vAlign w:val="bottom"/>
          </w:tcPr>
          <w:p w14:paraId="59E5ADD2" w14:textId="4B6FA927" w:rsidR="006016B9" w:rsidRPr="0087752B" w:rsidRDefault="00724B68" w:rsidP="00A25044">
            <w:pPr>
              <w:pStyle w:val="DETTableTextFinancial"/>
              <w:jc w:val="right"/>
            </w:pPr>
            <w:r>
              <w:t>0</w:t>
            </w:r>
          </w:p>
        </w:tc>
        <w:tc>
          <w:tcPr>
            <w:tcW w:w="697" w:type="dxa"/>
            <w:tcBorders>
              <w:top w:val="nil"/>
              <w:left w:val="nil"/>
              <w:bottom w:val="nil"/>
              <w:right w:val="nil"/>
            </w:tcBorders>
            <w:vAlign w:val="bottom"/>
          </w:tcPr>
          <w:p w14:paraId="5B4A35D7" w14:textId="77777777" w:rsidR="006016B9" w:rsidRPr="0087752B" w:rsidRDefault="006016B9" w:rsidP="00A25044">
            <w:pPr>
              <w:pStyle w:val="DETTableTextFinancial"/>
              <w:jc w:val="right"/>
            </w:pPr>
            <w:r w:rsidRPr="0087752B">
              <w:t>1</w:t>
            </w:r>
          </w:p>
        </w:tc>
        <w:tc>
          <w:tcPr>
            <w:tcW w:w="698" w:type="dxa"/>
            <w:tcBorders>
              <w:top w:val="nil"/>
              <w:left w:val="nil"/>
              <w:bottom w:val="nil"/>
              <w:right w:val="single" w:sz="4" w:space="0" w:color="auto"/>
            </w:tcBorders>
            <w:vAlign w:val="bottom"/>
          </w:tcPr>
          <w:p w14:paraId="4900702B" w14:textId="77777777" w:rsidR="006016B9" w:rsidRPr="0087752B" w:rsidRDefault="006016B9" w:rsidP="00A25044">
            <w:pPr>
              <w:pStyle w:val="DETTableTextFinancial"/>
              <w:jc w:val="right"/>
            </w:pPr>
            <w:r w:rsidRPr="0087752B">
              <w:t>1</w:t>
            </w:r>
          </w:p>
        </w:tc>
        <w:tc>
          <w:tcPr>
            <w:tcW w:w="696" w:type="dxa"/>
            <w:tcBorders>
              <w:top w:val="nil"/>
              <w:left w:val="single" w:sz="4" w:space="0" w:color="auto"/>
              <w:bottom w:val="nil"/>
              <w:right w:val="nil"/>
            </w:tcBorders>
            <w:shd w:val="clear" w:color="auto" w:fill="auto"/>
            <w:vAlign w:val="bottom"/>
          </w:tcPr>
          <w:p w14:paraId="30DBED26" w14:textId="5D96B779" w:rsidR="006016B9" w:rsidRPr="0087752B" w:rsidRDefault="00724B68" w:rsidP="00A25044">
            <w:pPr>
              <w:pStyle w:val="DETTableTextFinancial"/>
              <w:jc w:val="right"/>
            </w:pPr>
            <w:r>
              <w:t>0</w:t>
            </w:r>
          </w:p>
        </w:tc>
        <w:tc>
          <w:tcPr>
            <w:tcW w:w="699" w:type="dxa"/>
            <w:tcBorders>
              <w:top w:val="nil"/>
              <w:left w:val="nil"/>
              <w:bottom w:val="nil"/>
              <w:right w:val="nil"/>
            </w:tcBorders>
            <w:shd w:val="clear" w:color="auto" w:fill="auto"/>
            <w:vAlign w:val="bottom"/>
          </w:tcPr>
          <w:p w14:paraId="0025A83F" w14:textId="77777777" w:rsidR="006016B9" w:rsidRPr="0087752B" w:rsidRDefault="006016B9" w:rsidP="00A25044">
            <w:pPr>
              <w:pStyle w:val="DETTableTextFinancial"/>
              <w:jc w:val="right"/>
            </w:pPr>
            <w:r w:rsidRPr="0087752B">
              <w:t>1</w:t>
            </w:r>
          </w:p>
        </w:tc>
        <w:tc>
          <w:tcPr>
            <w:tcW w:w="697" w:type="dxa"/>
            <w:tcBorders>
              <w:top w:val="nil"/>
              <w:left w:val="nil"/>
              <w:bottom w:val="nil"/>
              <w:right w:val="single" w:sz="4" w:space="0" w:color="auto"/>
            </w:tcBorders>
            <w:shd w:val="clear" w:color="auto" w:fill="auto"/>
            <w:vAlign w:val="bottom"/>
          </w:tcPr>
          <w:p w14:paraId="3FB41968" w14:textId="77777777" w:rsidR="006016B9" w:rsidRPr="0087752B" w:rsidRDefault="006016B9" w:rsidP="00A25044">
            <w:pPr>
              <w:pStyle w:val="DETTableTextFinancial"/>
              <w:jc w:val="right"/>
            </w:pPr>
            <w:r w:rsidRPr="0087752B">
              <w:t>1</w:t>
            </w:r>
          </w:p>
        </w:tc>
        <w:tc>
          <w:tcPr>
            <w:tcW w:w="698" w:type="dxa"/>
            <w:tcBorders>
              <w:top w:val="nil"/>
              <w:left w:val="single" w:sz="4" w:space="0" w:color="auto"/>
              <w:bottom w:val="nil"/>
              <w:right w:val="nil"/>
            </w:tcBorders>
            <w:shd w:val="clear" w:color="auto" w:fill="F8F8F8"/>
            <w:vAlign w:val="bottom"/>
          </w:tcPr>
          <w:p w14:paraId="7B3F7E2D" w14:textId="77777777" w:rsidR="006016B9" w:rsidRPr="0087752B" w:rsidRDefault="006016B9" w:rsidP="00A25044">
            <w:pPr>
              <w:pStyle w:val="DETTableTextFinancial"/>
              <w:jc w:val="right"/>
            </w:pPr>
            <w:r w:rsidRPr="0087752B">
              <w:t>0</w:t>
            </w:r>
          </w:p>
        </w:tc>
        <w:tc>
          <w:tcPr>
            <w:tcW w:w="585" w:type="dxa"/>
            <w:tcBorders>
              <w:top w:val="nil"/>
              <w:left w:val="nil"/>
              <w:bottom w:val="nil"/>
              <w:right w:val="nil"/>
            </w:tcBorders>
            <w:shd w:val="clear" w:color="auto" w:fill="F8F8F8"/>
            <w:vAlign w:val="bottom"/>
          </w:tcPr>
          <w:p w14:paraId="4DD872F1"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03BE654A" w14:textId="77777777" w:rsidR="006016B9" w:rsidRPr="0087752B" w:rsidRDefault="006016B9" w:rsidP="00A25044">
            <w:pPr>
              <w:pStyle w:val="DETTableTextFinancial"/>
              <w:jc w:val="right"/>
            </w:pPr>
            <w:r w:rsidRPr="0087752B">
              <w:t>0</w:t>
            </w:r>
          </w:p>
        </w:tc>
      </w:tr>
      <w:tr w:rsidR="006016B9" w:rsidRPr="0087752B" w14:paraId="021FB990" w14:textId="77777777" w:rsidTr="00A25044">
        <w:trPr>
          <w:cantSplit/>
          <w:trHeight w:val="454"/>
        </w:trPr>
        <w:tc>
          <w:tcPr>
            <w:tcW w:w="1319" w:type="dxa"/>
            <w:tcBorders>
              <w:top w:val="nil"/>
              <w:left w:val="nil"/>
              <w:bottom w:val="nil"/>
              <w:right w:val="nil"/>
            </w:tcBorders>
            <w:shd w:val="clear" w:color="auto" w:fill="F8F8F8"/>
            <w:vAlign w:val="center"/>
          </w:tcPr>
          <w:p w14:paraId="581F5AB4" w14:textId="77777777" w:rsidR="006016B9" w:rsidRPr="0087752B" w:rsidRDefault="006016B9" w:rsidP="00A25044">
            <w:pPr>
              <w:pStyle w:val="DETTableTextFinancial"/>
            </w:pPr>
            <w:r w:rsidRPr="0087752B">
              <w:t>Melbourne Polytechnic</w:t>
            </w:r>
          </w:p>
        </w:tc>
        <w:tc>
          <w:tcPr>
            <w:tcW w:w="786" w:type="dxa"/>
            <w:tcBorders>
              <w:top w:val="nil"/>
              <w:left w:val="nil"/>
              <w:bottom w:val="nil"/>
              <w:right w:val="nil"/>
            </w:tcBorders>
            <w:vAlign w:val="bottom"/>
          </w:tcPr>
          <w:p w14:paraId="45E78D19" w14:textId="77777777" w:rsidR="006016B9" w:rsidRPr="0087752B" w:rsidRDefault="006016B9" w:rsidP="00A25044">
            <w:pPr>
              <w:pStyle w:val="DETTableTextFinancial"/>
              <w:jc w:val="right"/>
            </w:pPr>
            <w:r w:rsidRPr="0087752B">
              <w:t>12</w:t>
            </w:r>
          </w:p>
        </w:tc>
        <w:tc>
          <w:tcPr>
            <w:tcW w:w="697" w:type="dxa"/>
            <w:tcBorders>
              <w:top w:val="nil"/>
              <w:left w:val="nil"/>
              <w:bottom w:val="nil"/>
              <w:right w:val="nil"/>
            </w:tcBorders>
            <w:vAlign w:val="bottom"/>
          </w:tcPr>
          <w:p w14:paraId="5F1CCC86" w14:textId="77777777" w:rsidR="006016B9" w:rsidRPr="0087752B" w:rsidRDefault="006016B9" w:rsidP="00A25044">
            <w:pPr>
              <w:pStyle w:val="DETTableTextFinancial"/>
              <w:jc w:val="right"/>
            </w:pPr>
            <w:r w:rsidRPr="0087752B">
              <w:t>20</w:t>
            </w:r>
          </w:p>
        </w:tc>
        <w:tc>
          <w:tcPr>
            <w:tcW w:w="698" w:type="dxa"/>
            <w:tcBorders>
              <w:top w:val="nil"/>
              <w:left w:val="nil"/>
              <w:bottom w:val="nil"/>
              <w:right w:val="single" w:sz="4" w:space="0" w:color="auto"/>
            </w:tcBorders>
            <w:vAlign w:val="bottom"/>
          </w:tcPr>
          <w:p w14:paraId="6EDF25B7" w14:textId="77777777" w:rsidR="006016B9" w:rsidRPr="0087752B" w:rsidRDefault="006016B9" w:rsidP="00A25044">
            <w:pPr>
              <w:pStyle w:val="DETTableTextFinancial"/>
              <w:jc w:val="right"/>
            </w:pPr>
            <w:r w:rsidRPr="0087752B">
              <w:t>32</w:t>
            </w:r>
          </w:p>
        </w:tc>
        <w:tc>
          <w:tcPr>
            <w:tcW w:w="696" w:type="dxa"/>
            <w:tcBorders>
              <w:top w:val="nil"/>
              <w:left w:val="single" w:sz="4" w:space="0" w:color="auto"/>
              <w:bottom w:val="nil"/>
              <w:right w:val="nil"/>
            </w:tcBorders>
            <w:shd w:val="clear" w:color="auto" w:fill="auto"/>
            <w:vAlign w:val="bottom"/>
          </w:tcPr>
          <w:p w14:paraId="01B6D30C" w14:textId="77777777" w:rsidR="006016B9" w:rsidRPr="0087752B" w:rsidRDefault="006016B9" w:rsidP="00A25044">
            <w:pPr>
              <w:pStyle w:val="DETTableTextFinancial"/>
              <w:jc w:val="right"/>
            </w:pPr>
            <w:r w:rsidRPr="0087752B">
              <w:t>8</w:t>
            </w:r>
          </w:p>
        </w:tc>
        <w:tc>
          <w:tcPr>
            <w:tcW w:w="699" w:type="dxa"/>
            <w:tcBorders>
              <w:top w:val="nil"/>
              <w:left w:val="nil"/>
              <w:bottom w:val="nil"/>
              <w:right w:val="nil"/>
            </w:tcBorders>
            <w:shd w:val="clear" w:color="auto" w:fill="auto"/>
            <w:vAlign w:val="bottom"/>
          </w:tcPr>
          <w:p w14:paraId="5DCB26AF" w14:textId="77777777" w:rsidR="006016B9" w:rsidRPr="0087752B" w:rsidRDefault="006016B9" w:rsidP="00A25044">
            <w:pPr>
              <w:pStyle w:val="DETTableTextFinancial"/>
              <w:jc w:val="right"/>
            </w:pPr>
            <w:r w:rsidRPr="0087752B">
              <w:t>11</w:t>
            </w:r>
          </w:p>
        </w:tc>
        <w:tc>
          <w:tcPr>
            <w:tcW w:w="697" w:type="dxa"/>
            <w:tcBorders>
              <w:top w:val="nil"/>
              <w:left w:val="nil"/>
              <w:bottom w:val="nil"/>
              <w:right w:val="single" w:sz="4" w:space="0" w:color="auto"/>
            </w:tcBorders>
            <w:shd w:val="clear" w:color="auto" w:fill="auto"/>
            <w:vAlign w:val="bottom"/>
          </w:tcPr>
          <w:p w14:paraId="5597F1AD" w14:textId="77777777" w:rsidR="006016B9" w:rsidRPr="0087752B" w:rsidRDefault="006016B9" w:rsidP="00A25044">
            <w:pPr>
              <w:pStyle w:val="DETTableTextFinancial"/>
              <w:jc w:val="right"/>
            </w:pPr>
            <w:r w:rsidRPr="0087752B">
              <w:t>19</w:t>
            </w:r>
          </w:p>
        </w:tc>
        <w:tc>
          <w:tcPr>
            <w:tcW w:w="698" w:type="dxa"/>
            <w:tcBorders>
              <w:top w:val="nil"/>
              <w:left w:val="single" w:sz="4" w:space="0" w:color="auto"/>
              <w:bottom w:val="nil"/>
              <w:right w:val="nil"/>
            </w:tcBorders>
            <w:shd w:val="clear" w:color="auto" w:fill="F8F8F8"/>
            <w:vAlign w:val="bottom"/>
          </w:tcPr>
          <w:p w14:paraId="411F4C1F" w14:textId="77777777" w:rsidR="006016B9" w:rsidRPr="0087752B" w:rsidRDefault="006016B9" w:rsidP="00A25044">
            <w:pPr>
              <w:pStyle w:val="DETTableTextFinancial"/>
              <w:jc w:val="right"/>
            </w:pPr>
            <w:r w:rsidRPr="0087752B">
              <w:t>4</w:t>
            </w:r>
          </w:p>
        </w:tc>
        <w:tc>
          <w:tcPr>
            <w:tcW w:w="585" w:type="dxa"/>
            <w:tcBorders>
              <w:top w:val="nil"/>
              <w:left w:val="nil"/>
              <w:bottom w:val="nil"/>
              <w:right w:val="nil"/>
            </w:tcBorders>
            <w:shd w:val="clear" w:color="auto" w:fill="F8F8F8"/>
            <w:vAlign w:val="bottom"/>
          </w:tcPr>
          <w:p w14:paraId="68B805AB" w14:textId="77777777" w:rsidR="006016B9" w:rsidRPr="0087752B" w:rsidRDefault="006016B9" w:rsidP="00A25044">
            <w:pPr>
              <w:pStyle w:val="DETTableTextFinancial"/>
              <w:jc w:val="right"/>
            </w:pPr>
            <w:r w:rsidRPr="0087752B">
              <w:t>9</w:t>
            </w:r>
          </w:p>
        </w:tc>
        <w:tc>
          <w:tcPr>
            <w:tcW w:w="584" w:type="dxa"/>
            <w:tcBorders>
              <w:top w:val="nil"/>
              <w:left w:val="nil"/>
              <w:bottom w:val="nil"/>
              <w:right w:val="nil"/>
            </w:tcBorders>
            <w:shd w:val="clear" w:color="auto" w:fill="F8F8F8"/>
            <w:vAlign w:val="bottom"/>
          </w:tcPr>
          <w:p w14:paraId="76BE6B1A" w14:textId="77777777" w:rsidR="006016B9" w:rsidRPr="0087752B" w:rsidRDefault="006016B9" w:rsidP="00A25044">
            <w:pPr>
              <w:pStyle w:val="DETTableTextFinancial"/>
              <w:jc w:val="right"/>
            </w:pPr>
            <w:r w:rsidRPr="0087752B">
              <w:t>13</w:t>
            </w:r>
          </w:p>
        </w:tc>
      </w:tr>
      <w:tr w:rsidR="006016B9" w:rsidRPr="0087752B" w14:paraId="3B4F1B67" w14:textId="77777777" w:rsidTr="00A25044">
        <w:trPr>
          <w:cantSplit/>
          <w:trHeight w:val="454"/>
        </w:trPr>
        <w:tc>
          <w:tcPr>
            <w:tcW w:w="1319" w:type="dxa"/>
            <w:tcBorders>
              <w:top w:val="nil"/>
              <w:left w:val="nil"/>
              <w:bottom w:val="nil"/>
              <w:right w:val="nil"/>
            </w:tcBorders>
            <w:shd w:val="clear" w:color="auto" w:fill="F8F8F8"/>
            <w:vAlign w:val="center"/>
          </w:tcPr>
          <w:p w14:paraId="161E7932" w14:textId="77777777" w:rsidR="006016B9" w:rsidRPr="0087752B" w:rsidRDefault="006016B9" w:rsidP="00A25044">
            <w:pPr>
              <w:pStyle w:val="DETTableTextFinancial"/>
            </w:pPr>
            <w:r w:rsidRPr="0087752B">
              <w:t>South West Institute of TAFE</w:t>
            </w:r>
          </w:p>
        </w:tc>
        <w:tc>
          <w:tcPr>
            <w:tcW w:w="786" w:type="dxa"/>
            <w:tcBorders>
              <w:top w:val="nil"/>
              <w:left w:val="nil"/>
              <w:bottom w:val="nil"/>
              <w:right w:val="nil"/>
            </w:tcBorders>
            <w:vAlign w:val="bottom"/>
          </w:tcPr>
          <w:p w14:paraId="2A1C2944" w14:textId="77777777" w:rsidR="006016B9" w:rsidRPr="0087752B" w:rsidRDefault="006016B9" w:rsidP="00A25044">
            <w:pPr>
              <w:pStyle w:val="DETTableTextFinancial"/>
              <w:jc w:val="right"/>
            </w:pPr>
            <w:r w:rsidRPr="0087752B">
              <w:t>1</w:t>
            </w:r>
          </w:p>
        </w:tc>
        <w:tc>
          <w:tcPr>
            <w:tcW w:w="697" w:type="dxa"/>
            <w:tcBorders>
              <w:top w:val="nil"/>
              <w:left w:val="nil"/>
              <w:bottom w:val="nil"/>
              <w:right w:val="nil"/>
            </w:tcBorders>
            <w:vAlign w:val="bottom"/>
          </w:tcPr>
          <w:p w14:paraId="1567E5BB" w14:textId="77777777" w:rsidR="006016B9" w:rsidRPr="0087752B" w:rsidRDefault="006016B9" w:rsidP="00A25044">
            <w:pPr>
              <w:pStyle w:val="DETTableTextFinancial"/>
              <w:jc w:val="right"/>
            </w:pPr>
            <w:r w:rsidRPr="0087752B">
              <w:t>3</w:t>
            </w:r>
          </w:p>
        </w:tc>
        <w:tc>
          <w:tcPr>
            <w:tcW w:w="698" w:type="dxa"/>
            <w:tcBorders>
              <w:top w:val="nil"/>
              <w:left w:val="nil"/>
              <w:bottom w:val="nil"/>
              <w:right w:val="single" w:sz="4" w:space="0" w:color="auto"/>
            </w:tcBorders>
            <w:vAlign w:val="bottom"/>
          </w:tcPr>
          <w:p w14:paraId="4DE4EA1C" w14:textId="77777777" w:rsidR="006016B9" w:rsidRPr="0087752B" w:rsidRDefault="006016B9" w:rsidP="00A25044">
            <w:pPr>
              <w:pStyle w:val="DETTableTextFinancial"/>
              <w:jc w:val="right"/>
            </w:pPr>
            <w:r w:rsidRPr="0087752B">
              <w:t>4</w:t>
            </w:r>
          </w:p>
        </w:tc>
        <w:tc>
          <w:tcPr>
            <w:tcW w:w="696" w:type="dxa"/>
            <w:tcBorders>
              <w:top w:val="nil"/>
              <w:left w:val="single" w:sz="4" w:space="0" w:color="auto"/>
              <w:bottom w:val="nil"/>
              <w:right w:val="nil"/>
            </w:tcBorders>
            <w:shd w:val="clear" w:color="auto" w:fill="auto"/>
            <w:vAlign w:val="bottom"/>
          </w:tcPr>
          <w:p w14:paraId="61F61055" w14:textId="77777777" w:rsidR="006016B9" w:rsidRPr="0087752B" w:rsidRDefault="006016B9" w:rsidP="00A25044">
            <w:pPr>
              <w:pStyle w:val="DETTableTextFinancial"/>
              <w:jc w:val="right"/>
            </w:pPr>
            <w:r w:rsidRPr="0087752B">
              <w:t>2</w:t>
            </w:r>
          </w:p>
        </w:tc>
        <w:tc>
          <w:tcPr>
            <w:tcW w:w="699" w:type="dxa"/>
            <w:tcBorders>
              <w:top w:val="nil"/>
              <w:left w:val="nil"/>
              <w:bottom w:val="nil"/>
              <w:right w:val="nil"/>
            </w:tcBorders>
            <w:shd w:val="clear" w:color="auto" w:fill="auto"/>
            <w:vAlign w:val="bottom"/>
          </w:tcPr>
          <w:p w14:paraId="37DD76C1" w14:textId="77777777" w:rsidR="006016B9" w:rsidRPr="0087752B" w:rsidRDefault="006016B9" w:rsidP="00A25044">
            <w:pPr>
              <w:pStyle w:val="DETTableTextFinancial"/>
              <w:jc w:val="right"/>
            </w:pPr>
            <w:r w:rsidRPr="0087752B">
              <w:t>2</w:t>
            </w:r>
          </w:p>
        </w:tc>
        <w:tc>
          <w:tcPr>
            <w:tcW w:w="697" w:type="dxa"/>
            <w:tcBorders>
              <w:top w:val="nil"/>
              <w:left w:val="nil"/>
              <w:bottom w:val="nil"/>
              <w:right w:val="single" w:sz="4" w:space="0" w:color="auto"/>
            </w:tcBorders>
            <w:shd w:val="clear" w:color="auto" w:fill="auto"/>
            <w:vAlign w:val="bottom"/>
          </w:tcPr>
          <w:p w14:paraId="462196D7" w14:textId="77777777" w:rsidR="006016B9" w:rsidRPr="0087752B" w:rsidRDefault="006016B9" w:rsidP="00A25044">
            <w:pPr>
              <w:pStyle w:val="DETTableTextFinancial"/>
              <w:jc w:val="right"/>
            </w:pPr>
            <w:r w:rsidRPr="0087752B">
              <w:t>4</w:t>
            </w:r>
          </w:p>
        </w:tc>
        <w:tc>
          <w:tcPr>
            <w:tcW w:w="698" w:type="dxa"/>
            <w:tcBorders>
              <w:top w:val="nil"/>
              <w:left w:val="single" w:sz="4" w:space="0" w:color="auto"/>
              <w:bottom w:val="nil"/>
              <w:right w:val="nil"/>
            </w:tcBorders>
            <w:shd w:val="clear" w:color="auto" w:fill="F8F8F8"/>
            <w:vAlign w:val="bottom"/>
          </w:tcPr>
          <w:p w14:paraId="11A48FF3"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71330895"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4DDD3BE2" w14:textId="77777777" w:rsidR="006016B9" w:rsidRPr="0087752B" w:rsidRDefault="006016B9" w:rsidP="00A25044">
            <w:pPr>
              <w:pStyle w:val="DETTableTextFinancial"/>
              <w:jc w:val="right"/>
            </w:pPr>
            <w:r w:rsidRPr="0087752B">
              <w:t>0</w:t>
            </w:r>
          </w:p>
        </w:tc>
      </w:tr>
      <w:tr w:rsidR="006016B9" w:rsidRPr="0087752B" w14:paraId="3779F704" w14:textId="77777777" w:rsidTr="00A25044">
        <w:trPr>
          <w:cantSplit/>
          <w:trHeight w:val="454"/>
        </w:trPr>
        <w:tc>
          <w:tcPr>
            <w:tcW w:w="1319" w:type="dxa"/>
            <w:tcBorders>
              <w:top w:val="nil"/>
              <w:left w:val="nil"/>
              <w:bottom w:val="nil"/>
              <w:right w:val="nil"/>
            </w:tcBorders>
            <w:shd w:val="clear" w:color="auto" w:fill="F8F8F8"/>
            <w:vAlign w:val="center"/>
          </w:tcPr>
          <w:p w14:paraId="64DB1123" w14:textId="77777777" w:rsidR="006016B9" w:rsidRPr="0087752B" w:rsidRDefault="006016B9" w:rsidP="00A25044">
            <w:pPr>
              <w:pStyle w:val="DETTableTextFinancial"/>
            </w:pPr>
            <w:r w:rsidRPr="0087752B">
              <w:t>Sunraysia Institute of TAFE</w:t>
            </w:r>
          </w:p>
        </w:tc>
        <w:tc>
          <w:tcPr>
            <w:tcW w:w="786" w:type="dxa"/>
            <w:tcBorders>
              <w:top w:val="nil"/>
              <w:left w:val="nil"/>
              <w:bottom w:val="nil"/>
              <w:right w:val="nil"/>
            </w:tcBorders>
            <w:vAlign w:val="bottom"/>
          </w:tcPr>
          <w:p w14:paraId="432D59EF" w14:textId="77777777" w:rsidR="006016B9" w:rsidRPr="0087752B" w:rsidRDefault="006016B9" w:rsidP="00A25044">
            <w:pPr>
              <w:pStyle w:val="DETTableTextFinancial"/>
              <w:jc w:val="right"/>
            </w:pPr>
            <w:r w:rsidRPr="0087752B">
              <w:t>1</w:t>
            </w:r>
          </w:p>
        </w:tc>
        <w:tc>
          <w:tcPr>
            <w:tcW w:w="697" w:type="dxa"/>
            <w:tcBorders>
              <w:top w:val="nil"/>
              <w:left w:val="nil"/>
              <w:bottom w:val="nil"/>
              <w:right w:val="nil"/>
            </w:tcBorders>
            <w:vAlign w:val="bottom"/>
          </w:tcPr>
          <w:p w14:paraId="3DE00715" w14:textId="77777777" w:rsidR="006016B9" w:rsidRPr="0087752B" w:rsidRDefault="006016B9" w:rsidP="00A25044">
            <w:pPr>
              <w:pStyle w:val="DETTableTextFinancial"/>
              <w:jc w:val="right"/>
            </w:pPr>
            <w:r w:rsidRPr="0087752B">
              <w:t>3</w:t>
            </w:r>
          </w:p>
        </w:tc>
        <w:tc>
          <w:tcPr>
            <w:tcW w:w="698" w:type="dxa"/>
            <w:tcBorders>
              <w:top w:val="nil"/>
              <w:left w:val="nil"/>
              <w:bottom w:val="nil"/>
              <w:right w:val="single" w:sz="4" w:space="0" w:color="auto"/>
            </w:tcBorders>
            <w:vAlign w:val="bottom"/>
          </w:tcPr>
          <w:p w14:paraId="567C81A0" w14:textId="77777777" w:rsidR="006016B9" w:rsidRPr="0087752B" w:rsidRDefault="006016B9" w:rsidP="00A25044">
            <w:pPr>
              <w:pStyle w:val="DETTableTextFinancial"/>
              <w:jc w:val="right"/>
            </w:pPr>
            <w:r w:rsidRPr="0087752B">
              <w:t>4</w:t>
            </w:r>
          </w:p>
        </w:tc>
        <w:tc>
          <w:tcPr>
            <w:tcW w:w="696" w:type="dxa"/>
            <w:tcBorders>
              <w:top w:val="nil"/>
              <w:left w:val="single" w:sz="4" w:space="0" w:color="auto"/>
              <w:bottom w:val="nil"/>
              <w:right w:val="nil"/>
            </w:tcBorders>
            <w:shd w:val="clear" w:color="auto" w:fill="auto"/>
            <w:vAlign w:val="bottom"/>
          </w:tcPr>
          <w:p w14:paraId="0185BE88" w14:textId="77777777" w:rsidR="006016B9" w:rsidRPr="0087752B" w:rsidRDefault="006016B9" w:rsidP="00A25044">
            <w:pPr>
              <w:pStyle w:val="DETTableTextFinancial"/>
              <w:jc w:val="right"/>
            </w:pPr>
            <w:r w:rsidRPr="0087752B">
              <w:t>3</w:t>
            </w:r>
          </w:p>
        </w:tc>
        <w:tc>
          <w:tcPr>
            <w:tcW w:w="699" w:type="dxa"/>
            <w:tcBorders>
              <w:top w:val="nil"/>
              <w:left w:val="nil"/>
              <w:bottom w:val="nil"/>
              <w:right w:val="nil"/>
            </w:tcBorders>
            <w:shd w:val="clear" w:color="auto" w:fill="auto"/>
            <w:vAlign w:val="bottom"/>
          </w:tcPr>
          <w:p w14:paraId="02EB0E00" w14:textId="77777777" w:rsidR="006016B9" w:rsidRPr="0087752B" w:rsidRDefault="006016B9" w:rsidP="00A25044">
            <w:pPr>
              <w:pStyle w:val="DETTableTextFinancial"/>
              <w:jc w:val="right"/>
            </w:pPr>
            <w:r w:rsidRPr="0087752B">
              <w:t>2</w:t>
            </w:r>
          </w:p>
        </w:tc>
        <w:tc>
          <w:tcPr>
            <w:tcW w:w="697" w:type="dxa"/>
            <w:tcBorders>
              <w:top w:val="nil"/>
              <w:left w:val="nil"/>
              <w:bottom w:val="nil"/>
              <w:right w:val="single" w:sz="4" w:space="0" w:color="auto"/>
            </w:tcBorders>
            <w:shd w:val="clear" w:color="auto" w:fill="auto"/>
            <w:vAlign w:val="bottom"/>
          </w:tcPr>
          <w:p w14:paraId="0E84B806" w14:textId="77777777" w:rsidR="006016B9" w:rsidRPr="0087752B" w:rsidRDefault="006016B9" w:rsidP="00A25044">
            <w:pPr>
              <w:pStyle w:val="DETTableTextFinancial"/>
              <w:jc w:val="right"/>
            </w:pPr>
            <w:r w:rsidRPr="0087752B">
              <w:t>5</w:t>
            </w:r>
          </w:p>
        </w:tc>
        <w:tc>
          <w:tcPr>
            <w:tcW w:w="698" w:type="dxa"/>
            <w:tcBorders>
              <w:top w:val="nil"/>
              <w:left w:val="single" w:sz="4" w:space="0" w:color="auto"/>
              <w:bottom w:val="nil"/>
              <w:right w:val="nil"/>
            </w:tcBorders>
            <w:shd w:val="clear" w:color="auto" w:fill="F8F8F8"/>
            <w:vAlign w:val="bottom"/>
          </w:tcPr>
          <w:p w14:paraId="149468A1" w14:textId="77777777" w:rsidR="006016B9" w:rsidRPr="0087752B" w:rsidRDefault="006016B9" w:rsidP="00A25044">
            <w:pPr>
              <w:pStyle w:val="DETTableTextFinancial"/>
              <w:jc w:val="right"/>
            </w:pPr>
            <w:r w:rsidRPr="0087752B">
              <w:t>-2</w:t>
            </w:r>
          </w:p>
        </w:tc>
        <w:tc>
          <w:tcPr>
            <w:tcW w:w="585" w:type="dxa"/>
            <w:tcBorders>
              <w:top w:val="nil"/>
              <w:left w:val="nil"/>
              <w:bottom w:val="nil"/>
              <w:right w:val="nil"/>
            </w:tcBorders>
            <w:shd w:val="clear" w:color="auto" w:fill="F8F8F8"/>
            <w:vAlign w:val="bottom"/>
          </w:tcPr>
          <w:p w14:paraId="1C7E9449"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3F0B81A9" w14:textId="77777777" w:rsidR="006016B9" w:rsidRPr="0087752B" w:rsidRDefault="006016B9" w:rsidP="00A25044">
            <w:pPr>
              <w:pStyle w:val="DETTableTextFinancial"/>
              <w:jc w:val="right"/>
            </w:pPr>
            <w:r w:rsidRPr="0087752B">
              <w:t>-1</w:t>
            </w:r>
          </w:p>
        </w:tc>
      </w:tr>
      <w:tr w:rsidR="006016B9" w:rsidRPr="0087752B" w14:paraId="3412C2E6" w14:textId="77777777" w:rsidTr="00A25044">
        <w:trPr>
          <w:cantSplit/>
          <w:trHeight w:val="419"/>
        </w:trPr>
        <w:tc>
          <w:tcPr>
            <w:tcW w:w="1319" w:type="dxa"/>
            <w:tcBorders>
              <w:top w:val="nil"/>
              <w:left w:val="nil"/>
              <w:bottom w:val="nil"/>
              <w:right w:val="nil"/>
            </w:tcBorders>
            <w:shd w:val="clear" w:color="auto" w:fill="F8F8F8"/>
            <w:vAlign w:val="center"/>
          </w:tcPr>
          <w:p w14:paraId="5D0622AD" w14:textId="77777777" w:rsidR="006016B9" w:rsidRPr="0087752B" w:rsidRDefault="006016B9" w:rsidP="00A25044">
            <w:pPr>
              <w:pStyle w:val="DETTableTextFinancial"/>
            </w:pPr>
            <w:r w:rsidRPr="0087752B">
              <w:t>VET Development Centre</w:t>
            </w:r>
          </w:p>
        </w:tc>
        <w:tc>
          <w:tcPr>
            <w:tcW w:w="786" w:type="dxa"/>
            <w:tcBorders>
              <w:top w:val="nil"/>
              <w:left w:val="nil"/>
              <w:bottom w:val="nil"/>
              <w:right w:val="nil"/>
            </w:tcBorders>
            <w:vAlign w:val="bottom"/>
          </w:tcPr>
          <w:p w14:paraId="4F6D38F6" w14:textId="01D9C4DD" w:rsidR="006016B9" w:rsidRPr="0087752B" w:rsidRDefault="00724B68" w:rsidP="00A25044">
            <w:pPr>
              <w:pStyle w:val="DETTableTextFinancial"/>
              <w:jc w:val="right"/>
            </w:pPr>
            <w:r>
              <w:t>0</w:t>
            </w:r>
          </w:p>
        </w:tc>
        <w:tc>
          <w:tcPr>
            <w:tcW w:w="697" w:type="dxa"/>
            <w:tcBorders>
              <w:top w:val="nil"/>
              <w:left w:val="nil"/>
              <w:bottom w:val="nil"/>
              <w:right w:val="nil"/>
            </w:tcBorders>
            <w:vAlign w:val="bottom"/>
          </w:tcPr>
          <w:p w14:paraId="2C2F27B6" w14:textId="77777777" w:rsidR="006016B9" w:rsidRPr="0087752B" w:rsidRDefault="006016B9" w:rsidP="00A25044">
            <w:pPr>
              <w:pStyle w:val="DETTableTextFinancial"/>
              <w:jc w:val="right"/>
            </w:pPr>
            <w:r w:rsidRPr="0087752B">
              <w:t>1</w:t>
            </w:r>
          </w:p>
        </w:tc>
        <w:tc>
          <w:tcPr>
            <w:tcW w:w="698" w:type="dxa"/>
            <w:tcBorders>
              <w:top w:val="nil"/>
              <w:left w:val="nil"/>
              <w:bottom w:val="nil"/>
              <w:right w:val="single" w:sz="4" w:space="0" w:color="auto"/>
            </w:tcBorders>
            <w:vAlign w:val="bottom"/>
          </w:tcPr>
          <w:p w14:paraId="28132BA3" w14:textId="77777777" w:rsidR="006016B9" w:rsidRPr="0087752B" w:rsidRDefault="006016B9" w:rsidP="00A25044">
            <w:pPr>
              <w:pStyle w:val="DETTableTextFinancial"/>
              <w:jc w:val="right"/>
            </w:pPr>
            <w:r w:rsidRPr="0087752B">
              <w:t>1</w:t>
            </w:r>
          </w:p>
        </w:tc>
        <w:tc>
          <w:tcPr>
            <w:tcW w:w="696" w:type="dxa"/>
            <w:tcBorders>
              <w:top w:val="nil"/>
              <w:left w:val="single" w:sz="4" w:space="0" w:color="auto"/>
              <w:bottom w:val="nil"/>
              <w:right w:val="nil"/>
            </w:tcBorders>
            <w:shd w:val="clear" w:color="auto" w:fill="auto"/>
            <w:vAlign w:val="bottom"/>
          </w:tcPr>
          <w:p w14:paraId="027DE0BD" w14:textId="77777777" w:rsidR="006016B9" w:rsidRPr="0087752B" w:rsidRDefault="006016B9" w:rsidP="00A25044">
            <w:pPr>
              <w:pStyle w:val="DETTableTextFinancial"/>
              <w:jc w:val="right"/>
            </w:pPr>
            <w:r w:rsidRPr="0087752B">
              <w:t>1</w:t>
            </w:r>
          </w:p>
        </w:tc>
        <w:tc>
          <w:tcPr>
            <w:tcW w:w="699" w:type="dxa"/>
            <w:tcBorders>
              <w:top w:val="nil"/>
              <w:left w:val="nil"/>
              <w:bottom w:val="nil"/>
              <w:right w:val="nil"/>
            </w:tcBorders>
            <w:shd w:val="clear" w:color="auto" w:fill="auto"/>
            <w:vAlign w:val="bottom"/>
          </w:tcPr>
          <w:p w14:paraId="322361F1" w14:textId="2BA4F70D" w:rsidR="006016B9" w:rsidRPr="0087752B" w:rsidRDefault="00724B68" w:rsidP="00A25044">
            <w:pPr>
              <w:pStyle w:val="DETTableTextFinancial"/>
              <w:jc w:val="right"/>
            </w:pPr>
            <w:r>
              <w:t>0</w:t>
            </w:r>
          </w:p>
        </w:tc>
        <w:tc>
          <w:tcPr>
            <w:tcW w:w="697" w:type="dxa"/>
            <w:tcBorders>
              <w:top w:val="nil"/>
              <w:left w:val="nil"/>
              <w:bottom w:val="nil"/>
              <w:right w:val="single" w:sz="4" w:space="0" w:color="auto"/>
            </w:tcBorders>
            <w:shd w:val="clear" w:color="auto" w:fill="auto"/>
            <w:vAlign w:val="bottom"/>
          </w:tcPr>
          <w:p w14:paraId="127125A2" w14:textId="77777777" w:rsidR="006016B9" w:rsidRPr="0087752B" w:rsidRDefault="006016B9" w:rsidP="00A25044">
            <w:pPr>
              <w:pStyle w:val="DETTableTextFinancial"/>
              <w:jc w:val="right"/>
            </w:pPr>
            <w:r w:rsidRPr="0087752B">
              <w:t>1</w:t>
            </w:r>
          </w:p>
        </w:tc>
        <w:tc>
          <w:tcPr>
            <w:tcW w:w="698" w:type="dxa"/>
            <w:tcBorders>
              <w:top w:val="nil"/>
              <w:left w:val="single" w:sz="4" w:space="0" w:color="auto"/>
              <w:bottom w:val="nil"/>
              <w:right w:val="nil"/>
            </w:tcBorders>
            <w:shd w:val="clear" w:color="auto" w:fill="F8F8F8"/>
            <w:vAlign w:val="bottom"/>
          </w:tcPr>
          <w:p w14:paraId="19BD827C" w14:textId="77777777" w:rsidR="006016B9" w:rsidRPr="0087752B" w:rsidRDefault="006016B9" w:rsidP="00A25044">
            <w:pPr>
              <w:pStyle w:val="DETTableTextFinancial"/>
              <w:jc w:val="right"/>
            </w:pPr>
            <w:r w:rsidRPr="0087752B">
              <w:t>-1</w:t>
            </w:r>
          </w:p>
        </w:tc>
        <w:tc>
          <w:tcPr>
            <w:tcW w:w="585" w:type="dxa"/>
            <w:tcBorders>
              <w:top w:val="nil"/>
              <w:left w:val="nil"/>
              <w:bottom w:val="nil"/>
              <w:right w:val="nil"/>
            </w:tcBorders>
            <w:shd w:val="clear" w:color="auto" w:fill="F8F8F8"/>
            <w:vAlign w:val="bottom"/>
          </w:tcPr>
          <w:p w14:paraId="16437F3B" w14:textId="77777777" w:rsidR="006016B9" w:rsidRPr="0087752B" w:rsidRDefault="006016B9" w:rsidP="00A25044">
            <w:pPr>
              <w:pStyle w:val="DETTableTextFinancial"/>
              <w:jc w:val="right"/>
            </w:pPr>
            <w:r w:rsidRPr="0087752B">
              <w:t>1</w:t>
            </w:r>
          </w:p>
        </w:tc>
        <w:tc>
          <w:tcPr>
            <w:tcW w:w="584" w:type="dxa"/>
            <w:tcBorders>
              <w:top w:val="nil"/>
              <w:left w:val="nil"/>
              <w:bottom w:val="nil"/>
              <w:right w:val="nil"/>
            </w:tcBorders>
            <w:shd w:val="clear" w:color="auto" w:fill="F8F8F8"/>
            <w:vAlign w:val="bottom"/>
          </w:tcPr>
          <w:p w14:paraId="3674A60B" w14:textId="77777777" w:rsidR="006016B9" w:rsidRPr="0087752B" w:rsidRDefault="006016B9" w:rsidP="00A25044">
            <w:pPr>
              <w:pStyle w:val="DETTableTextFinancial"/>
              <w:jc w:val="right"/>
            </w:pPr>
            <w:r w:rsidRPr="0087752B">
              <w:t>0</w:t>
            </w:r>
          </w:p>
        </w:tc>
      </w:tr>
      <w:tr w:rsidR="006016B9" w:rsidRPr="0087752B" w14:paraId="412A8ECE" w14:textId="77777777" w:rsidTr="00A25044">
        <w:trPr>
          <w:cantSplit/>
          <w:trHeight w:val="454"/>
        </w:trPr>
        <w:tc>
          <w:tcPr>
            <w:tcW w:w="1319" w:type="dxa"/>
            <w:tcBorders>
              <w:top w:val="nil"/>
              <w:left w:val="nil"/>
              <w:bottom w:val="nil"/>
              <w:right w:val="nil"/>
            </w:tcBorders>
            <w:shd w:val="clear" w:color="auto" w:fill="F8F8F8"/>
            <w:vAlign w:val="center"/>
          </w:tcPr>
          <w:p w14:paraId="4ECBAF4C" w14:textId="77777777" w:rsidR="006016B9" w:rsidRPr="0087752B" w:rsidRDefault="006016B9" w:rsidP="00A25044">
            <w:pPr>
              <w:pStyle w:val="DETTableTextFinancial"/>
            </w:pPr>
            <w:r w:rsidRPr="0087752B">
              <w:t>Victorian Institute of Teaching</w:t>
            </w:r>
          </w:p>
        </w:tc>
        <w:tc>
          <w:tcPr>
            <w:tcW w:w="786" w:type="dxa"/>
            <w:tcBorders>
              <w:top w:val="nil"/>
              <w:left w:val="nil"/>
              <w:bottom w:val="nil"/>
              <w:right w:val="nil"/>
            </w:tcBorders>
            <w:vAlign w:val="bottom"/>
          </w:tcPr>
          <w:p w14:paraId="7710C3DB" w14:textId="77777777" w:rsidR="006016B9" w:rsidRPr="0087752B" w:rsidRDefault="006016B9" w:rsidP="00A25044">
            <w:pPr>
              <w:pStyle w:val="DETTableTextFinancial"/>
              <w:jc w:val="right"/>
            </w:pPr>
            <w:r w:rsidRPr="0087752B">
              <w:t>1</w:t>
            </w:r>
          </w:p>
        </w:tc>
        <w:tc>
          <w:tcPr>
            <w:tcW w:w="697" w:type="dxa"/>
            <w:tcBorders>
              <w:top w:val="nil"/>
              <w:left w:val="nil"/>
              <w:bottom w:val="nil"/>
              <w:right w:val="nil"/>
            </w:tcBorders>
            <w:vAlign w:val="bottom"/>
          </w:tcPr>
          <w:p w14:paraId="5936B32D" w14:textId="09E78971" w:rsidR="006016B9" w:rsidRPr="0087752B" w:rsidRDefault="00724B68" w:rsidP="00A25044">
            <w:pPr>
              <w:pStyle w:val="DETTableTextFinancial"/>
              <w:jc w:val="right"/>
            </w:pPr>
            <w:r>
              <w:t>0</w:t>
            </w:r>
          </w:p>
        </w:tc>
        <w:tc>
          <w:tcPr>
            <w:tcW w:w="698" w:type="dxa"/>
            <w:tcBorders>
              <w:top w:val="nil"/>
              <w:left w:val="nil"/>
              <w:bottom w:val="nil"/>
              <w:right w:val="single" w:sz="4" w:space="0" w:color="auto"/>
            </w:tcBorders>
            <w:vAlign w:val="bottom"/>
          </w:tcPr>
          <w:p w14:paraId="2284A0B0" w14:textId="77777777" w:rsidR="006016B9" w:rsidRPr="0087752B" w:rsidRDefault="006016B9" w:rsidP="00A25044">
            <w:pPr>
              <w:pStyle w:val="DETTableTextFinancial"/>
              <w:jc w:val="right"/>
            </w:pPr>
            <w:r w:rsidRPr="0087752B">
              <w:t>1</w:t>
            </w:r>
          </w:p>
        </w:tc>
        <w:tc>
          <w:tcPr>
            <w:tcW w:w="696" w:type="dxa"/>
            <w:tcBorders>
              <w:top w:val="nil"/>
              <w:left w:val="single" w:sz="4" w:space="0" w:color="auto"/>
              <w:bottom w:val="nil"/>
              <w:right w:val="nil"/>
            </w:tcBorders>
            <w:shd w:val="clear" w:color="auto" w:fill="auto"/>
            <w:vAlign w:val="bottom"/>
          </w:tcPr>
          <w:p w14:paraId="55154386" w14:textId="77777777" w:rsidR="006016B9" w:rsidRPr="0087752B" w:rsidRDefault="006016B9" w:rsidP="00A25044">
            <w:pPr>
              <w:pStyle w:val="DETTableTextFinancial"/>
              <w:jc w:val="right"/>
            </w:pPr>
            <w:r w:rsidRPr="0087752B">
              <w:t>1</w:t>
            </w:r>
          </w:p>
        </w:tc>
        <w:tc>
          <w:tcPr>
            <w:tcW w:w="699" w:type="dxa"/>
            <w:tcBorders>
              <w:top w:val="nil"/>
              <w:left w:val="nil"/>
              <w:bottom w:val="nil"/>
              <w:right w:val="nil"/>
            </w:tcBorders>
            <w:shd w:val="clear" w:color="auto" w:fill="auto"/>
            <w:vAlign w:val="bottom"/>
          </w:tcPr>
          <w:p w14:paraId="2BCC3F60" w14:textId="7C03FC36" w:rsidR="006016B9" w:rsidRPr="0087752B" w:rsidRDefault="00724B68" w:rsidP="00A25044">
            <w:pPr>
              <w:pStyle w:val="DETTableTextFinancial"/>
              <w:jc w:val="right"/>
            </w:pPr>
            <w:r>
              <w:t>0</w:t>
            </w:r>
          </w:p>
        </w:tc>
        <w:tc>
          <w:tcPr>
            <w:tcW w:w="697" w:type="dxa"/>
            <w:tcBorders>
              <w:top w:val="nil"/>
              <w:left w:val="nil"/>
              <w:bottom w:val="nil"/>
              <w:right w:val="single" w:sz="4" w:space="0" w:color="auto"/>
            </w:tcBorders>
            <w:shd w:val="clear" w:color="auto" w:fill="auto"/>
            <w:vAlign w:val="bottom"/>
          </w:tcPr>
          <w:p w14:paraId="55A81B98" w14:textId="77777777" w:rsidR="006016B9" w:rsidRPr="0087752B" w:rsidRDefault="006016B9" w:rsidP="00A25044">
            <w:pPr>
              <w:pStyle w:val="DETTableTextFinancial"/>
              <w:jc w:val="right"/>
            </w:pPr>
            <w:r w:rsidRPr="0087752B">
              <w:t>1</w:t>
            </w:r>
          </w:p>
        </w:tc>
        <w:tc>
          <w:tcPr>
            <w:tcW w:w="698" w:type="dxa"/>
            <w:tcBorders>
              <w:top w:val="nil"/>
              <w:left w:val="single" w:sz="4" w:space="0" w:color="auto"/>
              <w:bottom w:val="nil"/>
              <w:right w:val="nil"/>
            </w:tcBorders>
            <w:shd w:val="clear" w:color="auto" w:fill="F8F8F8"/>
            <w:vAlign w:val="bottom"/>
          </w:tcPr>
          <w:p w14:paraId="2D376844" w14:textId="77777777" w:rsidR="006016B9" w:rsidRPr="0087752B" w:rsidRDefault="006016B9" w:rsidP="00A25044">
            <w:pPr>
              <w:pStyle w:val="DETTableTextFinancial"/>
              <w:jc w:val="right"/>
            </w:pPr>
            <w:r w:rsidRPr="0087752B">
              <w:t>0</w:t>
            </w:r>
          </w:p>
        </w:tc>
        <w:tc>
          <w:tcPr>
            <w:tcW w:w="585" w:type="dxa"/>
            <w:tcBorders>
              <w:top w:val="nil"/>
              <w:left w:val="nil"/>
              <w:bottom w:val="nil"/>
              <w:right w:val="nil"/>
            </w:tcBorders>
            <w:shd w:val="clear" w:color="auto" w:fill="F8F8F8"/>
            <w:vAlign w:val="bottom"/>
          </w:tcPr>
          <w:p w14:paraId="41A7CE92"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5DAC9705" w14:textId="77777777" w:rsidR="006016B9" w:rsidRPr="0087752B" w:rsidRDefault="006016B9" w:rsidP="00A25044">
            <w:pPr>
              <w:pStyle w:val="DETTableTextFinancial"/>
              <w:jc w:val="right"/>
            </w:pPr>
            <w:r w:rsidRPr="0087752B">
              <w:t>0</w:t>
            </w:r>
          </w:p>
        </w:tc>
      </w:tr>
      <w:tr w:rsidR="006016B9" w:rsidRPr="0087752B" w14:paraId="5BEA7048" w14:textId="77777777" w:rsidTr="00A25044">
        <w:trPr>
          <w:cantSplit/>
          <w:trHeight w:val="454"/>
        </w:trPr>
        <w:tc>
          <w:tcPr>
            <w:tcW w:w="1319" w:type="dxa"/>
            <w:tcBorders>
              <w:top w:val="nil"/>
              <w:left w:val="nil"/>
              <w:bottom w:val="nil"/>
              <w:right w:val="nil"/>
            </w:tcBorders>
            <w:shd w:val="clear" w:color="auto" w:fill="F8F8F8"/>
            <w:vAlign w:val="center"/>
          </w:tcPr>
          <w:p w14:paraId="18B55592" w14:textId="77777777" w:rsidR="006016B9" w:rsidRPr="0087752B" w:rsidRDefault="006016B9" w:rsidP="00A25044">
            <w:pPr>
              <w:pStyle w:val="DETTableTextFinancial"/>
            </w:pPr>
            <w:r w:rsidRPr="0087752B">
              <w:t>William Angliss Institute of TAFE</w:t>
            </w:r>
          </w:p>
        </w:tc>
        <w:tc>
          <w:tcPr>
            <w:tcW w:w="786" w:type="dxa"/>
            <w:tcBorders>
              <w:top w:val="nil"/>
              <w:left w:val="nil"/>
              <w:bottom w:val="nil"/>
              <w:right w:val="nil"/>
            </w:tcBorders>
            <w:vAlign w:val="bottom"/>
          </w:tcPr>
          <w:p w14:paraId="7FA0889E" w14:textId="703A826C" w:rsidR="006016B9" w:rsidRPr="0087752B" w:rsidRDefault="00724B68" w:rsidP="00A25044">
            <w:pPr>
              <w:pStyle w:val="DETTableTextFinancial"/>
              <w:jc w:val="right"/>
            </w:pPr>
            <w:r>
              <w:t>0</w:t>
            </w:r>
          </w:p>
        </w:tc>
        <w:tc>
          <w:tcPr>
            <w:tcW w:w="697" w:type="dxa"/>
            <w:tcBorders>
              <w:top w:val="nil"/>
              <w:left w:val="nil"/>
              <w:bottom w:val="nil"/>
              <w:right w:val="nil"/>
            </w:tcBorders>
            <w:vAlign w:val="bottom"/>
          </w:tcPr>
          <w:p w14:paraId="4CA619A5" w14:textId="77777777" w:rsidR="006016B9" w:rsidRPr="0087752B" w:rsidRDefault="006016B9" w:rsidP="00A25044">
            <w:pPr>
              <w:pStyle w:val="DETTableTextFinancial"/>
              <w:jc w:val="right"/>
            </w:pPr>
            <w:r w:rsidRPr="0087752B">
              <w:t>5</w:t>
            </w:r>
          </w:p>
        </w:tc>
        <w:tc>
          <w:tcPr>
            <w:tcW w:w="698" w:type="dxa"/>
            <w:tcBorders>
              <w:top w:val="nil"/>
              <w:left w:val="nil"/>
              <w:bottom w:val="nil"/>
              <w:right w:val="single" w:sz="4" w:space="0" w:color="auto"/>
            </w:tcBorders>
            <w:vAlign w:val="bottom"/>
          </w:tcPr>
          <w:p w14:paraId="1B32BFB6" w14:textId="77777777" w:rsidR="006016B9" w:rsidRPr="0087752B" w:rsidRDefault="006016B9" w:rsidP="00A25044">
            <w:pPr>
              <w:pStyle w:val="DETTableTextFinancial"/>
              <w:jc w:val="right"/>
            </w:pPr>
            <w:r w:rsidRPr="0087752B">
              <w:t>5</w:t>
            </w:r>
          </w:p>
        </w:tc>
        <w:tc>
          <w:tcPr>
            <w:tcW w:w="696" w:type="dxa"/>
            <w:tcBorders>
              <w:top w:val="nil"/>
              <w:left w:val="single" w:sz="4" w:space="0" w:color="auto"/>
              <w:bottom w:val="nil"/>
              <w:right w:val="nil"/>
            </w:tcBorders>
            <w:shd w:val="clear" w:color="auto" w:fill="auto"/>
            <w:vAlign w:val="bottom"/>
          </w:tcPr>
          <w:p w14:paraId="04F16AC2" w14:textId="5B550AFC" w:rsidR="006016B9" w:rsidRPr="0087752B" w:rsidRDefault="00724B68" w:rsidP="00A25044">
            <w:pPr>
              <w:pStyle w:val="DETTableTextFinancial"/>
              <w:jc w:val="right"/>
            </w:pPr>
            <w:r>
              <w:t>0</w:t>
            </w:r>
          </w:p>
        </w:tc>
        <w:tc>
          <w:tcPr>
            <w:tcW w:w="699" w:type="dxa"/>
            <w:tcBorders>
              <w:top w:val="nil"/>
              <w:left w:val="nil"/>
              <w:bottom w:val="nil"/>
              <w:right w:val="nil"/>
            </w:tcBorders>
            <w:shd w:val="clear" w:color="auto" w:fill="auto"/>
            <w:vAlign w:val="bottom"/>
          </w:tcPr>
          <w:p w14:paraId="3C994C73" w14:textId="77777777" w:rsidR="006016B9" w:rsidRPr="0087752B" w:rsidRDefault="006016B9" w:rsidP="00A25044">
            <w:pPr>
              <w:pStyle w:val="DETTableTextFinancial"/>
              <w:jc w:val="right"/>
            </w:pPr>
            <w:r w:rsidRPr="0087752B">
              <w:t>5</w:t>
            </w:r>
          </w:p>
        </w:tc>
        <w:tc>
          <w:tcPr>
            <w:tcW w:w="697" w:type="dxa"/>
            <w:tcBorders>
              <w:top w:val="nil"/>
              <w:left w:val="nil"/>
              <w:bottom w:val="nil"/>
              <w:right w:val="single" w:sz="4" w:space="0" w:color="auto"/>
            </w:tcBorders>
            <w:shd w:val="clear" w:color="auto" w:fill="auto"/>
            <w:vAlign w:val="bottom"/>
          </w:tcPr>
          <w:p w14:paraId="6016A58D" w14:textId="77777777" w:rsidR="006016B9" w:rsidRPr="0087752B" w:rsidRDefault="006016B9" w:rsidP="00A25044">
            <w:pPr>
              <w:pStyle w:val="DETTableTextFinancial"/>
              <w:jc w:val="right"/>
            </w:pPr>
            <w:r w:rsidRPr="0087752B">
              <w:t>5</w:t>
            </w:r>
          </w:p>
        </w:tc>
        <w:tc>
          <w:tcPr>
            <w:tcW w:w="698" w:type="dxa"/>
            <w:tcBorders>
              <w:top w:val="nil"/>
              <w:left w:val="single" w:sz="4" w:space="0" w:color="auto"/>
              <w:bottom w:val="nil"/>
              <w:right w:val="nil"/>
            </w:tcBorders>
            <w:shd w:val="clear" w:color="auto" w:fill="F8F8F8"/>
            <w:vAlign w:val="bottom"/>
          </w:tcPr>
          <w:p w14:paraId="5FDA00E4" w14:textId="77777777" w:rsidR="006016B9" w:rsidRPr="0087752B" w:rsidRDefault="006016B9" w:rsidP="00A25044">
            <w:pPr>
              <w:pStyle w:val="DETTableTextFinancial"/>
              <w:jc w:val="right"/>
            </w:pPr>
            <w:r w:rsidRPr="0087752B">
              <w:t>0</w:t>
            </w:r>
          </w:p>
        </w:tc>
        <w:tc>
          <w:tcPr>
            <w:tcW w:w="585" w:type="dxa"/>
            <w:tcBorders>
              <w:top w:val="nil"/>
              <w:left w:val="nil"/>
              <w:bottom w:val="nil"/>
              <w:right w:val="nil"/>
            </w:tcBorders>
            <w:shd w:val="clear" w:color="auto" w:fill="F8F8F8"/>
            <w:vAlign w:val="bottom"/>
          </w:tcPr>
          <w:p w14:paraId="49610F88" w14:textId="77777777" w:rsidR="006016B9" w:rsidRPr="0087752B" w:rsidRDefault="006016B9" w:rsidP="00A25044">
            <w:pPr>
              <w:pStyle w:val="DETTableTextFinancial"/>
              <w:jc w:val="right"/>
            </w:pPr>
            <w:r w:rsidRPr="0087752B">
              <w:t>0</w:t>
            </w:r>
          </w:p>
        </w:tc>
        <w:tc>
          <w:tcPr>
            <w:tcW w:w="584" w:type="dxa"/>
            <w:tcBorders>
              <w:top w:val="nil"/>
              <w:left w:val="nil"/>
              <w:bottom w:val="nil"/>
              <w:right w:val="nil"/>
            </w:tcBorders>
            <w:shd w:val="clear" w:color="auto" w:fill="F8F8F8"/>
            <w:vAlign w:val="bottom"/>
          </w:tcPr>
          <w:p w14:paraId="2B9DB30B" w14:textId="77777777" w:rsidR="006016B9" w:rsidRPr="0087752B" w:rsidRDefault="006016B9" w:rsidP="00A25044">
            <w:pPr>
              <w:pStyle w:val="DETTableTextFinancial"/>
              <w:jc w:val="right"/>
            </w:pPr>
            <w:r w:rsidRPr="0087752B">
              <w:t>0</w:t>
            </w:r>
          </w:p>
        </w:tc>
      </w:tr>
      <w:tr w:rsidR="006016B9" w:rsidRPr="0087752B" w14:paraId="5C3CF5C8" w14:textId="77777777" w:rsidTr="00A25044">
        <w:trPr>
          <w:cantSplit/>
          <w:trHeight w:val="340"/>
        </w:trPr>
        <w:tc>
          <w:tcPr>
            <w:tcW w:w="1319" w:type="dxa"/>
            <w:tcBorders>
              <w:top w:val="nil"/>
              <w:left w:val="nil"/>
              <w:bottom w:val="single" w:sz="4" w:space="0" w:color="auto"/>
              <w:right w:val="nil"/>
            </w:tcBorders>
            <w:shd w:val="clear" w:color="auto" w:fill="F8F8F8"/>
            <w:vAlign w:val="center"/>
          </w:tcPr>
          <w:p w14:paraId="4BE25857" w14:textId="77777777" w:rsidR="006016B9" w:rsidRPr="0087752B" w:rsidRDefault="006016B9" w:rsidP="00A25044">
            <w:pPr>
              <w:pStyle w:val="DETTableTextFinancial"/>
            </w:pPr>
            <w:r w:rsidRPr="0087752B">
              <w:t>Wodonga Institute of TAFE</w:t>
            </w:r>
          </w:p>
        </w:tc>
        <w:tc>
          <w:tcPr>
            <w:tcW w:w="786" w:type="dxa"/>
            <w:tcBorders>
              <w:top w:val="nil"/>
              <w:left w:val="nil"/>
              <w:bottom w:val="single" w:sz="4" w:space="0" w:color="auto"/>
              <w:right w:val="nil"/>
            </w:tcBorders>
            <w:vAlign w:val="bottom"/>
          </w:tcPr>
          <w:p w14:paraId="4563E7CF" w14:textId="59409E22" w:rsidR="006016B9" w:rsidRPr="0087752B" w:rsidRDefault="00724B68" w:rsidP="00A25044">
            <w:pPr>
              <w:pStyle w:val="DETTableTextFinancial"/>
              <w:jc w:val="right"/>
            </w:pPr>
            <w:r>
              <w:t>0</w:t>
            </w:r>
          </w:p>
        </w:tc>
        <w:tc>
          <w:tcPr>
            <w:tcW w:w="697" w:type="dxa"/>
            <w:tcBorders>
              <w:top w:val="nil"/>
              <w:left w:val="nil"/>
              <w:bottom w:val="single" w:sz="4" w:space="0" w:color="auto"/>
              <w:right w:val="nil"/>
            </w:tcBorders>
            <w:vAlign w:val="bottom"/>
          </w:tcPr>
          <w:p w14:paraId="24C0C0C0" w14:textId="77777777" w:rsidR="006016B9" w:rsidRPr="0087752B" w:rsidRDefault="006016B9" w:rsidP="00A25044">
            <w:pPr>
              <w:pStyle w:val="DETTableTextFinancial"/>
              <w:jc w:val="right"/>
            </w:pPr>
            <w:r w:rsidRPr="0087752B">
              <w:t>5</w:t>
            </w:r>
          </w:p>
        </w:tc>
        <w:tc>
          <w:tcPr>
            <w:tcW w:w="698" w:type="dxa"/>
            <w:tcBorders>
              <w:top w:val="nil"/>
              <w:left w:val="nil"/>
              <w:bottom w:val="single" w:sz="4" w:space="0" w:color="auto"/>
              <w:right w:val="single" w:sz="4" w:space="0" w:color="auto"/>
            </w:tcBorders>
            <w:vAlign w:val="bottom"/>
          </w:tcPr>
          <w:p w14:paraId="11AF4358" w14:textId="77777777" w:rsidR="006016B9" w:rsidRPr="0087752B" w:rsidRDefault="006016B9" w:rsidP="00A25044">
            <w:pPr>
              <w:pStyle w:val="DETTableTextFinancial"/>
              <w:jc w:val="right"/>
            </w:pPr>
            <w:r w:rsidRPr="0087752B">
              <w:t>5</w:t>
            </w:r>
          </w:p>
        </w:tc>
        <w:tc>
          <w:tcPr>
            <w:tcW w:w="696" w:type="dxa"/>
            <w:tcBorders>
              <w:top w:val="nil"/>
              <w:left w:val="single" w:sz="4" w:space="0" w:color="auto"/>
              <w:bottom w:val="single" w:sz="4" w:space="0" w:color="auto"/>
              <w:right w:val="nil"/>
            </w:tcBorders>
            <w:shd w:val="clear" w:color="auto" w:fill="auto"/>
            <w:vAlign w:val="bottom"/>
          </w:tcPr>
          <w:p w14:paraId="0BB74649" w14:textId="77777777" w:rsidR="006016B9" w:rsidRPr="0087752B" w:rsidRDefault="006016B9" w:rsidP="00A25044">
            <w:pPr>
              <w:pStyle w:val="DETTableTextFinancial"/>
              <w:jc w:val="right"/>
            </w:pPr>
            <w:r w:rsidRPr="0087752B">
              <w:t>1</w:t>
            </w:r>
          </w:p>
        </w:tc>
        <w:tc>
          <w:tcPr>
            <w:tcW w:w="699" w:type="dxa"/>
            <w:tcBorders>
              <w:top w:val="nil"/>
              <w:left w:val="nil"/>
              <w:bottom w:val="single" w:sz="4" w:space="0" w:color="auto"/>
              <w:right w:val="nil"/>
            </w:tcBorders>
            <w:shd w:val="clear" w:color="auto" w:fill="auto"/>
            <w:vAlign w:val="bottom"/>
          </w:tcPr>
          <w:p w14:paraId="111024A8" w14:textId="77777777" w:rsidR="006016B9" w:rsidRPr="0087752B" w:rsidRDefault="006016B9" w:rsidP="00A25044">
            <w:pPr>
              <w:pStyle w:val="DETTableTextFinancial"/>
              <w:jc w:val="right"/>
            </w:pPr>
            <w:r w:rsidRPr="0087752B">
              <w:t>3</w:t>
            </w:r>
          </w:p>
        </w:tc>
        <w:tc>
          <w:tcPr>
            <w:tcW w:w="697" w:type="dxa"/>
            <w:tcBorders>
              <w:top w:val="nil"/>
              <w:left w:val="nil"/>
              <w:bottom w:val="single" w:sz="4" w:space="0" w:color="auto"/>
              <w:right w:val="single" w:sz="4" w:space="0" w:color="auto"/>
            </w:tcBorders>
            <w:shd w:val="clear" w:color="auto" w:fill="auto"/>
            <w:vAlign w:val="bottom"/>
          </w:tcPr>
          <w:p w14:paraId="335AF51C" w14:textId="77777777" w:rsidR="006016B9" w:rsidRPr="0087752B" w:rsidRDefault="006016B9" w:rsidP="00A25044">
            <w:pPr>
              <w:pStyle w:val="DETTableTextFinancial"/>
              <w:jc w:val="right"/>
            </w:pPr>
            <w:r w:rsidRPr="0087752B">
              <w:t>4</w:t>
            </w:r>
          </w:p>
        </w:tc>
        <w:tc>
          <w:tcPr>
            <w:tcW w:w="698" w:type="dxa"/>
            <w:tcBorders>
              <w:top w:val="nil"/>
              <w:left w:val="single" w:sz="4" w:space="0" w:color="auto"/>
              <w:bottom w:val="single" w:sz="4" w:space="0" w:color="auto"/>
              <w:right w:val="nil"/>
            </w:tcBorders>
            <w:shd w:val="clear" w:color="auto" w:fill="F8F8F8"/>
            <w:vAlign w:val="bottom"/>
          </w:tcPr>
          <w:p w14:paraId="4379EFDD" w14:textId="77777777" w:rsidR="006016B9" w:rsidRPr="0087752B" w:rsidRDefault="006016B9" w:rsidP="00A25044">
            <w:pPr>
              <w:pStyle w:val="DETTableTextFinancial"/>
              <w:jc w:val="right"/>
            </w:pPr>
            <w:r w:rsidRPr="0087752B">
              <w:t>-1</w:t>
            </w:r>
          </w:p>
        </w:tc>
        <w:tc>
          <w:tcPr>
            <w:tcW w:w="585" w:type="dxa"/>
            <w:tcBorders>
              <w:top w:val="nil"/>
              <w:left w:val="nil"/>
              <w:bottom w:val="single" w:sz="4" w:space="0" w:color="auto"/>
              <w:right w:val="nil"/>
            </w:tcBorders>
            <w:shd w:val="clear" w:color="auto" w:fill="F8F8F8"/>
            <w:vAlign w:val="bottom"/>
          </w:tcPr>
          <w:p w14:paraId="37F3D012" w14:textId="77777777" w:rsidR="006016B9" w:rsidRPr="0087752B" w:rsidRDefault="006016B9" w:rsidP="00A25044">
            <w:pPr>
              <w:pStyle w:val="DETTableTextFinancial"/>
              <w:jc w:val="right"/>
            </w:pPr>
            <w:r w:rsidRPr="0087752B">
              <w:t>2</w:t>
            </w:r>
          </w:p>
        </w:tc>
        <w:tc>
          <w:tcPr>
            <w:tcW w:w="584" w:type="dxa"/>
            <w:tcBorders>
              <w:top w:val="nil"/>
              <w:left w:val="nil"/>
              <w:bottom w:val="single" w:sz="4" w:space="0" w:color="auto"/>
              <w:right w:val="nil"/>
            </w:tcBorders>
            <w:shd w:val="clear" w:color="auto" w:fill="F8F8F8"/>
            <w:vAlign w:val="bottom"/>
          </w:tcPr>
          <w:p w14:paraId="1F8213C3" w14:textId="77777777" w:rsidR="006016B9" w:rsidRPr="0087752B" w:rsidRDefault="006016B9" w:rsidP="00A25044">
            <w:pPr>
              <w:pStyle w:val="DETTableTextFinancial"/>
              <w:jc w:val="right"/>
            </w:pPr>
            <w:r w:rsidRPr="0087752B">
              <w:t>1</w:t>
            </w:r>
          </w:p>
        </w:tc>
      </w:tr>
      <w:tr w:rsidR="006016B9" w:rsidRPr="0087752B" w14:paraId="2DFEF4D1" w14:textId="77777777" w:rsidTr="00A25044">
        <w:trPr>
          <w:cantSplit/>
          <w:trHeight w:val="405"/>
        </w:trPr>
        <w:tc>
          <w:tcPr>
            <w:tcW w:w="1319" w:type="dxa"/>
            <w:tcBorders>
              <w:top w:val="single" w:sz="4" w:space="0" w:color="auto"/>
              <w:left w:val="nil"/>
              <w:bottom w:val="single" w:sz="4" w:space="0" w:color="auto"/>
              <w:right w:val="nil"/>
            </w:tcBorders>
            <w:shd w:val="clear" w:color="auto" w:fill="F8F8F8"/>
            <w:vAlign w:val="center"/>
            <w:hideMark/>
          </w:tcPr>
          <w:p w14:paraId="29ADE09C" w14:textId="77777777" w:rsidR="006016B9" w:rsidRPr="0087752B" w:rsidRDefault="006016B9" w:rsidP="00A25044">
            <w:pPr>
              <w:pStyle w:val="DETTableTextFinancial"/>
              <w:rPr>
                <w:b/>
              </w:rPr>
            </w:pPr>
            <w:r w:rsidRPr="0087752B">
              <w:rPr>
                <w:b/>
              </w:rPr>
              <w:t>Total</w:t>
            </w:r>
          </w:p>
        </w:tc>
        <w:tc>
          <w:tcPr>
            <w:tcW w:w="786" w:type="dxa"/>
            <w:tcBorders>
              <w:top w:val="single" w:sz="4" w:space="0" w:color="auto"/>
              <w:left w:val="nil"/>
              <w:bottom w:val="single" w:sz="4" w:space="0" w:color="auto"/>
              <w:right w:val="nil"/>
            </w:tcBorders>
            <w:vAlign w:val="bottom"/>
          </w:tcPr>
          <w:p w14:paraId="0E8E8A2E" w14:textId="77777777" w:rsidR="006016B9" w:rsidRPr="0087752B" w:rsidRDefault="006016B9" w:rsidP="00A25044">
            <w:pPr>
              <w:pStyle w:val="DETTableTextFinancial"/>
              <w:jc w:val="right"/>
              <w:rPr>
                <w:b/>
              </w:rPr>
            </w:pPr>
            <w:r w:rsidRPr="0087752B">
              <w:rPr>
                <w:b/>
              </w:rPr>
              <w:t>57</w:t>
            </w:r>
          </w:p>
        </w:tc>
        <w:tc>
          <w:tcPr>
            <w:tcW w:w="697" w:type="dxa"/>
            <w:tcBorders>
              <w:top w:val="single" w:sz="4" w:space="0" w:color="auto"/>
              <w:left w:val="nil"/>
              <w:bottom w:val="single" w:sz="4" w:space="0" w:color="auto"/>
              <w:right w:val="nil"/>
            </w:tcBorders>
            <w:vAlign w:val="bottom"/>
          </w:tcPr>
          <w:p w14:paraId="0D57C175" w14:textId="77777777" w:rsidR="006016B9" w:rsidRPr="0087752B" w:rsidRDefault="006016B9" w:rsidP="00A25044">
            <w:pPr>
              <w:pStyle w:val="DETTableTextFinancial"/>
              <w:jc w:val="right"/>
              <w:rPr>
                <w:b/>
              </w:rPr>
            </w:pPr>
            <w:r w:rsidRPr="0087752B">
              <w:rPr>
                <w:b/>
              </w:rPr>
              <w:t>73</w:t>
            </w:r>
          </w:p>
        </w:tc>
        <w:tc>
          <w:tcPr>
            <w:tcW w:w="698" w:type="dxa"/>
            <w:tcBorders>
              <w:top w:val="single" w:sz="4" w:space="0" w:color="auto"/>
              <w:left w:val="nil"/>
              <w:bottom w:val="single" w:sz="4" w:space="0" w:color="auto"/>
              <w:right w:val="single" w:sz="4" w:space="0" w:color="auto"/>
            </w:tcBorders>
            <w:vAlign w:val="bottom"/>
          </w:tcPr>
          <w:p w14:paraId="7AA56890" w14:textId="77777777" w:rsidR="006016B9" w:rsidRPr="0087752B" w:rsidRDefault="006016B9" w:rsidP="00A25044">
            <w:pPr>
              <w:pStyle w:val="DETTableTextFinancial"/>
              <w:jc w:val="right"/>
              <w:rPr>
                <w:b/>
              </w:rPr>
            </w:pPr>
            <w:r w:rsidRPr="0087752B">
              <w:rPr>
                <w:b/>
              </w:rPr>
              <w:t>130</w:t>
            </w:r>
          </w:p>
        </w:tc>
        <w:tc>
          <w:tcPr>
            <w:tcW w:w="696" w:type="dxa"/>
            <w:tcBorders>
              <w:top w:val="single" w:sz="4" w:space="0" w:color="auto"/>
              <w:left w:val="single" w:sz="4" w:space="0" w:color="auto"/>
              <w:bottom w:val="single" w:sz="4" w:space="0" w:color="auto"/>
              <w:right w:val="nil"/>
            </w:tcBorders>
            <w:shd w:val="clear" w:color="auto" w:fill="auto"/>
            <w:vAlign w:val="bottom"/>
          </w:tcPr>
          <w:p w14:paraId="36A94BF5" w14:textId="77777777" w:rsidR="006016B9" w:rsidRPr="0087752B" w:rsidRDefault="006016B9" w:rsidP="00A25044">
            <w:pPr>
              <w:pStyle w:val="DETTableTextFinancial"/>
              <w:jc w:val="right"/>
              <w:rPr>
                <w:b/>
              </w:rPr>
            </w:pPr>
            <w:r w:rsidRPr="0087752B">
              <w:rPr>
                <w:b/>
              </w:rPr>
              <w:t>48</w:t>
            </w:r>
          </w:p>
        </w:tc>
        <w:tc>
          <w:tcPr>
            <w:tcW w:w="699" w:type="dxa"/>
            <w:tcBorders>
              <w:top w:val="single" w:sz="4" w:space="0" w:color="auto"/>
              <w:left w:val="nil"/>
              <w:bottom w:val="single" w:sz="4" w:space="0" w:color="auto"/>
              <w:right w:val="nil"/>
            </w:tcBorders>
            <w:shd w:val="clear" w:color="auto" w:fill="auto"/>
            <w:vAlign w:val="bottom"/>
          </w:tcPr>
          <w:p w14:paraId="17D3C25C" w14:textId="77777777" w:rsidR="006016B9" w:rsidRPr="0087752B" w:rsidRDefault="006016B9" w:rsidP="00A25044">
            <w:pPr>
              <w:pStyle w:val="DETTableTextFinancial"/>
              <w:jc w:val="right"/>
              <w:rPr>
                <w:b/>
              </w:rPr>
            </w:pPr>
            <w:r w:rsidRPr="0087752B">
              <w:rPr>
                <w:b/>
              </w:rPr>
              <w:t>62</w:t>
            </w:r>
          </w:p>
        </w:tc>
        <w:tc>
          <w:tcPr>
            <w:tcW w:w="697" w:type="dxa"/>
            <w:tcBorders>
              <w:top w:val="single" w:sz="4" w:space="0" w:color="auto"/>
              <w:left w:val="nil"/>
              <w:bottom w:val="single" w:sz="4" w:space="0" w:color="auto"/>
              <w:right w:val="single" w:sz="4" w:space="0" w:color="auto"/>
            </w:tcBorders>
            <w:shd w:val="clear" w:color="auto" w:fill="auto"/>
            <w:vAlign w:val="bottom"/>
          </w:tcPr>
          <w:p w14:paraId="31D3FA6C" w14:textId="77777777" w:rsidR="006016B9" w:rsidRPr="0087752B" w:rsidRDefault="006016B9" w:rsidP="00A25044">
            <w:pPr>
              <w:pStyle w:val="DETTableTextFinancial"/>
              <w:jc w:val="right"/>
              <w:rPr>
                <w:b/>
              </w:rPr>
            </w:pPr>
            <w:r w:rsidRPr="0087752B">
              <w:rPr>
                <w:b/>
              </w:rPr>
              <w:t>110</w:t>
            </w:r>
          </w:p>
        </w:tc>
        <w:tc>
          <w:tcPr>
            <w:tcW w:w="698" w:type="dxa"/>
            <w:tcBorders>
              <w:top w:val="single" w:sz="4" w:space="0" w:color="auto"/>
              <w:left w:val="single" w:sz="4" w:space="0" w:color="auto"/>
              <w:bottom w:val="single" w:sz="4" w:space="0" w:color="auto"/>
              <w:right w:val="nil"/>
            </w:tcBorders>
            <w:shd w:val="clear" w:color="auto" w:fill="F8F8F8"/>
            <w:vAlign w:val="bottom"/>
          </w:tcPr>
          <w:p w14:paraId="2C3AC126" w14:textId="77777777" w:rsidR="006016B9" w:rsidRPr="0087752B" w:rsidRDefault="006016B9" w:rsidP="00A25044">
            <w:pPr>
              <w:pStyle w:val="DETTableTextFinancial"/>
              <w:jc w:val="right"/>
              <w:rPr>
                <w:b/>
              </w:rPr>
            </w:pPr>
            <w:r w:rsidRPr="0087752B">
              <w:rPr>
                <w:b/>
              </w:rPr>
              <w:t>9</w:t>
            </w:r>
          </w:p>
        </w:tc>
        <w:tc>
          <w:tcPr>
            <w:tcW w:w="585" w:type="dxa"/>
            <w:tcBorders>
              <w:top w:val="single" w:sz="4" w:space="0" w:color="auto"/>
              <w:left w:val="nil"/>
              <w:bottom w:val="single" w:sz="4" w:space="0" w:color="auto"/>
              <w:right w:val="nil"/>
            </w:tcBorders>
            <w:shd w:val="clear" w:color="auto" w:fill="F8F8F8"/>
            <w:vAlign w:val="bottom"/>
          </w:tcPr>
          <w:p w14:paraId="6510A652" w14:textId="77777777" w:rsidR="006016B9" w:rsidRPr="0087752B" w:rsidRDefault="006016B9" w:rsidP="00A25044">
            <w:pPr>
              <w:pStyle w:val="DETTableTextFinancial"/>
              <w:jc w:val="right"/>
              <w:rPr>
                <w:b/>
              </w:rPr>
            </w:pPr>
            <w:r w:rsidRPr="0087752B">
              <w:rPr>
                <w:b/>
              </w:rPr>
              <w:t>11</w:t>
            </w:r>
          </w:p>
        </w:tc>
        <w:tc>
          <w:tcPr>
            <w:tcW w:w="584" w:type="dxa"/>
            <w:tcBorders>
              <w:top w:val="single" w:sz="4" w:space="0" w:color="auto"/>
              <w:left w:val="nil"/>
              <w:bottom w:val="single" w:sz="4" w:space="0" w:color="auto"/>
              <w:right w:val="nil"/>
            </w:tcBorders>
            <w:shd w:val="clear" w:color="auto" w:fill="F8F8F8"/>
            <w:vAlign w:val="bottom"/>
          </w:tcPr>
          <w:p w14:paraId="4AC9779F" w14:textId="77777777" w:rsidR="006016B9" w:rsidRPr="0087752B" w:rsidRDefault="006016B9" w:rsidP="00A25044">
            <w:pPr>
              <w:pStyle w:val="DETTableTextFinancial"/>
              <w:jc w:val="right"/>
              <w:rPr>
                <w:b/>
              </w:rPr>
            </w:pPr>
            <w:r w:rsidRPr="0087752B">
              <w:rPr>
                <w:b/>
              </w:rPr>
              <w:t>20</w:t>
            </w:r>
          </w:p>
        </w:tc>
      </w:tr>
    </w:tbl>
    <w:p w14:paraId="41AA66CB" w14:textId="1F2AA973" w:rsidR="00724B68" w:rsidRDefault="00724B68" w:rsidP="00EC5CF7">
      <w:pPr>
        <w:pStyle w:val="DETFootnoteTextforobjectivestablesOHStable"/>
      </w:pPr>
      <w:bookmarkStart w:id="178" w:name="_Toc458069610"/>
      <w:bookmarkStart w:id="179" w:name="_Toc458072389"/>
      <w:bookmarkStart w:id="180" w:name="_Toc458088572"/>
      <w:r>
        <w:t>Notes:</w:t>
      </w:r>
    </w:p>
    <w:p w14:paraId="6AE71ADC" w14:textId="05C76F37" w:rsidR="00724B68" w:rsidRDefault="005F5A6C" w:rsidP="00EC5CF7">
      <w:pPr>
        <w:pStyle w:val="DETFootnoteTextforobjectivestablesOHStable"/>
      </w:pPr>
      <w:r>
        <w:t xml:space="preserve">1. </w:t>
      </w:r>
      <w:r w:rsidR="00724B68">
        <w:t>For the purpose of this table, Executive Officers are defined as employees who have significant management responsibility and receive a TRP of $152,000 or more.</w:t>
      </w:r>
    </w:p>
    <w:p w14:paraId="7441E63D" w14:textId="4F0233E5" w:rsidR="00724B68" w:rsidRDefault="005F5A6C" w:rsidP="00EC5CF7">
      <w:pPr>
        <w:pStyle w:val="DETFootnoteTextforobjectivestablesOHStable"/>
      </w:pPr>
      <w:r>
        <w:t>2. All figures reflect executive levels as at 30 June</w:t>
      </w:r>
      <w:r w:rsidR="00724B68">
        <w:t xml:space="preserve"> </w:t>
      </w:r>
      <w:r>
        <w:t>2016.</w:t>
      </w:r>
    </w:p>
    <w:p w14:paraId="64D51F15" w14:textId="228DCAC2" w:rsidR="005F5A6C" w:rsidRPr="0087752B" w:rsidRDefault="005F5A6C" w:rsidP="00EC5CF7">
      <w:pPr>
        <w:pStyle w:val="DETFootnoteTextforobjectivestablesOHStable"/>
      </w:pPr>
      <w:r>
        <w:t>3. Excluded are those on leave without pay or absent on secondment; external contractors / consultants; and temporary staff employed by employment agencies.</w:t>
      </w:r>
    </w:p>
    <w:p w14:paraId="686E4BF7" w14:textId="77777777" w:rsidR="006016B9" w:rsidRPr="0087752B" w:rsidRDefault="006016B9" w:rsidP="00A25044">
      <w:pPr>
        <w:pStyle w:val="DETHeading2"/>
      </w:pPr>
      <w:bookmarkStart w:id="181" w:name="_Toc461013269"/>
      <w:bookmarkStart w:id="182" w:name="_Toc461025848"/>
      <w:bookmarkStart w:id="183" w:name="_Toc462405143"/>
      <w:r w:rsidRPr="0087752B">
        <w:t>Pecuniary interests</w:t>
      </w:r>
      <w:bookmarkEnd w:id="178"/>
      <w:bookmarkEnd w:id="179"/>
      <w:bookmarkEnd w:id="180"/>
      <w:bookmarkEnd w:id="181"/>
      <w:bookmarkEnd w:id="182"/>
      <w:bookmarkEnd w:id="183"/>
      <w:r w:rsidRPr="0087752B">
        <w:t xml:space="preserve"> </w:t>
      </w:r>
    </w:p>
    <w:p w14:paraId="6A6527A8" w14:textId="77777777" w:rsidR="006016B9" w:rsidRPr="0087752B" w:rsidRDefault="006016B9" w:rsidP="006016B9">
      <w:r w:rsidRPr="0087752B">
        <w:t xml:space="preserve">Declarations of pecuniary interests have been duly completed by all relevant officers. </w:t>
      </w:r>
    </w:p>
    <w:p w14:paraId="45AF4B92" w14:textId="77777777" w:rsidR="006016B9" w:rsidRPr="0087752B" w:rsidRDefault="006016B9" w:rsidP="00A25044">
      <w:pPr>
        <w:pStyle w:val="DETHeading2"/>
      </w:pPr>
      <w:bookmarkStart w:id="184" w:name="_Toc458069611"/>
      <w:bookmarkStart w:id="185" w:name="_Toc458072390"/>
      <w:bookmarkStart w:id="186" w:name="_Toc458088573"/>
      <w:bookmarkStart w:id="187" w:name="_Toc461013270"/>
      <w:bookmarkStart w:id="188" w:name="_Toc461025849"/>
      <w:bookmarkStart w:id="189" w:name="_Toc462405144"/>
      <w:r w:rsidRPr="0087752B">
        <w:lastRenderedPageBreak/>
        <w:t>Shares held by senior officers</w:t>
      </w:r>
      <w:bookmarkEnd w:id="184"/>
      <w:bookmarkEnd w:id="185"/>
      <w:bookmarkEnd w:id="186"/>
      <w:bookmarkEnd w:id="187"/>
      <w:bookmarkEnd w:id="188"/>
      <w:bookmarkEnd w:id="189"/>
      <w:r w:rsidRPr="0087752B">
        <w:t xml:space="preserve"> </w:t>
      </w:r>
    </w:p>
    <w:p w14:paraId="70F2FD52" w14:textId="77777777" w:rsidR="006016B9" w:rsidRPr="0087752B" w:rsidRDefault="006016B9" w:rsidP="006016B9">
      <w:r w:rsidRPr="0087752B">
        <w:t xml:space="preserve">No shares are held by a senior officer as nominee or held beneficially in a statutory authority or subsidiary. </w:t>
      </w:r>
    </w:p>
    <w:p w14:paraId="34ED3876"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0B9BE282" w14:textId="061F714A" w:rsidR="006016B9" w:rsidRPr="0087752B" w:rsidRDefault="00887031" w:rsidP="00887031">
      <w:pPr>
        <w:pStyle w:val="Heading1"/>
      </w:pPr>
      <w:bookmarkStart w:id="190" w:name="_Toc458072391"/>
      <w:bookmarkStart w:id="191" w:name="_Toc458088574"/>
      <w:bookmarkStart w:id="192" w:name="_Toc461025850"/>
      <w:bookmarkStart w:id="193" w:name="_Toc462405145"/>
      <w:r w:rsidRPr="0087752B">
        <w:lastRenderedPageBreak/>
        <w:t>Report of Operations</w:t>
      </w:r>
      <w:r w:rsidR="005D10F1">
        <w:t>—o</w:t>
      </w:r>
      <w:r w:rsidRPr="0087752B">
        <w:t xml:space="preserve">ther </w:t>
      </w:r>
      <w:r w:rsidR="005D10F1">
        <w:t>d</w:t>
      </w:r>
      <w:r w:rsidRPr="0087752B">
        <w:t>isclosures</w:t>
      </w:r>
      <w:bookmarkEnd w:id="190"/>
      <w:bookmarkEnd w:id="191"/>
      <w:bookmarkEnd w:id="192"/>
      <w:bookmarkEnd w:id="193"/>
    </w:p>
    <w:p w14:paraId="764D4E52" w14:textId="77777777" w:rsidR="006016B9" w:rsidRPr="0087752B" w:rsidRDefault="006016B9" w:rsidP="00B315A2">
      <w:pPr>
        <w:pStyle w:val="DETHeading2"/>
      </w:pPr>
      <w:bookmarkStart w:id="194" w:name="_Toc458069613"/>
      <w:bookmarkStart w:id="195" w:name="_Toc458072392"/>
      <w:bookmarkStart w:id="196" w:name="_Toc458088575"/>
      <w:bookmarkStart w:id="197" w:name="_Toc461013271"/>
      <w:bookmarkStart w:id="198" w:name="_Toc461025851"/>
      <w:bookmarkStart w:id="199" w:name="_Toc462405146"/>
      <w:r w:rsidRPr="0087752B">
        <w:t>Victorian industry participation policy</w:t>
      </w:r>
      <w:bookmarkEnd w:id="194"/>
      <w:bookmarkEnd w:id="195"/>
      <w:bookmarkEnd w:id="196"/>
      <w:bookmarkEnd w:id="197"/>
      <w:bookmarkEnd w:id="198"/>
      <w:bookmarkEnd w:id="199"/>
    </w:p>
    <w:p w14:paraId="0EC2895E" w14:textId="77777777" w:rsidR="006016B9" w:rsidRPr="0087752B" w:rsidRDefault="006016B9" w:rsidP="006016B9">
      <w:r w:rsidRPr="0087752B">
        <w:t xml:space="preserve">The </w:t>
      </w:r>
      <w:r w:rsidRPr="0087752B">
        <w:rPr>
          <w:i/>
        </w:rPr>
        <w:t>Victorian Industry Participation Policy Act 2003</w:t>
      </w:r>
      <w:r w:rsidRPr="0087752B">
        <w:t xml:space="preserve"> requires departments and public sector bodies to report on the implementation of the Victorian Industry Participation Policy (VIPP). The policy applies to procurement activities valued at $3 million or more for projects in Metropolitan Melbourne, and $1 million or more for procurement activities in regional Victoria.</w:t>
      </w:r>
    </w:p>
    <w:p w14:paraId="581C8C13" w14:textId="77777777" w:rsidR="006016B9" w:rsidRPr="0087752B" w:rsidRDefault="006016B9" w:rsidP="006016B9">
      <w:r w:rsidRPr="0087752B">
        <w:t>During 2015–16, the Department commenced and completed contracts under the State Capital Works Program. The VIPP applied to 34 contracts totalling $175 million: 10 metropolitan contracts totalling $44.5 million and 24 regional contracts totalling $130.5 million.</w:t>
      </w:r>
    </w:p>
    <w:p w14:paraId="5A36A631" w14:textId="77777777" w:rsidR="006016B9" w:rsidRPr="0087752B" w:rsidRDefault="006016B9" w:rsidP="006016B9">
      <w:r w:rsidRPr="0087752B">
        <w:t>The commitments under the VIPP policy included:</w:t>
      </w:r>
    </w:p>
    <w:p w14:paraId="7D929836" w14:textId="4C74E853" w:rsidR="006016B9" w:rsidRPr="0087752B" w:rsidRDefault="00392647" w:rsidP="00B315A2">
      <w:pPr>
        <w:pStyle w:val="DETNormallistbullet"/>
      </w:pPr>
      <w:r>
        <w:t>a</w:t>
      </w:r>
      <w:r w:rsidRPr="0087752B">
        <w:t xml:space="preserve">n </w:t>
      </w:r>
      <w:r w:rsidR="006016B9" w:rsidRPr="0087752B">
        <w:t>average level of local content of 86.8 per cent across the contracts</w:t>
      </w:r>
    </w:p>
    <w:p w14:paraId="7BE65DD4" w14:textId="77777777" w:rsidR="006016B9" w:rsidRPr="0087752B" w:rsidRDefault="006016B9" w:rsidP="00B315A2">
      <w:pPr>
        <w:pStyle w:val="DETNormallistbullet"/>
      </w:pPr>
      <w:r w:rsidRPr="0087752B">
        <w:t>900 continuing and new full-time equivalent jobs and 110 continuing and new full-time equivalent apprenticeships or traineeships</w:t>
      </w:r>
    </w:p>
    <w:p w14:paraId="4FAA84ED" w14:textId="3C019BF5" w:rsidR="006016B9" w:rsidRPr="0087752B" w:rsidRDefault="00392647" w:rsidP="00B315A2">
      <w:pPr>
        <w:pStyle w:val="DETNormallistbullet"/>
      </w:pPr>
      <w:r>
        <w:t>b</w:t>
      </w:r>
      <w:r w:rsidRPr="0087752B">
        <w:t xml:space="preserve">enefits </w:t>
      </w:r>
      <w:r w:rsidR="006016B9" w:rsidRPr="0087752B">
        <w:t>to the Victorian economy through: development and implementation of technology in schools; professional development for staff; skills development through work on infrastructure projects; and participation in related training in occupational health and safety and trades.</w:t>
      </w:r>
    </w:p>
    <w:p w14:paraId="5BBA5C20" w14:textId="77777777" w:rsidR="006016B9" w:rsidRPr="0087752B" w:rsidRDefault="006016B9" w:rsidP="00B315A2">
      <w:pPr>
        <w:pStyle w:val="DETHeading2"/>
      </w:pPr>
      <w:bookmarkStart w:id="200" w:name="_Toc458069614"/>
      <w:bookmarkStart w:id="201" w:name="_Toc458072393"/>
      <w:bookmarkStart w:id="202" w:name="_Toc458088576"/>
      <w:bookmarkStart w:id="203" w:name="_Toc461013272"/>
      <w:bookmarkStart w:id="204" w:name="_Toc461025852"/>
      <w:bookmarkStart w:id="205" w:name="_Toc462405147"/>
      <w:r w:rsidRPr="0087752B">
        <w:t>Government advertising expenditure</w:t>
      </w:r>
      <w:bookmarkEnd w:id="200"/>
      <w:bookmarkEnd w:id="201"/>
      <w:bookmarkEnd w:id="202"/>
      <w:bookmarkEnd w:id="203"/>
      <w:bookmarkEnd w:id="204"/>
      <w:bookmarkEnd w:id="205"/>
    </w:p>
    <w:p w14:paraId="176D2446" w14:textId="77777777" w:rsidR="006016B9" w:rsidRPr="0087752B" w:rsidRDefault="006016B9" w:rsidP="007540CD">
      <w:pPr>
        <w:pStyle w:val="DETTableheading"/>
      </w:pPr>
      <w:r w:rsidRPr="0087752B">
        <w:t xml:space="preserve">Campaigns with a media spend of $100,000 or greater 2015–16 (excluding GST) </w:t>
      </w:r>
    </w:p>
    <w:tbl>
      <w:tblPr>
        <w:tblW w:w="5389" w:type="pct"/>
        <w:tblBorders>
          <w:bottom w:val="single" w:sz="12" w:space="0" w:color="777777"/>
        </w:tblBorders>
        <w:tblLayout w:type="fixed"/>
        <w:tblCellMar>
          <w:left w:w="45" w:type="dxa"/>
          <w:right w:w="45" w:type="dxa"/>
        </w:tblCellMar>
        <w:tblLook w:val="01E0" w:firstRow="1" w:lastRow="1" w:firstColumn="1" w:lastColumn="1" w:noHBand="0" w:noVBand="0"/>
      </w:tblPr>
      <w:tblGrid>
        <w:gridCol w:w="895"/>
        <w:gridCol w:w="1425"/>
        <w:gridCol w:w="696"/>
        <w:gridCol w:w="814"/>
        <w:gridCol w:w="894"/>
        <w:gridCol w:w="849"/>
        <w:gridCol w:w="851"/>
        <w:gridCol w:w="814"/>
        <w:gridCol w:w="802"/>
      </w:tblGrid>
      <w:tr w:rsidR="006016B9" w:rsidRPr="0087752B" w14:paraId="5EF3AE2F" w14:textId="77777777" w:rsidTr="004F5090">
        <w:trPr>
          <w:cantSplit/>
          <w:trHeight w:val="866"/>
        </w:trPr>
        <w:tc>
          <w:tcPr>
            <w:tcW w:w="557" w:type="pct"/>
            <w:tcBorders>
              <w:bottom w:val="single" w:sz="6" w:space="0" w:color="777777"/>
            </w:tcBorders>
            <w:shd w:val="clear" w:color="auto" w:fill="7F7F7F" w:themeFill="text1" w:themeFillTint="80"/>
          </w:tcPr>
          <w:p w14:paraId="51155371" w14:textId="77777777" w:rsidR="006016B9" w:rsidRPr="0087752B" w:rsidRDefault="006016B9" w:rsidP="00B315A2">
            <w:pPr>
              <w:pStyle w:val="DETTablecolumnheading"/>
              <w:jc w:val="left"/>
              <w:rPr>
                <w:sz w:val="16"/>
                <w:szCs w:val="16"/>
              </w:rPr>
            </w:pPr>
            <w:r w:rsidRPr="0087752B">
              <w:rPr>
                <w:sz w:val="16"/>
                <w:szCs w:val="16"/>
              </w:rPr>
              <w:t>Campaign</w:t>
            </w:r>
          </w:p>
        </w:tc>
        <w:tc>
          <w:tcPr>
            <w:tcW w:w="886" w:type="pct"/>
            <w:tcBorders>
              <w:bottom w:val="single" w:sz="6" w:space="0" w:color="777777"/>
            </w:tcBorders>
            <w:shd w:val="clear" w:color="auto" w:fill="7F7F7F" w:themeFill="text1" w:themeFillTint="80"/>
          </w:tcPr>
          <w:p w14:paraId="3A2EF0DD" w14:textId="77777777" w:rsidR="006016B9" w:rsidRPr="0087752B" w:rsidRDefault="006016B9" w:rsidP="00B315A2">
            <w:pPr>
              <w:pStyle w:val="DETTablecolumnheading"/>
              <w:jc w:val="left"/>
              <w:rPr>
                <w:sz w:val="16"/>
                <w:szCs w:val="16"/>
              </w:rPr>
            </w:pPr>
            <w:r w:rsidRPr="0087752B">
              <w:rPr>
                <w:sz w:val="16"/>
                <w:szCs w:val="16"/>
              </w:rPr>
              <w:t>Summary</w:t>
            </w:r>
          </w:p>
        </w:tc>
        <w:tc>
          <w:tcPr>
            <w:tcW w:w="433" w:type="pct"/>
            <w:tcBorders>
              <w:bottom w:val="single" w:sz="6" w:space="0" w:color="777777"/>
            </w:tcBorders>
            <w:shd w:val="clear" w:color="auto" w:fill="7F7F7F" w:themeFill="text1" w:themeFillTint="80"/>
          </w:tcPr>
          <w:p w14:paraId="35DB2DD2" w14:textId="77777777" w:rsidR="006016B9" w:rsidRPr="0087752B" w:rsidRDefault="006016B9" w:rsidP="00B315A2">
            <w:pPr>
              <w:pStyle w:val="DETTablecolumnheading"/>
              <w:jc w:val="left"/>
              <w:rPr>
                <w:sz w:val="16"/>
                <w:szCs w:val="16"/>
              </w:rPr>
            </w:pPr>
            <w:r w:rsidRPr="0087752B">
              <w:rPr>
                <w:sz w:val="16"/>
                <w:szCs w:val="16"/>
              </w:rPr>
              <w:t>Start/ End</w:t>
            </w:r>
          </w:p>
        </w:tc>
        <w:tc>
          <w:tcPr>
            <w:tcW w:w="506" w:type="pct"/>
            <w:tcBorders>
              <w:bottom w:val="single" w:sz="6" w:space="0" w:color="777777"/>
            </w:tcBorders>
            <w:shd w:val="clear" w:color="auto" w:fill="7F7F7F" w:themeFill="text1" w:themeFillTint="80"/>
          </w:tcPr>
          <w:p w14:paraId="34799B78" w14:textId="77777777" w:rsidR="006016B9" w:rsidRPr="0087752B" w:rsidRDefault="006016B9" w:rsidP="00B315A2">
            <w:pPr>
              <w:pStyle w:val="DETTablecolumnheading"/>
              <w:jc w:val="left"/>
              <w:rPr>
                <w:sz w:val="16"/>
                <w:szCs w:val="16"/>
              </w:rPr>
            </w:pPr>
            <w:r w:rsidRPr="0087752B">
              <w:rPr>
                <w:sz w:val="16"/>
                <w:szCs w:val="16"/>
              </w:rPr>
              <w:t>Adver-tising (media)</w:t>
            </w:r>
          </w:p>
        </w:tc>
        <w:tc>
          <w:tcPr>
            <w:tcW w:w="556" w:type="pct"/>
            <w:tcBorders>
              <w:bottom w:val="single" w:sz="6" w:space="0" w:color="777777"/>
            </w:tcBorders>
            <w:shd w:val="clear" w:color="auto" w:fill="7F7F7F" w:themeFill="text1" w:themeFillTint="80"/>
          </w:tcPr>
          <w:p w14:paraId="384E1DB1" w14:textId="77777777" w:rsidR="006016B9" w:rsidRPr="0087752B" w:rsidRDefault="006016B9" w:rsidP="00B315A2">
            <w:pPr>
              <w:pStyle w:val="DETTablecolumnheading"/>
              <w:jc w:val="left"/>
              <w:rPr>
                <w:sz w:val="16"/>
                <w:szCs w:val="16"/>
              </w:rPr>
            </w:pPr>
            <w:r w:rsidRPr="0087752B">
              <w:rPr>
                <w:sz w:val="16"/>
                <w:szCs w:val="16"/>
              </w:rPr>
              <w:t>Creative &amp; campaign develop-ment</w:t>
            </w:r>
          </w:p>
        </w:tc>
        <w:tc>
          <w:tcPr>
            <w:tcW w:w="528" w:type="pct"/>
            <w:tcBorders>
              <w:bottom w:val="single" w:sz="6" w:space="0" w:color="777777"/>
            </w:tcBorders>
            <w:shd w:val="clear" w:color="auto" w:fill="7F7F7F" w:themeFill="text1" w:themeFillTint="80"/>
          </w:tcPr>
          <w:p w14:paraId="27D5D3A3" w14:textId="77777777" w:rsidR="006016B9" w:rsidRPr="0087752B" w:rsidRDefault="006016B9" w:rsidP="00B315A2">
            <w:pPr>
              <w:pStyle w:val="DETTablecolumnheading"/>
              <w:jc w:val="left"/>
              <w:rPr>
                <w:sz w:val="16"/>
                <w:szCs w:val="16"/>
              </w:rPr>
            </w:pPr>
            <w:r w:rsidRPr="0087752B">
              <w:rPr>
                <w:sz w:val="16"/>
                <w:szCs w:val="16"/>
              </w:rPr>
              <w:t>Research &amp; evaluat-ion</w:t>
            </w:r>
          </w:p>
        </w:tc>
        <w:tc>
          <w:tcPr>
            <w:tcW w:w="529" w:type="pct"/>
            <w:tcBorders>
              <w:bottom w:val="single" w:sz="6" w:space="0" w:color="777777"/>
            </w:tcBorders>
            <w:shd w:val="clear" w:color="auto" w:fill="7F7F7F" w:themeFill="text1" w:themeFillTint="80"/>
          </w:tcPr>
          <w:p w14:paraId="5124E0DE" w14:textId="77777777" w:rsidR="006016B9" w:rsidRPr="0087752B" w:rsidRDefault="006016B9" w:rsidP="00B315A2">
            <w:pPr>
              <w:pStyle w:val="DETTablecolumnheading"/>
              <w:jc w:val="left"/>
              <w:rPr>
                <w:sz w:val="16"/>
                <w:szCs w:val="16"/>
              </w:rPr>
            </w:pPr>
            <w:r w:rsidRPr="0087752B">
              <w:rPr>
                <w:sz w:val="16"/>
                <w:szCs w:val="16"/>
              </w:rPr>
              <w:t>Print &amp; collateral</w:t>
            </w:r>
          </w:p>
        </w:tc>
        <w:tc>
          <w:tcPr>
            <w:tcW w:w="506" w:type="pct"/>
            <w:tcBorders>
              <w:bottom w:val="single" w:sz="6" w:space="0" w:color="777777"/>
            </w:tcBorders>
            <w:shd w:val="clear" w:color="auto" w:fill="7F7F7F" w:themeFill="text1" w:themeFillTint="80"/>
          </w:tcPr>
          <w:p w14:paraId="0ED37786" w14:textId="77777777" w:rsidR="006016B9" w:rsidRPr="0087752B" w:rsidRDefault="006016B9" w:rsidP="00B315A2">
            <w:pPr>
              <w:pStyle w:val="DETTablecolumnheading"/>
              <w:jc w:val="left"/>
              <w:rPr>
                <w:sz w:val="16"/>
                <w:szCs w:val="16"/>
              </w:rPr>
            </w:pPr>
            <w:r w:rsidRPr="0087752B">
              <w:rPr>
                <w:sz w:val="16"/>
                <w:szCs w:val="16"/>
              </w:rPr>
              <w:t>Other</w:t>
            </w:r>
          </w:p>
        </w:tc>
        <w:tc>
          <w:tcPr>
            <w:tcW w:w="499" w:type="pct"/>
            <w:tcBorders>
              <w:bottom w:val="single" w:sz="6" w:space="0" w:color="777777"/>
            </w:tcBorders>
            <w:shd w:val="clear" w:color="auto" w:fill="7F7F7F" w:themeFill="text1" w:themeFillTint="80"/>
          </w:tcPr>
          <w:p w14:paraId="619CFF1C" w14:textId="77777777" w:rsidR="006016B9" w:rsidRPr="0087752B" w:rsidRDefault="006016B9" w:rsidP="00B315A2">
            <w:pPr>
              <w:pStyle w:val="DETTablecolumnheading"/>
              <w:jc w:val="left"/>
              <w:rPr>
                <w:sz w:val="16"/>
                <w:szCs w:val="16"/>
              </w:rPr>
            </w:pPr>
            <w:r w:rsidRPr="0087752B">
              <w:rPr>
                <w:sz w:val="16"/>
                <w:szCs w:val="16"/>
              </w:rPr>
              <w:t>Total</w:t>
            </w:r>
          </w:p>
        </w:tc>
      </w:tr>
      <w:tr w:rsidR="006016B9" w:rsidRPr="0087752B" w14:paraId="59B3A0DD" w14:textId="77777777" w:rsidTr="004F5090">
        <w:trPr>
          <w:cantSplit/>
        </w:trPr>
        <w:tc>
          <w:tcPr>
            <w:tcW w:w="557" w:type="pct"/>
            <w:tcBorders>
              <w:top w:val="single" w:sz="6" w:space="0" w:color="777777"/>
              <w:bottom w:val="single" w:sz="4" w:space="0" w:color="auto"/>
            </w:tcBorders>
            <w:shd w:val="clear" w:color="auto" w:fill="auto"/>
          </w:tcPr>
          <w:p w14:paraId="456E392F" w14:textId="67CB67B5" w:rsidR="006016B9" w:rsidRPr="0087752B" w:rsidRDefault="006016B9" w:rsidP="00B315A2">
            <w:pPr>
              <w:pStyle w:val="DETTableTextFinancial"/>
            </w:pPr>
            <w:r w:rsidRPr="0087752B">
              <w:t xml:space="preserve">Never Leave Kids </w:t>
            </w:r>
            <w:r w:rsidR="00C3253C" w:rsidRPr="0087752B">
              <w:t>in</w:t>
            </w:r>
            <w:r w:rsidRPr="0087752B">
              <w:t xml:space="preserve"> Cars </w:t>
            </w:r>
          </w:p>
        </w:tc>
        <w:tc>
          <w:tcPr>
            <w:tcW w:w="886" w:type="pct"/>
            <w:tcBorders>
              <w:top w:val="single" w:sz="6" w:space="0" w:color="777777"/>
              <w:bottom w:val="single" w:sz="4" w:space="0" w:color="auto"/>
            </w:tcBorders>
            <w:shd w:val="clear" w:color="auto" w:fill="auto"/>
          </w:tcPr>
          <w:p w14:paraId="3094A06F" w14:textId="77777777" w:rsidR="006016B9" w:rsidRPr="0087752B" w:rsidRDefault="006016B9" w:rsidP="00B315A2">
            <w:pPr>
              <w:pStyle w:val="DETTableTextFinancial"/>
            </w:pPr>
            <w:r w:rsidRPr="0087752B">
              <w:t xml:space="preserve">To raise awareness of the dangers of leaving children unattended in cars on hot days, and the speed the temperature doubles inside a parked car. </w:t>
            </w:r>
          </w:p>
          <w:p w14:paraId="50DB8C6D" w14:textId="77777777" w:rsidR="006016B9" w:rsidRPr="0087752B" w:rsidRDefault="006016B9" w:rsidP="00B315A2">
            <w:pPr>
              <w:pStyle w:val="DETTableTextFinancial"/>
            </w:pPr>
            <w:r w:rsidRPr="0087752B">
              <w:t xml:space="preserve">In partnership with the Department of Health and Human Services, Ambulance Victoria and KidSafe. </w:t>
            </w:r>
          </w:p>
        </w:tc>
        <w:tc>
          <w:tcPr>
            <w:tcW w:w="433" w:type="pct"/>
            <w:tcBorders>
              <w:top w:val="single" w:sz="6" w:space="0" w:color="777777"/>
              <w:bottom w:val="single" w:sz="4" w:space="0" w:color="auto"/>
            </w:tcBorders>
          </w:tcPr>
          <w:p w14:paraId="11A72417" w14:textId="77777777" w:rsidR="006016B9" w:rsidRPr="0087752B" w:rsidRDefault="006016B9" w:rsidP="00B315A2">
            <w:pPr>
              <w:pStyle w:val="DETTableTextFinancial"/>
            </w:pPr>
            <w:r w:rsidRPr="0087752B">
              <w:t>Dec 2015–Feb 2016</w:t>
            </w:r>
          </w:p>
        </w:tc>
        <w:tc>
          <w:tcPr>
            <w:tcW w:w="506" w:type="pct"/>
            <w:tcBorders>
              <w:top w:val="single" w:sz="6" w:space="0" w:color="777777"/>
              <w:bottom w:val="single" w:sz="4" w:space="0" w:color="auto"/>
            </w:tcBorders>
          </w:tcPr>
          <w:p w14:paraId="54204ECF" w14:textId="77777777" w:rsidR="006016B9" w:rsidRPr="0087752B" w:rsidRDefault="006016B9" w:rsidP="004F5090">
            <w:pPr>
              <w:pStyle w:val="DETTableTextFinancial"/>
              <w:jc w:val="right"/>
            </w:pPr>
            <w:r w:rsidRPr="0087752B">
              <w:t>$171,884</w:t>
            </w:r>
          </w:p>
          <w:p w14:paraId="767C4DD6" w14:textId="77777777" w:rsidR="006016B9" w:rsidRPr="0087752B" w:rsidRDefault="006016B9" w:rsidP="004F5090">
            <w:pPr>
              <w:pStyle w:val="DETTableTextFinancial"/>
              <w:jc w:val="right"/>
            </w:pPr>
          </w:p>
        </w:tc>
        <w:tc>
          <w:tcPr>
            <w:tcW w:w="556" w:type="pct"/>
            <w:tcBorders>
              <w:top w:val="single" w:sz="6" w:space="0" w:color="777777"/>
              <w:bottom w:val="single" w:sz="4" w:space="0" w:color="auto"/>
            </w:tcBorders>
          </w:tcPr>
          <w:p w14:paraId="19C30780" w14:textId="77777777" w:rsidR="006016B9" w:rsidRPr="0087752B" w:rsidRDefault="006016B9" w:rsidP="004F5090">
            <w:pPr>
              <w:pStyle w:val="DETTableTextFinancial"/>
              <w:jc w:val="right"/>
            </w:pPr>
            <w:r w:rsidRPr="0087752B">
              <w:t>0</w:t>
            </w:r>
          </w:p>
        </w:tc>
        <w:tc>
          <w:tcPr>
            <w:tcW w:w="528" w:type="pct"/>
            <w:tcBorders>
              <w:top w:val="single" w:sz="6" w:space="0" w:color="777777"/>
              <w:bottom w:val="single" w:sz="4" w:space="0" w:color="auto"/>
            </w:tcBorders>
          </w:tcPr>
          <w:p w14:paraId="6A037D9C" w14:textId="77777777" w:rsidR="006016B9" w:rsidRPr="0087752B" w:rsidRDefault="006016B9" w:rsidP="004F5090">
            <w:pPr>
              <w:pStyle w:val="DETTableTextFinancial"/>
              <w:jc w:val="right"/>
            </w:pPr>
            <w:r w:rsidRPr="0087752B">
              <w:t>0</w:t>
            </w:r>
          </w:p>
        </w:tc>
        <w:tc>
          <w:tcPr>
            <w:tcW w:w="529" w:type="pct"/>
            <w:tcBorders>
              <w:top w:val="single" w:sz="6" w:space="0" w:color="777777"/>
              <w:bottom w:val="single" w:sz="4" w:space="0" w:color="auto"/>
            </w:tcBorders>
            <w:shd w:val="clear" w:color="auto" w:fill="auto"/>
          </w:tcPr>
          <w:p w14:paraId="22F6A7C9" w14:textId="77777777" w:rsidR="006016B9" w:rsidRPr="0087752B" w:rsidRDefault="006016B9" w:rsidP="004F5090">
            <w:pPr>
              <w:pStyle w:val="DETTableTextFinancial"/>
              <w:jc w:val="right"/>
            </w:pPr>
            <w:r w:rsidRPr="0087752B">
              <w:t>$34,640</w:t>
            </w:r>
          </w:p>
        </w:tc>
        <w:tc>
          <w:tcPr>
            <w:tcW w:w="506" w:type="pct"/>
            <w:tcBorders>
              <w:top w:val="single" w:sz="6" w:space="0" w:color="777777"/>
              <w:bottom w:val="single" w:sz="4" w:space="0" w:color="auto"/>
            </w:tcBorders>
          </w:tcPr>
          <w:p w14:paraId="6B8F82E3" w14:textId="77777777" w:rsidR="006016B9" w:rsidRPr="0087752B" w:rsidRDefault="006016B9" w:rsidP="004F5090">
            <w:pPr>
              <w:pStyle w:val="DETTableTextFinancial"/>
              <w:jc w:val="right"/>
            </w:pPr>
            <w:r w:rsidRPr="0087752B">
              <w:t>$110,010</w:t>
            </w:r>
          </w:p>
        </w:tc>
        <w:tc>
          <w:tcPr>
            <w:tcW w:w="499" w:type="pct"/>
            <w:tcBorders>
              <w:top w:val="single" w:sz="6" w:space="0" w:color="777777"/>
              <w:bottom w:val="single" w:sz="4" w:space="0" w:color="auto"/>
            </w:tcBorders>
            <w:shd w:val="clear" w:color="auto" w:fill="F8F8F8"/>
          </w:tcPr>
          <w:p w14:paraId="7B9D397E" w14:textId="77777777" w:rsidR="006016B9" w:rsidRPr="0087752B" w:rsidRDefault="006016B9" w:rsidP="004F5090">
            <w:pPr>
              <w:pStyle w:val="DETTableTextFinancial"/>
              <w:jc w:val="right"/>
            </w:pPr>
            <w:r w:rsidRPr="0087752B">
              <w:t>$316,534</w:t>
            </w:r>
          </w:p>
        </w:tc>
      </w:tr>
    </w:tbl>
    <w:p w14:paraId="5B2F357F" w14:textId="77777777" w:rsidR="006016B9" w:rsidRPr="0087752B" w:rsidRDefault="006016B9" w:rsidP="008E384B">
      <w:pPr>
        <w:pStyle w:val="DETHeading2"/>
      </w:pPr>
      <w:bookmarkStart w:id="206" w:name="_Toc458069615"/>
      <w:bookmarkStart w:id="207" w:name="_Toc458072394"/>
      <w:bookmarkStart w:id="208" w:name="_Toc458088577"/>
      <w:bookmarkStart w:id="209" w:name="_Toc461013273"/>
      <w:bookmarkStart w:id="210" w:name="_Toc461025853"/>
      <w:bookmarkStart w:id="211" w:name="_Toc462405148"/>
      <w:r w:rsidRPr="0087752B">
        <w:t>Consultancy expenditure</w:t>
      </w:r>
      <w:bookmarkEnd w:id="206"/>
      <w:bookmarkEnd w:id="207"/>
      <w:bookmarkEnd w:id="208"/>
      <w:bookmarkEnd w:id="209"/>
      <w:bookmarkEnd w:id="210"/>
      <w:bookmarkEnd w:id="211"/>
    </w:p>
    <w:p w14:paraId="3D24229A" w14:textId="77777777" w:rsidR="006016B9" w:rsidRPr="0087752B" w:rsidRDefault="006016B9" w:rsidP="008E384B">
      <w:pPr>
        <w:pStyle w:val="Heading3"/>
      </w:pPr>
      <w:bookmarkStart w:id="212" w:name="_Ref394938352"/>
      <w:r w:rsidRPr="0087752B">
        <w:t>Details of consultancies valued at $10,000 or greater</w:t>
      </w:r>
      <w:bookmarkEnd w:id="212"/>
    </w:p>
    <w:p w14:paraId="2E504324" w14:textId="77777777" w:rsidR="006016B9" w:rsidRPr="0087752B" w:rsidRDefault="006016B9" w:rsidP="006016B9">
      <w:r w:rsidRPr="0087752B">
        <w:t xml:space="preserve">In 2015–16, there were 114 consultancies where the total fees payable to the consultants were $10,000 or greater. The total expenditure incurred during 2015–16 in relation to these consultancies was $11.5 million (excluding GST). </w:t>
      </w:r>
    </w:p>
    <w:p w14:paraId="582C83B5" w14:textId="77777777" w:rsidR="006016B9" w:rsidRPr="005C767D" w:rsidRDefault="006016B9" w:rsidP="006016B9">
      <w:r w:rsidRPr="0087752B">
        <w:lastRenderedPageBreak/>
        <w:t xml:space="preserve">A list of consultancies $10,000 or greater is published in the </w:t>
      </w:r>
      <w:r w:rsidRPr="0087752B">
        <w:rPr>
          <w:i/>
        </w:rPr>
        <w:t xml:space="preserve">Department of Education and Training Annual Report 2015–16 Additional Information </w:t>
      </w:r>
      <w:r w:rsidRPr="0087752B">
        <w:t xml:space="preserve">available at </w:t>
      </w:r>
      <w:hyperlink r:id="rId25" w:history="1">
        <w:r w:rsidRPr="0087752B">
          <w:rPr>
            <w:u w:val="single"/>
          </w:rPr>
          <w:t>www.education.vic.gov.au</w:t>
        </w:r>
      </w:hyperlink>
      <w:r w:rsidRPr="005C767D">
        <w:t>.</w:t>
      </w:r>
    </w:p>
    <w:p w14:paraId="3EC5A978" w14:textId="77777777" w:rsidR="006016B9" w:rsidRPr="0087752B" w:rsidRDefault="006016B9" w:rsidP="008E384B">
      <w:pPr>
        <w:pStyle w:val="Heading3"/>
      </w:pPr>
      <w:bookmarkStart w:id="213" w:name="_Ref394938359"/>
      <w:r w:rsidRPr="0087752B">
        <w:t>Details of consultancies valued at less than $10,000</w:t>
      </w:r>
      <w:bookmarkEnd w:id="213"/>
    </w:p>
    <w:p w14:paraId="40033DF4" w14:textId="703493A2" w:rsidR="006016B9" w:rsidRPr="0087752B" w:rsidRDefault="006016B9" w:rsidP="006016B9">
      <w:r w:rsidRPr="0087752B">
        <w:t>In 2015–16, there was one consultancy where the total fees payable to the consultant was less than $10,000. The total expenditure incurred during 2015–16 in relation to this consultancy was $6</w:t>
      </w:r>
      <w:r w:rsidR="00C3253C">
        <w:t>,</w:t>
      </w:r>
      <w:r w:rsidRPr="0087752B">
        <w:t>500 (excluding GST).</w:t>
      </w:r>
    </w:p>
    <w:p w14:paraId="576C9FEB" w14:textId="77777777" w:rsidR="006016B9" w:rsidRPr="0087752B" w:rsidRDefault="006016B9" w:rsidP="008E384B">
      <w:pPr>
        <w:pStyle w:val="DETHeading2"/>
      </w:pPr>
      <w:bookmarkStart w:id="214" w:name="_Toc458069616"/>
      <w:bookmarkStart w:id="215" w:name="_Toc458072395"/>
      <w:bookmarkStart w:id="216" w:name="_Toc458088578"/>
      <w:bookmarkStart w:id="217" w:name="_Toc461013274"/>
      <w:bookmarkStart w:id="218" w:name="_Toc461025854"/>
      <w:bookmarkStart w:id="219" w:name="_Toc462405149"/>
      <w:r w:rsidRPr="0087752B">
        <w:t>Information and Communication Technology (ICT) expenditure</w:t>
      </w:r>
      <w:bookmarkEnd w:id="214"/>
      <w:bookmarkEnd w:id="215"/>
      <w:bookmarkEnd w:id="216"/>
      <w:bookmarkEnd w:id="217"/>
      <w:bookmarkEnd w:id="218"/>
      <w:bookmarkEnd w:id="219"/>
    </w:p>
    <w:p w14:paraId="7D3FD1E2" w14:textId="77777777" w:rsidR="006016B9" w:rsidRPr="0087752B" w:rsidRDefault="006016B9" w:rsidP="006016B9">
      <w:r w:rsidRPr="0087752B">
        <w:t>In accordance with the ICT Reporting Standard the Victorian Public Service, the Department’s ICT is reported in the table below.</w:t>
      </w:r>
    </w:p>
    <w:tbl>
      <w:tblPr>
        <w:tblW w:w="0" w:type="auto"/>
        <w:tblLayout w:type="fixed"/>
        <w:tblLook w:val="04A0" w:firstRow="1" w:lastRow="0" w:firstColumn="1" w:lastColumn="0" w:noHBand="0" w:noVBand="1"/>
      </w:tblPr>
      <w:tblGrid>
        <w:gridCol w:w="1101"/>
        <w:gridCol w:w="2126"/>
        <w:gridCol w:w="1134"/>
        <w:gridCol w:w="709"/>
        <w:gridCol w:w="2516"/>
      </w:tblGrid>
      <w:tr w:rsidR="006016B9" w:rsidRPr="0087752B" w14:paraId="45299220" w14:textId="77777777" w:rsidTr="008E384B">
        <w:tc>
          <w:tcPr>
            <w:tcW w:w="1101" w:type="dxa"/>
            <w:tcBorders>
              <w:top w:val="nil"/>
              <w:left w:val="nil"/>
              <w:bottom w:val="nil"/>
              <w:right w:val="nil"/>
            </w:tcBorders>
            <w:shd w:val="clear" w:color="auto" w:fill="7F7F7F" w:themeFill="text1" w:themeFillTint="80"/>
          </w:tcPr>
          <w:p w14:paraId="546136BC" w14:textId="77777777" w:rsidR="006016B9" w:rsidRPr="0087752B" w:rsidRDefault="006016B9" w:rsidP="008E384B">
            <w:pPr>
              <w:pStyle w:val="DETTablecolumnheading"/>
            </w:pPr>
            <w:r w:rsidRPr="0087752B">
              <w:t>Reference</w:t>
            </w:r>
          </w:p>
        </w:tc>
        <w:tc>
          <w:tcPr>
            <w:tcW w:w="2126" w:type="dxa"/>
            <w:tcBorders>
              <w:top w:val="nil"/>
              <w:left w:val="nil"/>
              <w:bottom w:val="nil"/>
              <w:right w:val="nil"/>
            </w:tcBorders>
            <w:shd w:val="clear" w:color="auto" w:fill="7F7F7F" w:themeFill="text1" w:themeFillTint="80"/>
          </w:tcPr>
          <w:p w14:paraId="307DBA3E" w14:textId="77777777" w:rsidR="006016B9" w:rsidRPr="0087752B" w:rsidRDefault="006016B9" w:rsidP="008E384B">
            <w:pPr>
              <w:pStyle w:val="DETTablecolumnheading"/>
            </w:pPr>
            <w:r w:rsidRPr="0087752B">
              <w:t>Requirement</w:t>
            </w:r>
          </w:p>
        </w:tc>
        <w:tc>
          <w:tcPr>
            <w:tcW w:w="1843" w:type="dxa"/>
            <w:gridSpan w:val="2"/>
            <w:tcBorders>
              <w:top w:val="nil"/>
              <w:left w:val="nil"/>
              <w:bottom w:val="nil"/>
              <w:right w:val="nil"/>
            </w:tcBorders>
            <w:shd w:val="clear" w:color="auto" w:fill="7F7F7F" w:themeFill="text1" w:themeFillTint="80"/>
          </w:tcPr>
          <w:p w14:paraId="625E9E3C" w14:textId="77777777" w:rsidR="006016B9" w:rsidRPr="0087752B" w:rsidRDefault="006016B9" w:rsidP="008E384B">
            <w:pPr>
              <w:pStyle w:val="DETTablecolumnheading"/>
            </w:pPr>
            <w:r w:rsidRPr="0087752B">
              <w:t>Expenditure</w:t>
            </w:r>
          </w:p>
          <w:p w14:paraId="62E94919" w14:textId="77777777" w:rsidR="006016B9" w:rsidRPr="0087752B" w:rsidRDefault="006016B9" w:rsidP="008E384B">
            <w:pPr>
              <w:pStyle w:val="DETTablecolumnheading"/>
            </w:pPr>
            <w:r w:rsidRPr="0087752B">
              <w:t>$ million</w:t>
            </w:r>
          </w:p>
        </w:tc>
        <w:tc>
          <w:tcPr>
            <w:tcW w:w="2516" w:type="dxa"/>
            <w:tcBorders>
              <w:top w:val="nil"/>
              <w:left w:val="nil"/>
              <w:bottom w:val="nil"/>
              <w:right w:val="nil"/>
            </w:tcBorders>
            <w:shd w:val="clear" w:color="auto" w:fill="7F7F7F" w:themeFill="text1" w:themeFillTint="80"/>
          </w:tcPr>
          <w:p w14:paraId="2AA6341A" w14:textId="77777777" w:rsidR="006016B9" w:rsidRPr="0087752B" w:rsidRDefault="006016B9" w:rsidP="008E384B">
            <w:pPr>
              <w:pStyle w:val="DETTablecolumnheading"/>
            </w:pPr>
            <w:r w:rsidRPr="0087752B">
              <w:t>Detail</w:t>
            </w:r>
          </w:p>
        </w:tc>
      </w:tr>
      <w:tr w:rsidR="006016B9" w:rsidRPr="0087752B" w14:paraId="39F8C1E2" w14:textId="77777777" w:rsidTr="008E384B">
        <w:tc>
          <w:tcPr>
            <w:tcW w:w="1101" w:type="dxa"/>
            <w:tcBorders>
              <w:top w:val="nil"/>
              <w:left w:val="nil"/>
              <w:bottom w:val="single" w:sz="4" w:space="0" w:color="auto"/>
              <w:right w:val="nil"/>
            </w:tcBorders>
          </w:tcPr>
          <w:p w14:paraId="66D7B6CE" w14:textId="17142FEB" w:rsidR="006016B9" w:rsidRPr="0087752B" w:rsidRDefault="006016B9" w:rsidP="008E384B">
            <w:pPr>
              <w:pStyle w:val="DETTableTextFinancial"/>
            </w:pPr>
            <w:r w:rsidRPr="0087752B">
              <w:t>ICT</w:t>
            </w:r>
            <w:r w:rsidR="00C3253C">
              <w:t>–</w:t>
            </w:r>
            <w:r w:rsidRPr="0087752B">
              <w:t>01</w:t>
            </w:r>
          </w:p>
        </w:tc>
        <w:tc>
          <w:tcPr>
            <w:tcW w:w="2126" w:type="dxa"/>
            <w:tcBorders>
              <w:top w:val="nil"/>
              <w:left w:val="nil"/>
              <w:bottom w:val="single" w:sz="4" w:space="0" w:color="auto"/>
              <w:right w:val="nil"/>
            </w:tcBorders>
          </w:tcPr>
          <w:p w14:paraId="7C8CED3A" w14:textId="77777777" w:rsidR="006016B9" w:rsidRPr="0087752B" w:rsidRDefault="006016B9" w:rsidP="008E384B">
            <w:pPr>
              <w:pStyle w:val="DETTableTextFinancial"/>
            </w:pPr>
            <w:r w:rsidRPr="0087752B">
              <w:t>ICT BAU expenditure</w:t>
            </w:r>
          </w:p>
        </w:tc>
        <w:tc>
          <w:tcPr>
            <w:tcW w:w="1843" w:type="dxa"/>
            <w:gridSpan w:val="2"/>
            <w:tcBorders>
              <w:top w:val="nil"/>
              <w:left w:val="nil"/>
              <w:bottom w:val="single" w:sz="4" w:space="0" w:color="auto"/>
              <w:right w:val="nil"/>
            </w:tcBorders>
            <w:shd w:val="clear" w:color="auto" w:fill="F8F8F8"/>
          </w:tcPr>
          <w:p w14:paraId="4575B598" w14:textId="77777777" w:rsidR="006016B9" w:rsidRPr="0087752B" w:rsidRDefault="006016B9" w:rsidP="008E384B">
            <w:pPr>
              <w:pStyle w:val="DETTableTextFinancial"/>
              <w:jc w:val="right"/>
            </w:pPr>
            <w:r w:rsidRPr="0087752B">
              <w:t>286.83</w:t>
            </w:r>
          </w:p>
        </w:tc>
        <w:tc>
          <w:tcPr>
            <w:tcW w:w="2516" w:type="dxa"/>
            <w:tcBorders>
              <w:top w:val="nil"/>
              <w:left w:val="nil"/>
              <w:bottom w:val="single" w:sz="4" w:space="0" w:color="auto"/>
              <w:right w:val="nil"/>
            </w:tcBorders>
          </w:tcPr>
          <w:p w14:paraId="4FC454DF" w14:textId="7C7F196B" w:rsidR="006016B9" w:rsidRPr="0087752B" w:rsidRDefault="006016B9" w:rsidP="008E384B">
            <w:pPr>
              <w:pStyle w:val="DETTableTextFinancial"/>
            </w:pPr>
            <w:r w:rsidRPr="0087752B">
              <w:t xml:space="preserve">Total agency ICT business-as-usual (BAU) expenditure for the full </w:t>
            </w:r>
            <w:r w:rsidR="00C3253C" w:rsidRPr="0087752B">
              <w:t>12-month</w:t>
            </w:r>
            <w:r w:rsidRPr="0087752B">
              <w:t xml:space="preserve"> reporting period.</w:t>
            </w:r>
          </w:p>
        </w:tc>
      </w:tr>
      <w:tr w:rsidR="006016B9" w:rsidRPr="0087752B" w14:paraId="73A21B70" w14:textId="77777777" w:rsidTr="008E384B">
        <w:tc>
          <w:tcPr>
            <w:tcW w:w="1101" w:type="dxa"/>
            <w:tcBorders>
              <w:top w:val="single" w:sz="4" w:space="0" w:color="auto"/>
              <w:left w:val="nil"/>
              <w:bottom w:val="nil"/>
              <w:right w:val="nil"/>
            </w:tcBorders>
          </w:tcPr>
          <w:p w14:paraId="1732D0E6" w14:textId="32FF0FEA" w:rsidR="006016B9" w:rsidRPr="0087752B" w:rsidRDefault="006016B9" w:rsidP="008E384B">
            <w:pPr>
              <w:pStyle w:val="DETTableTextFinancial"/>
            </w:pPr>
            <w:r w:rsidRPr="0087752B">
              <w:t>ICT</w:t>
            </w:r>
            <w:r w:rsidR="00C3253C">
              <w:t>–</w:t>
            </w:r>
            <w:r w:rsidRPr="0087752B">
              <w:t>02</w:t>
            </w:r>
          </w:p>
        </w:tc>
        <w:tc>
          <w:tcPr>
            <w:tcW w:w="2126" w:type="dxa"/>
            <w:tcBorders>
              <w:top w:val="single" w:sz="4" w:space="0" w:color="auto"/>
              <w:left w:val="nil"/>
              <w:bottom w:val="nil"/>
              <w:right w:val="nil"/>
            </w:tcBorders>
          </w:tcPr>
          <w:p w14:paraId="1384BA36" w14:textId="77777777" w:rsidR="006016B9" w:rsidRPr="0087752B" w:rsidRDefault="006016B9" w:rsidP="008E384B">
            <w:pPr>
              <w:pStyle w:val="DETTableTextFinancial"/>
            </w:pPr>
            <w:r w:rsidRPr="0087752B">
              <w:t>ICT Non-BAU expenditure</w:t>
            </w:r>
          </w:p>
        </w:tc>
        <w:tc>
          <w:tcPr>
            <w:tcW w:w="1843" w:type="dxa"/>
            <w:gridSpan w:val="2"/>
            <w:tcBorders>
              <w:top w:val="single" w:sz="4" w:space="0" w:color="auto"/>
              <w:left w:val="nil"/>
              <w:bottom w:val="nil"/>
              <w:right w:val="nil"/>
            </w:tcBorders>
            <w:shd w:val="clear" w:color="auto" w:fill="F8F8F8"/>
          </w:tcPr>
          <w:p w14:paraId="65E85500" w14:textId="77777777" w:rsidR="006016B9" w:rsidRPr="0087752B" w:rsidRDefault="006016B9" w:rsidP="008E384B">
            <w:pPr>
              <w:pStyle w:val="DETTableTextFinancial"/>
              <w:jc w:val="right"/>
            </w:pPr>
            <w:r w:rsidRPr="0087752B">
              <w:t>33.13</w:t>
            </w:r>
          </w:p>
        </w:tc>
        <w:tc>
          <w:tcPr>
            <w:tcW w:w="2516" w:type="dxa"/>
            <w:vMerge w:val="restart"/>
            <w:tcBorders>
              <w:top w:val="single" w:sz="4" w:space="0" w:color="auto"/>
              <w:left w:val="nil"/>
              <w:bottom w:val="single" w:sz="4" w:space="0" w:color="auto"/>
              <w:right w:val="nil"/>
            </w:tcBorders>
          </w:tcPr>
          <w:p w14:paraId="1D11C15C" w14:textId="7E124903" w:rsidR="006016B9" w:rsidRPr="0087752B" w:rsidRDefault="006016B9" w:rsidP="008E384B">
            <w:pPr>
              <w:pStyle w:val="DETTableTextFinancial"/>
            </w:pPr>
            <w:r w:rsidRPr="0087752B">
              <w:t xml:space="preserve">Total agency ICT Non BAU expenditure for the full </w:t>
            </w:r>
            <w:r w:rsidR="00C3253C" w:rsidRPr="0087752B">
              <w:t>12-month</w:t>
            </w:r>
            <w:r w:rsidRPr="0087752B">
              <w:t xml:space="preserve"> reporting period.</w:t>
            </w:r>
          </w:p>
          <w:p w14:paraId="4D33B087" w14:textId="77777777" w:rsidR="006016B9" w:rsidRPr="0087752B" w:rsidRDefault="006016B9" w:rsidP="008E384B">
            <w:pPr>
              <w:pStyle w:val="DETTableTextFinancial"/>
            </w:pPr>
          </w:p>
          <w:p w14:paraId="5307F72B" w14:textId="77777777" w:rsidR="006016B9" w:rsidRPr="0087752B" w:rsidRDefault="006016B9" w:rsidP="008E384B">
            <w:pPr>
              <w:pStyle w:val="DETTableTextFinancial"/>
            </w:pPr>
          </w:p>
        </w:tc>
      </w:tr>
      <w:tr w:rsidR="006016B9" w:rsidRPr="0087752B" w14:paraId="07B437B1" w14:textId="77777777" w:rsidTr="008E384B">
        <w:tc>
          <w:tcPr>
            <w:tcW w:w="1101" w:type="dxa"/>
            <w:tcBorders>
              <w:top w:val="nil"/>
              <w:left w:val="nil"/>
              <w:bottom w:val="nil"/>
              <w:right w:val="nil"/>
            </w:tcBorders>
          </w:tcPr>
          <w:p w14:paraId="2D038A54" w14:textId="77777777" w:rsidR="006016B9" w:rsidRPr="0087752B" w:rsidRDefault="006016B9" w:rsidP="008E384B">
            <w:pPr>
              <w:pStyle w:val="DETTableTextFinancial"/>
            </w:pPr>
          </w:p>
        </w:tc>
        <w:tc>
          <w:tcPr>
            <w:tcW w:w="2126" w:type="dxa"/>
            <w:tcBorders>
              <w:top w:val="nil"/>
              <w:left w:val="nil"/>
              <w:bottom w:val="nil"/>
              <w:right w:val="nil"/>
            </w:tcBorders>
          </w:tcPr>
          <w:p w14:paraId="7BDE8F0E" w14:textId="77777777" w:rsidR="006016B9" w:rsidRPr="0087752B" w:rsidRDefault="006016B9" w:rsidP="008E384B">
            <w:pPr>
              <w:pStyle w:val="DETTableTextFinancial"/>
            </w:pPr>
          </w:p>
        </w:tc>
        <w:tc>
          <w:tcPr>
            <w:tcW w:w="1134" w:type="dxa"/>
            <w:tcBorders>
              <w:top w:val="nil"/>
              <w:left w:val="nil"/>
              <w:bottom w:val="nil"/>
              <w:right w:val="nil"/>
            </w:tcBorders>
            <w:shd w:val="clear" w:color="auto" w:fill="F8F8F8"/>
          </w:tcPr>
          <w:p w14:paraId="2423046C" w14:textId="77777777" w:rsidR="006016B9" w:rsidRPr="0087752B" w:rsidRDefault="006016B9" w:rsidP="008E384B">
            <w:pPr>
              <w:pStyle w:val="DETTableTextFinancial"/>
            </w:pPr>
            <w:r w:rsidRPr="0087752B">
              <w:t>classified by</w:t>
            </w:r>
          </w:p>
        </w:tc>
        <w:tc>
          <w:tcPr>
            <w:tcW w:w="709" w:type="dxa"/>
            <w:tcBorders>
              <w:top w:val="nil"/>
              <w:left w:val="nil"/>
              <w:bottom w:val="nil"/>
              <w:right w:val="nil"/>
            </w:tcBorders>
            <w:shd w:val="clear" w:color="auto" w:fill="F8F8F8"/>
          </w:tcPr>
          <w:p w14:paraId="6E6D7248" w14:textId="77777777" w:rsidR="006016B9" w:rsidRPr="0087752B" w:rsidRDefault="006016B9" w:rsidP="008E384B">
            <w:pPr>
              <w:pStyle w:val="DETTableTextFinancial"/>
            </w:pPr>
          </w:p>
        </w:tc>
        <w:tc>
          <w:tcPr>
            <w:tcW w:w="2516" w:type="dxa"/>
            <w:vMerge/>
            <w:tcBorders>
              <w:top w:val="single" w:sz="4" w:space="0" w:color="auto"/>
              <w:left w:val="nil"/>
              <w:bottom w:val="nil"/>
              <w:right w:val="nil"/>
            </w:tcBorders>
          </w:tcPr>
          <w:p w14:paraId="77C62632" w14:textId="77777777" w:rsidR="006016B9" w:rsidRPr="0087752B" w:rsidRDefault="006016B9" w:rsidP="006016B9"/>
        </w:tc>
      </w:tr>
      <w:tr w:rsidR="006016B9" w:rsidRPr="0087752B" w14:paraId="6DC614B2" w14:textId="77777777" w:rsidTr="008E384B">
        <w:tc>
          <w:tcPr>
            <w:tcW w:w="1101" w:type="dxa"/>
            <w:tcBorders>
              <w:top w:val="nil"/>
              <w:left w:val="nil"/>
              <w:bottom w:val="single" w:sz="4" w:space="0" w:color="auto"/>
              <w:right w:val="nil"/>
            </w:tcBorders>
          </w:tcPr>
          <w:p w14:paraId="27C92797" w14:textId="77777777" w:rsidR="006016B9" w:rsidRPr="0087752B" w:rsidRDefault="006016B9" w:rsidP="008E384B">
            <w:pPr>
              <w:pStyle w:val="DETTableTextFinancial"/>
            </w:pPr>
          </w:p>
        </w:tc>
        <w:tc>
          <w:tcPr>
            <w:tcW w:w="2126" w:type="dxa"/>
            <w:tcBorders>
              <w:top w:val="nil"/>
              <w:left w:val="nil"/>
              <w:bottom w:val="single" w:sz="4" w:space="0" w:color="auto"/>
              <w:right w:val="nil"/>
            </w:tcBorders>
          </w:tcPr>
          <w:p w14:paraId="6B009EB9" w14:textId="77777777" w:rsidR="006016B9" w:rsidRPr="0087752B" w:rsidRDefault="006016B9" w:rsidP="008E384B">
            <w:pPr>
              <w:pStyle w:val="DETTableTextFinancial"/>
            </w:pPr>
          </w:p>
        </w:tc>
        <w:tc>
          <w:tcPr>
            <w:tcW w:w="1134" w:type="dxa"/>
            <w:tcBorders>
              <w:top w:val="nil"/>
              <w:left w:val="nil"/>
              <w:bottom w:val="single" w:sz="4" w:space="0" w:color="auto"/>
              <w:right w:val="nil"/>
            </w:tcBorders>
            <w:shd w:val="clear" w:color="auto" w:fill="F8F8F8"/>
          </w:tcPr>
          <w:p w14:paraId="11D61B5E" w14:textId="77777777" w:rsidR="006016B9" w:rsidRPr="0087752B" w:rsidRDefault="006016B9" w:rsidP="008E384B">
            <w:pPr>
              <w:pStyle w:val="DETTableTextFinancial"/>
            </w:pPr>
            <w:r w:rsidRPr="0087752B">
              <w:t xml:space="preserve">Operating Expenditure </w:t>
            </w:r>
          </w:p>
        </w:tc>
        <w:tc>
          <w:tcPr>
            <w:tcW w:w="709" w:type="dxa"/>
            <w:tcBorders>
              <w:top w:val="nil"/>
              <w:left w:val="nil"/>
              <w:bottom w:val="single" w:sz="4" w:space="0" w:color="auto"/>
              <w:right w:val="nil"/>
            </w:tcBorders>
            <w:shd w:val="clear" w:color="auto" w:fill="F8F8F8"/>
          </w:tcPr>
          <w:p w14:paraId="5DE497E0" w14:textId="77777777" w:rsidR="006016B9" w:rsidRPr="0087752B" w:rsidRDefault="006016B9" w:rsidP="008E384B">
            <w:pPr>
              <w:pStyle w:val="DETTableTextFinancial"/>
            </w:pPr>
          </w:p>
          <w:p w14:paraId="25A34518" w14:textId="04097BDD" w:rsidR="006016B9" w:rsidRPr="0087752B" w:rsidRDefault="006016B9" w:rsidP="008E384B">
            <w:pPr>
              <w:pStyle w:val="DETTableTextFinancial"/>
              <w:jc w:val="right"/>
            </w:pPr>
            <w:r w:rsidRPr="0087752B">
              <w:t>5.02</w:t>
            </w:r>
          </w:p>
        </w:tc>
        <w:tc>
          <w:tcPr>
            <w:tcW w:w="2516" w:type="dxa"/>
            <w:vMerge/>
            <w:tcBorders>
              <w:top w:val="nil"/>
              <w:left w:val="nil"/>
              <w:bottom w:val="single" w:sz="4" w:space="0" w:color="auto"/>
              <w:right w:val="nil"/>
            </w:tcBorders>
          </w:tcPr>
          <w:p w14:paraId="039E5F99" w14:textId="77777777" w:rsidR="006016B9" w:rsidRPr="0087752B" w:rsidRDefault="006016B9" w:rsidP="006016B9"/>
        </w:tc>
      </w:tr>
    </w:tbl>
    <w:p w14:paraId="32D42424" w14:textId="77777777" w:rsidR="006016B9" w:rsidRPr="0087752B" w:rsidRDefault="006016B9" w:rsidP="008E384B">
      <w:pPr>
        <w:pStyle w:val="DETHeading2"/>
      </w:pPr>
      <w:bookmarkStart w:id="220" w:name="_Toc458069617"/>
      <w:bookmarkStart w:id="221" w:name="_Toc458072396"/>
      <w:bookmarkStart w:id="222" w:name="_Toc458088579"/>
      <w:bookmarkStart w:id="223" w:name="_Toc461013275"/>
      <w:bookmarkStart w:id="224" w:name="_Toc461025855"/>
      <w:bookmarkStart w:id="225" w:name="_Toc462405150"/>
      <w:r w:rsidRPr="0087752B">
        <w:t>Disclosure of major contracts</w:t>
      </w:r>
      <w:bookmarkEnd w:id="220"/>
      <w:bookmarkEnd w:id="221"/>
      <w:bookmarkEnd w:id="222"/>
      <w:bookmarkEnd w:id="223"/>
      <w:bookmarkEnd w:id="224"/>
      <w:bookmarkEnd w:id="225"/>
    </w:p>
    <w:p w14:paraId="0F7B4E33" w14:textId="7031F377" w:rsidR="006016B9" w:rsidRPr="005C767D" w:rsidRDefault="006016B9" w:rsidP="006016B9">
      <w:r w:rsidRPr="0087752B">
        <w:t xml:space="preserve">The Department has disclosed, in accordance with the requirements of government policy and accompanying guidelines, all contracts greater than $10 million in value which it entered into during the year ended 30 June 2016. Details of contracts that have been disclosed in the Victorian Government contracts publishing system can be viewed on the internet at </w:t>
      </w:r>
      <w:hyperlink r:id="rId26" w:history="1">
        <w:r w:rsidR="00C3253C" w:rsidRPr="004F5090">
          <w:rPr>
            <w:rStyle w:val="Hyperlink"/>
            <w:u w:val="single"/>
          </w:rPr>
          <w:t>www.procurement.vic.gov.au</w:t>
        </w:r>
      </w:hyperlink>
      <w:r w:rsidR="00C3253C" w:rsidRPr="004F5090">
        <w:t>.</w:t>
      </w:r>
    </w:p>
    <w:p w14:paraId="0873BB32" w14:textId="77777777" w:rsidR="006016B9" w:rsidRPr="0087752B" w:rsidRDefault="006016B9" w:rsidP="006016B9">
      <w:r w:rsidRPr="0087752B">
        <w:t xml:space="preserve">Contractual details have not been disclosed for those contracts for which disclosure is exempted under the </w:t>
      </w:r>
      <w:r w:rsidRPr="004F5090">
        <w:rPr>
          <w:i/>
        </w:rPr>
        <w:t>Freedom of Information Act 1982</w:t>
      </w:r>
      <w:r w:rsidRPr="0087752B">
        <w:t xml:space="preserve"> and/or government guidelines. </w:t>
      </w:r>
    </w:p>
    <w:p w14:paraId="5AE11746" w14:textId="5EB69C7B" w:rsidR="006016B9" w:rsidRPr="0087752B" w:rsidRDefault="006016B9" w:rsidP="008E384B">
      <w:pPr>
        <w:pStyle w:val="DETHeading2"/>
      </w:pPr>
      <w:bookmarkStart w:id="226" w:name="_Toc458069618"/>
      <w:bookmarkStart w:id="227" w:name="_Toc458072397"/>
      <w:bookmarkStart w:id="228" w:name="_Toc458088580"/>
      <w:bookmarkStart w:id="229" w:name="_Toc461013276"/>
      <w:bookmarkStart w:id="230" w:name="_Toc461025856"/>
      <w:bookmarkStart w:id="231" w:name="_Toc462405151"/>
      <w:r w:rsidRPr="0087752B">
        <w:t>Freedom of information</w:t>
      </w:r>
      <w:bookmarkEnd w:id="226"/>
      <w:bookmarkEnd w:id="227"/>
      <w:bookmarkEnd w:id="228"/>
      <w:bookmarkEnd w:id="229"/>
      <w:bookmarkEnd w:id="230"/>
      <w:bookmarkEnd w:id="231"/>
    </w:p>
    <w:p w14:paraId="0846B56B" w14:textId="05A4AADA" w:rsidR="006016B9" w:rsidRPr="0087752B" w:rsidRDefault="006016B9" w:rsidP="006016B9">
      <w:r w:rsidRPr="0087752B">
        <w:t xml:space="preserve">The </w:t>
      </w:r>
      <w:r w:rsidRPr="0087752B">
        <w:rPr>
          <w:i/>
        </w:rPr>
        <w:t>Freedom of Information Act 1982</w:t>
      </w:r>
      <w:r w:rsidRPr="0087752B">
        <w:t xml:space="preserve"> (FOI Act) allows the public a right of access to documents held by the Department. During 2015–16, the Department received 373 applications. Of these, 193 were from individuals seeking access to their own records. </w:t>
      </w:r>
      <w:r w:rsidR="00C3253C" w:rsidRPr="0087752B">
        <w:t>Fifty-four</w:t>
      </w:r>
      <w:r w:rsidRPr="0087752B">
        <w:t xml:space="preserve"> were requests from Members of Parliament, 46 from media organisations and 80 from members of the public seeking access to policy-related documents. </w:t>
      </w:r>
    </w:p>
    <w:p w14:paraId="1BAA8D4F" w14:textId="77777777" w:rsidR="006016B9" w:rsidRPr="0087752B" w:rsidRDefault="006016B9" w:rsidP="006016B9">
      <w:r w:rsidRPr="0087752B">
        <w:t xml:space="preserve">In most instances, full or partial access was provided; 17 decisions were reviewed by the FOI Commissioner and two were reviewed by the Victorian Civil &amp; </w:t>
      </w:r>
      <w:r w:rsidRPr="0087752B">
        <w:lastRenderedPageBreak/>
        <w:t>Administrative Tribunal (VCAT). The FOI Commissioner also investigated 13 complaints relating to FOI applications made to the Department.</w:t>
      </w:r>
    </w:p>
    <w:p w14:paraId="78FBD574" w14:textId="7407B269" w:rsidR="006016B9" w:rsidRPr="004F5090" w:rsidRDefault="006016B9" w:rsidP="006016B9">
      <w:pPr>
        <w:rPr>
          <w:u w:val="single"/>
        </w:rPr>
      </w:pPr>
      <w:r w:rsidRPr="0087752B">
        <w:t xml:space="preserve">The information required to be published pursuant to section 7 of the FOI Act is contained elsewhere in this report or at </w:t>
      </w:r>
      <w:hyperlink r:id="rId27" w:history="1">
        <w:r w:rsidR="00C3253C">
          <w:rPr>
            <w:u w:val="single"/>
          </w:rPr>
          <w:t>www.education.vic.gov.au/about/contact/Pages/foi.aspx</w:t>
        </w:r>
      </w:hyperlink>
      <w:r w:rsidRPr="005C767D">
        <w:t>.</w:t>
      </w:r>
    </w:p>
    <w:p w14:paraId="7038C776" w14:textId="77777777" w:rsidR="006016B9" w:rsidRPr="0087752B" w:rsidRDefault="006016B9" w:rsidP="006016B9"/>
    <w:p w14:paraId="6473F1CE" w14:textId="77777777" w:rsidR="008E384B" w:rsidRPr="0087752B" w:rsidRDefault="008E384B">
      <w:pPr>
        <w:spacing w:after="200" w:line="276" w:lineRule="auto"/>
      </w:pPr>
      <w:r w:rsidRPr="0087752B">
        <w:br w:type="page"/>
      </w:r>
    </w:p>
    <w:p w14:paraId="4D48F1AD" w14:textId="5EA7BFBF" w:rsidR="006016B9" w:rsidRPr="0087752B" w:rsidRDefault="006016B9" w:rsidP="006016B9">
      <w:r w:rsidRPr="0087752B">
        <w:lastRenderedPageBreak/>
        <w:t>Making a request</w:t>
      </w:r>
    </w:p>
    <w:p w14:paraId="026C64C6" w14:textId="77777777" w:rsidR="006016B9" w:rsidRPr="0087752B" w:rsidRDefault="006016B9" w:rsidP="006016B9">
      <w:r w:rsidRPr="0087752B">
        <w:t>Access to documents is via written request to the Freedom of Information Unit within the Department as detailed in section 17 of the FOI Act. In summary, a request must:</w:t>
      </w:r>
    </w:p>
    <w:p w14:paraId="1362BB20" w14:textId="77777777" w:rsidR="006016B9" w:rsidRPr="0087752B" w:rsidRDefault="006016B9" w:rsidP="008E384B">
      <w:pPr>
        <w:pStyle w:val="DETNormallistbullet"/>
      </w:pPr>
      <w:r w:rsidRPr="0087752B">
        <w:t>be in writing</w:t>
      </w:r>
    </w:p>
    <w:p w14:paraId="4DB18122" w14:textId="77777777" w:rsidR="006016B9" w:rsidRPr="0087752B" w:rsidRDefault="006016B9" w:rsidP="008E384B">
      <w:pPr>
        <w:pStyle w:val="DETNormallistbullet"/>
      </w:pPr>
      <w:r w:rsidRPr="0087752B">
        <w:t>identify as clearly as possible the document(s) being requested</w:t>
      </w:r>
    </w:p>
    <w:p w14:paraId="2DB3E346" w14:textId="77777777" w:rsidR="006016B9" w:rsidRPr="0087752B" w:rsidRDefault="006016B9" w:rsidP="008E384B">
      <w:pPr>
        <w:pStyle w:val="DETNormallistbullet"/>
      </w:pPr>
      <w:r w:rsidRPr="0087752B">
        <w:t>be accompanied by the appropriate application fee (the fee may be waived in certain circumstances).</w:t>
      </w:r>
    </w:p>
    <w:p w14:paraId="6922B9D0" w14:textId="77777777" w:rsidR="006016B9" w:rsidRPr="0087752B" w:rsidRDefault="006016B9" w:rsidP="007540CD">
      <w:pPr>
        <w:pStyle w:val="DETTableheading"/>
      </w:pPr>
      <w:r w:rsidRPr="0087752B">
        <w:t>Freedom of Information contacts</w:t>
      </w:r>
    </w:p>
    <w:tbl>
      <w:tblPr>
        <w:tblW w:w="0" w:type="auto"/>
        <w:tblBorders>
          <w:bottom w:val="single" w:sz="12" w:space="0" w:color="777777"/>
        </w:tblBorders>
        <w:tblLayout w:type="fixed"/>
        <w:tblLook w:val="04A0" w:firstRow="1" w:lastRow="0" w:firstColumn="1" w:lastColumn="0" w:noHBand="0" w:noVBand="1"/>
      </w:tblPr>
      <w:tblGrid>
        <w:gridCol w:w="1321"/>
        <w:gridCol w:w="2410"/>
        <w:gridCol w:w="2551"/>
        <w:gridCol w:w="1178"/>
      </w:tblGrid>
      <w:tr w:rsidR="006016B9" w:rsidRPr="0087752B" w14:paraId="44E83D6D" w14:textId="77777777" w:rsidTr="008E384B">
        <w:trPr>
          <w:cantSplit/>
          <w:trHeight w:val="567"/>
          <w:tblHeader/>
        </w:trPr>
        <w:tc>
          <w:tcPr>
            <w:tcW w:w="1321" w:type="dxa"/>
            <w:tcBorders>
              <w:bottom w:val="nil"/>
            </w:tcBorders>
            <w:shd w:val="clear" w:color="auto" w:fill="7F7F7F" w:themeFill="text1" w:themeFillTint="80"/>
            <w:tcMar>
              <w:left w:w="45" w:type="dxa"/>
              <w:right w:w="45" w:type="dxa"/>
            </w:tcMar>
            <w:vAlign w:val="center"/>
          </w:tcPr>
          <w:p w14:paraId="743F420B" w14:textId="77777777" w:rsidR="006016B9" w:rsidRPr="0087752B" w:rsidRDefault="006016B9" w:rsidP="008E384B">
            <w:pPr>
              <w:pStyle w:val="DETTablecolumnheading"/>
              <w:jc w:val="left"/>
            </w:pPr>
            <w:r w:rsidRPr="0087752B">
              <w:t>Agency</w:t>
            </w:r>
          </w:p>
        </w:tc>
        <w:tc>
          <w:tcPr>
            <w:tcW w:w="2410" w:type="dxa"/>
            <w:tcBorders>
              <w:bottom w:val="nil"/>
            </w:tcBorders>
            <w:shd w:val="clear" w:color="auto" w:fill="7F7F7F" w:themeFill="text1" w:themeFillTint="80"/>
            <w:tcMar>
              <w:left w:w="45" w:type="dxa"/>
              <w:right w:w="45" w:type="dxa"/>
            </w:tcMar>
            <w:vAlign w:val="center"/>
          </w:tcPr>
          <w:p w14:paraId="39D585E6" w14:textId="77777777" w:rsidR="006016B9" w:rsidRPr="0087752B" w:rsidRDefault="006016B9" w:rsidP="008E384B">
            <w:pPr>
              <w:pStyle w:val="DETTablecolumnheading"/>
              <w:jc w:val="left"/>
            </w:pPr>
            <w:r w:rsidRPr="0087752B">
              <w:t>Postal address</w:t>
            </w:r>
          </w:p>
        </w:tc>
        <w:tc>
          <w:tcPr>
            <w:tcW w:w="2551" w:type="dxa"/>
            <w:tcBorders>
              <w:bottom w:val="nil"/>
            </w:tcBorders>
            <w:shd w:val="clear" w:color="auto" w:fill="7F7F7F" w:themeFill="text1" w:themeFillTint="80"/>
            <w:tcMar>
              <w:left w:w="45" w:type="dxa"/>
              <w:right w:w="45" w:type="dxa"/>
            </w:tcMar>
            <w:vAlign w:val="center"/>
          </w:tcPr>
          <w:p w14:paraId="4F7EA398" w14:textId="77777777" w:rsidR="006016B9" w:rsidRPr="0087752B" w:rsidRDefault="006016B9" w:rsidP="008E384B">
            <w:pPr>
              <w:pStyle w:val="DETTablecolumnheading"/>
              <w:jc w:val="left"/>
            </w:pPr>
            <w:r w:rsidRPr="0087752B">
              <w:t>Email</w:t>
            </w:r>
          </w:p>
        </w:tc>
        <w:tc>
          <w:tcPr>
            <w:tcW w:w="1178" w:type="dxa"/>
            <w:tcBorders>
              <w:bottom w:val="nil"/>
            </w:tcBorders>
            <w:shd w:val="clear" w:color="auto" w:fill="7F7F7F" w:themeFill="text1" w:themeFillTint="80"/>
            <w:tcMar>
              <w:left w:w="45" w:type="dxa"/>
              <w:right w:w="45" w:type="dxa"/>
            </w:tcMar>
            <w:vAlign w:val="center"/>
          </w:tcPr>
          <w:p w14:paraId="4856CC4B" w14:textId="77777777" w:rsidR="006016B9" w:rsidRPr="0087752B" w:rsidRDefault="006016B9" w:rsidP="008E384B">
            <w:pPr>
              <w:pStyle w:val="DETTablecolumnheading"/>
              <w:jc w:val="left"/>
            </w:pPr>
            <w:r w:rsidRPr="0087752B">
              <w:t>Telephone</w:t>
            </w:r>
          </w:p>
        </w:tc>
      </w:tr>
      <w:tr w:rsidR="006016B9" w:rsidRPr="0087752B" w14:paraId="7B9F862B" w14:textId="77777777" w:rsidTr="008E384B">
        <w:trPr>
          <w:cantSplit/>
        </w:trPr>
        <w:tc>
          <w:tcPr>
            <w:tcW w:w="1321" w:type="dxa"/>
            <w:tcMar>
              <w:left w:w="45" w:type="dxa"/>
              <w:right w:w="45" w:type="dxa"/>
            </w:tcMar>
          </w:tcPr>
          <w:p w14:paraId="1C8952D2" w14:textId="77777777" w:rsidR="006016B9" w:rsidRPr="0087752B" w:rsidRDefault="006016B9" w:rsidP="008E384B">
            <w:pPr>
              <w:pStyle w:val="DETTableTextFinancial"/>
            </w:pPr>
            <w:r w:rsidRPr="0087752B">
              <w:t>Department of Education and Training</w:t>
            </w:r>
          </w:p>
        </w:tc>
        <w:tc>
          <w:tcPr>
            <w:tcW w:w="2410" w:type="dxa"/>
            <w:tcMar>
              <w:left w:w="45" w:type="dxa"/>
              <w:right w:w="45" w:type="dxa"/>
            </w:tcMar>
          </w:tcPr>
          <w:p w14:paraId="5B3AFC0F" w14:textId="77777777" w:rsidR="006016B9" w:rsidRPr="0087752B" w:rsidRDefault="006016B9" w:rsidP="008E384B">
            <w:pPr>
              <w:pStyle w:val="DETTableTextFinancial"/>
            </w:pPr>
            <w:r w:rsidRPr="0087752B">
              <w:t>Manager, Freedom of Information</w:t>
            </w:r>
            <w:r w:rsidRPr="0087752B">
              <w:br/>
              <w:t>Department of Education and Training</w:t>
            </w:r>
            <w:r w:rsidRPr="0087752B">
              <w:br/>
              <w:t>GPO Box 4367</w:t>
            </w:r>
            <w:r w:rsidRPr="0087752B">
              <w:br/>
              <w:t>Melbourne 3001</w:t>
            </w:r>
          </w:p>
        </w:tc>
        <w:tc>
          <w:tcPr>
            <w:tcW w:w="2551" w:type="dxa"/>
            <w:tcMar>
              <w:left w:w="45" w:type="dxa"/>
              <w:right w:w="45" w:type="dxa"/>
            </w:tcMar>
          </w:tcPr>
          <w:p w14:paraId="00E4A704" w14:textId="77777777" w:rsidR="006016B9" w:rsidRPr="005C767D" w:rsidRDefault="00FF2E71" w:rsidP="008E384B">
            <w:pPr>
              <w:pStyle w:val="DETTableTextFinancial"/>
              <w:rPr>
                <w:u w:val="single"/>
              </w:rPr>
            </w:pPr>
            <w:hyperlink r:id="rId28" w:history="1">
              <w:r w:rsidR="006016B9" w:rsidRPr="0087752B">
                <w:rPr>
                  <w:u w:val="single"/>
                </w:rPr>
                <w:t>foi@edumail.vic.gov.au</w:t>
              </w:r>
            </w:hyperlink>
          </w:p>
          <w:p w14:paraId="5EE7F694" w14:textId="77777777" w:rsidR="006016B9" w:rsidRPr="0087752B" w:rsidRDefault="006016B9" w:rsidP="008E384B">
            <w:pPr>
              <w:pStyle w:val="DETTableTextFinancial"/>
              <w:rPr>
                <w:u w:val="single"/>
              </w:rPr>
            </w:pPr>
          </w:p>
        </w:tc>
        <w:tc>
          <w:tcPr>
            <w:tcW w:w="1178" w:type="dxa"/>
            <w:tcMar>
              <w:left w:w="45" w:type="dxa"/>
              <w:right w:w="45" w:type="dxa"/>
            </w:tcMar>
          </w:tcPr>
          <w:p w14:paraId="03EB7977" w14:textId="77777777" w:rsidR="006016B9" w:rsidRPr="0087752B" w:rsidRDefault="006016B9" w:rsidP="008E384B">
            <w:pPr>
              <w:pStyle w:val="DETTableTextFinancial"/>
            </w:pPr>
            <w:r w:rsidRPr="0087752B">
              <w:t>(03) 9637 2670</w:t>
            </w:r>
          </w:p>
        </w:tc>
      </w:tr>
      <w:tr w:rsidR="006016B9" w:rsidRPr="0087752B" w14:paraId="1A6CBA91" w14:textId="77777777" w:rsidTr="008E384B">
        <w:trPr>
          <w:cantSplit/>
        </w:trPr>
        <w:tc>
          <w:tcPr>
            <w:tcW w:w="1321" w:type="dxa"/>
            <w:tcMar>
              <w:left w:w="45" w:type="dxa"/>
              <w:right w:w="45" w:type="dxa"/>
            </w:tcMar>
          </w:tcPr>
          <w:p w14:paraId="31EB2BD0" w14:textId="77777777" w:rsidR="006016B9" w:rsidRPr="0087752B" w:rsidRDefault="006016B9" w:rsidP="008E384B">
            <w:pPr>
              <w:pStyle w:val="DETTableTextFinancial"/>
            </w:pPr>
            <w:r w:rsidRPr="0087752B">
              <w:t>Victorian Curriculum and Assessment Authority</w:t>
            </w:r>
          </w:p>
        </w:tc>
        <w:tc>
          <w:tcPr>
            <w:tcW w:w="2410" w:type="dxa"/>
            <w:tcMar>
              <w:left w:w="45" w:type="dxa"/>
              <w:right w:w="45" w:type="dxa"/>
            </w:tcMar>
            <w:vAlign w:val="bottom"/>
          </w:tcPr>
          <w:p w14:paraId="25FC9EB5" w14:textId="77777777" w:rsidR="006016B9" w:rsidRPr="0087752B" w:rsidRDefault="006016B9" w:rsidP="008E384B">
            <w:pPr>
              <w:pStyle w:val="DETTableTextFinancial"/>
            </w:pPr>
            <w:r w:rsidRPr="0087752B">
              <w:t>Level 1</w:t>
            </w:r>
          </w:p>
          <w:p w14:paraId="67615EEB" w14:textId="77777777" w:rsidR="006016B9" w:rsidRPr="0087752B" w:rsidRDefault="006016B9" w:rsidP="008E384B">
            <w:pPr>
              <w:pStyle w:val="DETTableTextFinancial"/>
            </w:pPr>
            <w:r w:rsidRPr="0087752B">
              <w:t>2 Lonsdale Street</w:t>
            </w:r>
            <w:r w:rsidRPr="0087752B">
              <w:br/>
              <w:t>Melbourne, 3000</w:t>
            </w:r>
            <w:r w:rsidRPr="0087752B">
              <w:br/>
              <w:t>Australia</w:t>
            </w:r>
          </w:p>
        </w:tc>
        <w:tc>
          <w:tcPr>
            <w:tcW w:w="2551" w:type="dxa"/>
            <w:tcMar>
              <w:left w:w="45" w:type="dxa"/>
              <w:right w:w="45" w:type="dxa"/>
            </w:tcMar>
          </w:tcPr>
          <w:p w14:paraId="1D833D0F" w14:textId="77777777" w:rsidR="006016B9" w:rsidRPr="005C767D" w:rsidRDefault="00FF2E71" w:rsidP="008E384B">
            <w:pPr>
              <w:pStyle w:val="DETTableTextFinancial"/>
              <w:rPr>
                <w:u w:val="single"/>
              </w:rPr>
            </w:pPr>
            <w:hyperlink r:id="rId29" w:history="1">
              <w:r w:rsidR="006016B9" w:rsidRPr="0087752B">
                <w:rPr>
                  <w:u w:val="single"/>
                </w:rPr>
                <w:t>vcaa.foi@edumail.vic.gov.au</w:t>
              </w:r>
            </w:hyperlink>
          </w:p>
          <w:p w14:paraId="4ECA1A33" w14:textId="77777777" w:rsidR="006016B9" w:rsidRPr="0087752B" w:rsidRDefault="006016B9" w:rsidP="008E384B">
            <w:pPr>
              <w:pStyle w:val="DETTableTextFinancial"/>
              <w:rPr>
                <w:u w:val="single"/>
              </w:rPr>
            </w:pPr>
          </w:p>
        </w:tc>
        <w:tc>
          <w:tcPr>
            <w:tcW w:w="1178" w:type="dxa"/>
            <w:tcMar>
              <w:left w:w="45" w:type="dxa"/>
              <w:right w:w="45" w:type="dxa"/>
            </w:tcMar>
          </w:tcPr>
          <w:p w14:paraId="3A5C07BF" w14:textId="77777777" w:rsidR="006016B9" w:rsidRPr="0087752B" w:rsidRDefault="006016B9" w:rsidP="008E384B">
            <w:pPr>
              <w:pStyle w:val="DETTableTextFinancial"/>
            </w:pPr>
            <w:r w:rsidRPr="0087752B">
              <w:t>(03) 9032 1700</w:t>
            </w:r>
          </w:p>
          <w:p w14:paraId="77A1EF78" w14:textId="77777777" w:rsidR="006016B9" w:rsidRPr="0087752B" w:rsidRDefault="006016B9" w:rsidP="008E384B">
            <w:pPr>
              <w:pStyle w:val="DETTableTextFinancial"/>
            </w:pPr>
            <w:r w:rsidRPr="0087752B">
              <w:t>1800 134 197</w:t>
            </w:r>
          </w:p>
        </w:tc>
      </w:tr>
      <w:tr w:rsidR="006016B9" w:rsidRPr="0087752B" w14:paraId="20F8935F" w14:textId="77777777" w:rsidTr="008E384B">
        <w:trPr>
          <w:cantSplit/>
        </w:trPr>
        <w:tc>
          <w:tcPr>
            <w:tcW w:w="1321" w:type="dxa"/>
            <w:tcMar>
              <w:left w:w="45" w:type="dxa"/>
              <w:right w:w="45" w:type="dxa"/>
            </w:tcMar>
          </w:tcPr>
          <w:p w14:paraId="583E1CC6" w14:textId="77777777" w:rsidR="006016B9" w:rsidRPr="0087752B" w:rsidRDefault="006016B9" w:rsidP="008E384B">
            <w:pPr>
              <w:pStyle w:val="DETTableTextFinancial"/>
            </w:pPr>
            <w:r w:rsidRPr="0087752B">
              <w:t>Victorian Registration and Qualifications Authority</w:t>
            </w:r>
          </w:p>
        </w:tc>
        <w:tc>
          <w:tcPr>
            <w:tcW w:w="2410" w:type="dxa"/>
            <w:tcMar>
              <w:left w:w="45" w:type="dxa"/>
              <w:right w:w="45" w:type="dxa"/>
            </w:tcMar>
            <w:vAlign w:val="bottom"/>
          </w:tcPr>
          <w:p w14:paraId="61E2B870" w14:textId="4C948B23" w:rsidR="006016B9" w:rsidRPr="0087752B" w:rsidRDefault="006016B9" w:rsidP="008E384B">
            <w:pPr>
              <w:pStyle w:val="DETTableTextFinancial"/>
            </w:pPr>
            <w:r w:rsidRPr="0087752B">
              <w:t xml:space="preserve">Level 4 </w:t>
            </w:r>
            <w:r w:rsidRPr="0087752B">
              <w:br/>
              <w:t>2 Lonsdale Street</w:t>
            </w:r>
            <w:r w:rsidRPr="0087752B">
              <w:br/>
            </w:r>
            <w:r w:rsidR="00C3253C" w:rsidRPr="0087752B">
              <w:t>Melbourne 3000</w:t>
            </w:r>
          </w:p>
        </w:tc>
        <w:tc>
          <w:tcPr>
            <w:tcW w:w="2551" w:type="dxa"/>
            <w:tcMar>
              <w:left w:w="45" w:type="dxa"/>
              <w:right w:w="45" w:type="dxa"/>
            </w:tcMar>
          </w:tcPr>
          <w:p w14:paraId="51CA78BA" w14:textId="77777777" w:rsidR="006016B9" w:rsidRPr="005C767D" w:rsidRDefault="00FF2E71" w:rsidP="008E384B">
            <w:pPr>
              <w:pStyle w:val="DETTableTextFinancial"/>
              <w:rPr>
                <w:u w:val="single"/>
              </w:rPr>
            </w:pPr>
            <w:hyperlink r:id="rId30" w:history="1">
              <w:r w:rsidR="006016B9" w:rsidRPr="0087752B">
                <w:rPr>
                  <w:u w:val="single"/>
                </w:rPr>
                <w:t>vrqa@edumail.vic.gov.au</w:t>
              </w:r>
            </w:hyperlink>
          </w:p>
          <w:p w14:paraId="5F8661D1" w14:textId="77777777" w:rsidR="006016B9" w:rsidRPr="0087752B" w:rsidRDefault="006016B9" w:rsidP="008E384B">
            <w:pPr>
              <w:pStyle w:val="DETTableTextFinancial"/>
              <w:rPr>
                <w:u w:val="single"/>
              </w:rPr>
            </w:pPr>
          </w:p>
        </w:tc>
        <w:tc>
          <w:tcPr>
            <w:tcW w:w="1178" w:type="dxa"/>
            <w:tcMar>
              <w:left w:w="45" w:type="dxa"/>
              <w:right w:w="45" w:type="dxa"/>
            </w:tcMar>
          </w:tcPr>
          <w:p w14:paraId="41637E7F" w14:textId="77777777" w:rsidR="006016B9" w:rsidRPr="0087752B" w:rsidRDefault="006016B9" w:rsidP="008E384B">
            <w:pPr>
              <w:pStyle w:val="DETTableTextFinancial"/>
            </w:pPr>
            <w:r w:rsidRPr="0087752B">
              <w:t>(03) 9637 2806</w:t>
            </w:r>
          </w:p>
        </w:tc>
      </w:tr>
      <w:tr w:rsidR="006016B9" w:rsidRPr="0087752B" w14:paraId="3C9707CC" w14:textId="77777777" w:rsidTr="008E384B">
        <w:trPr>
          <w:cantSplit/>
        </w:trPr>
        <w:tc>
          <w:tcPr>
            <w:tcW w:w="1321" w:type="dxa"/>
            <w:tcMar>
              <w:left w:w="45" w:type="dxa"/>
              <w:right w:w="45" w:type="dxa"/>
            </w:tcMar>
          </w:tcPr>
          <w:p w14:paraId="7B3A770E" w14:textId="77777777" w:rsidR="006016B9" w:rsidRPr="0087752B" w:rsidRDefault="006016B9" w:rsidP="008E384B">
            <w:pPr>
              <w:pStyle w:val="DETTableTextFinancial"/>
            </w:pPr>
            <w:r w:rsidRPr="0087752B">
              <w:t>Merit Protection Boards</w:t>
            </w:r>
          </w:p>
        </w:tc>
        <w:tc>
          <w:tcPr>
            <w:tcW w:w="2410" w:type="dxa"/>
            <w:tcMar>
              <w:left w:w="45" w:type="dxa"/>
              <w:right w:w="45" w:type="dxa"/>
            </w:tcMar>
            <w:vAlign w:val="bottom"/>
          </w:tcPr>
          <w:p w14:paraId="0CF6423C" w14:textId="77777777" w:rsidR="006016B9" w:rsidRPr="0087752B" w:rsidRDefault="006016B9" w:rsidP="008E384B">
            <w:pPr>
              <w:pStyle w:val="DETTableTextFinancial"/>
            </w:pPr>
            <w:r w:rsidRPr="0087752B">
              <w:t>Level 4</w:t>
            </w:r>
          </w:p>
          <w:p w14:paraId="5E57ABDF" w14:textId="77777777" w:rsidR="006016B9" w:rsidRPr="0087752B" w:rsidRDefault="006016B9" w:rsidP="008E384B">
            <w:pPr>
              <w:pStyle w:val="DETTableTextFinancial"/>
            </w:pPr>
            <w:r w:rsidRPr="0087752B">
              <w:t xml:space="preserve">2 Lonsdale Street </w:t>
            </w:r>
            <w:r w:rsidRPr="0087752B">
              <w:br/>
              <w:t>Melbourne 3000</w:t>
            </w:r>
          </w:p>
        </w:tc>
        <w:tc>
          <w:tcPr>
            <w:tcW w:w="2551" w:type="dxa"/>
            <w:tcMar>
              <w:left w:w="45" w:type="dxa"/>
              <w:right w:w="45" w:type="dxa"/>
            </w:tcMar>
          </w:tcPr>
          <w:p w14:paraId="64696D11" w14:textId="77777777" w:rsidR="006016B9" w:rsidRPr="005C767D" w:rsidRDefault="00FF2E71" w:rsidP="008E384B">
            <w:pPr>
              <w:pStyle w:val="DETTableTextFinancial"/>
              <w:rPr>
                <w:u w:val="single"/>
              </w:rPr>
            </w:pPr>
            <w:hyperlink r:id="rId31" w:history="1">
              <w:r w:rsidR="006016B9" w:rsidRPr="0087752B">
                <w:rPr>
                  <w:u w:val="single"/>
                </w:rPr>
                <w:t>meritboards@edumail.vic.gov.au</w:t>
              </w:r>
            </w:hyperlink>
          </w:p>
          <w:p w14:paraId="3B8A03F6" w14:textId="77777777" w:rsidR="006016B9" w:rsidRPr="0087752B" w:rsidRDefault="006016B9" w:rsidP="008E384B">
            <w:pPr>
              <w:pStyle w:val="DETTableTextFinancial"/>
              <w:rPr>
                <w:u w:val="single"/>
              </w:rPr>
            </w:pPr>
          </w:p>
        </w:tc>
        <w:tc>
          <w:tcPr>
            <w:tcW w:w="1178" w:type="dxa"/>
            <w:tcMar>
              <w:left w:w="45" w:type="dxa"/>
              <w:right w:w="45" w:type="dxa"/>
            </w:tcMar>
          </w:tcPr>
          <w:p w14:paraId="38C6C597" w14:textId="77777777" w:rsidR="006016B9" w:rsidRPr="0087752B" w:rsidRDefault="006016B9" w:rsidP="008E384B">
            <w:pPr>
              <w:pStyle w:val="DETTableTextFinancial"/>
            </w:pPr>
            <w:r w:rsidRPr="0087752B">
              <w:t>(03) 9032 1701</w:t>
            </w:r>
          </w:p>
        </w:tc>
      </w:tr>
      <w:tr w:rsidR="006016B9" w:rsidRPr="0087752B" w14:paraId="3B56C499" w14:textId="77777777" w:rsidTr="008E384B">
        <w:trPr>
          <w:cantSplit/>
        </w:trPr>
        <w:tc>
          <w:tcPr>
            <w:tcW w:w="1321" w:type="dxa"/>
            <w:tcBorders>
              <w:bottom w:val="nil"/>
            </w:tcBorders>
            <w:tcMar>
              <w:left w:w="45" w:type="dxa"/>
              <w:right w:w="45" w:type="dxa"/>
            </w:tcMar>
          </w:tcPr>
          <w:p w14:paraId="09130411" w14:textId="77777777" w:rsidR="006016B9" w:rsidRPr="0087752B" w:rsidRDefault="006016B9" w:rsidP="008E384B">
            <w:pPr>
              <w:pStyle w:val="DETTableTextFinancial"/>
            </w:pPr>
            <w:r w:rsidRPr="0087752B">
              <w:t>Victorian Institute of Teaching</w:t>
            </w:r>
          </w:p>
        </w:tc>
        <w:tc>
          <w:tcPr>
            <w:tcW w:w="2410" w:type="dxa"/>
            <w:tcBorders>
              <w:bottom w:val="nil"/>
            </w:tcBorders>
            <w:tcMar>
              <w:left w:w="45" w:type="dxa"/>
              <w:right w:w="45" w:type="dxa"/>
            </w:tcMar>
            <w:vAlign w:val="bottom"/>
          </w:tcPr>
          <w:p w14:paraId="398FA351" w14:textId="77777777" w:rsidR="006016B9" w:rsidRPr="0087752B" w:rsidRDefault="006016B9" w:rsidP="008E384B">
            <w:pPr>
              <w:pStyle w:val="DETTableTextFinancial"/>
            </w:pPr>
            <w:r w:rsidRPr="0087752B">
              <w:t>PO Box 531</w:t>
            </w:r>
            <w:r w:rsidRPr="0087752B">
              <w:br/>
              <w:t>Collins Street West</w:t>
            </w:r>
            <w:r w:rsidRPr="0087752B">
              <w:br/>
              <w:t>Victoria 8007</w:t>
            </w:r>
          </w:p>
        </w:tc>
        <w:tc>
          <w:tcPr>
            <w:tcW w:w="2551" w:type="dxa"/>
            <w:tcBorders>
              <w:bottom w:val="nil"/>
            </w:tcBorders>
            <w:tcMar>
              <w:left w:w="45" w:type="dxa"/>
              <w:right w:w="45" w:type="dxa"/>
            </w:tcMar>
          </w:tcPr>
          <w:p w14:paraId="56793B88" w14:textId="77777777" w:rsidR="006016B9" w:rsidRPr="005C767D" w:rsidRDefault="00FF2E71" w:rsidP="008E384B">
            <w:pPr>
              <w:pStyle w:val="DETTableTextFinancial"/>
              <w:rPr>
                <w:u w:val="single"/>
              </w:rPr>
            </w:pPr>
            <w:hyperlink r:id="rId32" w:history="1">
              <w:r w:rsidR="006016B9" w:rsidRPr="0087752B">
                <w:rPr>
                  <w:u w:val="single"/>
                </w:rPr>
                <w:t>vit@vit.vic.edu.au</w:t>
              </w:r>
            </w:hyperlink>
          </w:p>
          <w:p w14:paraId="03EDB9D6" w14:textId="77777777" w:rsidR="006016B9" w:rsidRPr="0087752B" w:rsidRDefault="006016B9" w:rsidP="008E384B">
            <w:pPr>
              <w:pStyle w:val="DETTableTextFinancial"/>
              <w:rPr>
                <w:u w:val="single"/>
              </w:rPr>
            </w:pPr>
          </w:p>
        </w:tc>
        <w:tc>
          <w:tcPr>
            <w:tcW w:w="1178" w:type="dxa"/>
            <w:tcBorders>
              <w:bottom w:val="nil"/>
            </w:tcBorders>
            <w:tcMar>
              <w:left w:w="45" w:type="dxa"/>
              <w:right w:w="45" w:type="dxa"/>
            </w:tcMar>
          </w:tcPr>
          <w:p w14:paraId="51FEE9A8" w14:textId="77777777" w:rsidR="006016B9" w:rsidRPr="0087752B" w:rsidRDefault="006016B9" w:rsidP="008E384B">
            <w:pPr>
              <w:pStyle w:val="DETTableTextFinancial"/>
            </w:pPr>
            <w:r w:rsidRPr="0087752B">
              <w:t>1300 888 067</w:t>
            </w:r>
          </w:p>
        </w:tc>
      </w:tr>
      <w:tr w:rsidR="006016B9" w:rsidRPr="0087752B" w14:paraId="0A89B3FF" w14:textId="77777777" w:rsidTr="008E384B">
        <w:trPr>
          <w:cantSplit/>
        </w:trPr>
        <w:tc>
          <w:tcPr>
            <w:tcW w:w="1321" w:type="dxa"/>
            <w:tcBorders>
              <w:bottom w:val="single" w:sz="4" w:space="0" w:color="auto"/>
            </w:tcBorders>
            <w:tcMar>
              <w:left w:w="45" w:type="dxa"/>
              <w:right w:w="45" w:type="dxa"/>
            </w:tcMar>
          </w:tcPr>
          <w:p w14:paraId="0AC0F102" w14:textId="77777777" w:rsidR="006016B9" w:rsidRPr="0087752B" w:rsidRDefault="006016B9" w:rsidP="008E384B">
            <w:pPr>
              <w:pStyle w:val="DETTableTextFinancial"/>
            </w:pPr>
            <w:r w:rsidRPr="0087752B">
              <w:t>Disciplinary Appeals Boards</w:t>
            </w:r>
          </w:p>
        </w:tc>
        <w:tc>
          <w:tcPr>
            <w:tcW w:w="2410" w:type="dxa"/>
            <w:tcBorders>
              <w:bottom w:val="single" w:sz="4" w:space="0" w:color="auto"/>
            </w:tcBorders>
            <w:tcMar>
              <w:left w:w="45" w:type="dxa"/>
              <w:right w:w="45" w:type="dxa"/>
            </w:tcMar>
            <w:vAlign w:val="bottom"/>
          </w:tcPr>
          <w:p w14:paraId="26EAA1E2" w14:textId="77777777" w:rsidR="006016B9" w:rsidRPr="0087752B" w:rsidRDefault="006016B9" w:rsidP="008E384B">
            <w:pPr>
              <w:pStyle w:val="DETTableTextFinancial"/>
            </w:pPr>
            <w:r w:rsidRPr="0087752B">
              <w:t xml:space="preserve">Level 4 </w:t>
            </w:r>
            <w:r w:rsidRPr="0087752B">
              <w:br/>
              <w:t>2 Lonsdale Street</w:t>
            </w:r>
            <w:r w:rsidRPr="0087752B">
              <w:br/>
              <w:t>Melbourne 3000</w:t>
            </w:r>
          </w:p>
        </w:tc>
        <w:tc>
          <w:tcPr>
            <w:tcW w:w="2551" w:type="dxa"/>
            <w:tcBorders>
              <w:bottom w:val="single" w:sz="4" w:space="0" w:color="auto"/>
            </w:tcBorders>
            <w:tcMar>
              <w:left w:w="45" w:type="dxa"/>
              <w:right w:w="45" w:type="dxa"/>
            </w:tcMar>
          </w:tcPr>
          <w:p w14:paraId="125131DF" w14:textId="77777777" w:rsidR="006016B9" w:rsidRPr="005C767D" w:rsidRDefault="00FF2E71" w:rsidP="008E384B">
            <w:pPr>
              <w:pStyle w:val="DETTableTextFinancial"/>
              <w:rPr>
                <w:u w:val="single"/>
              </w:rPr>
            </w:pPr>
            <w:hyperlink r:id="rId33" w:history="1">
              <w:r w:rsidR="006016B9" w:rsidRPr="0087752B">
                <w:rPr>
                  <w:u w:val="single"/>
                </w:rPr>
                <w:t>meritboards@edumail.vic.gov.au</w:t>
              </w:r>
            </w:hyperlink>
          </w:p>
          <w:p w14:paraId="4FF2F886" w14:textId="77777777" w:rsidR="006016B9" w:rsidRPr="0087752B" w:rsidRDefault="006016B9" w:rsidP="008E384B">
            <w:pPr>
              <w:pStyle w:val="DETTableTextFinancial"/>
              <w:rPr>
                <w:u w:val="single"/>
              </w:rPr>
            </w:pPr>
          </w:p>
        </w:tc>
        <w:tc>
          <w:tcPr>
            <w:tcW w:w="1178" w:type="dxa"/>
            <w:tcBorders>
              <w:bottom w:val="single" w:sz="4" w:space="0" w:color="auto"/>
            </w:tcBorders>
            <w:tcMar>
              <w:left w:w="45" w:type="dxa"/>
              <w:right w:w="45" w:type="dxa"/>
            </w:tcMar>
          </w:tcPr>
          <w:p w14:paraId="37351595" w14:textId="77777777" w:rsidR="006016B9" w:rsidRPr="0087752B" w:rsidRDefault="006016B9" w:rsidP="008E384B">
            <w:pPr>
              <w:pStyle w:val="DETTableTextFinancial"/>
            </w:pPr>
            <w:r w:rsidRPr="0087752B">
              <w:t>(03) 9032 1701</w:t>
            </w:r>
          </w:p>
        </w:tc>
      </w:tr>
    </w:tbl>
    <w:p w14:paraId="5FCB0052" w14:textId="77777777" w:rsidR="006016B9" w:rsidRPr="0087752B" w:rsidRDefault="006016B9" w:rsidP="006016B9"/>
    <w:p w14:paraId="09D83CF5" w14:textId="4EFAB5C7" w:rsidR="006016B9" w:rsidRPr="0087752B" w:rsidRDefault="006016B9" w:rsidP="006016B9">
      <w:r w:rsidRPr="0087752B">
        <w:t xml:space="preserve">Requests can also be lodged online at </w:t>
      </w:r>
      <w:hyperlink r:id="rId34" w:history="1">
        <w:r w:rsidRPr="0087752B">
          <w:rPr>
            <w:u w:val="single"/>
          </w:rPr>
          <w:t>www.foi.vic.gov.au</w:t>
        </w:r>
      </w:hyperlink>
      <w:r w:rsidR="008E384B" w:rsidRPr="005C767D">
        <w:rPr>
          <w:u w:val="single"/>
        </w:rPr>
        <w:t>.</w:t>
      </w:r>
      <w:r w:rsidRPr="0087752B">
        <w:t xml:space="preserve"> </w:t>
      </w:r>
    </w:p>
    <w:p w14:paraId="47A73D73" w14:textId="77777777" w:rsidR="006016B9" w:rsidRPr="0087752B" w:rsidRDefault="006016B9" w:rsidP="006016B9">
      <w:r w:rsidRPr="0087752B">
        <w:t>Access charges may apply once documents have been processed and a decision is made on access; for example, for photocopying, and search and retrieval charges.</w:t>
      </w:r>
    </w:p>
    <w:p w14:paraId="75ED3253" w14:textId="76293D76" w:rsidR="006016B9" w:rsidRPr="0087752B" w:rsidRDefault="006016B9" w:rsidP="006016B9">
      <w:r w:rsidRPr="0087752B">
        <w:t xml:space="preserve">Further information regarding Freedom of Information can be found at </w:t>
      </w:r>
      <w:hyperlink r:id="rId35" w:history="1">
        <w:r w:rsidR="00C43F4A" w:rsidRPr="0087752B">
          <w:rPr>
            <w:u w:val="single"/>
          </w:rPr>
          <w:t>www.foi.vic.gov.au</w:t>
        </w:r>
      </w:hyperlink>
      <w:r w:rsidR="008E384B" w:rsidRPr="0087752B">
        <w:rPr>
          <w:u w:val="single"/>
        </w:rPr>
        <w:t>.</w:t>
      </w:r>
    </w:p>
    <w:p w14:paraId="27B09A48" w14:textId="77777777" w:rsidR="006016B9" w:rsidRPr="00300489" w:rsidRDefault="006016B9" w:rsidP="00E353F9">
      <w:pPr>
        <w:pStyle w:val="DETHeading2"/>
      </w:pPr>
      <w:bookmarkStart w:id="232" w:name="_Toc458069619"/>
      <w:bookmarkStart w:id="233" w:name="_Toc458072398"/>
      <w:bookmarkStart w:id="234" w:name="_Toc458088581"/>
      <w:bookmarkStart w:id="235" w:name="_Toc461013277"/>
      <w:bookmarkStart w:id="236" w:name="_Toc461025857"/>
      <w:bookmarkStart w:id="237" w:name="_Toc462405152"/>
      <w:r w:rsidRPr="00300489">
        <w:t>Compliance with DataVic Access Policy</w:t>
      </w:r>
      <w:bookmarkEnd w:id="232"/>
      <w:bookmarkEnd w:id="233"/>
      <w:bookmarkEnd w:id="234"/>
      <w:bookmarkEnd w:id="235"/>
      <w:bookmarkEnd w:id="236"/>
      <w:bookmarkEnd w:id="237"/>
    </w:p>
    <w:p w14:paraId="3D1B8703" w14:textId="0C430589" w:rsidR="006016B9" w:rsidRPr="005C767D" w:rsidRDefault="006016B9" w:rsidP="006016B9">
      <w:bookmarkStart w:id="238" w:name="_Toc394935415"/>
      <w:bookmarkStart w:id="239" w:name="_Ref394938385"/>
      <w:bookmarkStart w:id="240" w:name="_Toc395083737"/>
      <w:bookmarkStart w:id="241" w:name="_Toc395600754"/>
      <w:bookmarkStart w:id="242" w:name="_Toc395867920"/>
      <w:bookmarkStart w:id="243" w:name="_Toc395867978"/>
      <w:r w:rsidRPr="00300489">
        <w:t xml:space="preserve">Consistent with the DataVic Access Policy issued by the Victorian Government in 2012 the Department has released a total of </w:t>
      </w:r>
      <w:r w:rsidR="0046684A">
        <w:t>130</w:t>
      </w:r>
      <w:r w:rsidRPr="00300489">
        <w:t xml:space="preserve"> datasets to DataVic. These are available at </w:t>
      </w:r>
      <w:hyperlink r:id="rId36" w:history="1">
        <w:r w:rsidRPr="00300489">
          <w:rPr>
            <w:u w:val="single"/>
          </w:rPr>
          <w:t>www.data.vic.gov.au</w:t>
        </w:r>
      </w:hyperlink>
      <w:r w:rsidRPr="00300489">
        <w:t xml:space="preserve"> in an open format for public use. These datasets represent a cross-section of the Department’s information assets.</w:t>
      </w:r>
    </w:p>
    <w:p w14:paraId="6417432C" w14:textId="383AE6E2" w:rsidR="006016B9" w:rsidRPr="0087752B" w:rsidRDefault="006016B9" w:rsidP="008E384B">
      <w:pPr>
        <w:pStyle w:val="DETHeading2"/>
      </w:pPr>
      <w:bookmarkStart w:id="244" w:name="_Toc458069620"/>
      <w:bookmarkStart w:id="245" w:name="_Toc458072399"/>
      <w:bookmarkStart w:id="246" w:name="_Toc458088582"/>
      <w:bookmarkStart w:id="247" w:name="_Toc461013278"/>
      <w:bookmarkStart w:id="248" w:name="_Toc461025858"/>
      <w:bookmarkStart w:id="249" w:name="_Toc462405153"/>
      <w:bookmarkEnd w:id="238"/>
      <w:bookmarkEnd w:id="239"/>
      <w:bookmarkEnd w:id="240"/>
      <w:bookmarkEnd w:id="241"/>
      <w:bookmarkEnd w:id="242"/>
      <w:bookmarkEnd w:id="243"/>
      <w:r w:rsidRPr="0087752B">
        <w:lastRenderedPageBreak/>
        <w:t>Compliance with</w:t>
      </w:r>
      <w:r w:rsidR="00C3253C">
        <w:t xml:space="preserve"> the</w:t>
      </w:r>
      <w:r w:rsidRPr="0087752B">
        <w:t xml:space="preserve"> </w:t>
      </w:r>
      <w:r w:rsidRPr="00E353F9">
        <w:rPr>
          <w:i/>
        </w:rPr>
        <w:t>Building Act 1993</w:t>
      </w:r>
      <w:bookmarkEnd w:id="244"/>
      <w:bookmarkEnd w:id="245"/>
      <w:bookmarkEnd w:id="246"/>
      <w:bookmarkEnd w:id="247"/>
      <w:bookmarkEnd w:id="248"/>
      <w:bookmarkEnd w:id="249"/>
    </w:p>
    <w:p w14:paraId="6B78DAF4" w14:textId="77777777" w:rsidR="006016B9" w:rsidRPr="0087752B" w:rsidRDefault="006016B9" w:rsidP="008E384B">
      <w:pPr>
        <w:pStyle w:val="Heading3"/>
      </w:pPr>
      <w:r w:rsidRPr="0087752B">
        <w:t>Mechanisms to ensure that buildings conform with the building standards</w:t>
      </w:r>
    </w:p>
    <w:p w14:paraId="1674B908" w14:textId="77777777" w:rsidR="006016B9" w:rsidRPr="0087752B" w:rsidRDefault="006016B9" w:rsidP="006016B9">
      <w:r w:rsidRPr="0087752B">
        <w:t xml:space="preserve">The Department complies with the </w:t>
      </w:r>
      <w:r w:rsidRPr="00E353F9">
        <w:rPr>
          <w:i/>
        </w:rPr>
        <w:t>Building Act 1993</w:t>
      </w:r>
      <w:r w:rsidRPr="0087752B">
        <w:t xml:space="preserve"> and other statutory obligations with respect to construction and modernisation of educational facilities. The school modernisation program and building compliance program progressively ensure that existing buildings comply with relevant legislative requirements.</w:t>
      </w:r>
    </w:p>
    <w:p w14:paraId="16EB1B16" w14:textId="77777777" w:rsidR="006016B9" w:rsidRPr="0087752B" w:rsidRDefault="006016B9" w:rsidP="008E384B">
      <w:pPr>
        <w:pStyle w:val="Heading3"/>
      </w:pPr>
      <w:r w:rsidRPr="0087752B">
        <w:t>Major works projects (greater than $50,000)</w:t>
      </w:r>
    </w:p>
    <w:p w14:paraId="547AD0CA" w14:textId="77777777" w:rsidR="006016B9" w:rsidRPr="0087752B" w:rsidRDefault="006016B9" w:rsidP="006016B9">
      <w:r w:rsidRPr="0087752B">
        <w:t>For details of all such projects, see 2015–16 Budget Paper No. 4: State Capital Program.</w:t>
      </w:r>
    </w:p>
    <w:p w14:paraId="06A8BF43" w14:textId="3DBEAFA8" w:rsidR="006016B9" w:rsidRPr="0087752B" w:rsidRDefault="006016B9" w:rsidP="006016B9">
      <w:r w:rsidRPr="0087752B">
        <w:t>During 2015–16, major works (greater than $50,000) not subject to certification of plans, mandatory inspections of the works, and issue of occupancy permits or certificates of final inspection, were undertaken at the following schools:</w:t>
      </w:r>
    </w:p>
    <w:p w14:paraId="12BE13B5" w14:textId="77777777" w:rsidR="006016B9" w:rsidRPr="0087752B" w:rsidRDefault="006016B9" w:rsidP="006016B9"/>
    <w:tbl>
      <w:tblPr>
        <w:tblW w:w="0" w:type="auto"/>
        <w:tblBorders>
          <w:bottom w:val="single" w:sz="4" w:space="0" w:color="auto"/>
        </w:tblBorders>
        <w:tblLook w:val="04A0" w:firstRow="1" w:lastRow="0" w:firstColumn="1" w:lastColumn="0" w:noHBand="0" w:noVBand="1"/>
      </w:tblPr>
      <w:tblGrid>
        <w:gridCol w:w="3793"/>
        <w:gridCol w:w="3793"/>
      </w:tblGrid>
      <w:tr w:rsidR="006016B9" w:rsidRPr="0087752B" w14:paraId="762A337E" w14:textId="77777777" w:rsidTr="006016B9">
        <w:tc>
          <w:tcPr>
            <w:tcW w:w="3793" w:type="dxa"/>
          </w:tcPr>
          <w:p w14:paraId="2106BA3B" w14:textId="77777777" w:rsidR="006016B9" w:rsidRPr="0087752B" w:rsidRDefault="006016B9" w:rsidP="008E384B">
            <w:pPr>
              <w:pStyle w:val="DETTableTextFinancial"/>
            </w:pPr>
            <w:r w:rsidRPr="0087752B">
              <w:t>Mount Waverley Secondary College</w:t>
            </w:r>
          </w:p>
          <w:p w14:paraId="1A233B1C" w14:textId="77777777" w:rsidR="006016B9" w:rsidRPr="0087752B" w:rsidRDefault="006016B9" w:rsidP="008E384B">
            <w:pPr>
              <w:pStyle w:val="DETTableTextFinancial"/>
            </w:pPr>
            <w:r w:rsidRPr="0087752B">
              <w:t>Epping Secondary College</w:t>
            </w:r>
          </w:p>
          <w:p w14:paraId="549F5432" w14:textId="77777777" w:rsidR="006016B9" w:rsidRPr="0087752B" w:rsidRDefault="006016B9" w:rsidP="008E384B">
            <w:pPr>
              <w:pStyle w:val="DETTableTextFinancial"/>
            </w:pPr>
            <w:r w:rsidRPr="0087752B">
              <w:t>Thomastown Secondary College</w:t>
            </w:r>
          </w:p>
          <w:p w14:paraId="7F6DF6C0" w14:textId="77777777" w:rsidR="006016B9" w:rsidRPr="0087752B" w:rsidRDefault="006016B9" w:rsidP="008E384B">
            <w:pPr>
              <w:pStyle w:val="DETTableTextFinancial"/>
            </w:pPr>
            <w:r w:rsidRPr="0087752B">
              <w:t>Sunshine Heights Primary School</w:t>
            </w:r>
          </w:p>
          <w:p w14:paraId="38A015DE" w14:textId="77777777" w:rsidR="006016B9" w:rsidRPr="0087752B" w:rsidRDefault="006016B9" w:rsidP="008E384B">
            <w:pPr>
              <w:pStyle w:val="DETTableTextFinancial"/>
            </w:pPr>
            <w:r w:rsidRPr="0087752B">
              <w:t>Lalor East Primary School</w:t>
            </w:r>
          </w:p>
          <w:p w14:paraId="7073B1B3" w14:textId="77777777" w:rsidR="006016B9" w:rsidRPr="0087752B" w:rsidRDefault="006016B9" w:rsidP="008E384B">
            <w:pPr>
              <w:pStyle w:val="DETTableTextFinancial"/>
            </w:pPr>
            <w:r w:rsidRPr="0087752B">
              <w:t>Baimbridge College</w:t>
            </w:r>
          </w:p>
          <w:p w14:paraId="217507E1" w14:textId="77777777" w:rsidR="006016B9" w:rsidRPr="0087752B" w:rsidRDefault="006016B9" w:rsidP="008E384B">
            <w:pPr>
              <w:pStyle w:val="DETTableTextFinancial"/>
            </w:pPr>
            <w:r w:rsidRPr="0087752B">
              <w:t>Hamlyn Banks Primary School</w:t>
            </w:r>
          </w:p>
          <w:p w14:paraId="21BC134A" w14:textId="77777777" w:rsidR="006016B9" w:rsidRPr="0087752B" w:rsidRDefault="006016B9" w:rsidP="008E384B">
            <w:pPr>
              <w:pStyle w:val="DETTableTextFinancial"/>
            </w:pPr>
            <w:r w:rsidRPr="0087752B">
              <w:t>Roxburgh Park Primary School</w:t>
            </w:r>
          </w:p>
          <w:p w14:paraId="473CBB79" w14:textId="77777777" w:rsidR="006016B9" w:rsidRPr="0087752B" w:rsidRDefault="006016B9" w:rsidP="008E384B">
            <w:pPr>
              <w:pStyle w:val="DETTableTextFinancial"/>
            </w:pPr>
            <w:r w:rsidRPr="0087752B">
              <w:t>Drouin Secondary College</w:t>
            </w:r>
          </w:p>
          <w:p w14:paraId="7FF0F6A2" w14:textId="77777777" w:rsidR="006016B9" w:rsidRPr="0087752B" w:rsidRDefault="006016B9" w:rsidP="008E384B">
            <w:pPr>
              <w:pStyle w:val="DETTableTextFinancial"/>
            </w:pPr>
            <w:r w:rsidRPr="0087752B">
              <w:t>Thomastown Primary School</w:t>
            </w:r>
          </w:p>
          <w:p w14:paraId="5A329159" w14:textId="77777777" w:rsidR="006016B9" w:rsidRPr="0087752B" w:rsidRDefault="006016B9" w:rsidP="008E384B">
            <w:pPr>
              <w:pStyle w:val="DETTableTextFinancial"/>
            </w:pPr>
            <w:r w:rsidRPr="0087752B">
              <w:t>Mortlake P-12 College</w:t>
            </w:r>
          </w:p>
          <w:p w14:paraId="60FEDDC5" w14:textId="77777777" w:rsidR="006016B9" w:rsidRPr="0087752B" w:rsidRDefault="006016B9" w:rsidP="008E384B">
            <w:pPr>
              <w:pStyle w:val="DETTableTextFinancial"/>
            </w:pPr>
            <w:r w:rsidRPr="0087752B">
              <w:t>Lara Lake Primary School</w:t>
            </w:r>
          </w:p>
          <w:p w14:paraId="2C8EB1A0" w14:textId="77777777" w:rsidR="006016B9" w:rsidRPr="0087752B" w:rsidRDefault="006016B9" w:rsidP="008E384B">
            <w:pPr>
              <w:pStyle w:val="DETTableTextFinancial"/>
            </w:pPr>
            <w:r w:rsidRPr="0087752B">
              <w:t>Bell Park North Primary School</w:t>
            </w:r>
          </w:p>
          <w:p w14:paraId="7940FF8B" w14:textId="77777777" w:rsidR="006016B9" w:rsidRPr="0087752B" w:rsidRDefault="006016B9" w:rsidP="008E384B">
            <w:pPr>
              <w:pStyle w:val="DETTableTextFinancial"/>
            </w:pPr>
            <w:r w:rsidRPr="0087752B">
              <w:t>Sunbury Heights Primary School</w:t>
            </w:r>
          </w:p>
          <w:p w14:paraId="4D986F15" w14:textId="77777777" w:rsidR="006016B9" w:rsidRPr="0087752B" w:rsidRDefault="006016B9" w:rsidP="008E384B">
            <w:pPr>
              <w:pStyle w:val="DETTableTextFinancial"/>
            </w:pPr>
            <w:r w:rsidRPr="0087752B">
              <w:t>Leopold Primary School</w:t>
            </w:r>
          </w:p>
          <w:p w14:paraId="6BEA4E92" w14:textId="77777777" w:rsidR="006016B9" w:rsidRPr="0087752B" w:rsidRDefault="006016B9" w:rsidP="008E384B">
            <w:pPr>
              <w:pStyle w:val="DETTableTextFinancial"/>
            </w:pPr>
            <w:r w:rsidRPr="0087752B">
              <w:t>Cobden Technical School</w:t>
            </w:r>
          </w:p>
          <w:p w14:paraId="16D51DFE" w14:textId="77777777" w:rsidR="006016B9" w:rsidRPr="0087752B" w:rsidRDefault="006016B9" w:rsidP="008E384B">
            <w:pPr>
              <w:pStyle w:val="DETTableTextFinancial"/>
            </w:pPr>
            <w:r w:rsidRPr="0087752B">
              <w:t>Araluen Primary School</w:t>
            </w:r>
          </w:p>
          <w:p w14:paraId="08EC62EE" w14:textId="77777777" w:rsidR="006016B9" w:rsidRPr="0087752B" w:rsidRDefault="006016B9" w:rsidP="008E384B">
            <w:pPr>
              <w:pStyle w:val="DETTableTextFinancial"/>
            </w:pPr>
            <w:r w:rsidRPr="0087752B">
              <w:t>Lara Primary School</w:t>
            </w:r>
          </w:p>
          <w:p w14:paraId="6F9C0D24" w14:textId="77777777" w:rsidR="006016B9" w:rsidRPr="0087752B" w:rsidRDefault="006016B9" w:rsidP="008E384B">
            <w:pPr>
              <w:pStyle w:val="DETTableTextFinancial"/>
            </w:pPr>
            <w:r w:rsidRPr="0087752B">
              <w:t>Newcomb Secondary College</w:t>
            </w:r>
          </w:p>
          <w:p w14:paraId="50B0FF42" w14:textId="77777777" w:rsidR="006016B9" w:rsidRPr="0087752B" w:rsidRDefault="006016B9" w:rsidP="008E384B">
            <w:pPr>
              <w:pStyle w:val="DETTableTextFinancial"/>
            </w:pPr>
            <w:r w:rsidRPr="0087752B">
              <w:t>Bellbrae Primary School</w:t>
            </w:r>
          </w:p>
          <w:p w14:paraId="313D7772" w14:textId="77777777" w:rsidR="006016B9" w:rsidRPr="0087752B" w:rsidRDefault="006016B9" w:rsidP="008E384B">
            <w:pPr>
              <w:pStyle w:val="DETTableTextFinancial"/>
            </w:pPr>
            <w:r w:rsidRPr="0087752B">
              <w:t>Glen Waverley Secondary College</w:t>
            </w:r>
          </w:p>
          <w:p w14:paraId="1E1C1C8B" w14:textId="77777777" w:rsidR="006016B9" w:rsidRPr="0087752B" w:rsidRDefault="006016B9" w:rsidP="008E384B">
            <w:pPr>
              <w:pStyle w:val="DETTableTextFinancial"/>
            </w:pPr>
            <w:r w:rsidRPr="0087752B">
              <w:t>Manifold Heights Primary School</w:t>
            </w:r>
          </w:p>
          <w:p w14:paraId="377FC8F4" w14:textId="77777777" w:rsidR="006016B9" w:rsidRPr="0087752B" w:rsidRDefault="006016B9" w:rsidP="008E384B">
            <w:pPr>
              <w:pStyle w:val="DETTableTextFinancial"/>
            </w:pPr>
            <w:r w:rsidRPr="0087752B">
              <w:t>Grovedale College</w:t>
            </w:r>
          </w:p>
          <w:p w14:paraId="3C4D04EB" w14:textId="77777777" w:rsidR="006016B9" w:rsidRPr="0087752B" w:rsidRDefault="006016B9" w:rsidP="008E384B">
            <w:pPr>
              <w:pStyle w:val="DETTableTextFinancial"/>
            </w:pPr>
            <w:r w:rsidRPr="0087752B">
              <w:t>Epping Primary School</w:t>
            </w:r>
          </w:p>
          <w:p w14:paraId="71C281C3" w14:textId="77777777" w:rsidR="006016B9" w:rsidRPr="0087752B" w:rsidRDefault="006016B9" w:rsidP="008E384B">
            <w:pPr>
              <w:pStyle w:val="DETTableTextFinancial"/>
            </w:pPr>
            <w:r w:rsidRPr="0087752B">
              <w:t>Horsham West and Haven Primary School</w:t>
            </w:r>
          </w:p>
        </w:tc>
        <w:tc>
          <w:tcPr>
            <w:tcW w:w="3793" w:type="dxa"/>
          </w:tcPr>
          <w:p w14:paraId="4DF9003D" w14:textId="77777777" w:rsidR="006016B9" w:rsidRPr="0087752B" w:rsidRDefault="006016B9" w:rsidP="008E384B">
            <w:pPr>
              <w:pStyle w:val="DETTableTextFinancial"/>
            </w:pPr>
            <w:r w:rsidRPr="0087752B">
              <w:t>Lindenow Primary School</w:t>
            </w:r>
          </w:p>
          <w:p w14:paraId="648AFB4D" w14:textId="77777777" w:rsidR="006016B9" w:rsidRPr="0087752B" w:rsidRDefault="006016B9" w:rsidP="008E384B">
            <w:pPr>
              <w:pStyle w:val="DETTableTextFinancial"/>
            </w:pPr>
            <w:r w:rsidRPr="0087752B">
              <w:t>Heatherhill Primary School</w:t>
            </w:r>
          </w:p>
          <w:p w14:paraId="42D79C54" w14:textId="77777777" w:rsidR="006016B9" w:rsidRPr="0087752B" w:rsidRDefault="006016B9" w:rsidP="008E384B">
            <w:pPr>
              <w:pStyle w:val="DETTableTextFinancial"/>
            </w:pPr>
            <w:r w:rsidRPr="0087752B">
              <w:t>Melton South Primary School</w:t>
            </w:r>
          </w:p>
          <w:p w14:paraId="649516CF" w14:textId="77777777" w:rsidR="006016B9" w:rsidRPr="0087752B" w:rsidRDefault="006016B9" w:rsidP="008E384B">
            <w:pPr>
              <w:pStyle w:val="DETTableTextFinancial"/>
            </w:pPr>
            <w:r w:rsidRPr="0087752B">
              <w:t>Torquay P-6 College</w:t>
            </w:r>
          </w:p>
          <w:p w14:paraId="4698EA4D" w14:textId="77777777" w:rsidR="006016B9" w:rsidRPr="0087752B" w:rsidRDefault="006016B9" w:rsidP="008E384B">
            <w:pPr>
              <w:pStyle w:val="DETTableTextFinancial"/>
            </w:pPr>
            <w:r w:rsidRPr="0087752B">
              <w:t>Romsey Primary School</w:t>
            </w:r>
          </w:p>
          <w:p w14:paraId="73616369" w14:textId="77777777" w:rsidR="006016B9" w:rsidRPr="0087752B" w:rsidRDefault="006016B9" w:rsidP="008E384B">
            <w:pPr>
              <w:pStyle w:val="DETTableTextFinancial"/>
            </w:pPr>
            <w:r w:rsidRPr="0087752B">
              <w:t>Woolsthorpe Primary School</w:t>
            </w:r>
          </w:p>
          <w:p w14:paraId="7A2FB25F" w14:textId="77777777" w:rsidR="006016B9" w:rsidRPr="0087752B" w:rsidRDefault="006016B9" w:rsidP="008E384B">
            <w:pPr>
              <w:pStyle w:val="DETTableTextFinancial"/>
            </w:pPr>
            <w:r w:rsidRPr="0087752B">
              <w:t>Mooroopna Park Primary School</w:t>
            </w:r>
          </w:p>
          <w:p w14:paraId="12DAD0D7" w14:textId="77777777" w:rsidR="006016B9" w:rsidRPr="0087752B" w:rsidRDefault="006016B9" w:rsidP="008E384B">
            <w:pPr>
              <w:pStyle w:val="DETTableTextFinancial"/>
            </w:pPr>
            <w:r w:rsidRPr="0087752B">
              <w:t>Park Orchards Primary School</w:t>
            </w:r>
          </w:p>
          <w:p w14:paraId="6F8A71FD" w14:textId="77777777" w:rsidR="006016B9" w:rsidRPr="0087752B" w:rsidRDefault="006016B9" w:rsidP="008E384B">
            <w:pPr>
              <w:pStyle w:val="DETTableTextFinancial"/>
            </w:pPr>
            <w:r w:rsidRPr="0087752B">
              <w:t>Noble Park Primary School</w:t>
            </w:r>
          </w:p>
          <w:p w14:paraId="2D43E55B" w14:textId="77777777" w:rsidR="006016B9" w:rsidRPr="0087752B" w:rsidRDefault="006016B9" w:rsidP="008E384B">
            <w:pPr>
              <w:pStyle w:val="DETTableTextFinancial"/>
            </w:pPr>
            <w:r w:rsidRPr="0087752B">
              <w:t>Dandenong North Primary School</w:t>
            </w:r>
          </w:p>
          <w:p w14:paraId="20C2A402" w14:textId="77777777" w:rsidR="006016B9" w:rsidRPr="0087752B" w:rsidRDefault="006016B9" w:rsidP="008E384B">
            <w:pPr>
              <w:pStyle w:val="DETTableTextFinancial"/>
            </w:pPr>
            <w:r w:rsidRPr="0087752B">
              <w:t>Drouin South Primary School</w:t>
            </w:r>
          </w:p>
          <w:p w14:paraId="661AB34C" w14:textId="77777777" w:rsidR="006016B9" w:rsidRPr="0087752B" w:rsidRDefault="006016B9" w:rsidP="008E384B">
            <w:pPr>
              <w:pStyle w:val="DETTableTextFinancial"/>
            </w:pPr>
            <w:r w:rsidRPr="0087752B">
              <w:t>Wonthaggi Primary School</w:t>
            </w:r>
          </w:p>
          <w:p w14:paraId="295D4AE5" w14:textId="77777777" w:rsidR="006016B9" w:rsidRPr="0087752B" w:rsidRDefault="006016B9" w:rsidP="008E384B">
            <w:pPr>
              <w:pStyle w:val="DETTableTextFinancial"/>
            </w:pPr>
            <w:r w:rsidRPr="0087752B">
              <w:t>Willmott Park Primary School</w:t>
            </w:r>
          </w:p>
          <w:p w14:paraId="7B0EF653" w14:textId="77777777" w:rsidR="006016B9" w:rsidRPr="0087752B" w:rsidRDefault="006016B9" w:rsidP="008E384B">
            <w:pPr>
              <w:pStyle w:val="DETTableTextFinancial"/>
            </w:pPr>
            <w:r w:rsidRPr="0087752B">
              <w:t>Glenferrie Primary School</w:t>
            </w:r>
          </w:p>
          <w:p w14:paraId="080CC4C4" w14:textId="77777777" w:rsidR="006016B9" w:rsidRPr="0087752B" w:rsidRDefault="006016B9" w:rsidP="008E384B">
            <w:pPr>
              <w:pStyle w:val="DETTableTextFinancial"/>
            </w:pPr>
            <w:r w:rsidRPr="0087752B">
              <w:t>Wonthaggi Secondary College</w:t>
            </w:r>
          </w:p>
          <w:p w14:paraId="6CE55B5B" w14:textId="77777777" w:rsidR="006016B9" w:rsidRPr="0087752B" w:rsidRDefault="006016B9" w:rsidP="008E384B">
            <w:pPr>
              <w:pStyle w:val="DETTableTextFinancial"/>
            </w:pPr>
            <w:r w:rsidRPr="0087752B">
              <w:t>Gisborne Secondary College</w:t>
            </w:r>
          </w:p>
          <w:p w14:paraId="35EEAF31" w14:textId="77777777" w:rsidR="006016B9" w:rsidRPr="0087752B" w:rsidRDefault="006016B9" w:rsidP="008E384B">
            <w:pPr>
              <w:pStyle w:val="DETTableTextFinancial"/>
            </w:pPr>
            <w:r w:rsidRPr="0087752B">
              <w:t>Leongatha Primary School</w:t>
            </w:r>
          </w:p>
          <w:p w14:paraId="20C3AB77" w14:textId="77777777" w:rsidR="006016B9" w:rsidRPr="0087752B" w:rsidRDefault="006016B9" w:rsidP="008E384B">
            <w:pPr>
              <w:pStyle w:val="DETTableTextFinancial"/>
            </w:pPr>
            <w:r w:rsidRPr="0087752B">
              <w:t>Traralgon (Liddiard Road) Primary School</w:t>
            </w:r>
          </w:p>
          <w:p w14:paraId="0D95C4B5" w14:textId="77777777" w:rsidR="006016B9" w:rsidRPr="0087752B" w:rsidRDefault="006016B9" w:rsidP="008E384B">
            <w:pPr>
              <w:pStyle w:val="DETTableTextFinancial"/>
            </w:pPr>
            <w:r w:rsidRPr="0087752B">
              <w:t>Ceres Primary School</w:t>
            </w:r>
          </w:p>
          <w:p w14:paraId="45A80A60" w14:textId="77777777" w:rsidR="006016B9" w:rsidRPr="0087752B" w:rsidRDefault="006016B9" w:rsidP="008E384B">
            <w:pPr>
              <w:pStyle w:val="DETTableTextFinancial"/>
            </w:pPr>
            <w:r w:rsidRPr="0087752B">
              <w:t>Katandra West Primary School</w:t>
            </w:r>
          </w:p>
          <w:p w14:paraId="5AA2EEAC" w14:textId="77777777" w:rsidR="006016B9" w:rsidRPr="0087752B" w:rsidRDefault="006016B9" w:rsidP="008E384B">
            <w:pPr>
              <w:pStyle w:val="DETTableTextFinancial"/>
            </w:pPr>
            <w:r w:rsidRPr="0087752B">
              <w:t>Grovedale Primary School</w:t>
            </w:r>
          </w:p>
          <w:p w14:paraId="37AB289B" w14:textId="77777777" w:rsidR="006016B9" w:rsidRPr="0087752B" w:rsidRDefault="006016B9" w:rsidP="008E384B">
            <w:pPr>
              <w:pStyle w:val="DETTableTextFinancial"/>
            </w:pPr>
            <w:r w:rsidRPr="0087752B">
              <w:t>Dimboola Primary School</w:t>
            </w:r>
          </w:p>
          <w:p w14:paraId="3C41A045" w14:textId="77777777" w:rsidR="006016B9" w:rsidRPr="0087752B" w:rsidRDefault="006016B9" w:rsidP="008E384B">
            <w:pPr>
              <w:pStyle w:val="DETTableTextFinancial"/>
            </w:pPr>
            <w:r w:rsidRPr="0087752B">
              <w:t>Noorat Primary School</w:t>
            </w:r>
          </w:p>
          <w:p w14:paraId="3CAE485D" w14:textId="77777777" w:rsidR="006016B9" w:rsidRPr="0087752B" w:rsidRDefault="006016B9" w:rsidP="008E384B">
            <w:pPr>
              <w:pStyle w:val="DETTableTextFinancial"/>
            </w:pPr>
            <w:r w:rsidRPr="0087752B">
              <w:t>Laharum Primary School</w:t>
            </w:r>
          </w:p>
          <w:p w14:paraId="051AF4B3" w14:textId="77777777" w:rsidR="006016B9" w:rsidRPr="0087752B" w:rsidRDefault="006016B9" w:rsidP="008E384B">
            <w:pPr>
              <w:pStyle w:val="DETTableTextFinancial"/>
            </w:pPr>
            <w:r w:rsidRPr="0087752B">
              <w:t>Mansfield Primary School</w:t>
            </w:r>
          </w:p>
        </w:tc>
      </w:tr>
    </w:tbl>
    <w:p w14:paraId="4C065904" w14:textId="77777777" w:rsidR="006016B9" w:rsidRPr="0087752B" w:rsidRDefault="006016B9" w:rsidP="008E384B">
      <w:pPr>
        <w:pStyle w:val="Heading3"/>
      </w:pPr>
      <w:r w:rsidRPr="0087752B">
        <w:t>Mechanisms for inspection, reporting, scheduling and carrying out of rectification and maintenance works on existing buildings</w:t>
      </w:r>
    </w:p>
    <w:p w14:paraId="2A91CC31" w14:textId="77777777" w:rsidR="006016B9" w:rsidRPr="0087752B" w:rsidRDefault="006016B9" w:rsidP="006016B9">
      <w:r w:rsidRPr="0087752B">
        <w:t xml:space="preserve">The Department engages the program managers of compliance programs to carry out inspections, reporting, scheduling, and rectification works designed to bring existing buildings into compliance with current building regulations. Compliance programs cover areas such as asbestos removal, fire service upgrades, integration (disability access), environmental (such as the removal of underground petroleum storage systems), and works aimed at preventing falls. The Department also operates an emergency maintenance program to respond to any unforeseen issues that pose an immediate and serious health and safety risk. </w:t>
      </w:r>
    </w:p>
    <w:p w14:paraId="36533032" w14:textId="77777777" w:rsidR="006016B9" w:rsidRPr="0087752B" w:rsidRDefault="006016B9" w:rsidP="008E384B">
      <w:pPr>
        <w:pStyle w:val="DETHeading2"/>
      </w:pPr>
      <w:bookmarkStart w:id="250" w:name="_Toc458069621"/>
      <w:bookmarkStart w:id="251" w:name="_Toc458072400"/>
      <w:bookmarkStart w:id="252" w:name="_Toc458088583"/>
      <w:bookmarkStart w:id="253" w:name="_Toc461013279"/>
      <w:bookmarkStart w:id="254" w:name="_Toc461025859"/>
      <w:bookmarkStart w:id="255" w:name="_Toc462405154"/>
      <w:r w:rsidRPr="0087752B">
        <w:lastRenderedPageBreak/>
        <w:t>National Competition Policy</w:t>
      </w:r>
      <w:bookmarkEnd w:id="250"/>
      <w:bookmarkEnd w:id="251"/>
      <w:bookmarkEnd w:id="252"/>
      <w:bookmarkEnd w:id="253"/>
      <w:bookmarkEnd w:id="254"/>
      <w:bookmarkEnd w:id="255"/>
    </w:p>
    <w:p w14:paraId="306CB114" w14:textId="77777777" w:rsidR="006016B9" w:rsidRPr="0087752B" w:rsidRDefault="006016B9" w:rsidP="006016B9">
      <w:r w:rsidRPr="0087752B">
        <w:t>Under the National Competition Policy, the guiding principle is that legislation, including future legislative proposals, should not restrict competition unless it can be demonstrated that the:</w:t>
      </w:r>
    </w:p>
    <w:p w14:paraId="54D2079C" w14:textId="6136A661" w:rsidR="006016B9" w:rsidRPr="0087752B" w:rsidRDefault="006016B9" w:rsidP="008E384B">
      <w:pPr>
        <w:pStyle w:val="DETNormallistbullet"/>
      </w:pPr>
      <w:r w:rsidRPr="0087752B">
        <w:t>benefits of the restriction to the community as a whole outweigh the costs</w:t>
      </w:r>
    </w:p>
    <w:p w14:paraId="187AC01E" w14:textId="77777777" w:rsidR="006016B9" w:rsidRPr="0087752B" w:rsidRDefault="006016B9" w:rsidP="008E384B">
      <w:pPr>
        <w:pStyle w:val="DETNormallistbullet"/>
      </w:pPr>
      <w:r w:rsidRPr="0087752B">
        <w:t>objectives of the legislation can only be achieved by restricting competition.</w:t>
      </w:r>
    </w:p>
    <w:p w14:paraId="38290D93" w14:textId="2B4AFF28" w:rsidR="006016B9" w:rsidRPr="0087752B" w:rsidRDefault="006016B9" w:rsidP="006016B9">
      <w:r w:rsidRPr="0087752B">
        <w:t>Competitive neutrality requires government businesses to ensure, where services compete or potentially compete with the private sector, that any advantage arising solely from their government ownership be removed if it is not in the public interest. Government businesses are required to cost and price these services as if they were privately owned and are therefore required to be fully cost-reflective. The National Competition Policy provides government businesses with a tool to enhance decisions on resource allocation. It does not override other policy objectives and focuses on efficient service provision.</w:t>
      </w:r>
    </w:p>
    <w:p w14:paraId="19FA8F9B" w14:textId="77777777" w:rsidR="006016B9" w:rsidRPr="0087752B" w:rsidRDefault="006016B9" w:rsidP="006016B9">
      <w:r w:rsidRPr="0087752B">
        <w:t>The Department continues to comply with the National Competition Policy.</w:t>
      </w:r>
    </w:p>
    <w:p w14:paraId="3C63E08F" w14:textId="77777777" w:rsidR="006016B9" w:rsidRPr="0087752B" w:rsidRDefault="006016B9" w:rsidP="008E384B">
      <w:pPr>
        <w:pStyle w:val="Heading3"/>
      </w:pPr>
      <w:r w:rsidRPr="0087752B">
        <w:t>Assessment of new legislation and regulations</w:t>
      </w:r>
    </w:p>
    <w:p w14:paraId="5EAAB114" w14:textId="77777777" w:rsidR="006016B9" w:rsidRPr="0087752B" w:rsidRDefault="006016B9" w:rsidP="006016B9">
      <w:r w:rsidRPr="0087752B">
        <w:t>All new legislation and regulations enacted within the portfolio during 2015–16 were subject to assessment against the National Competition Policy to ensure continued compliance.</w:t>
      </w:r>
    </w:p>
    <w:p w14:paraId="55583204" w14:textId="77777777" w:rsidR="006016B9" w:rsidRPr="0087752B" w:rsidRDefault="006016B9" w:rsidP="008E384B">
      <w:pPr>
        <w:pStyle w:val="DETHeading2"/>
      </w:pPr>
      <w:bookmarkStart w:id="256" w:name="_Toc458069622"/>
      <w:bookmarkStart w:id="257" w:name="_Toc458072401"/>
      <w:bookmarkStart w:id="258" w:name="_Toc458088584"/>
      <w:bookmarkStart w:id="259" w:name="_Toc461013280"/>
      <w:bookmarkStart w:id="260" w:name="_Toc461025860"/>
      <w:bookmarkStart w:id="261" w:name="_Toc462405155"/>
      <w:r w:rsidRPr="0087752B">
        <w:t xml:space="preserve">Compliance with the </w:t>
      </w:r>
      <w:r w:rsidRPr="00E353F9">
        <w:rPr>
          <w:i/>
        </w:rPr>
        <w:t>Protected Disclosure Act 2012</w:t>
      </w:r>
      <w:r w:rsidRPr="0087752B">
        <w:t xml:space="preserve"> (formerly </w:t>
      </w:r>
      <w:r w:rsidRPr="00E353F9">
        <w:rPr>
          <w:i/>
        </w:rPr>
        <w:t>Whistleblowers Protection Act 2001</w:t>
      </w:r>
      <w:r w:rsidRPr="0087752B">
        <w:t>)</w:t>
      </w:r>
      <w:bookmarkEnd w:id="256"/>
      <w:bookmarkEnd w:id="257"/>
      <w:bookmarkEnd w:id="258"/>
      <w:bookmarkEnd w:id="259"/>
      <w:bookmarkEnd w:id="260"/>
      <w:bookmarkEnd w:id="261"/>
    </w:p>
    <w:p w14:paraId="3383B6EB" w14:textId="77777777" w:rsidR="006016B9" w:rsidRPr="0087752B" w:rsidRDefault="006016B9" w:rsidP="006016B9">
      <w:r w:rsidRPr="0087752B">
        <w:t xml:space="preserve">The </w:t>
      </w:r>
      <w:r w:rsidRPr="0087752B">
        <w:rPr>
          <w:i/>
        </w:rPr>
        <w:t>Protected Disclosure Act 2012</w:t>
      </w:r>
      <w:r w:rsidRPr="0087752B">
        <w:t xml:space="preserve"> encourages and helps people disclose improper conduct by public officers and public bodies. It provides protection to people who make disclosures and establishes a system for the matters disclosed to be investigated and rectifying action to be taken.</w:t>
      </w:r>
    </w:p>
    <w:p w14:paraId="5F0D2BB0" w14:textId="77777777" w:rsidR="006016B9" w:rsidRPr="0087752B" w:rsidRDefault="006016B9" w:rsidP="006016B9">
      <w:r w:rsidRPr="0087752B">
        <w:t>The Department does not tolerate improper conduct by employees, nor reprisals taken against those who disclose such conduct. It is committed to ensuring transparency and accountability in administrative and management practices, and supports the making of disclosures that reveal corrupt conduct, conduct involving a substantial mismanagement of public resources, or conduct involving a substantial risk to public health and safety or the environment.</w:t>
      </w:r>
    </w:p>
    <w:p w14:paraId="1751E25F" w14:textId="77777777" w:rsidR="006016B9" w:rsidRPr="0087752B" w:rsidRDefault="006016B9" w:rsidP="006016B9">
      <w:r w:rsidRPr="0087752B">
        <w:t xml:space="preserve">The Department takes all reasonable steps to protect people from any detrimental action in reprisal for making such disclosures. </w:t>
      </w:r>
    </w:p>
    <w:p w14:paraId="3B660B69" w14:textId="77777777" w:rsidR="006016B9" w:rsidRPr="0087752B" w:rsidRDefault="006016B9" w:rsidP="00EE43D1">
      <w:pPr>
        <w:pStyle w:val="Heading3"/>
      </w:pPr>
      <w:r w:rsidRPr="0087752B">
        <w:t>Making a disclosure</w:t>
      </w:r>
    </w:p>
    <w:p w14:paraId="54D09E20" w14:textId="77777777" w:rsidR="006016B9" w:rsidRPr="0087752B" w:rsidRDefault="006016B9" w:rsidP="006016B9">
      <w:r w:rsidRPr="0087752B">
        <w:t>Disclosures of improper conduct or detrimental action by the Department or any of its employees may be made to:</w:t>
      </w:r>
    </w:p>
    <w:p w14:paraId="624F0970" w14:textId="77777777" w:rsidR="006016B9" w:rsidRPr="0087752B" w:rsidRDefault="006016B9" w:rsidP="006016B9">
      <w:r w:rsidRPr="0087752B">
        <w:lastRenderedPageBreak/>
        <w:t>Ms Melissa Dwyer</w:t>
      </w:r>
      <w:r w:rsidRPr="0087752B">
        <w:br/>
        <w:t>Protected Disclosure Coordinator</w:t>
      </w:r>
      <w:r w:rsidRPr="0087752B">
        <w:br/>
        <w:t xml:space="preserve">A/Executive Director, Integrity and Assurance Division </w:t>
      </w:r>
    </w:p>
    <w:p w14:paraId="0D2A0966" w14:textId="77777777" w:rsidR="006016B9" w:rsidRPr="0087752B" w:rsidRDefault="006016B9" w:rsidP="006016B9">
      <w:r w:rsidRPr="0087752B">
        <w:t>Department of Education and Training</w:t>
      </w:r>
    </w:p>
    <w:p w14:paraId="20B73D43" w14:textId="77777777" w:rsidR="006016B9" w:rsidRPr="0087752B" w:rsidRDefault="006016B9" w:rsidP="006016B9">
      <w:r w:rsidRPr="003C4DE2">
        <w:t>Street address:</w:t>
      </w:r>
      <w:r w:rsidRPr="0087752B">
        <w:br/>
        <w:t>2 Treasury Place</w:t>
      </w:r>
      <w:r w:rsidRPr="0087752B">
        <w:br/>
        <w:t>East Melbourne Victoria 3002</w:t>
      </w:r>
    </w:p>
    <w:p w14:paraId="30B5F773" w14:textId="77777777" w:rsidR="006016B9" w:rsidRPr="0087752B" w:rsidRDefault="006016B9" w:rsidP="006016B9">
      <w:r w:rsidRPr="00E353F9">
        <w:rPr>
          <w:i/>
        </w:rPr>
        <w:t>Document Exchange address:</w:t>
      </w:r>
      <w:r w:rsidRPr="0087752B">
        <w:br/>
        <w:t>DX 210083</w:t>
      </w:r>
    </w:p>
    <w:p w14:paraId="4FE2D4E3" w14:textId="77777777" w:rsidR="006016B9" w:rsidRPr="0087752B" w:rsidRDefault="006016B9" w:rsidP="006016B9">
      <w:r w:rsidRPr="003C4DE2">
        <w:t>Postal address:</w:t>
      </w:r>
      <w:r w:rsidRPr="0087752B">
        <w:br/>
        <w:t>GPO Box 4367</w:t>
      </w:r>
      <w:r w:rsidRPr="0087752B">
        <w:br/>
        <w:t>Melbourne VIC 3001</w:t>
      </w:r>
    </w:p>
    <w:p w14:paraId="4C0DE7B3" w14:textId="77777777" w:rsidR="006016B9" w:rsidRPr="0087752B" w:rsidRDefault="006016B9" w:rsidP="006016B9">
      <w:r w:rsidRPr="0087752B">
        <w:t>Telephone: 03 9651 3650</w:t>
      </w:r>
      <w:r w:rsidRPr="0087752B">
        <w:br/>
        <w:t xml:space="preserve">Email: </w:t>
      </w:r>
      <w:hyperlink r:id="rId37" w:history="1">
        <w:r w:rsidRPr="0087752B">
          <w:rPr>
            <w:u w:val="single"/>
          </w:rPr>
          <w:t>dwyer.melissa.j@edumail.vic.gov.au</w:t>
        </w:r>
      </w:hyperlink>
      <w:r w:rsidRPr="005C767D">
        <w:rPr>
          <w:u w:val="single"/>
        </w:rPr>
        <w:t xml:space="preserve"> </w:t>
      </w:r>
    </w:p>
    <w:p w14:paraId="4C7E92B2" w14:textId="77777777" w:rsidR="006016B9" w:rsidRPr="0087752B" w:rsidRDefault="006016B9" w:rsidP="006016B9">
      <w:r w:rsidRPr="0087752B">
        <w:t>or:</w:t>
      </w:r>
    </w:p>
    <w:p w14:paraId="2ECE9A3F" w14:textId="77777777" w:rsidR="006016B9" w:rsidRPr="0087752B" w:rsidRDefault="006016B9" w:rsidP="006016B9">
      <w:r w:rsidRPr="0087752B">
        <w:t>one of the following officers of the Department:</w:t>
      </w:r>
    </w:p>
    <w:p w14:paraId="470025B9" w14:textId="77777777" w:rsidR="006016B9" w:rsidRPr="0087752B" w:rsidRDefault="006016B9" w:rsidP="00EE43D1">
      <w:pPr>
        <w:pStyle w:val="DETNormallistbullet"/>
      </w:pPr>
      <w:r w:rsidRPr="0087752B">
        <w:t>a manager or supervisor of a person from the Department who chooses to make a disclosure</w:t>
      </w:r>
    </w:p>
    <w:p w14:paraId="6BB404F1" w14:textId="77777777" w:rsidR="006016B9" w:rsidRPr="0087752B" w:rsidRDefault="006016B9" w:rsidP="00EE43D1">
      <w:pPr>
        <w:pStyle w:val="DETNormallistbullet"/>
      </w:pPr>
      <w:r w:rsidRPr="0087752B">
        <w:t>a manager or supervisor of a person from the Department about whom a disclosure has been made</w:t>
      </w:r>
    </w:p>
    <w:p w14:paraId="742E907A" w14:textId="77777777" w:rsidR="006016B9" w:rsidRPr="0087752B" w:rsidRDefault="006016B9" w:rsidP="00EE43D1">
      <w:pPr>
        <w:pStyle w:val="DETNormallistbullet"/>
      </w:pPr>
      <w:r w:rsidRPr="0087752B">
        <w:t>the Secretary of the Department.</w:t>
      </w:r>
    </w:p>
    <w:p w14:paraId="39698D22" w14:textId="77777777" w:rsidR="006016B9" w:rsidRPr="0087752B" w:rsidRDefault="006016B9" w:rsidP="006016B9">
      <w:r w:rsidRPr="0087752B">
        <w:t>or:</w:t>
      </w:r>
    </w:p>
    <w:p w14:paraId="21583216" w14:textId="77777777" w:rsidR="006016B9" w:rsidRPr="0087752B" w:rsidRDefault="006016B9" w:rsidP="006016B9">
      <w:r w:rsidRPr="0087752B">
        <w:t>The Independent Broad-based Anti-corruption Commission (IBAC)</w:t>
      </w:r>
    </w:p>
    <w:p w14:paraId="4F863C93" w14:textId="77777777" w:rsidR="006016B9" w:rsidRPr="0087752B" w:rsidRDefault="006016B9" w:rsidP="006016B9">
      <w:r w:rsidRPr="003C4DE2">
        <w:t>Street address:</w:t>
      </w:r>
      <w:r w:rsidRPr="0087752B">
        <w:br/>
        <w:t>Level 1, North Tower</w:t>
      </w:r>
      <w:r w:rsidRPr="0087752B">
        <w:br/>
        <w:t>459 Collins Street</w:t>
      </w:r>
      <w:r w:rsidRPr="0087752B">
        <w:br/>
        <w:t>Melbourne Vic 3000</w:t>
      </w:r>
    </w:p>
    <w:p w14:paraId="6BCEB149" w14:textId="77777777" w:rsidR="006016B9" w:rsidRPr="0087752B" w:rsidRDefault="006016B9" w:rsidP="006016B9">
      <w:r w:rsidRPr="003C4DE2">
        <w:t>Postal address:</w:t>
      </w:r>
      <w:r w:rsidRPr="0087752B">
        <w:br/>
        <w:t>GPO Box 24234</w:t>
      </w:r>
      <w:r w:rsidRPr="0087752B">
        <w:br/>
        <w:t>Melbourne Victoria 3001</w:t>
      </w:r>
    </w:p>
    <w:p w14:paraId="73742E35" w14:textId="77777777" w:rsidR="006016B9" w:rsidRPr="005C767D" w:rsidRDefault="006016B9" w:rsidP="006016B9">
      <w:r w:rsidRPr="0087752B">
        <w:t>Telephone: 1300 735 135</w:t>
      </w:r>
      <w:r w:rsidRPr="0087752B">
        <w:br/>
        <w:t xml:space="preserve">Internet: </w:t>
      </w:r>
      <w:hyperlink r:id="rId38" w:history="1">
        <w:r w:rsidRPr="0087752B">
          <w:rPr>
            <w:u w:val="single"/>
          </w:rPr>
          <w:t>www.ibac.vic.gov.au</w:t>
        </w:r>
      </w:hyperlink>
      <w:r w:rsidRPr="005C767D">
        <w:t xml:space="preserve"> </w:t>
      </w:r>
    </w:p>
    <w:p w14:paraId="4B1DAEA6" w14:textId="77777777" w:rsidR="006016B9" w:rsidRPr="0087752B" w:rsidRDefault="006016B9" w:rsidP="00EE43D1">
      <w:pPr>
        <w:pStyle w:val="Heading3"/>
      </w:pPr>
      <w:r w:rsidRPr="0087752B">
        <w:t>Further information</w:t>
      </w:r>
    </w:p>
    <w:p w14:paraId="4CC1F8D6" w14:textId="32B09408" w:rsidR="006016B9" w:rsidRPr="005C767D" w:rsidRDefault="006016B9" w:rsidP="006016B9">
      <w:r w:rsidRPr="0087752B">
        <w:t xml:space="preserve">The Department has published guidelines regarding the procedures it has instituted to comply with the Protected Disclosures Act 2012: </w:t>
      </w:r>
      <w:hyperlink r:id="rId39" w:history="1">
        <w:r w:rsidR="003C4DE2">
          <w:rPr>
            <w:u w:val="single"/>
          </w:rPr>
          <w:t>www.education.vic.gov.au/about/contact/Pages/protecteddisclosure.aspx</w:t>
        </w:r>
      </w:hyperlink>
      <w:r w:rsidRPr="005C767D">
        <w:t xml:space="preserve"> </w:t>
      </w:r>
    </w:p>
    <w:p w14:paraId="24E8663E" w14:textId="77777777" w:rsidR="006016B9" w:rsidRPr="0087752B" w:rsidRDefault="006016B9" w:rsidP="007540CD">
      <w:pPr>
        <w:pStyle w:val="DETTableheading"/>
      </w:pPr>
      <w:r w:rsidRPr="0087752B">
        <w:t>Disclosures under the Protected Disclosure Act 2012</w:t>
      </w:r>
    </w:p>
    <w:tbl>
      <w:tblPr>
        <w:tblW w:w="6989" w:type="dxa"/>
        <w:tblLayout w:type="fixed"/>
        <w:tblCellMar>
          <w:left w:w="43" w:type="dxa"/>
          <w:right w:w="43" w:type="dxa"/>
        </w:tblCellMar>
        <w:tblLook w:val="01E0" w:firstRow="1" w:lastRow="1" w:firstColumn="1" w:lastColumn="1" w:noHBand="0" w:noVBand="0"/>
      </w:tblPr>
      <w:tblGrid>
        <w:gridCol w:w="5146"/>
        <w:gridCol w:w="993"/>
        <w:gridCol w:w="850"/>
      </w:tblGrid>
      <w:tr w:rsidR="006016B9" w:rsidRPr="0087752B" w14:paraId="4281B4C7" w14:textId="77777777" w:rsidTr="00167D21">
        <w:trPr>
          <w:cantSplit/>
          <w:trHeight w:val="217"/>
        </w:trPr>
        <w:tc>
          <w:tcPr>
            <w:tcW w:w="5146" w:type="dxa"/>
            <w:shd w:val="clear" w:color="auto" w:fill="7F7F7F" w:themeFill="text1" w:themeFillTint="80"/>
            <w:vAlign w:val="bottom"/>
          </w:tcPr>
          <w:p w14:paraId="02A72BD9" w14:textId="77777777" w:rsidR="006016B9" w:rsidRPr="0087752B" w:rsidRDefault="006016B9" w:rsidP="00167D21">
            <w:pPr>
              <w:pStyle w:val="DETTablecolumnheading"/>
              <w:jc w:val="left"/>
              <w:rPr>
                <w:rFonts w:eastAsia="Calibri"/>
              </w:rPr>
            </w:pPr>
            <w:r w:rsidRPr="0087752B">
              <w:t xml:space="preserve">Disclosures under the </w:t>
            </w:r>
            <w:r w:rsidRPr="00E353F9">
              <w:rPr>
                <w:i/>
              </w:rPr>
              <w:t>Protected Disclosure Act 2012</w:t>
            </w:r>
          </w:p>
        </w:tc>
        <w:tc>
          <w:tcPr>
            <w:tcW w:w="993" w:type="dxa"/>
            <w:shd w:val="clear" w:color="auto" w:fill="7F7F7F" w:themeFill="text1" w:themeFillTint="80"/>
            <w:vAlign w:val="bottom"/>
          </w:tcPr>
          <w:p w14:paraId="6249D6B5" w14:textId="77777777" w:rsidR="006016B9" w:rsidRPr="0087752B" w:rsidRDefault="006016B9" w:rsidP="00167D21">
            <w:pPr>
              <w:pStyle w:val="DETTablecolumnheading"/>
              <w:jc w:val="left"/>
            </w:pPr>
            <w:r w:rsidRPr="0087752B">
              <w:t xml:space="preserve">2015–16 </w:t>
            </w:r>
          </w:p>
        </w:tc>
        <w:tc>
          <w:tcPr>
            <w:tcW w:w="850" w:type="dxa"/>
            <w:shd w:val="clear" w:color="auto" w:fill="7F7F7F" w:themeFill="text1" w:themeFillTint="80"/>
            <w:vAlign w:val="bottom"/>
          </w:tcPr>
          <w:p w14:paraId="45BEC468" w14:textId="77777777" w:rsidR="006016B9" w:rsidRPr="0087752B" w:rsidRDefault="006016B9" w:rsidP="00167D21">
            <w:pPr>
              <w:pStyle w:val="DETTablecolumnheading"/>
              <w:jc w:val="left"/>
            </w:pPr>
            <w:r w:rsidRPr="0087752B">
              <w:t xml:space="preserve">2014–15 </w:t>
            </w:r>
          </w:p>
        </w:tc>
      </w:tr>
      <w:tr w:rsidR="006016B9" w:rsidRPr="0087752B" w14:paraId="2E408402" w14:textId="77777777" w:rsidTr="00167D21">
        <w:trPr>
          <w:cantSplit/>
          <w:trHeight w:val="499"/>
        </w:trPr>
        <w:tc>
          <w:tcPr>
            <w:tcW w:w="5146" w:type="dxa"/>
            <w:vAlign w:val="bottom"/>
          </w:tcPr>
          <w:p w14:paraId="05011ED2" w14:textId="6EBEB705" w:rsidR="006016B9" w:rsidRPr="0087752B" w:rsidRDefault="006016B9" w:rsidP="00167D21">
            <w:pPr>
              <w:pStyle w:val="DETTableTextFinancial"/>
            </w:pPr>
            <w:r w:rsidRPr="0087752B">
              <w:t>The number of disclosures made by an individual to the Department and notified to the Independent Broad</w:t>
            </w:r>
            <w:r w:rsidRPr="0087752B">
              <w:noBreakHyphen/>
              <w:t>based Anti</w:t>
            </w:r>
            <w:r w:rsidRPr="0087752B">
              <w:noBreakHyphen/>
              <w:t>corruption Commission</w:t>
            </w:r>
            <w:r w:rsidR="003C4DE2">
              <w:t>—</w:t>
            </w:r>
            <w:r w:rsidRPr="0087752B">
              <w:t>assessable disclosures</w:t>
            </w:r>
          </w:p>
        </w:tc>
        <w:tc>
          <w:tcPr>
            <w:tcW w:w="993" w:type="dxa"/>
            <w:shd w:val="clear" w:color="auto" w:fill="F8F8F8"/>
          </w:tcPr>
          <w:p w14:paraId="170820AE" w14:textId="77777777" w:rsidR="006016B9" w:rsidRPr="0087752B" w:rsidRDefault="006016B9" w:rsidP="00167D21">
            <w:pPr>
              <w:pStyle w:val="DETTableTextFinancial"/>
              <w:jc w:val="center"/>
            </w:pPr>
            <w:r w:rsidRPr="0087752B">
              <w:t>3</w:t>
            </w:r>
          </w:p>
        </w:tc>
        <w:tc>
          <w:tcPr>
            <w:tcW w:w="850" w:type="dxa"/>
          </w:tcPr>
          <w:p w14:paraId="2DDA6424" w14:textId="77777777" w:rsidR="006016B9" w:rsidRPr="0087752B" w:rsidRDefault="006016B9" w:rsidP="00167D21">
            <w:pPr>
              <w:pStyle w:val="DETTableTextFinancial"/>
              <w:jc w:val="center"/>
            </w:pPr>
            <w:r w:rsidRPr="0087752B">
              <w:t>9</w:t>
            </w:r>
          </w:p>
        </w:tc>
      </w:tr>
      <w:tr w:rsidR="006016B9" w:rsidRPr="0087752B" w14:paraId="120722DE" w14:textId="77777777" w:rsidTr="00167D21">
        <w:trPr>
          <w:cantSplit/>
          <w:trHeight w:val="183"/>
        </w:trPr>
        <w:tc>
          <w:tcPr>
            <w:tcW w:w="5146" w:type="dxa"/>
            <w:vAlign w:val="bottom"/>
          </w:tcPr>
          <w:p w14:paraId="7C150CC7" w14:textId="77777777" w:rsidR="006016B9" w:rsidRPr="0087752B" w:rsidRDefault="006016B9" w:rsidP="00167D21">
            <w:pPr>
              <w:pStyle w:val="DETTableTextFinancial"/>
            </w:pPr>
            <w:r w:rsidRPr="0087752B">
              <w:lastRenderedPageBreak/>
              <w:t xml:space="preserve">Non-assessable disclosures </w:t>
            </w:r>
          </w:p>
        </w:tc>
        <w:tc>
          <w:tcPr>
            <w:tcW w:w="993" w:type="dxa"/>
            <w:shd w:val="clear" w:color="auto" w:fill="F8F8F8"/>
            <w:vAlign w:val="bottom"/>
          </w:tcPr>
          <w:p w14:paraId="4E981625" w14:textId="77777777" w:rsidR="006016B9" w:rsidRPr="0087752B" w:rsidRDefault="006016B9" w:rsidP="00167D21">
            <w:pPr>
              <w:pStyle w:val="DETTableTextFinancial"/>
              <w:jc w:val="center"/>
            </w:pPr>
            <w:r w:rsidRPr="0087752B">
              <w:t>21</w:t>
            </w:r>
          </w:p>
        </w:tc>
        <w:tc>
          <w:tcPr>
            <w:tcW w:w="850" w:type="dxa"/>
            <w:vAlign w:val="bottom"/>
          </w:tcPr>
          <w:p w14:paraId="3B9659FD" w14:textId="77777777" w:rsidR="006016B9" w:rsidRPr="0087752B" w:rsidRDefault="006016B9" w:rsidP="00167D21">
            <w:pPr>
              <w:pStyle w:val="DETTableTextFinancial"/>
              <w:jc w:val="center"/>
            </w:pPr>
            <w:r w:rsidRPr="0087752B">
              <w:t>38</w:t>
            </w:r>
          </w:p>
        </w:tc>
      </w:tr>
      <w:tr w:rsidR="006016B9" w:rsidRPr="0087752B" w14:paraId="29E65644" w14:textId="77777777" w:rsidTr="00E353F9">
        <w:trPr>
          <w:cantSplit/>
          <w:trHeight w:val="183"/>
        </w:trPr>
        <w:tc>
          <w:tcPr>
            <w:tcW w:w="5146" w:type="dxa"/>
            <w:tcBorders>
              <w:bottom w:val="single" w:sz="4" w:space="0" w:color="auto"/>
            </w:tcBorders>
            <w:vAlign w:val="bottom"/>
          </w:tcPr>
          <w:p w14:paraId="36D15DF7" w14:textId="77777777" w:rsidR="006016B9" w:rsidRPr="0087752B" w:rsidRDefault="006016B9" w:rsidP="00167D21">
            <w:pPr>
              <w:pStyle w:val="DETTableTextFinancial"/>
            </w:pPr>
            <w:r w:rsidRPr="0087752B">
              <w:t xml:space="preserve">Matters referred by IBAC pursuant to section 73 of the </w:t>
            </w:r>
            <w:r w:rsidRPr="00E353F9">
              <w:rPr>
                <w:i/>
              </w:rPr>
              <w:t>Independent Broad-based Anti-corruption Commission Act 2011</w:t>
            </w:r>
          </w:p>
        </w:tc>
        <w:tc>
          <w:tcPr>
            <w:tcW w:w="993" w:type="dxa"/>
            <w:tcBorders>
              <w:bottom w:val="single" w:sz="4" w:space="0" w:color="auto"/>
            </w:tcBorders>
            <w:shd w:val="clear" w:color="auto" w:fill="F8F8F8"/>
            <w:vAlign w:val="bottom"/>
          </w:tcPr>
          <w:p w14:paraId="190E92DE" w14:textId="77777777" w:rsidR="006016B9" w:rsidRPr="0087752B" w:rsidRDefault="006016B9" w:rsidP="00167D21">
            <w:pPr>
              <w:pStyle w:val="DETTableTextFinancial"/>
              <w:jc w:val="center"/>
            </w:pPr>
            <w:r w:rsidRPr="0087752B">
              <w:t>37</w:t>
            </w:r>
          </w:p>
        </w:tc>
        <w:tc>
          <w:tcPr>
            <w:tcW w:w="850" w:type="dxa"/>
            <w:tcBorders>
              <w:bottom w:val="single" w:sz="4" w:space="0" w:color="auto"/>
            </w:tcBorders>
            <w:vAlign w:val="bottom"/>
          </w:tcPr>
          <w:p w14:paraId="5F2502B9" w14:textId="77777777" w:rsidR="006016B9" w:rsidRPr="0087752B" w:rsidRDefault="006016B9" w:rsidP="00167D21">
            <w:pPr>
              <w:pStyle w:val="DETTableTextFinancial"/>
              <w:jc w:val="center"/>
            </w:pPr>
            <w:r w:rsidRPr="0087752B">
              <w:t>3</w:t>
            </w:r>
          </w:p>
        </w:tc>
      </w:tr>
      <w:tr w:rsidR="006016B9" w:rsidRPr="0087752B" w14:paraId="752083F4" w14:textId="77777777" w:rsidTr="00E353F9">
        <w:trPr>
          <w:cantSplit/>
          <w:trHeight w:val="183"/>
        </w:trPr>
        <w:tc>
          <w:tcPr>
            <w:tcW w:w="5146" w:type="dxa"/>
            <w:tcBorders>
              <w:top w:val="single" w:sz="4" w:space="0" w:color="auto"/>
              <w:bottom w:val="single" w:sz="2" w:space="0" w:color="auto"/>
            </w:tcBorders>
            <w:vAlign w:val="bottom"/>
          </w:tcPr>
          <w:p w14:paraId="04882721" w14:textId="77777777" w:rsidR="006016B9" w:rsidRPr="0087752B" w:rsidRDefault="006016B9" w:rsidP="00167D21">
            <w:pPr>
              <w:pStyle w:val="DETTableTextFinancial"/>
              <w:rPr>
                <w:b/>
              </w:rPr>
            </w:pPr>
            <w:r w:rsidRPr="0087752B">
              <w:rPr>
                <w:b/>
              </w:rPr>
              <w:t xml:space="preserve">Total number of disclosures </w:t>
            </w:r>
          </w:p>
        </w:tc>
        <w:tc>
          <w:tcPr>
            <w:tcW w:w="993" w:type="dxa"/>
            <w:tcBorders>
              <w:top w:val="single" w:sz="4" w:space="0" w:color="auto"/>
              <w:bottom w:val="single" w:sz="2" w:space="0" w:color="auto"/>
            </w:tcBorders>
            <w:shd w:val="clear" w:color="auto" w:fill="F8F8F8"/>
            <w:vAlign w:val="bottom"/>
          </w:tcPr>
          <w:p w14:paraId="7651C7D8" w14:textId="77777777" w:rsidR="006016B9" w:rsidRPr="0087752B" w:rsidRDefault="006016B9" w:rsidP="00167D21">
            <w:pPr>
              <w:pStyle w:val="DETTableTextFinancial"/>
              <w:jc w:val="center"/>
              <w:rPr>
                <w:b/>
              </w:rPr>
            </w:pPr>
            <w:r w:rsidRPr="0087752B">
              <w:rPr>
                <w:b/>
              </w:rPr>
              <w:t>61</w:t>
            </w:r>
          </w:p>
        </w:tc>
        <w:tc>
          <w:tcPr>
            <w:tcW w:w="850" w:type="dxa"/>
            <w:tcBorders>
              <w:top w:val="single" w:sz="4" w:space="0" w:color="auto"/>
              <w:bottom w:val="single" w:sz="2" w:space="0" w:color="auto"/>
            </w:tcBorders>
            <w:vAlign w:val="bottom"/>
          </w:tcPr>
          <w:p w14:paraId="3A6CA5C7" w14:textId="77777777" w:rsidR="006016B9" w:rsidRPr="0087752B" w:rsidRDefault="006016B9" w:rsidP="00167D21">
            <w:pPr>
              <w:pStyle w:val="DETTableTextFinancial"/>
              <w:jc w:val="center"/>
              <w:rPr>
                <w:b/>
              </w:rPr>
            </w:pPr>
            <w:r w:rsidRPr="0087752B">
              <w:rPr>
                <w:b/>
              </w:rPr>
              <w:t>50</w:t>
            </w:r>
          </w:p>
        </w:tc>
      </w:tr>
    </w:tbl>
    <w:p w14:paraId="7B731E79" w14:textId="77777777" w:rsidR="006016B9" w:rsidRPr="0087752B" w:rsidRDefault="006016B9" w:rsidP="00167D21">
      <w:pPr>
        <w:pStyle w:val="DETHeading2"/>
      </w:pPr>
      <w:bookmarkStart w:id="262" w:name="_Toc458069623"/>
      <w:bookmarkStart w:id="263" w:name="_Toc458072402"/>
      <w:bookmarkStart w:id="264" w:name="_Toc458088585"/>
      <w:bookmarkStart w:id="265" w:name="_Toc461013281"/>
      <w:bookmarkStart w:id="266" w:name="_Toc461025861"/>
      <w:bookmarkStart w:id="267" w:name="_Toc462405156"/>
      <w:r w:rsidRPr="0087752B">
        <w:t xml:space="preserve">Compliance with the </w:t>
      </w:r>
      <w:r w:rsidRPr="00E353F9">
        <w:rPr>
          <w:i/>
        </w:rPr>
        <w:t>Disabilities Act 2006</w:t>
      </w:r>
      <w:bookmarkEnd w:id="262"/>
      <w:bookmarkEnd w:id="263"/>
      <w:bookmarkEnd w:id="264"/>
      <w:bookmarkEnd w:id="265"/>
      <w:bookmarkEnd w:id="266"/>
      <w:bookmarkEnd w:id="267"/>
    </w:p>
    <w:p w14:paraId="0A650B76" w14:textId="77777777" w:rsidR="006016B9" w:rsidRPr="0087752B" w:rsidRDefault="006016B9" w:rsidP="006016B9">
      <w:r w:rsidRPr="0087752B">
        <w:t xml:space="preserve">The Department of Education and Training has a Disability Action Plan (2013–16) in place, setting out the Department’s commitments and actions within the Victorian State Disability Action Plan 2013–16. </w:t>
      </w:r>
    </w:p>
    <w:p w14:paraId="617558F3" w14:textId="77777777" w:rsidR="006016B9" w:rsidRPr="0087752B" w:rsidRDefault="006016B9" w:rsidP="006016B9">
      <w:r w:rsidRPr="0087752B">
        <w:t xml:space="preserve">The Department is currently participating in the development of a new Victorian State Disability Plan 2017–20. </w:t>
      </w:r>
    </w:p>
    <w:p w14:paraId="6DE24D1F" w14:textId="77777777" w:rsidR="006016B9" w:rsidRPr="0087752B" w:rsidRDefault="006016B9" w:rsidP="00167D21">
      <w:pPr>
        <w:pStyle w:val="DETHeading2"/>
      </w:pPr>
      <w:bookmarkStart w:id="268" w:name="_Toc458069624"/>
      <w:bookmarkStart w:id="269" w:name="_Toc458072403"/>
      <w:bookmarkStart w:id="270" w:name="_Toc458088586"/>
      <w:bookmarkStart w:id="271" w:name="_Toc461013282"/>
      <w:bookmarkStart w:id="272" w:name="_Toc461025862"/>
      <w:bookmarkStart w:id="273" w:name="_Toc462405157"/>
      <w:r w:rsidRPr="0087752B">
        <w:t>Office-based environmental impacts</w:t>
      </w:r>
      <w:bookmarkEnd w:id="268"/>
      <w:bookmarkEnd w:id="269"/>
      <w:bookmarkEnd w:id="270"/>
      <w:bookmarkEnd w:id="271"/>
      <w:bookmarkEnd w:id="272"/>
      <w:bookmarkEnd w:id="273"/>
    </w:p>
    <w:p w14:paraId="5BA9CBAF" w14:textId="000C0F14" w:rsidR="006016B9" w:rsidRPr="0087752B" w:rsidRDefault="006016B9" w:rsidP="006016B9">
      <w:r w:rsidRPr="0087752B">
        <w:t xml:space="preserve">The Department’s Environmental Management System provides a structured approach to planning and implementing environment protection measures in the Department’s office-based activities. In line </w:t>
      </w:r>
      <w:r w:rsidR="003C4DE2" w:rsidRPr="0087752B">
        <w:t>with government</w:t>
      </w:r>
      <w:r w:rsidRPr="0087752B">
        <w:t xml:space="preserve"> directives, the Department reports on energy, paper and water consumption, waste generation, transportation, greenhouse gas emissions, and sustainable procurement for all non-school office sites with at least 10 full-time </w:t>
      </w:r>
      <w:r w:rsidR="003C4DE2" w:rsidRPr="0087752B">
        <w:t>equivalents (</w:t>
      </w:r>
      <w:r w:rsidRPr="0087752B">
        <w:t>FTE).</w:t>
      </w:r>
    </w:p>
    <w:p w14:paraId="1BF7D616" w14:textId="77777777" w:rsidR="006016B9" w:rsidRPr="0087752B" w:rsidRDefault="006016B9" w:rsidP="006016B9">
      <w:r w:rsidRPr="0087752B">
        <w:t>The Environmental Management System objectives include:</w:t>
      </w:r>
    </w:p>
    <w:p w14:paraId="0DDCD7D9" w14:textId="77777777" w:rsidR="006016B9" w:rsidRPr="0087752B" w:rsidRDefault="006016B9" w:rsidP="00167D21">
      <w:pPr>
        <w:pStyle w:val="DETNormallistbullet"/>
      </w:pPr>
      <w:r w:rsidRPr="0087752B">
        <w:t>reducing the amount of waste and maximising re-use and recycling</w:t>
      </w:r>
    </w:p>
    <w:p w14:paraId="6C5148BE" w14:textId="77777777" w:rsidR="006016B9" w:rsidRPr="0087752B" w:rsidRDefault="006016B9" w:rsidP="00167D21">
      <w:pPr>
        <w:pStyle w:val="DETNormallistbullet"/>
      </w:pPr>
      <w:r w:rsidRPr="0087752B">
        <w:t>separating office waste into reusable, recyclable, compostable and landfill</w:t>
      </w:r>
    </w:p>
    <w:p w14:paraId="0560819C" w14:textId="77777777" w:rsidR="006016B9" w:rsidRPr="0087752B" w:rsidRDefault="006016B9" w:rsidP="00167D21">
      <w:pPr>
        <w:pStyle w:val="DETNormallistbullet"/>
      </w:pPr>
      <w:r w:rsidRPr="0087752B">
        <w:t>minimising energy, paper and water consumption</w:t>
      </w:r>
    </w:p>
    <w:p w14:paraId="6258F664" w14:textId="77777777" w:rsidR="006016B9" w:rsidRPr="0087752B" w:rsidRDefault="006016B9" w:rsidP="00167D21">
      <w:pPr>
        <w:pStyle w:val="DETNormallistbullet"/>
      </w:pPr>
      <w:r w:rsidRPr="0087752B">
        <w:t>reducing passenger vehicle fleet emissions</w:t>
      </w:r>
    </w:p>
    <w:p w14:paraId="09F1476D" w14:textId="77777777" w:rsidR="006016B9" w:rsidRPr="0087752B" w:rsidRDefault="006016B9" w:rsidP="00167D21">
      <w:pPr>
        <w:pStyle w:val="DETNormallistbullet"/>
      </w:pPr>
      <w:r w:rsidRPr="0087752B">
        <w:t>ensuring new office accommodation incorporates environmental sustainability principles</w:t>
      </w:r>
    </w:p>
    <w:p w14:paraId="084DE60F" w14:textId="77777777" w:rsidR="006016B9" w:rsidRPr="0087752B" w:rsidRDefault="006016B9" w:rsidP="00167D21">
      <w:pPr>
        <w:pStyle w:val="DETNormallistbullet"/>
      </w:pPr>
      <w:r w:rsidRPr="0087752B">
        <w:t>adopting an environmental management system based on ISO14001</w:t>
      </w:r>
    </w:p>
    <w:p w14:paraId="2F7F8F8A" w14:textId="77777777" w:rsidR="006016B9" w:rsidRPr="0087752B" w:rsidRDefault="006016B9" w:rsidP="00167D21">
      <w:pPr>
        <w:pStyle w:val="DETNormallistbullet"/>
      </w:pPr>
      <w:r w:rsidRPr="0087752B">
        <w:t>communicating environmental performance through regular reporting</w:t>
      </w:r>
    </w:p>
    <w:p w14:paraId="4BB25C8D" w14:textId="77777777" w:rsidR="006016B9" w:rsidRPr="0087752B" w:rsidRDefault="006016B9" w:rsidP="00167D21">
      <w:pPr>
        <w:pStyle w:val="DETNormallistbullet"/>
      </w:pPr>
      <w:r w:rsidRPr="0087752B">
        <w:t>encouraging staff to reduce their environmental impacts.</w:t>
      </w:r>
    </w:p>
    <w:p w14:paraId="149568A3" w14:textId="77777777" w:rsidR="006016B9" w:rsidRPr="0087752B" w:rsidRDefault="006016B9" w:rsidP="00E353F9">
      <w:pPr>
        <w:pStyle w:val="DETNormalafterlist"/>
      </w:pPr>
      <w:r w:rsidRPr="0087752B">
        <w:t>Unless otherwise stated, all consumption data is for 1 April 2015 – 31 March 2016.</w:t>
      </w:r>
    </w:p>
    <w:p w14:paraId="42DBFFC5" w14:textId="77777777" w:rsidR="006016B9" w:rsidRPr="0087752B" w:rsidRDefault="006016B9" w:rsidP="00167D21">
      <w:pPr>
        <w:pStyle w:val="Heading3"/>
      </w:pPr>
      <w:r w:rsidRPr="0087752B">
        <w:t>Energy</w:t>
      </w:r>
    </w:p>
    <w:p w14:paraId="0CEFF825" w14:textId="77777777" w:rsidR="006016B9" w:rsidRPr="0087752B" w:rsidRDefault="006016B9" w:rsidP="006016B9">
      <w:r w:rsidRPr="0087752B">
        <w:t>The data presented below was collected through energy retailer billing information and represents 100 per cent of sites and 99 per cent of FTE staff.</w:t>
      </w:r>
    </w:p>
    <w:p w14:paraId="6D0F532B" w14:textId="77777777" w:rsidR="006016B9" w:rsidRPr="0087752B" w:rsidRDefault="006016B9" w:rsidP="00167D21">
      <w:pPr>
        <w:pStyle w:val="Heading4"/>
      </w:pPr>
      <w:r w:rsidRPr="0087752B">
        <w:t>Target</w:t>
      </w:r>
    </w:p>
    <w:p w14:paraId="7FF68D81" w14:textId="77777777" w:rsidR="006016B9" w:rsidRPr="0087752B" w:rsidRDefault="006016B9" w:rsidP="006016B9">
      <w:r w:rsidRPr="0087752B">
        <w:t>Reduce energy consumption per square metre by 15 per cent of 2013–14 levels by 31 March 2024, averaging an incremental reduction of 1.5 per cent each year for 10 years.</w:t>
      </w:r>
    </w:p>
    <w:tbl>
      <w:tblPr>
        <w:tblW w:w="4858" w:type="pct"/>
        <w:tblInd w:w="108" w:type="dxa"/>
        <w:tblLayout w:type="fixed"/>
        <w:tblLook w:val="04A0" w:firstRow="1" w:lastRow="0" w:firstColumn="1" w:lastColumn="0" w:noHBand="0" w:noVBand="1"/>
      </w:tblPr>
      <w:tblGrid>
        <w:gridCol w:w="1397"/>
        <w:gridCol w:w="1154"/>
        <w:gridCol w:w="994"/>
        <w:gridCol w:w="930"/>
        <w:gridCol w:w="1196"/>
        <w:gridCol w:w="994"/>
        <w:gridCol w:w="706"/>
      </w:tblGrid>
      <w:tr w:rsidR="006016B9" w:rsidRPr="0087752B" w14:paraId="5AA2B8AD" w14:textId="77777777" w:rsidTr="00167D21">
        <w:trPr>
          <w:cantSplit/>
        </w:trPr>
        <w:tc>
          <w:tcPr>
            <w:tcW w:w="948" w:type="pct"/>
            <w:vMerge w:val="restart"/>
            <w:shd w:val="clear" w:color="auto" w:fill="7F7F7F" w:themeFill="text1" w:themeFillTint="80"/>
            <w:vAlign w:val="center"/>
          </w:tcPr>
          <w:p w14:paraId="762ADC20" w14:textId="77777777" w:rsidR="006016B9" w:rsidRPr="0087752B" w:rsidRDefault="006016B9" w:rsidP="00167D21">
            <w:pPr>
              <w:pStyle w:val="DETTablecolumnheading"/>
              <w:jc w:val="left"/>
            </w:pPr>
          </w:p>
          <w:p w14:paraId="654BA0F9" w14:textId="77777777" w:rsidR="006016B9" w:rsidRPr="0087752B" w:rsidRDefault="006016B9" w:rsidP="00167D21">
            <w:pPr>
              <w:pStyle w:val="DETTablecolumnheading"/>
              <w:jc w:val="left"/>
            </w:pPr>
            <w:r w:rsidRPr="0087752B">
              <w:t>Indicator</w:t>
            </w:r>
          </w:p>
        </w:tc>
        <w:tc>
          <w:tcPr>
            <w:tcW w:w="2088" w:type="pct"/>
            <w:gridSpan w:val="3"/>
            <w:shd w:val="clear" w:color="auto" w:fill="7F7F7F" w:themeFill="text1" w:themeFillTint="80"/>
            <w:vAlign w:val="center"/>
          </w:tcPr>
          <w:p w14:paraId="216B5949" w14:textId="77777777" w:rsidR="006016B9" w:rsidRPr="0087752B" w:rsidRDefault="006016B9" w:rsidP="00167D21">
            <w:pPr>
              <w:pStyle w:val="DETTablecolumnheading"/>
              <w:jc w:val="left"/>
            </w:pPr>
            <w:r w:rsidRPr="0087752B">
              <w:t>2015–16</w:t>
            </w:r>
          </w:p>
        </w:tc>
        <w:tc>
          <w:tcPr>
            <w:tcW w:w="1964" w:type="pct"/>
            <w:gridSpan w:val="3"/>
            <w:shd w:val="clear" w:color="auto" w:fill="7F7F7F" w:themeFill="text1" w:themeFillTint="80"/>
            <w:vAlign w:val="center"/>
          </w:tcPr>
          <w:p w14:paraId="2E4CFD6B" w14:textId="77777777" w:rsidR="006016B9" w:rsidRPr="0087752B" w:rsidRDefault="006016B9" w:rsidP="00167D21">
            <w:pPr>
              <w:pStyle w:val="DETTablecolumnheading"/>
              <w:jc w:val="left"/>
            </w:pPr>
            <w:r w:rsidRPr="0087752B">
              <w:t>2014–15</w:t>
            </w:r>
          </w:p>
        </w:tc>
      </w:tr>
      <w:tr w:rsidR="006016B9" w:rsidRPr="0087752B" w14:paraId="6BFB2B54" w14:textId="77777777" w:rsidTr="00167D21">
        <w:trPr>
          <w:cantSplit/>
        </w:trPr>
        <w:tc>
          <w:tcPr>
            <w:tcW w:w="948" w:type="pct"/>
            <w:vMerge/>
            <w:shd w:val="clear" w:color="auto" w:fill="7F7F7F" w:themeFill="text1" w:themeFillTint="80"/>
            <w:vAlign w:val="center"/>
          </w:tcPr>
          <w:p w14:paraId="2F93B7A4" w14:textId="77777777" w:rsidR="006016B9" w:rsidRPr="0087752B" w:rsidRDefault="006016B9" w:rsidP="00167D21">
            <w:pPr>
              <w:pStyle w:val="DETTablecolumnheading"/>
              <w:jc w:val="left"/>
            </w:pPr>
          </w:p>
        </w:tc>
        <w:tc>
          <w:tcPr>
            <w:tcW w:w="783" w:type="pct"/>
            <w:shd w:val="clear" w:color="auto" w:fill="7F7F7F" w:themeFill="text1" w:themeFillTint="80"/>
            <w:vAlign w:val="center"/>
          </w:tcPr>
          <w:p w14:paraId="50F8CC8B" w14:textId="77777777" w:rsidR="006016B9" w:rsidRPr="0087752B" w:rsidRDefault="006016B9" w:rsidP="00167D21">
            <w:pPr>
              <w:pStyle w:val="DETTablecolumnheading"/>
              <w:jc w:val="left"/>
              <w:rPr>
                <w:sz w:val="16"/>
                <w:szCs w:val="16"/>
              </w:rPr>
            </w:pPr>
            <w:r w:rsidRPr="0087752B">
              <w:rPr>
                <w:sz w:val="16"/>
                <w:szCs w:val="16"/>
              </w:rPr>
              <w:t>Electricity</w:t>
            </w:r>
          </w:p>
        </w:tc>
        <w:tc>
          <w:tcPr>
            <w:tcW w:w="674" w:type="pct"/>
            <w:shd w:val="clear" w:color="auto" w:fill="7F7F7F" w:themeFill="text1" w:themeFillTint="80"/>
            <w:vAlign w:val="center"/>
          </w:tcPr>
          <w:p w14:paraId="73CBD2A6" w14:textId="77777777" w:rsidR="006016B9" w:rsidRPr="0087752B" w:rsidRDefault="006016B9" w:rsidP="00167D21">
            <w:pPr>
              <w:pStyle w:val="DETTablecolumnheading"/>
              <w:jc w:val="left"/>
              <w:rPr>
                <w:sz w:val="16"/>
                <w:szCs w:val="16"/>
              </w:rPr>
            </w:pPr>
            <w:r w:rsidRPr="0087752B">
              <w:rPr>
                <w:sz w:val="16"/>
                <w:szCs w:val="16"/>
              </w:rPr>
              <w:t>Natural gas</w:t>
            </w:r>
          </w:p>
        </w:tc>
        <w:tc>
          <w:tcPr>
            <w:tcW w:w="631" w:type="pct"/>
            <w:shd w:val="clear" w:color="auto" w:fill="7F7F7F" w:themeFill="text1" w:themeFillTint="80"/>
            <w:vAlign w:val="center"/>
          </w:tcPr>
          <w:p w14:paraId="6D5D288E" w14:textId="77777777" w:rsidR="006016B9" w:rsidRPr="0087752B" w:rsidRDefault="006016B9" w:rsidP="00167D21">
            <w:pPr>
              <w:pStyle w:val="DETTablecolumnheading"/>
              <w:jc w:val="left"/>
              <w:rPr>
                <w:sz w:val="16"/>
                <w:szCs w:val="16"/>
              </w:rPr>
            </w:pPr>
            <w:r w:rsidRPr="0087752B">
              <w:rPr>
                <w:sz w:val="16"/>
                <w:szCs w:val="16"/>
              </w:rPr>
              <w:t>Green power</w:t>
            </w:r>
          </w:p>
        </w:tc>
        <w:tc>
          <w:tcPr>
            <w:tcW w:w="811" w:type="pct"/>
            <w:shd w:val="clear" w:color="auto" w:fill="7F7F7F" w:themeFill="text1" w:themeFillTint="80"/>
            <w:vAlign w:val="center"/>
          </w:tcPr>
          <w:p w14:paraId="29E9D256" w14:textId="77777777" w:rsidR="006016B9" w:rsidRPr="0087752B" w:rsidRDefault="006016B9" w:rsidP="00167D21">
            <w:pPr>
              <w:pStyle w:val="DETTablecolumnheading"/>
              <w:jc w:val="left"/>
              <w:rPr>
                <w:sz w:val="16"/>
                <w:szCs w:val="16"/>
              </w:rPr>
            </w:pPr>
            <w:r w:rsidRPr="0087752B">
              <w:rPr>
                <w:sz w:val="16"/>
                <w:szCs w:val="16"/>
              </w:rPr>
              <w:t>Electricity</w:t>
            </w:r>
          </w:p>
        </w:tc>
        <w:tc>
          <w:tcPr>
            <w:tcW w:w="674" w:type="pct"/>
            <w:shd w:val="clear" w:color="auto" w:fill="7F7F7F" w:themeFill="text1" w:themeFillTint="80"/>
            <w:vAlign w:val="center"/>
          </w:tcPr>
          <w:p w14:paraId="0A3705BC" w14:textId="77777777" w:rsidR="006016B9" w:rsidRPr="0087752B" w:rsidRDefault="006016B9" w:rsidP="00167D21">
            <w:pPr>
              <w:pStyle w:val="DETTablecolumnheading"/>
              <w:jc w:val="left"/>
              <w:rPr>
                <w:sz w:val="16"/>
                <w:szCs w:val="16"/>
              </w:rPr>
            </w:pPr>
            <w:r w:rsidRPr="0087752B">
              <w:rPr>
                <w:sz w:val="16"/>
                <w:szCs w:val="16"/>
              </w:rPr>
              <w:t>Natural gas</w:t>
            </w:r>
          </w:p>
        </w:tc>
        <w:tc>
          <w:tcPr>
            <w:tcW w:w="480" w:type="pct"/>
            <w:shd w:val="clear" w:color="auto" w:fill="7F7F7F" w:themeFill="text1" w:themeFillTint="80"/>
            <w:vAlign w:val="center"/>
          </w:tcPr>
          <w:p w14:paraId="7BE3C4A0" w14:textId="77777777" w:rsidR="006016B9" w:rsidRPr="0087752B" w:rsidRDefault="006016B9" w:rsidP="00167D21">
            <w:pPr>
              <w:pStyle w:val="DETTablecolumnheading"/>
              <w:jc w:val="left"/>
              <w:rPr>
                <w:sz w:val="16"/>
                <w:szCs w:val="16"/>
              </w:rPr>
            </w:pPr>
            <w:r w:rsidRPr="0087752B">
              <w:rPr>
                <w:sz w:val="16"/>
                <w:szCs w:val="16"/>
              </w:rPr>
              <w:t>Green power</w:t>
            </w:r>
          </w:p>
        </w:tc>
      </w:tr>
      <w:tr w:rsidR="006016B9" w:rsidRPr="0087752B" w14:paraId="04EE4C6C" w14:textId="77777777" w:rsidTr="00167D21">
        <w:trPr>
          <w:cantSplit/>
          <w:trHeight w:val="911"/>
        </w:trPr>
        <w:tc>
          <w:tcPr>
            <w:tcW w:w="948" w:type="pct"/>
            <w:shd w:val="clear" w:color="auto" w:fill="auto"/>
            <w:vAlign w:val="center"/>
          </w:tcPr>
          <w:p w14:paraId="1DBA2370" w14:textId="081E8AE9" w:rsidR="006016B9" w:rsidRPr="0087752B" w:rsidRDefault="006016B9" w:rsidP="00167D21">
            <w:pPr>
              <w:pStyle w:val="DETTableTextFinancial"/>
            </w:pPr>
            <w:r w:rsidRPr="0087752B">
              <w:t xml:space="preserve">Total energy usage segmented by primary source, measured in </w:t>
            </w:r>
            <w:r w:rsidR="003C4DE2" w:rsidRPr="0087752B">
              <w:t>mega joules</w:t>
            </w:r>
            <w:r w:rsidRPr="0087752B">
              <w:t xml:space="preserve"> (MJ)</w:t>
            </w:r>
          </w:p>
        </w:tc>
        <w:tc>
          <w:tcPr>
            <w:tcW w:w="783" w:type="pct"/>
            <w:shd w:val="clear" w:color="auto" w:fill="F8F8F8"/>
            <w:vAlign w:val="center"/>
          </w:tcPr>
          <w:p w14:paraId="08EE4526" w14:textId="77777777" w:rsidR="006016B9" w:rsidRPr="0087752B" w:rsidRDefault="006016B9" w:rsidP="00167D21">
            <w:pPr>
              <w:pStyle w:val="DETTableTextFinancial"/>
              <w:jc w:val="center"/>
              <w:rPr>
                <w:highlight w:val="yellow"/>
              </w:rPr>
            </w:pPr>
            <w:r w:rsidRPr="0087752B">
              <w:t>20,910,815</w:t>
            </w:r>
          </w:p>
        </w:tc>
        <w:tc>
          <w:tcPr>
            <w:tcW w:w="674" w:type="pct"/>
            <w:shd w:val="clear" w:color="auto" w:fill="F8F8F8"/>
            <w:vAlign w:val="center"/>
          </w:tcPr>
          <w:p w14:paraId="37DF84E4" w14:textId="77777777" w:rsidR="006016B9" w:rsidRPr="0087752B" w:rsidRDefault="006016B9" w:rsidP="00167D21">
            <w:pPr>
              <w:pStyle w:val="DETTableTextFinancial"/>
              <w:jc w:val="center"/>
              <w:rPr>
                <w:highlight w:val="yellow"/>
              </w:rPr>
            </w:pPr>
            <w:r w:rsidRPr="0087752B">
              <w:t>6,858,907</w:t>
            </w:r>
          </w:p>
        </w:tc>
        <w:tc>
          <w:tcPr>
            <w:tcW w:w="631" w:type="pct"/>
            <w:shd w:val="clear" w:color="auto" w:fill="F8F8F8"/>
            <w:vAlign w:val="center"/>
          </w:tcPr>
          <w:p w14:paraId="14FA009D" w14:textId="77777777" w:rsidR="006016B9" w:rsidRPr="0087752B" w:rsidRDefault="006016B9" w:rsidP="00167D21">
            <w:pPr>
              <w:pStyle w:val="DETTableTextFinancial"/>
              <w:jc w:val="center"/>
            </w:pPr>
            <w:r w:rsidRPr="0087752B">
              <w:t>0</w:t>
            </w:r>
          </w:p>
        </w:tc>
        <w:tc>
          <w:tcPr>
            <w:tcW w:w="811" w:type="pct"/>
            <w:shd w:val="clear" w:color="auto" w:fill="auto"/>
            <w:vAlign w:val="center"/>
          </w:tcPr>
          <w:p w14:paraId="55F63C15" w14:textId="77777777" w:rsidR="006016B9" w:rsidRPr="0087752B" w:rsidRDefault="006016B9" w:rsidP="00167D21">
            <w:pPr>
              <w:pStyle w:val="DETTableTextFinancial"/>
              <w:jc w:val="center"/>
            </w:pPr>
            <w:r w:rsidRPr="0087752B">
              <w:t>19,682,232</w:t>
            </w:r>
          </w:p>
        </w:tc>
        <w:tc>
          <w:tcPr>
            <w:tcW w:w="674" w:type="pct"/>
            <w:shd w:val="clear" w:color="auto" w:fill="auto"/>
            <w:vAlign w:val="center"/>
          </w:tcPr>
          <w:p w14:paraId="626BE28B" w14:textId="77777777" w:rsidR="006016B9" w:rsidRPr="0087752B" w:rsidRDefault="006016B9" w:rsidP="00167D21">
            <w:pPr>
              <w:pStyle w:val="DETTableTextFinancial"/>
              <w:jc w:val="center"/>
            </w:pPr>
            <w:r w:rsidRPr="0087752B">
              <w:t>5,195,820</w:t>
            </w:r>
          </w:p>
        </w:tc>
        <w:tc>
          <w:tcPr>
            <w:tcW w:w="480" w:type="pct"/>
            <w:shd w:val="clear" w:color="auto" w:fill="auto"/>
            <w:vAlign w:val="center"/>
          </w:tcPr>
          <w:p w14:paraId="5FDEE46E" w14:textId="77777777" w:rsidR="006016B9" w:rsidRPr="0087752B" w:rsidRDefault="006016B9" w:rsidP="00167D21">
            <w:pPr>
              <w:pStyle w:val="DETTableTextFinancial"/>
              <w:jc w:val="center"/>
            </w:pPr>
            <w:r w:rsidRPr="0087752B">
              <w:t>0</w:t>
            </w:r>
          </w:p>
        </w:tc>
      </w:tr>
      <w:tr w:rsidR="006016B9" w:rsidRPr="0087752B" w14:paraId="0C7A7920" w14:textId="77777777" w:rsidTr="00167D21">
        <w:trPr>
          <w:cantSplit/>
          <w:trHeight w:val="60"/>
        </w:trPr>
        <w:tc>
          <w:tcPr>
            <w:tcW w:w="948" w:type="pct"/>
            <w:shd w:val="clear" w:color="auto" w:fill="auto"/>
            <w:vAlign w:val="center"/>
          </w:tcPr>
          <w:p w14:paraId="44F67365" w14:textId="77777777" w:rsidR="006016B9" w:rsidRPr="0087752B" w:rsidRDefault="006016B9" w:rsidP="00167D21">
            <w:pPr>
              <w:pStyle w:val="DETTableTextFinancial"/>
            </w:pPr>
            <w:r w:rsidRPr="0087752B">
              <w:t>Greenhouse gas emissions</w:t>
            </w:r>
          </w:p>
        </w:tc>
        <w:tc>
          <w:tcPr>
            <w:tcW w:w="783" w:type="pct"/>
            <w:shd w:val="clear" w:color="auto" w:fill="F8F8F8"/>
            <w:vAlign w:val="center"/>
          </w:tcPr>
          <w:p w14:paraId="3DB5D151" w14:textId="77777777" w:rsidR="006016B9" w:rsidRPr="0087752B" w:rsidRDefault="006016B9" w:rsidP="00167D21">
            <w:pPr>
              <w:pStyle w:val="DETTableTextFinancial"/>
              <w:jc w:val="center"/>
            </w:pPr>
            <w:r w:rsidRPr="0087752B">
              <w:t>7319</w:t>
            </w:r>
          </w:p>
        </w:tc>
        <w:tc>
          <w:tcPr>
            <w:tcW w:w="674" w:type="pct"/>
            <w:shd w:val="clear" w:color="auto" w:fill="F8F8F8"/>
            <w:vAlign w:val="center"/>
          </w:tcPr>
          <w:p w14:paraId="032BF249" w14:textId="77777777" w:rsidR="006016B9" w:rsidRPr="0087752B" w:rsidRDefault="006016B9" w:rsidP="00167D21">
            <w:pPr>
              <w:pStyle w:val="DETTableTextFinancial"/>
              <w:jc w:val="center"/>
            </w:pPr>
            <w:r w:rsidRPr="0087752B">
              <w:t>380</w:t>
            </w:r>
          </w:p>
        </w:tc>
        <w:tc>
          <w:tcPr>
            <w:tcW w:w="631" w:type="pct"/>
            <w:shd w:val="clear" w:color="auto" w:fill="F8F8F8"/>
            <w:vAlign w:val="center"/>
          </w:tcPr>
          <w:p w14:paraId="47FA9689" w14:textId="16C3C2F8" w:rsidR="006016B9" w:rsidRPr="0087752B" w:rsidRDefault="004D1C46" w:rsidP="00167D21">
            <w:pPr>
              <w:pStyle w:val="DETTableTextFinancial"/>
              <w:jc w:val="center"/>
            </w:pPr>
            <w:r>
              <w:t>–</w:t>
            </w:r>
          </w:p>
        </w:tc>
        <w:tc>
          <w:tcPr>
            <w:tcW w:w="811" w:type="pct"/>
            <w:shd w:val="clear" w:color="auto" w:fill="auto"/>
            <w:vAlign w:val="center"/>
          </w:tcPr>
          <w:p w14:paraId="736DF291" w14:textId="77777777" w:rsidR="006016B9" w:rsidRPr="0087752B" w:rsidRDefault="006016B9" w:rsidP="00167D21">
            <w:pPr>
              <w:pStyle w:val="DETTableTextFinancial"/>
              <w:jc w:val="center"/>
            </w:pPr>
            <w:r w:rsidRPr="0087752B">
              <w:t>7271</w:t>
            </w:r>
          </w:p>
        </w:tc>
        <w:tc>
          <w:tcPr>
            <w:tcW w:w="674" w:type="pct"/>
            <w:shd w:val="clear" w:color="auto" w:fill="auto"/>
            <w:vAlign w:val="center"/>
          </w:tcPr>
          <w:p w14:paraId="5BFF8BA0" w14:textId="77777777" w:rsidR="006016B9" w:rsidRPr="0087752B" w:rsidRDefault="006016B9" w:rsidP="00167D21">
            <w:pPr>
              <w:pStyle w:val="DETTableTextFinancial"/>
              <w:jc w:val="center"/>
            </w:pPr>
            <w:r w:rsidRPr="0087752B">
              <w:t>287</w:t>
            </w:r>
          </w:p>
        </w:tc>
        <w:tc>
          <w:tcPr>
            <w:tcW w:w="480" w:type="pct"/>
            <w:shd w:val="clear" w:color="auto" w:fill="auto"/>
            <w:vAlign w:val="center"/>
          </w:tcPr>
          <w:p w14:paraId="759C6924" w14:textId="6F1B7204" w:rsidR="006016B9" w:rsidRPr="0087752B" w:rsidRDefault="004D1C46" w:rsidP="00167D21">
            <w:pPr>
              <w:pStyle w:val="DETTableTextFinancial"/>
              <w:jc w:val="center"/>
              <w:rPr>
                <w:highlight w:val="yellow"/>
              </w:rPr>
            </w:pPr>
            <w:r>
              <w:t>–</w:t>
            </w:r>
          </w:p>
        </w:tc>
      </w:tr>
      <w:tr w:rsidR="006016B9" w:rsidRPr="0087752B" w14:paraId="63BA2462" w14:textId="77777777" w:rsidTr="00167D21">
        <w:trPr>
          <w:cantSplit/>
          <w:trHeight w:val="816"/>
        </w:trPr>
        <w:tc>
          <w:tcPr>
            <w:tcW w:w="948" w:type="pct"/>
            <w:shd w:val="clear" w:color="auto" w:fill="auto"/>
            <w:vAlign w:val="center"/>
          </w:tcPr>
          <w:p w14:paraId="51857B98" w14:textId="77777777" w:rsidR="006016B9" w:rsidRPr="0087752B" w:rsidRDefault="006016B9" w:rsidP="00167D21">
            <w:pPr>
              <w:pStyle w:val="DETTableTextFinancial"/>
            </w:pPr>
            <w:r w:rsidRPr="0087752B">
              <w:t>Units of energy used per FTE (MJ/FTE)</w:t>
            </w:r>
          </w:p>
        </w:tc>
        <w:tc>
          <w:tcPr>
            <w:tcW w:w="2088" w:type="pct"/>
            <w:gridSpan w:val="3"/>
            <w:shd w:val="clear" w:color="auto" w:fill="F8F8F8"/>
            <w:vAlign w:val="center"/>
          </w:tcPr>
          <w:p w14:paraId="08E34E30" w14:textId="77777777" w:rsidR="006016B9" w:rsidRPr="0087752B" w:rsidRDefault="006016B9" w:rsidP="00167D21">
            <w:pPr>
              <w:pStyle w:val="DETTableTextFinancial"/>
              <w:jc w:val="center"/>
            </w:pPr>
            <w:r w:rsidRPr="0087752B">
              <w:t>12,823</w:t>
            </w:r>
          </w:p>
        </w:tc>
        <w:tc>
          <w:tcPr>
            <w:tcW w:w="1964" w:type="pct"/>
            <w:gridSpan w:val="3"/>
            <w:shd w:val="clear" w:color="auto" w:fill="auto"/>
            <w:vAlign w:val="center"/>
          </w:tcPr>
          <w:p w14:paraId="133B445B" w14:textId="710E7AEB" w:rsidR="006016B9" w:rsidRPr="0087752B" w:rsidRDefault="006016B9" w:rsidP="00167D21">
            <w:pPr>
              <w:pStyle w:val="DETTableTextFinancial"/>
              <w:jc w:val="center"/>
            </w:pPr>
            <w:r w:rsidRPr="0087752B">
              <w:t>12,053</w:t>
            </w:r>
          </w:p>
        </w:tc>
      </w:tr>
      <w:tr w:rsidR="006016B9" w:rsidRPr="0087752B" w14:paraId="41DC0597" w14:textId="77777777" w:rsidTr="00167D21">
        <w:trPr>
          <w:cantSplit/>
        </w:trPr>
        <w:tc>
          <w:tcPr>
            <w:tcW w:w="948" w:type="pct"/>
            <w:shd w:val="clear" w:color="auto" w:fill="auto"/>
            <w:vAlign w:val="center"/>
          </w:tcPr>
          <w:p w14:paraId="7712AED2" w14:textId="77777777" w:rsidR="006016B9" w:rsidRPr="0087752B" w:rsidRDefault="006016B9" w:rsidP="00167D21">
            <w:pPr>
              <w:pStyle w:val="DETTableTextFinancial"/>
            </w:pPr>
            <w:r w:rsidRPr="0087752B">
              <w:t>Percentage of electricity purchased as green power</w:t>
            </w:r>
          </w:p>
        </w:tc>
        <w:tc>
          <w:tcPr>
            <w:tcW w:w="2088" w:type="pct"/>
            <w:gridSpan w:val="3"/>
            <w:shd w:val="clear" w:color="auto" w:fill="F8F8F8"/>
            <w:vAlign w:val="center"/>
          </w:tcPr>
          <w:p w14:paraId="22C9ABB9" w14:textId="77777777" w:rsidR="006016B9" w:rsidRPr="0087752B" w:rsidRDefault="006016B9" w:rsidP="00167D21">
            <w:pPr>
              <w:pStyle w:val="DETTableTextFinancial"/>
              <w:jc w:val="center"/>
            </w:pPr>
            <w:r w:rsidRPr="0087752B">
              <w:t>0</w:t>
            </w:r>
          </w:p>
        </w:tc>
        <w:tc>
          <w:tcPr>
            <w:tcW w:w="1964" w:type="pct"/>
            <w:gridSpan w:val="3"/>
            <w:shd w:val="clear" w:color="auto" w:fill="auto"/>
            <w:vAlign w:val="center"/>
          </w:tcPr>
          <w:p w14:paraId="2DCD8E62" w14:textId="00968254" w:rsidR="006016B9" w:rsidRPr="0087752B" w:rsidRDefault="00167D21" w:rsidP="00167D21">
            <w:pPr>
              <w:pStyle w:val="DETTableTextFinancial"/>
              <w:jc w:val="center"/>
            </w:pPr>
            <w:r w:rsidRPr="0087752B">
              <w:t>0</w:t>
            </w:r>
          </w:p>
        </w:tc>
      </w:tr>
      <w:tr w:rsidR="006016B9" w:rsidRPr="0087752B" w14:paraId="7B39E1E4" w14:textId="77777777" w:rsidTr="00167D21">
        <w:trPr>
          <w:cantSplit/>
        </w:trPr>
        <w:tc>
          <w:tcPr>
            <w:tcW w:w="948" w:type="pct"/>
            <w:tcBorders>
              <w:bottom w:val="single" w:sz="6" w:space="0" w:color="auto"/>
            </w:tcBorders>
            <w:shd w:val="clear" w:color="auto" w:fill="auto"/>
            <w:vAlign w:val="center"/>
          </w:tcPr>
          <w:p w14:paraId="30CF5057" w14:textId="77777777" w:rsidR="006016B9" w:rsidRPr="0087752B" w:rsidRDefault="006016B9" w:rsidP="00167D21">
            <w:pPr>
              <w:pStyle w:val="DETTableTextFinancial"/>
            </w:pPr>
            <w:r w:rsidRPr="0087752B">
              <w:t>Units of energy used per unit of office area (MJ/m2)</w:t>
            </w:r>
          </w:p>
          <w:p w14:paraId="1C49F552" w14:textId="77777777" w:rsidR="006016B9" w:rsidRPr="0087752B" w:rsidRDefault="006016B9" w:rsidP="00167D21">
            <w:pPr>
              <w:pStyle w:val="DETTableTextFinancial"/>
            </w:pPr>
          </w:p>
        </w:tc>
        <w:tc>
          <w:tcPr>
            <w:tcW w:w="2088" w:type="pct"/>
            <w:gridSpan w:val="3"/>
            <w:tcBorders>
              <w:bottom w:val="single" w:sz="6" w:space="0" w:color="auto"/>
            </w:tcBorders>
            <w:shd w:val="clear" w:color="auto" w:fill="F8F8F8"/>
            <w:vAlign w:val="center"/>
          </w:tcPr>
          <w:p w14:paraId="5C550ADA" w14:textId="77777777" w:rsidR="006016B9" w:rsidRPr="0087752B" w:rsidRDefault="006016B9" w:rsidP="00167D21">
            <w:pPr>
              <w:pStyle w:val="DETTableTextFinancial"/>
              <w:jc w:val="center"/>
            </w:pPr>
            <w:r w:rsidRPr="0087752B">
              <w:t>736</w:t>
            </w:r>
          </w:p>
        </w:tc>
        <w:tc>
          <w:tcPr>
            <w:tcW w:w="1964" w:type="pct"/>
            <w:gridSpan w:val="3"/>
            <w:tcBorders>
              <w:bottom w:val="single" w:sz="6" w:space="0" w:color="auto"/>
            </w:tcBorders>
            <w:shd w:val="clear" w:color="auto" w:fill="auto"/>
            <w:vAlign w:val="center"/>
          </w:tcPr>
          <w:p w14:paraId="458E32A6" w14:textId="5C0C73A3" w:rsidR="006016B9" w:rsidRPr="0087752B" w:rsidRDefault="00167D21" w:rsidP="00167D21">
            <w:pPr>
              <w:pStyle w:val="DETTableTextFinancial"/>
              <w:jc w:val="center"/>
            </w:pPr>
            <w:r w:rsidRPr="0087752B">
              <w:t>664</w:t>
            </w:r>
          </w:p>
        </w:tc>
      </w:tr>
      <w:tr w:rsidR="006016B9" w:rsidRPr="0087752B" w14:paraId="58129634" w14:textId="77777777" w:rsidTr="006016B9">
        <w:trPr>
          <w:cantSplit/>
        </w:trPr>
        <w:tc>
          <w:tcPr>
            <w:tcW w:w="5000" w:type="pct"/>
            <w:gridSpan w:val="7"/>
            <w:tcBorders>
              <w:top w:val="single" w:sz="6" w:space="0" w:color="auto"/>
            </w:tcBorders>
            <w:shd w:val="clear" w:color="auto" w:fill="auto"/>
          </w:tcPr>
          <w:p w14:paraId="769BF4FD" w14:textId="77777777" w:rsidR="006016B9" w:rsidRPr="0087752B" w:rsidRDefault="006016B9" w:rsidP="006016B9"/>
        </w:tc>
      </w:tr>
      <w:tr w:rsidR="006016B9" w:rsidRPr="0087752B" w14:paraId="4DAC16B5" w14:textId="77777777" w:rsidTr="00167D21">
        <w:trPr>
          <w:cantSplit/>
        </w:trPr>
        <w:tc>
          <w:tcPr>
            <w:tcW w:w="5000" w:type="pct"/>
            <w:gridSpan w:val="7"/>
            <w:shd w:val="clear" w:color="auto" w:fill="7F7F7F" w:themeFill="text1" w:themeFillTint="80"/>
          </w:tcPr>
          <w:p w14:paraId="5C193250" w14:textId="77777777" w:rsidR="006016B9" w:rsidRPr="0087752B" w:rsidRDefault="006016B9" w:rsidP="00167D21">
            <w:pPr>
              <w:pStyle w:val="DETTablecolumnheading"/>
              <w:jc w:val="left"/>
            </w:pPr>
            <w:r w:rsidRPr="0087752B">
              <w:t>Actions undertaken</w:t>
            </w:r>
          </w:p>
        </w:tc>
      </w:tr>
      <w:tr w:rsidR="006016B9" w:rsidRPr="0087752B" w14:paraId="76F43BD3" w14:textId="77777777" w:rsidTr="006016B9">
        <w:trPr>
          <w:cantSplit/>
        </w:trPr>
        <w:tc>
          <w:tcPr>
            <w:tcW w:w="5000" w:type="pct"/>
            <w:gridSpan w:val="7"/>
          </w:tcPr>
          <w:p w14:paraId="5DEFE9F4" w14:textId="77777777" w:rsidR="006016B9" w:rsidRPr="005216CB" w:rsidRDefault="006016B9" w:rsidP="00167D21">
            <w:pPr>
              <w:pStyle w:val="DETTablebulletlist"/>
              <w:rPr>
                <w:lang w:val="en-AU"/>
              </w:rPr>
            </w:pPr>
            <w:r w:rsidRPr="005216CB">
              <w:rPr>
                <w:lang w:val="en-AU"/>
              </w:rPr>
              <w:t>Solar panels have been installed at one regional office.</w:t>
            </w:r>
          </w:p>
          <w:p w14:paraId="57EF2B6D" w14:textId="77777777" w:rsidR="006016B9" w:rsidRPr="005216CB" w:rsidRDefault="006016B9" w:rsidP="00167D21">
            <w:pPr>
              <w:pStyle w:val="DETTablebulletlist"/>
              <w:rPr>
                <w:lang w:val="en-AU"/>
              </w:rPr>
            </w:pPr>
            <w:r w:rsidRPr="005216CB">
              <w:rPr>
                <w:lang w:val="en-AU"/>
              </w:rPr>
              <w:t>Lighting sensors and times restored where necessary across all central and some regional offices.</w:t>
            </w:r>
          </w:p>
          <w:p w14:paraId="0D61E31F" w14:textId="3674D691" w:rsidR="006016B9" w:rsidRPr="005216CB" w:rsidRDefault="006016B9" w:rsidP="00167D21">
            <w:pPr>
              <w:pStyle w:val="DETTablebulletlist"/>
              <w:rPr>
                <w:lang w:val="en-AU"/>
              </w:rPr>
            </w:pPr>
            <w:r w:rsidRPr="005216CB">
              <w:rPr>
                <w:lang w:val="en-AU"/>
              </w:rPr>
              <w:t>The lease was not extended for one energy in</w:t>
            </w:r>
            <w:r w:rsidR="0053699D">
              <w:rPr>
                <w:lang w:val="en-AU"/>
              </w:rPr>
              <w:t>tensive regional office premise</w:t>
            </w:r>
            <w:r w:rsidRPr="005216CB">
              <w:rPr>
                <w:lang w:val="en-AU"/>
              </w:rPr>
              <w:t xml:space="preserve"> with staff relocated to another existing office.</w:t>
            </w:r>
          </w:p>
          <w:p w14:paraId="7F52CCA9" w14:textId="77777777" w:rsidR="006016B9" w:rsidRPr="005216CB" w:rsidRDefault="006016B9" w:rsidP="00167D21">
            <w:pPr>
              <w:pStyle w:val="DETTablebulletlist"/>
              <w:rPr>
                <w:lang w:val="en-AU"/>
              </w:rPr>
            </w:pPr>
            <w:r w:rsidRPr="005216CB">
              <w:rPr>
                <w:lang w:val="en-AU"/>
              </w:rPr>
              <w:t>Significant improvements conducted to the HVAC gas system of the centrally-based offices.</w:t>
            </w:r>
          </w:p>
          <w:p w14:paraId="26827CA3" w14:textId="77777777" w:rsidR="006016B9" w:rsidRPr="005216CB" w:rsidRDefault="006016B9" w:rsidP="00167D21">
            <w:pPr>
              <w:pStyle w:val="DETTablebulletlist"/>
              <w:rPr>
                <w:lang w:val="en-AU"/>
              </w:rPr>
            </w:pPr>
            <w:r w:rsidRPr="005216CB">
              <w:rPr>
                <w:lang w:val="en-AU"/>
              </w:rPr>
              <w:t>The Department participated in the national Earth Hour event.</w:t>
            </w:r>
          </w:p>
        </w:tc>
      </w:tr>
    </w:tbl>
    <w:p w14:paraId="371F4351" w14:textId="77777777" w:rsidR="008C66E6" w:rsidRDefault="008C66E6" w:rsidP="00167D21">
      <w:pPr>
        <w:pStyle w:val="Heading4"/>
      </w:pPr>
    </w:p>
    <w:p w14:paraId="01E0E4B3" w14:textId="77777777" w:rsidR="008C66E6" w:rsidRDefault="008C66E6">
      <w:pPr>
        <w:spacing w:after="200" w:line="276" w:lineRule="auto"/>
        <w:rPr>
          <w:b/>
          <w:i/>
        </w:rPr>
      </w:pPr>
      <w:r>
        <w:br w:type="page"/>
      </w:r>
    </w:p>
    <w:p w14:paraId="12A7F9DA" w14:textId="4566553D" w:rsidR="006016B9" w:rsidRPr="0087752B" w:rsidRDefault="006016B9" w:rsidP="00167D21">
      <w:pPr>
        <w:pStyle w:val="Heading4"/>
      </w:pPr>
      <w:r w:rsidRPr="0087752B">
        <w:lastRenderedPageBreak/>
        <w:t>Explanatory notes</w:t>
      </w:r>
    </w:p>
    <w:p w14:paraId="5128DEC2" w14:textId="5F8A32DE" w:rsidR="006016B9" w:rsidRPr="0087752B" w:rsidRDefault="006016B9" w:rsidP="006016B9">
      <w:r w:rsidRPr="0087752B">
        <w:t xml:space="preserve">Electricity and gas consumption has increased since 2013–14, </w:t>
      </w:r>
      <w:r w:rsidR="00D27FE7">
        <w:t>6</w:t>
      </w:r>
      <w:r w:rsidR="003C4DE2" w:rsidRPr="0087752B">
        <w:t xml:space="preserve"> </w:t>
      </w:r>
      <w:r w:rsidRPr="0087752B">
        <w:t xml:space="preserve">per cent and 13 per cent respectively in aggregate and </w:t>
      </w:r>
      <w:r w:rsidR="00D27FE7">
        <w:t>7</w:t>
      </w:r>
      <w:r w:rsidR="003C4DE2" w:rsidRPr="0087752B">
        <w:t xml:space="preserve"> </w:t>
      </w:r>
      <w:r w:rsidRPr="0087752B">
        <w:t>per cent in office areas. Given this increase, the Department will re-assess energy consumption and take further action to meet targets.</w:t>
      </w:r>
    </w:p>
    <w:p w14:paraId="27F6AC05" w14:textId="77777777" w:rsidR="006016B9" w:rsidRPr="0087752B" w:rsidRDefault="006016B9" w:rsidP="006016B9">
      <w:pPr>
        <w:sectPr w:rsidR="006016B9" w:rsidRPr="0087752B" w:rsidSect="008E384B">
          <w:pgSz w:w="11906" w:h="16838" w:code="9"/>
          <w:pgMar w:top="1814" w:right="1701" w:bottom="1418" w:left="2835" w:header="851" w:footer="567" w:gutter="0"/>
          <w:cols w:space="567"/>
          <w:docGrid w:linePitch="360"/>
        </w:sectPr>
      </w:pPr>
      <w:r w:rsidRPr="0087752B">
        <w:t xml:space="preserve">All central and some regional offices share energy meters with other non-Departmental buildings. The data presented is based on a percentage of the net leased area held by the Department’s buildings. </w:t>
      </w:r>
    </w:p>
    <w:p w14:paraId="3D31F2BD" w14:textId="77777777" w:rsidR="006016B9" w:rsidRPr="00E73803" w:rsidRDefault="006016B9" w:rsidP="00F91533">
      <w:pPr>
        <w:pStyle w:val="Heading3"/>
      </w:pPr>
      <w:r w:rsidRPr="001F07C0">
        <w:lastRenderedPageBreak/>
        <w:t>Waste</w:t>
      </w:r>
    </w:p>
    <w:p w14:paraId="403A1BF8" w14:textId="77777777" w:rsidR="006016B9" w:rsidRPr="0087752B" w:rsidRDefault="006016B9" w:rsidP="006016B9">
      <w:r w:rsidRPr="0087752B">
        <w:t>The Department continues to address waste generation through a variety of re-use and recycling methods. The data below is based on collections at four central offices, which comprise 54 per cent of the total reportable net leased area and 55.8 per cent of FTEs.</w:t>
      </w:r>
    </w:p>
    <w:p w14:paraId="61A0E964" w14:textId="77777777" w:rsidR="006016B9" w:rsidRPr="0087752B" w:rsidRDefault="006016B9" w:rsidP="006016B9"/>
    <w:tbl>
      <w:tblPr>
        <w:tblW w:w="0" w:type="auto"/>
        <w:tblLook w:val="04A0" w:firstRow="1" w:lastRow="0" w:firstColumn="1" w:lastColumn="0" w:noHBand="0" w:noVBand="1"/>
      </w:tblPr>
      <w:tblGrid>
        <w:gridCol w:w="2518"/>
        <w:gridCol w:w="1134"/>
        <w:gridCol w:w="1134"/>
        <w:gridCol w:w="1134"/>
        <w:gridCol w:w="1134"/>
        <w:gridCol w:w="1134"/>
        <w:gridCol w:w="1134"/>
        <w:gridCol w:w="1134"/>
        <w:gridCol w:w="1134"/>
        <w:gridCol w:w="1134"/>
        <w:gridCol w:w="1098"/>
      </w:tblGrid>
      <w:tr w:rsidR="006016B9" w:rsidRPr="0087752B" w14:paraId="6D320605" w14:textId="77777777" w:rsidTr="00167D21">
        <w:tc>
          <w:tcPr>
            <w:tcW w:w="2518" w:type="dxa"/>
            <w:tcBorders>
              <w:top w:val="nil"/>
              <w:left w:val="nil"/>
              <w:bottom w:val="nil"/>
              <w:right w:val="nil"/>
            </w:tcBorders>
            <w:shd w:val="clear" w:color="auto" w:fill="7F7F7F" w:themeFill="text1" w:themeFillTint="80"/>
            <w:vAlign w:val="center"/>
          </w:tcPr>
          <w:p w14:paraId="75268AE6" w14:textId="77777777" w:rsidR="006016B9" w:rsidRPr="0087752B" w:rsidRDefault="006016B9" w:rsidP="00167D21">
            <w:pPr>
              <w:pStyle w:val="DETTablecolumnheading"/>
            </w:pPr>
          </w:p>
        </w:tc>
        <w:tc>
          <w:tcPr>
            <w:tcW w:w="5670" w:type="dxa"/>
            <w:gridSpan w:val="5"/>
            <w:tcBorders>
              <w:top w:val="nil"/>
              <w:left w:val="nil"/>
              <w:bottom w:val="nil"/>
              <w:right w:val="nil"/>
            </w:tcBorders>
            <w:shd w:val="clear" w:color="auto" w:fill="7F7F7F" w:themeFill="text1" w:themeFillTint="80"/>
            <w:vAlign w:val="center"/>
          </w:tcPr>
          <w:p w14:paraId="62AB9722" w14:textId="7A0494F9" w:rsidR="006016B9" w:rsidRPr="0087752B" w:rsidRDefault="006016B9" w:rsidP="00167D21">
            <w:pPr>
              <w:pStyle w:val="DETTablecolumnheading"/>
              <w:jc w:val="left"/>
            </w:pPr>
            <w:r w:rsidRPr="0087752B">
              <w:t>2015</w:t>
            </w:r>
            <w:r w:rsidR="003C4DE2">
              <w:t>–</w:t>
            </w:r>
            <w:r w:rsidRPr="0087752B">
              <w:t>16</w:t>
            </w:r>
          </w:p>
        </w:tc>
        <w:tc>
          <w:tcPr>
            <w:tcW w:w="5634" w:type="dxa"/>
            <w:gridSpan w:val="5"/>
            <w:tcBorders>
              <w:top w:val="nil"/>
              <w:left w:val="nil"/>
              <w:bottom w:val="nil"/>
              <w:right w:val="nil"/>
            </w:tcBorders>
            <w:shd w:val="clear" w:color="auto" w:fill="7F7F7F" w:themeFill="text1" w:themeFillTint="80"/>
            <w:vAlign w:val="center"/>
          </w:tcPr>
          <w:p w14:paraId="6BD1DDAC" w14:textId="1CD40D52" w:rsidR="006016B9" w:rsidRPr="0087752B" w:rsidRDefault="006016B9" w:rsidP="00167D21">
            <w:pPr>
              <w:pStyle w:val="DETTablecolumnheading"/>
              <w:jc w:val="left"/>
            </w:pPr>
            <w:r w:rsidRPr="0087752B">
              <w:t>2014</w:t>
            </w:r>
            <w:r w:rsidR="003C4DE2">
              <w:t>–</w:t>
            </w:r>
            <w:r w:rsidRPr="0087752B">
              <w:t>15</w:t>
            </w:r>
          </w:p>
        </w:tc>
      </w:tr>
      <w:tr w:rsidR="006016B9" w:rsidRPr="0087752B" w14:paraId="3713F64F" w14:textId="77777777" w:rsidTr="00167D21">
        <w:tc>
          <w:tcPr>
            <w:tcW w:w="2518" w:type="dxa"/>
            <w:tcBorders>
              <w:top w:val="nil"/>
              <w:left w:val="nil"/>
              <w:bottom w:val="nil"/>
              <w:right w:val="nil"/>
            </w:tcBorders>
            <w:shd w:val="clear" w:color="auto" w:fill="7F7F7F" w:themeFill="text1" w:themeFillTint="80"/>
            <w:vAlign w:val="center"/>
          </w:tcPr>
          <w:p w14:paraId="331DD571" w14:textId="77777777" w:rsidR="006016B9" w:rsidRPr="0087752B" w:rsidRDefault="006016B9" w:rsidP="00167D21">
            <w:pPr>
              <w:pStyle w:val="DETTablecolumnheading"/>
            </w:pPr>
            <w:r w:rsidRPr="0087752B">
              <w:t>Indicator</w:t>
            </w:r>
          </w:p>
        </w:tc>
        <w:tc>
          <w:tcPr>
            <w:tcW w:w="1134" w:type="dxa"/>
            <w:tcBorders>
              <w:top w:val="nil"/>
              <w:left w:val="nil"/>
              <w:bottom w:val="nil"/>
              <w:right w:val="nil"/>
            </w:tcBorders>
            <w:shd w:val="clear" w:color="auto" w:fill="7F7F7F" w:themeFill="text1" w:themeFillTint="80"/>
            <w:vAlign w:val="center"/>
          </w:tcPr>
          <w:p w14:paraId="1A9231FC" w14:textId="77777777" w:rsidR="006016B9" w:rsidRPr="0087752B" w:rsidRDefault="006016B9" w:rsidP="00167D21">
            <w:pPr>
              <w:pStyle w:val="DETTablecolumnheading"/>
            </w:pPr>
            <w:r w:rsidRPr="0087752B">
              <w:t>Landfill</w:t>
            </w:r>
          </w:p>
        </w:tc>
        <w:tc>
          <w:tcPr>
            <w:tcW w:w="1134" w:type="dxa"/>
            <w:tcBorders>
              <w:top w:val="nil"/>
              <w:left w:val="nil"/>
              <w:bottom w:val="nil"/>
              <w:right w:val="nil"/>
            </w:tcBorders>
            <w:shd w:val="clear" w:color="auto" w:fill="7F7F7F" w:themeFill="text1" w:themeFillTint="80"/>
            <w:vAlign w:val="center"/>
          </w:tcPr>
          <w:p w14:paraId="75945388" w14:textId="77777777" w:rsidR="006016B9" w:rsidRPr="0087752B" w:rsidRDefault="006016B9" w:rsidP="00167D21">
            <w:pPr>
              <w:pStyle w:val="DETTablecolumnheading"/>
            </w:pPr>
            <w:r w:rsidRPr="0087752B">
              <w:t>Co-mingled recycling</w:t>
            </w:r>
          </w:p>
        </w:tc>
        <w:tc>
          <w:tcPr>
            <w:tcW w:w="1134" w:type="dxa"/>
            <w:tcBorders>
              <w:top w:val="nil"/>
              <w:left w:val="nil"/>
              <w:bottom w:val="nil"/>
              <w:right w:val="nil"/>
            </w:tcBorders>
            <w:shd w:val="clear" w:color="auto" w:fill="7F7F7F" w:themeFill="text1" w:themeFillTint="80"/>
            <w:vAlign w:val="center"/>
          </w:tcPr>
          <w:p w14:paraId="56557114" w14:textId="77777777" w:rsidR="006016B9" w:rsidRPr="0087752B" w:rsidRDefault="006016B9" w:rsidP="00167D21">
            <w:pPr>
              <w:pStyle w:val="DETTablecolumnheading"/>
            </w:pPr>
            <w:r w:rsidRPr="0087752B">
              <w:t>Compost</w:t>
            </w:r>
          </w:p>
        </w:tc>
        <w:tc>
          <w:tcPr>
            <w:tcW w:w="1134" w:type="dxa"/>
            <w:tcBorders>
              <w:top w:val="nil"/>
              <w:left w:val="nil"/>
              <w:bottom w:val="nil"/>
              <w:right w:val="nil"/>
            </w:tcBorders>
            <w:shd w:val="clear" w:color="auto" w:fill="7F7F7F" w:themeFill="text1" w:themeFillTint="80"/>
            <w:vAlign w:val="center"/>
          </w:tcPr>
          <w:p w14:paraId="26E00307" w14:textId="77777777" w:rsidR="006016B9" w:rsidRPr="0087752B" w:rsidRDefault="006016B9" w:rsidP="00167D21">
            <w:pPr>
              <w:pStyle w:val="DETTablecolumnheading"/>
              <w:rPr>
                <w:highlight w:val="yellow"/>
              </w:rPr>
            </w:pPr>
            <w:r w:rsidRPr="0087752B">
              <w:t>Shredded paper</w:t>
            </w:r>
          </w:p>
        </w:tc>
        <w:tc>
          <w:tcPr>
            <w:tcW w:w="1134" w:type="dxa"/>
            <w:tcBorders>
              <w:top w:val="nil"/>
              <w:left w:val="nil"/>
              <w:bottom w:val="nil"/>
              <w:right w:val="nil"/>
            </w:tcBorders>
            <w:shd w:val="clear" w:color="auto" w:fill="7F7F7F" w:themeFill="text1" w:themeFillTint="80"/>
            <w:vAlign w:val="center"/>
          </w:tcPr>
          <w:p w14:paraId="7AE0F98F" w14:textId="77777777" w:rsidR="006016B9" w:rsidRPr="0087752B" w:rsidRDefault="006016B9" w:rsidP="00167D21">
            <w:pPr>
              <w:pStyle w:val="DETTablecolumnheading"/>
            </w:pPr>
            <w:r w:rsidRPr="0087752B">
              <w:t>Other</w:t>
            </w:r>
          </w:p>
        </w:tc>
        <w:tc>
          <w:tcPr>
            <w:tcW w:w="1134" w:type="dxa"/>
            <w:tcBorders>
              <w:top w:val="nil"/>
              <w:left w:val="nil"/>
              <w:bottom w:val="nil"/>
              <w:right w:val="nil"/>
            </w:tcBorders>
            <w:shd w:val="clear" w:color="auto" w:fill="7F7F7F" w:themeFill="text1" w:themeFillTint="80"/>
            <w:vAlign w:val="center"/>
          </w:tcPr>
          <w:p w14:paraId="23D2D0DF" w14:textId="77777777" w:rsidR="006016B9" w:rsidRPr="0087752B" w:rsidRDefault="006016B9" w:rsidP="00167D21">
            <w:pPr>
              <w:pStyle w:val="DETTablecolumnheading"/>
            </w:pPr>
            <w:r w:rsidRPr="0087752B">
              <w:t>Landfill</w:t>
            </w:r>
          </w:p>
        </w:tc>
        <w:tc>
          <w:tcPr>
            <w:tcW w:w="1134" w:type="dxa"/>
            <w:tcBorders>
              <w:top w:val="nil"/>
              <w:left w:val="nil"/>
              <w:bottom w:val="nil"/>
              <w:right w:val="nil"/>
            </w:tcBorders>
            <w:shd w:val="clear" w:color="auto" w:fill="7F7F7F" w:themeFill="text1" w:themeFillTint="80"/>
            <w:vAlign w:val="center"/>
          </w:tcPr>
          <w:p w14:paraId="69A3C078" w14:textId="77777777" w:rsidR="006016B9" w:rsidRPr="0087752B" w:rsidRDefault="006016B9" w:rsidP="00167D21">
            <w:pPr>
              <w:pStyle w:val="DETTablecolumnheading"/>
            </w:pPr>
            <w:r w:rsidRPr="0087752B">
              <w:t>Co-mingled recycling</w:t>
            </w:r>
          </w:p>
        </w:tc>
        <w:tc>
          <w:tcPr>
            <w:tcW w:w="1134" w:type="dxa"/>
            <w:tcBorders>
              <w:top w:val="nil"/>
              <w:left w:val="nil"/>
              <w:bottom w:val="nil"/>
              <w:right w:val="nil"/>
            </w:tcBorders>
            <w:shd w:val="clear" w:color="auto" w:fill="7F7F7F" w:themeFill="text1" w:themeFillTint="80"/>
            <w:vAlign w:val="center"/>
          </w:tcPr>
          <w:p w14:paraId="4A1BA40B" w14:textId="77777777" w:rsidR="006016B9" w:rsidRPr="0087752B" w:rsidRDefault="006016B9" w:rsidP="00167D21">
            <w:pPr>
              <w:pStyle w:val="DETTablecolumnheading"/>
            </w:pPr>
            <w:r w:rsidRPr="0087752B">
              <w:t>Compost</w:t>
            </w:r>
          </w:p>
        </w:tc>
        <w:tc>
          <w:tcPr>
            <w:tcW w:w="1134" w:type="dxa"/>
            <w:tcBorders>
              <w:top w:val="nil"/>
              <w:left w:val="nil"/>
              <w:bottom w:val="nil"/>
              <w:right w:val="nil"/>
            </w:tcBorders>
            <w:shd w:val="clear" w:color="auto" w:fill="7F7F7F" w:themeFill="text1" w:themeFillTint="80"/>
            <w:vAlign w:val="center"/>
          </w:tcPr>
          <w:p w14:paraId="21711BC8" w14:textId="77777777" w:rsidR="006016B9" w:rsidRPr="0087752B" w:rsidRDefault="006016B9" w:rsidP="00167D21">
            <w:pPr>
              <w:pStyle w:val="DETTablecolumnheading"/>
            </w:pPr>
            <w:r w:rsidRPr="0087752B">
              <w:t>Shredded paper</w:t>
            </w:r>
          </w:p>
        </w:tc>
        <w:tc>
          <w:tcPr>
            <w:tcW w:w="1098" w:type="dxa"/>
            <w:tcBorders>
              <w:top w:val="nil"/>
              <w:left w:val="nil"/>
              <w:bottom w:val="nil"/>
              <w:right w:val="nil"/>
            </w:tcBorders>
            <w:shd w:val="clear" w:color="auto" w:fill="7F7F7F" w:themeFill="text1" w:themeFillTint="80"/>
            <w:vAlign w:val="center"/>
          </w:tcPr>
          <w:p w14:paraId="0B437CB6" w14:textId="77777777" w:rsidR="006016B9" w:rsidRPr="0087752B" w:rsidRDefault="006016B9" w:rsidP="00167D21">
            <w:pPr>
              <w:pStyle w:val="DETTablecolumnheading"/>
            </w:pPr>
            <w:r w:rsidRPr="0087752B">
              <w:t>Other</w:t>
            </w:r>
          </w:p>
        </w:tc>
      </w:tr>
      <w:tr w:rsidR="006016B9" w:rsidRPr="0087752B" w14:paraId="5AFAC6D4" w14:textId="77777777" w:rsidTr="00167D21">
        <w:tc>
          <w:tcPr>
            <w:tcW w:w="2518" w:type="dxa"/>
            <w:tcBorders>
              <w:top w:val="nil"/>
              <w:left w:val="nil"/>
              <w:bottom w:val="nil"/>
              <w:right w:val="nil"/>
            </w:tcBorders>
            <w:vAlign w:val="center"/>
          </w:tcPr>
          <w:p w14:paraId="13DD0447" w14:textId="77777777" w:rsidR="006016B9" w:rsidRPr="0087752B" w:rsidRDefault="006016B9" w:rsidP="00167D21">
            <w:pPr>
              <w:pStyle w:val="DETTableTextFinancial"/>
            </w:pPr>
            <w:r w:rsidRPr="0087752B">
              <w:t>Total units of waste disposed of by destination (kg/yr)</w:t>
            </w:r>
          </w:p>
        </w:tc>
        <w:tc>
          <w:tcPr>
            <w:tcW w:w="1134" w:type="dxa"/>
            <w:tcBorders>
              <w:top w:val="nil"/>
              <w:left w:val="nil"/>
              <w:bottom w:val="nil"/>
              <w:right w:val="nil"/>
            </w:tcBorders>
            <w:shd w:val="clear" w:color="auto" w:fill="F8F8F8"/>
            <w:vAlign w:val="center"/>
          </w:tcPr>
          <w:p w14:paraId="20F9C786" w14:textId="77777777" w:rsidR="006016B9" w:rsidRPr="0087752B" w:rsidRDefault="006016B9" w:rsidP="00167D21">
            <w:pPr>
              <w:pStyle w:val="DETTableTextFinancial"/>
              <w:jc w:val="right"/>
            </w:pPr>
            <w:r w:rsidRPr="0087752B">
              <w:t>24,343</w:t>
            </w:r>
          </w:p>
        </w:tc>
        <w:tc>
          <w:tcPr>
            <w:tcW w:w="1134" w:type="dxa"/>
            <w:tcBorders>
              <w:top w:val="nil"/>
              <w:left w:val="nil"/>
              <w:bottom w:val="nil"/>
              <w:right w:val="nil"/>
            </w:tcBorders>
            <w:shd w:val="clear" w:color="auto" w:fill="F8F8F8"/>
            <w:vAlign w:val="center"/>
          </w:tcPr>
          <w:p w14:paraId="29682E35" w14:textId="0AB43652" w:rsidR="006016B9" w:rsidRPr="0087752B" w:rsidRDefault="006016B9" w:rsidP="00167D21">
            <w:pPr>
              <w:pStyle w:val="DETTableTextFinancial"/>
              <w:jc w:val="right"/>
            </w:pPr>
            <w:r w:rsidRPr="0087752B">
              <w:t>8</w:t>
            </w:r>
            <w:r w:rsidR="003C4DE2">
              <w:t>,</w:t>
            </w:r>
            <w:r w:rsidRPr="0087752B">
              <w:t>734</w:t>
            </w:r>
          </w:p>
        </w:tc>
        <w:tc>
          <w:tcPr>
            <w:tcW w:w="1134" w:type="dxa"/>
            <w:tcBorders>
              <w:top w:val="nil"/>
              <w:left w:val="nil"/>
              <w:bottom w:val="nil"/>
              <w:right w:val="nil"/>
            </w:tcBorders>
            <w:shd w:val="clear" w:color="auto" w:fill="F8F8F8"/>
            <w:vAlign w:val="center"/>
          </w:tcPr>
          <w:p w14:paraId="1CC16885" w14:textId="77777777" w:rsidR="006016B9" w:rsidRPr="0087752B" w:rsidRDefault="006016B9" w:rsidP="00167D21">
            <w:pPr>
              <w:pStyle w:val="DETTableTextFinancial"/>
              <w:jc w:val="right"/>
            </w:pPr>
            <w:r w:rsidRPr="0087752B">
              <w:t>13,440</w:t>
            </w:r>
          </w:p>
        </w:tc>
        <w:tc>
          <w:tcPr>
            <w:tcW w:w="1134" w:type="dxa"/>
            <w:tcBorders>
              <w:top w:val="nil"/>
              <w:left w:val="nil"/>
              <w:bottom w:val="nil"/>
              <w:right w:val="nil"/>
            </w:tcBorders>
            <w:shd w:val="clear" w:color="auto" w:fill="F8F8F8"/>
            <w:vAlign w:val="center"/>
          </w:tcPr>
          <w:p w14:paraId="42D371CF" w14:textId="77777777" w:rsidR="006016B9" w:rsidRPr="0087752B" w:rsidRDefault="006016B9" w:rsidP="00167D21">
            <w:pPr>
              <w:pStyle w:val="DETTableTextFinancial"/>
              <w:jc w:val="right"/>
            </w:pPr>
            <w:r w:rsidRPr="0087752B">
              <w:t>12,103</w:t>
            </w:r>
          </w:p>
        </w:tc>
        <w:tc>
          <w:tcPr>
            <w:tcW w:w="1134" w:type="dxa"/>
            <w:tcBorders>
              <w:top w:val="nil"/>
              <w:left w:val="nil"/>
              <w:bottom w:val="nil"/>
              <w:right w:val="nil"/>
            </w:tcBorders>
            <w:shd w:val="clear" w:color="auto" w:fill="F8F8F8"/>
            <w:vAlign w:val="center"/>
          </w:tcPr>
          <w:p w14:paraId="44C1F495" w14:textId="507232F5" w:rsidR="006016B9" w:rsidRPr="0087752B" w:rsidRDefault="006016B9" w:rsidP="00167D21">
            <w:pPr>
              <w:pStyle w:val="DETTableTextFinancial"/>
              <w:jc w:val="right"/>
            </w:pPr>
            <w:r w:rsidRPr="0087752B">
              <w:t>1</w:t>
            </w:r>
            <w:r w:rsidR="003C4DE2">
              <w:t>,</w:t>
            </w:r>
            <w:r w:rsidRPr="0087752B">
              <w:t>435</w:t>
            </w:r>
          </w:p>
        </w:tc>
        <w:tc>
          <w:tcPr>
            <w:tcW w:w="1134" w:type="dxa"/>
            <w:tcBorders>
              <w:top w:val="nil"/>
              <w:left w:val="nil"/>
              <w:bottom w:val="nil"/>
              <w:right w:val="nil"/>
            </w:tcBorders>
            <w:vAlign w:val="center"/>
          </w:tcPr>
          <w:p w14:paraId="5FD0BE8F" w14:textId="77777777" w:rsidR="006016B9" w:rsidRPr="0087752B" w:rsidRDefault="006016B9" w:rsidP="00167D21">
            <w:pPr>
              <w:pStyle w:val="DETTableTextFinancial"/>
              <w:jc w:val="right"/>
            </w:pPr>
            <w:r w:rsidRPr="0087752B">
              <w:t>15,198</w:t>
            </w:r>
          </w:p>
        </w:tc>
        <w:tc>
          <w:tcPr>
            <w:tcW w:w="1134" w:type="dxa"/>
            <w:tcBorders>
              <w:top w:val="nil"/>
              <w:left w:val="nil"/>
              <w:bottom w:val="nil"/>
              <w:right w:val="nil"/>
            </w:tcBorders>
            <w:vAlign w:val="center"/>
          </w:tcPr>
          <w:p w14:paraId="662B6A42" w14:textId="070B0EA7" w:rsidR="006016B9" w:rsidRPr="0087752B" w:rsidRDefault="006016B9" w:rsidP="00167D21">
            <w:pPr>
              <w:pStyle w:val="DETTableTextFinancial"/>
              <w:jc w:val="right"/>
            </w:pPr>
            <w:r w:rsidRPr="0087752B">
              <w:t>9</w:t>
            </w:r>
            <w:r w:rsidR="003C4DE2">
              <w:t>,</w:t>
            </w:r>
            <w:r w:rsidRPr="0087752B">
              <w:t>225</w:t>
            </w:r>
          </w:p>
        </w:tc>
        <w:tc>
          <w:tcPr>
            <w:tcW w:w="1134" w:type="dxa"/>
            <w:tcBorders>
              <w:top w:val="nil"/>
              <w:left w:val="nil"/>
              <w:bottom w:val="nil"/>
              <w:right w:val="nil"/>
            </w:tcBorders>
            <w:vAlign w:val="center"/>
          </w:tcPr>
          <w:p w14:paraId="2A985EEA" w14:textId="77777777" w:rsidR="006016B9" w:rsidRPr="0087752B" w:rsidRDefault="006016B9" w:rsidP="00167D21">
            <w:pPr>
              <w:pStyle w:val="DETTableTextFinancial"/>
              <w:jc w:val="right"/>
            </w:pPr>
            <w:r w:rsidRPr="0087752B">
              <w:t>10,103</w:t>
            </w:r>
          </w:p>
        </w:tc>
        <w:tc>
          <w:tcPr>
            <w:tcW w:w="1134" w:type="dxa"/>
            <w:tcBorders>
              <w:top w:val="nil"/>
              <w:left w:val="nil"/>
              <w:bottom w:val="nil"/>
              <w:right w:val="nil"/>
            </w:tcBorders>
            <w:vAlign w:val="center"/>
          </w:tcPr>
          <w:p w14:paraId="327DF0EE" w14:textId="77777777" w:rsidR="006016B9" w:rsidRPr="0087752B" w:rsidRDefault="006016B9" w:rsidP="00167D21">
            <w:pPr>
              <w:pStyle w:val="DETTableTextFinancial"/>
              <w:jc w:val="right"/>
            </w:pPr>
            <w:r w:rsidRPr="0087752B">
              <w:t>36,507</w:t>
            </w:r>
          </w:p>
        </w:tc>
        <w:tc>
          <w:tcPr>
            <w:tcW w:w="1098" w:type="dxa"/>
            <w:tcBorders>
              <w:top w:val="nil"/>
              <w:left w:val="nil"/>
              <w:bottom w:val="nil"/>
              <w:right w:val="nil"/>
            </w:tcBorders>
            <w:vAlign w:val="center"/>
          </w:tcPr>
          <w:p w14:paraId="24909D99" w14:textId="4E6C9457" w:rsidR="006016B9" w:rsidRPr="0087752B" w:rsidRDefault="006016B9" w:rsidP="00167D21">
            <w:pPr>
              <w:pStyle w:val="DETTableTextFinancial"/>
              <w:jc w:val="right"/>
            </w:pPr>
            <w:r w:rsidRPr="0087752B">
              <w:t>2</w:t>
            </w:r>
            <w:r w:rsidR="003C4DE2">
              <w:t>,</w:t>
            </w:r>
            <w:r w:rsidRPr="0087752B">
              <w:t>138</w:t>
            </w:r>
          </w:p>
        </w:tc>
      </w:tr>
      <w:tr w:rsidR="006016B9" w:rsidRPr="0087752B" w14:paraId="1110DA41" w14:textId="77777777" w:rsidTr="00167D21">
        <w:tc>
          <w:tcPr>
            <w:tcW w:w="2518" w:type="dxa"/>
            <w:tcBorders>
              <w:top w:val="nil"/>
              <w:left w:val="nil"/>
              <w:bottom w:val="single" w:sz="4" w:space="0" w:color="auto"/>
              <w:right w:val="nil"/>
            </w:tcBorders>
            <w:vAlign w:val="center"/>
          </w:tcPr>
          <w:p w14:paraId="61AAA175" w14:textId="77777777" w:rsidR="006016B9" w:rsidRPr="0087752B" w:rsidRDefault="006016B9" w:rsidP="00167D21">
            <w:pPr>
              <w:pStyle w:val="DETTableTextFinancial"/>
            </w:pPr>
            <w:r w:rsidRPr="0087752B">
              <w:t>Units of waste disposed of per FTE by destination (kg/FTE)</w:t>
            </w:r>
          </w:p>
        </w:tc>
        <w:tc>
          <w:tcPr>
            <w:tcW w:w="1134" w:type="dxa"/>
            <w:tcBorders>
              <w:top w:val="nil"/>
              <w:left w:val="nil"/>
              <w:bottom w:val="single" w:sz="4" w:space="0" w:color="auto"/>
              <w:right w:val="nil"/>
            </w:tcBorders>
            <w:shd w:val="clear" w:color="auto" w:fill="F8F8F8"/>
            <w:vAlign w:val="center"/>
          </w:tcPr>
          <w:p w14:paraId="6A00FBAA" w14:textId="77777777" w:rsidR="006016B9" w:rsidRPr="0087752B" w:rsidRDefault="006016B9" w:rsidP="00167D21">
            <w:pPr>
              <w:pStyle w:val="DETTableTextFinancial"/>
              <w:jc w:val="right"/>
            </w:pPr>
            <w:r w:rsidRPr="0087752B">
              <w:t>20</w:t>
            </w:r>
          </w:p>
        </w:tc>
        <w:tc>
          <w:tcPr>
            <w:tcW w:w="1134" w:type="dxa"/>
            <w:tcBorders>
              <w:top w:val="nil"/>
              <w:left w:val="nil"/>
              <w:bottom w:val="single" w:sz="4" w:space="0" w:color="auto"/>
              <w:right w:val="nil"/>
            </w:tcBorders>
            <w:shd w:val="clear" w:color="auto" w:fill="F8F8F8"/>
            <w:vAlign w:val="center"/>
          </w:tcPr>
          <w:p w14:paraId="42C393C1" w14:textId="77777777" w:rsidR="006016B9" w:rsidRPr="0087752B" w:rsidRDefault="006016B9" w:rsidP="00167D21">
            <w:pPr>
              <w:pStyle w:val="DETTableTextFinancial"/>
              <w:jc w:val="right"/>
            </w:pPr>
            <w:r w:rsidRPr="0087752B">
              <w:t>7</w:t>
            </w:r>
          </w:p>
        </w:tc>
        <w:tc>
          <w:tcPr>
            <w:tcW w:w="1134" w:type="dxa"/>
            <w:tcBorders>
              <w:top w:val="nil"/>
              <w:left w:val="nil"/>
              <w:bottom w:val="single" w:sz="4" w:space="0" w:color="auto"/>
              <w:right w:val="nil"/>
            </w:tcBorders>
            <w:shd w:val="clear" w:color="auto" w:fill="F8F8F8"/>
            <w:vAlign w:val="center"/>
          </w:tcPr>
          <w:p w14:paraId="64083BA3" w14:textId="77777777" w:rsidR="006016B9" w:rsidRPr="0087752B" w:rsidRDefault="006016B9" w:rsidP="00167D21">
            <w:pPr>
              <w:pStyle w:val="DETTableTextFinancial"/>
              <w:jc w:val="right"/>
            </w:pPr>
            <w:r w:rsidRPr="0087752B">
              <w:t>11</w:t>
            </w:r>
          </w:p>
        </w:tc>
        <w:tc>
          <w:tcPr>
            <w:tcW w:w="1134" w:type="dxa"/>
            <w:tcBorders>
              <w:top w:val="nil"/>
              <w:left w:val="nil"/>
              <w:bottom w:val="single" w:sz="4" w:space="0" w:color="auto"/>
              <w:right w:val="nil"/>
            </w:tcBorders>
            <w:shd w:val="clear" w:color="auto" w:fill="F8F8F8"/>
            <w:vAlign w:val="center"/>
          </w:tcPr>
          <w:p w14:paraId="2AE4C4F7" w14:textId="77777777" w:rsidR="006016B9" w:rsidRPr="0087752B" w:rsidRDefault="006016B9" w:rsidP="00167D21">
            <w:pPr>
              <w:pStyle w:val="DETTableTextFinancial"/>
              <w:jc w:val="right"/>
            </w:pPr>
            <w:r w:rsidRPr="0087752B">
              <w:t>10</w:t>
            </w:r>
          </w:p>
        </w:tc>
        <w:tc>
          <w:tcPr>
            <w:tcW w:w="1134" w:type="dxa"/>
            <w:tcBorders>
              <w:top w:val="nil"/>
              <w:left w:val="nil"/>
              <w:bottom w:val="single" w:sz="4" w:space="0" w:color="auto"/>
              <w:right w:val="nil"/>
            </w:tcBorders>
            <w:shd w:val="clear" w:color="auto" w:fill="F8F8F8"/>
            <w:vAlign w:val="center"/>
          </w:tcPr>
          <w:p w14:paraId="25650F06" w14:textId="77777777" w:rsidR="006016B9" w:rsidRPr="0087752B" w:rsidRDefault="006016B9" w:rsidP="00167D21">
            <w:pPr>
              <w:pStyle w:val="DETTableTextFinancial"/>
              <w:jc w:val="right"/>
            </w:pPr>
            <w:r w:rsidRPr="0087752B">
              <w:t>1</w:t>
            </w:r>
          </w:p>
        </w:tc>
        <w:tc>
          <w:tcPr>
            <w:tcW w:w="1134" w:type="dxa"/>
            <w:tcBorders>
              <w:top w:val="nil"/>
              <w:left w:val="nil"/>
              <w:bottom w:val="single" w:sz="4" w:space="0" w:color="auto"/>
              <w:right w:val="nil"/>
            </w:tcBorders>
            <w:vAlign w:val="center"/>
          </w:tcPr>
          <w:p w14:paraId="30FE241C" w14:textId="77777777" w:rsidR="006016B9" w:rsidRPr="0087752B" w:rsidRDefault="006016B9" w:rsidP="00167D21">
            <w:pPr>
              <w:pStyle w:val="DETTableTextFinancial"/>
              <w:jc w:val="right"/>
            </w:pPr>
            <w:r w:rsidRPr="0087752B">
              <w:t>14</w:t>
            </w:r>
          </w:p>
        </w:tc>
        <w:tc>
          <w:tcPr>
            <w:tcW w:w="1134" w:type="dxa"/>
            <w:tcBorders>
              <w:top w:val="nil"/>
              <w:left w:val="nil"/>
              <w:bottom w:val="single" w:sz="4" w:space="0" w:color="auto"/>
              <w:right w:val="nil"/>
            </w:tcBorders>
            <w:vAlign w:val="center"/>
          </w:tcPr>
          <w:p w14:paraId="20BC123A" w14:textId="77777777" w:rsidR="006016B9" w:rsidRPr="0087752B" w:rsidRDefault="006016B9" w:rsidP="00167D21">
            <w:pPr>
              <w:pStyle w:val="DETTableTextFinancial"/>
              <w:jc w:val="right"/>
            </w:pPr>
            <w:r w:rsidRPr="0087752B">
              <w:t>8</w:t>
            </w:r>
          </w:p>
        </w:tc>
        <w:tc>
          <w:tcPr>
            <w:tcW w:w="1134" w:type="dxa"/>
            <w:tcBorders>
              <w:top w:val="nil"/>
              <w:left w:val="nil"/>
              <w:bottom w:val="single" w:sz="4" w:space="0" w:color="auto"/>
              <w:right w:val="nil"/>
            </w:tcBorders>
            <w:vAlign w:val="center"/>
          </w:tcPr>
          <w:p w14:paraId="6A13FC8E" w14:textId="77777777" w:rsidR="006016B9" w:rsidRPr="0087752B" w:rsidRDefault="006016B9" w:rsidP="00167D21">
            <w:pPr>
              <w:pStyle w:val="DETTableTextFinancial"/>
              <w:jc w:val="right"/>
            </w:pPr>
            <w:r w:rsidRPr="0087752B">
              <w:t>9</w:t>
            </w:r>
          </w:p>
        </w:tc>
        <w:tc>
          <w:tcPr>
            <w:tcW w:w="1134" w:type="dxa"/>
            <w:tcBorders>
              <w:top w:val="nil"/>
              <w:left w:val="nil"/>
              <w:bottom w:val="single" w:sz="4" w:space="0" w:color="auto"/>
              <w:right w:val="nil"/>
            </w:tcBorders>
            <w:vAlign w:val="center"/>
          </w:tcPr>
          <w:p w14:paraId="1BCCCA5A" w14:textId="77777777" w:rsidR="006016B9" w:rsidRPr="0087752B" w:rsidRDefault="006016B9" w:rsidP="00167D21">
            <w:pPr>
              <w:pStyle w:val="DETTableTextFinancial"/>
              <w:jc w:val="right"/>
            </w:pPr>
            <w:r w:rsidRPr="0087752B">
              <w:t>33</w:t>
            </w:r>
          </w:p>
        </w:tc>
        <w:tc>
          <w:tcPr>
            <w:tcW w:w="1098" w:type="dxa"/>
            <w:tcBorders>
              <w:top w:val="nil"/>
              <w:left w:val="nil"/>
              <w:bottom w:val="single" w:sz="4" w:space="0" w:color="auto"/>
              <w:right w:val="nil"/>
            </w:tcBorders>
            <w:vAlign w:val="center"/>
          </w:tcPr>
          <w:p w14:paraId="1A7B8E5A" w14:textId="77777777" w:rsidR="006016B9" w:rsidRPr="0087752B" w:rsidRDefault="006016B9" w:rsidP="00167D21">
            <w:pPr>
              <w:pStyle w:val="DETTableTextFinancial"/>
              <w:jc w:val="right"/>
            </w:pPr>
            <w:r w:rsidRPr="0087752B">
              <w:t>2</w:t>
            </w:r>
          </w:p>
        </w:tc>
      </w:tr>
      <w:tr w:rsidR="006016B9" w:rsidRPr="0087752B" w14:paraId="3AA34383" w14:textId="77777777" w:rsidTr="00167D21">
        <w:tc>
          <w:tcPr>
            <w:tcW w:w="2518" w:type="dxa"/>
            <w:tcBorders>
              <w:top w:val="single" w:sz="4" w:space="0" w:color="auto"/>
              <w:left w:val="nil"/>
              <w:bottom w:val="single" w:sz="6" w:space="0" w:color="auto"/>
              <w:right w:val="nil"/>
            </w:tcBorders>
            <w:vAlign w:val="center"/>
          </w:tcPr>
          <w:p w14:paraId="4E91B4FF" w14:textId="7EF6A5D5" w:rsidR="006016B9" w:rsidRPr="0087752B" w:rsidRDefault="006016B9" w:rsidP="00167D21">
            <w:pPr>
              <w:pStyle w:val="DETTableTextFinancial"/>
              <w:rPr>
                <w:b/>
              </w:rPr>
            </w:pPr>
            <w:r w:rsidRPr="0087752B">
              <w:rPr>
                <w:b/>
              </w:rPr>
              <w:t xml:space="preserve">Recycling rate </w:t>
            </w:r>
            <w:r w:rsidR="00167D21" w:rsidRPr="0087752B">
              <w:rPr>
                <w:b/>
              </w:rPr>
              <w:br/>
            </w:r>
            <w:r w:rsidRPr="0087752B">
              <w:rPr>
                <w:b/>
              </w:rPr>
              <w:t>(% of total waste)</w:t>
            </w:r>
          </w:p>
        </w:tc>
        <w:tc>
          <w:tcPr>
            <w:tcW w:w="5670" w:type="dxa"/>
            <w:gridSpan w:val="5"/>
            <w:tcBorders>
              <w:top w:val="single" w:sz="4" w:space="0" w:color="auto"/>
              <w:left w:val="nil"/>
              <w:bottom w:val="single" w:sz="6" w:space="0" w:color="auto"/>
              <w:right w:val="nil"/>
            </w:tcBorders>
            <w:shd w:val="clear" w:color="auto" w:fill="F8F8F8"/>
            <w:vAlign w:val="center"/>
          </w:tcPr>
          <w:p w14:paraId="46D97C1E" w14:textId="77777777" w:rsidR="006016B9" w:rsidRPr="0087752B" w:rsidRDefault="006016B9" w:rsidP="00167D21">
            <w:pPr>
              <w:pStyle w:val="DETTableTextFinancial"/>
              <w:jc w:val="center"/>
              <w:rPr>
                <w:b/>
              </w:rPr>
            </w:pPr>
            <w:r w:rsidRPr="0087752B">
              <w:rPr>
                <w:b/>
              </w:rPr>
              <w:t>59</w:t>
            </w:r>
          </w:p>
        </w:tc>
        <w:tc>
          <w:tcPr>
            <w:tcW w:w="5634" w:type="dxa"/>
            <w:gridSpan w:val="5"/>
            <w:tcBorders>
              <w:top w:val="single" w:sz="4" w:space="0" w:color="auto"/>
              <w:left w:val="nil"/>
              <w:bottom w:val="single" w:sz="6" w:space="0" w:color="auto"/>
              <w:right w:val="nil"/>
            </w:tcBorders>
            <w:vAlign w:val="center"/>
          </w:tcPr>
          <w:p w14:paraId="207B70CE" w14:textId="77777777" w:rsidR="006016B9" w:rsidRPr="0087752B" w:rsidRDefault="006016B9" w:rsidP="00167D21">
            <w:pPr>
              <w:pStyle w:val="DETTableTextFinancial"/>
              <w:jc w:val="center"/>
              <w:rPr>
                <w:b/>
              </w:rPr>
            </w:pPr>
            <w:r w:rsidRPr="0087752B">
              <w:rPr>
                <w:b/>
              </w:rPr>
              <w:t>79</w:t>
            </w:r>
          </w:p>
        </w:tc>
      </w:tr>
    </w:tbl>
    <w:p w14:paraId="07140EE7" w14:textId="77777777" w:rsidR="003D4E0B" w:rsidRDefault="003D4E0B" w:rsidP="003D4E0B"/>
    <w:p w14:paraId="51BB0CCC" w14:textId="278C5710" w:rsidR="003D4E0B" w:rsidRDefault="003D4E0B" w:rsidP="003D4E0B">
      <w:r w:rsidRPr="0087752B">
        <w:t xml:space="preserve">‘Other’ includes collection of toner cartridges, polystyrene, steel, reusable plastics and batteries. </w:t>
      </w:r>
    </w:p>
    <w:p w14:paraId="560F4BF0" w14:textId="77777777" w:rsidR="006016B9" w:rsidRPr="0087752B" w:rsidRDefault="006016B9" w:rsidP="00167D21">
      <w:pPr>
        <w:pStyle w:val="Heading4"/>
      </w:pPr>
      <w:r w:rsidRPr="0087752B">
        <w:t>Target</w:t>
      </w:r>
    </w:p>
    <w:p w14:paraId="23E10A69" w14:textId="77777777" w:rsidR="006016B9" w:rsidRPr="0087752B" w:rsidRDefault="006016B9" w:rsidP="006016B9">
      <w:r w:rsidRPr="0087752B">
        <w:t>Increase recycling rate to a minimum of 85 per cent by 31 March 2016.</w:t>
      </w:r>
    </w:p>
    <w:p w14:paraId="0B5917EB" w14:textId="77777777" w:rsidR="006016B9" w:rsidRPr="0087752B" w:rsidRDefault="006016B9" w:rsidP="00167D21">
      <w:pPr>
        <w:pStyle w:val="Heading4"/>
      </w:pPr>
      <w:r w:rsidRPr="0087752B">
        <w:t>Explanatory notes</w:t>
      </w:r>
    </w:p>
    <w:p w14:paraId="73F74791" w14:textId="77777777" w:rsidR="006016B9" w:rsidRPr="0087752B" w:rsidRDefault="006016B9" w:rsidP="006016B9">
      <w:r w:rsidRPr="0087752B">
        <w:t xml:space="preserve">Landfill waste increased significantly in 2015–16. </w:t>
      </w:r>
    </w:p>
    <w:p w14:paraId="70818487" w14:textId="77777777" w:rsidR="006016B9" w:rsidRPr="0087752B" w:rsidRDefault="006016B9" w:rsidP="006016B9">
      <w:r w:rsidRPr="0087752B">
        <w:t>There has been a significant number of office relocations within the precinct adding to the increase in landfill. This was accompanied by lower co-mingled recycling (5 per cent reduction) and other waste (28 per cent reduction). This is despite a large (33 per cent) increase in compost which diverts organic waste from landfill.</w:t>
      </w:r>
    </w:p>
    <w:p w14:paraId="33C61CD0" w14:textId="77777777" w:rsidR="006016B9" w:rsidRPr="0087752B" w:rsidRDefault="006016B9" w:rsidP="006016B9">
      <w:pPr>
        <w:sectPr w:rsidR="006016B9" w:rsidRPr="0087752B" w:rsidSect="006016B9">
          <w:pgSz w:w="16838" w:h="11906" w:orient="landscape" w:code="9"/>
          <w:pgMar w:top="2835" w:right="1814" w:bottom="1701" w:left="1418" w:header="851" w:footer="567" w:gutter="0"/>
          <w:cols w:space="567"/>
          <w:docGrid w:linePitch="360"/>
        </w:sectPr>
      </w:pPr>
      <w:r w:rsidRPr="0087752B">
        <w:t>Waste diverted from landfill represents 59 per cent of total waste, lower than diversion in 2014–15 (79 per cent). The Department will re-assess landfill waste in particular and take further action to meet targets.</w:t>
      </w:r>
    </w:p>
    <w:p w14:paraId="524C3572" w14:textId="77777777" w:rsidR="006016B9" w:rsidRPr="0087752B" w:rsidRDefault="006016B9" w:rsidP="00E3113A">
      <w:pPr>
        <w:pStyle w:val="Heading3"/>
      </w:pPr>
      <w:r w:rsidRPr="0087752B">
        <w:lastRenderedPageBreak/>
        <w:t>Paper</w:t>
      </w:r>
    </w:p>
    <w:p w14:paraId="50AB471B" w14:textId="77777777" w:rsidR="006016B9" w:rsidRPr="0087752B" w:rsidRDefault="006016B9" w:rsidP="006016B9">
      <w:r w:rsidRPr="0087752B">
        <w:t>The data presented below was collected through stationery suppliers and represents 100 per cent of sites and 100 per cent of FTE staff.</w:t>
      </w:r>
    </w:p>
    <w:tbl>
      <w:tblPr>
        <w:tblW w:w="4765" w:type="pct"/>
        <w:tblInd w:w="108" w:type="dxa"/>
        <w:tblLook w:val="04A0" w:firstRow="1" w:lastRow="0" w:firstColumn="1" w:lastColumn="0" w:noHBand="0" w:noVBand="1"/>
      </w:tblPr>
      <w:tblGrid>
        <w:gridCol w:w="8443"/>
        <w:gridCol w:w="2590"/>
        <w:gridCol w:w="2139"/>
      </w:tblGrid>
      <w:tr w:rsidR="006016B9" w:rsidRPr="0087752B" w14:paraId="524B13A5" w14:textId="77777777" w:rsidTr="00E3113A">
        <w:trPr>
          <w:cantSplit/>
        </w:trPr>
        <w:tc>
          <w:tcPr>
            <w:tcW w:w="3205" w:type="pct"/>
            <w:shd w:val="clear" w:color="auto" w:fill="7F7F7F" w:themeFill="text1" w:themeFillTint="80"/>
            <w:vAlign w:val="center"/>
          </w:tcPr>
          <w:p w14:paraId="36409590" w14:textId="77777777" w:rsidR="006016B9" w:rsidRPr="0087752B" w:rsidRDefault="006016B9" w:rsidP="00E3113A">
            <w:pPr>
              <w:pStyle w:val="DETTablecolumnheading"/>
              <w:jc w:val="left"/>
            </w:pPr>
            <w:r w:rsidRPr="0087752B">
              <w:t>Indicator</w:t>
            </w:r>
          </w:p>
        </w:tc>
        <w:tc>
          <w:tcPr>
            <w:tcW w:w="983" w:type="pct"/>
            <w:shd w:val="clear" w:color="auto" w:fill="7F7F7F" w:themeFill="text1" w:themeFillTint="80"/>
            <w:vAlign w:val="center"/>
          </w:tcPr>
          <w:p w14:paraId="66B682B6" w14:textId="77777777" w:rsidR="006016B9" w:rsidRPr="0087752B" w:rsidRDefault="006016B9" w:rsidP="00F91533">
            <w:pPr>
              <w:pStyle w:val="DETTablecolumnheading"/>
            </w:pPr>
            <w:r w:rsidRPr="0087752B">
              <w:t>2015–16</w:t>
            </w:r>
          </w:p>
        </w:tc>
        <w:tc>
          <w:tcPr>
            <w:tcW w:w="812" w:type="pct"/>
            <w:shd w:val="clear" w:color="auto" w:fill="7F7F7F" w:themeFill="text1" w:themeFillTint="80"/>
            <w:vAlign w:val="center"/>
          </w:tcPr>
          <w:p w14:paraId="02C17250" w14:textId="77777777" w:rsidR="006016B9" w:rsidRPr="0087752B" w:rsidRDefault="006016B9" w:rsidP="00F91533">
            <w:pPr>
              <w:pStyle w:val="DETTablecolumnheading"/>
            </w:pPr>
            <w:r w:rsidRPr="0087752B">
              <w:t>2014–15</w:t>
            </w:r>
          </w:p>
        </w:tc>
      </w:tr>
      <w:tr w:rsidR="006016B9" w:rsidRPr="0087752B" w14:paraId="6A3615D8" w14:textId="77777777" w:rsidTr="00E3113A">
        <w:trPr>
          <w:cantSplit/>
        </w:trPr>
        <w:tc>
          <w:tcPr>
            <w:tcW w:w="3205" w:type="pct"/>
            <w:shd w:val="clear" w:color="auto" w:fill="auto"/>
            <w:vAlign w:val="center"/>
          </w:tcPr>
          <w:p w14:paraId="253D7DB5" w14:textId="77777777" w:rsidR="006016B9" w:rsidRPr="0087752B" w:rsidRDefault="006016B9" w:rsidP="00E3113A">
            <w:pPr>
              <w:pStyle w:val="DETTableTextFinancial"/>
            </w:pPr>
            <w:r w:rsidRPr="0087752B">
              <w:t>Total units of copy paper used (reams)</w:t>
            </w:r>
          </w:p>
        </w:tc>
        <w:tc>
          <w:tcPr>
            <w:tcW w:w="983" w:type="pct"/>
            <w:shd w:val="clear" w:color="auto" w:fill="F8F8F8"/>
            <w:vAlign w:val="center"/>
          </w:tcPr>
          <w:p w14:paraId="430C4E4A" w14:textId="77777777" w:rsidR="006016B9" w:rsidRPr="0087752B" w:rsidRDefault="006016B9" w:rsidP="00E3113A">
            <w:pPr>
              <w:pStyle w:val="DETTableTextFinancial"/>
              <w:jc w:val="center"/>
            </w:pPr>
            <w:r w:rsidRPr="0087752B">
              <w:t>33,185</w:t>
            </w:r>
          </w:p>
        </w:tc>
        <w:tc>
          <w:tcPr>
            <w:tcW w:w="812" w:type="pct"/>
            <w:vAlign w:val="center"/>
          </w:tcPr>
          <w:p w14:paraId="4A2435F0" w14:textId="77777777" w:rsidR="006016B9" w:rsidRPr="0087752B" w:rsidRDefault="006016B9" w:rsidP="00E3113A">
            <w:pPr>
              <w:pStyle w:val="DETTableTextFinancial"/>
              <w:jc w:val="center"/>
            </w:pPr>
            <w:r w:rsidRPr="0087752B">
              <w:t>27,967</w:t>
            </w:r>
          </w:p>
        </w:tc>
      </w:tr>
      <w:tr w:rsidR="006016B9" w:rsidRPr="0087752B" w14:paraId="5624BF3B" w14:textId="77777777" w:rsidTr="00E3113A">
        <w:trPr>
          <w:cantSplit/>
        </w:trPr>
        <w:tc>
          <w:tcPr>
            <w:tcW w:w="3205" w:type="pct"/>
            <w:shd w:val="clear" w:color="auto" w:fill="auto"/>
            <w:vAlign w:val="center"/>
          </w:tcPr>
          <w:p w14:paraId="37F1019F" w14:textId="77777777" w:rsidR="006016B9" w:rsidRPr="0087752B" w:rsidRDefault="006016B9" w:rsidP="00E3113A">
            <w:pPr>
              <w:pStyle w:val="DETTableTextFinancial"/>
            </w:pPr>
            <w:r w:rsidRPr="0087752B">
              <w:t>Units of copy paper used per FTE (reams/FTE)</w:t>
            </w:r>
          </w:p>
        </w:tc>
        <w:tc>
          <w:tcPr>
            <w:tcW w:w="983" w:type="pct"/>
            <w:shd w:val="clear" w:color="auto" w:fill="F8F8F8"/>
            <w:vAlign w:val="center"/>
          </w:tcPr>
          <w:p w14:paraId="33D7F7CB" w14:textId="77777777" w:rsidR="006016B9" w:rsidRPr="0087752B" w:rsidRDefault="006016B9" w:rsidP="00E3113A">
            <w:pPr>
              <w:pStyle w:val="DETTableTextFinancial"/>
              <w:jc w:val="center"/>
            </w:pPr>
            <w:r w:rsidRPr="0087752B">
              <w:t>15</w:t>
            </w:r>
          </w:p>
        </w:tc>
        <w:tc>
          <w:tcPr>
            <w:tcW w:w="812" w:type="pct"/>
            <w:vAlign w:val="center"/>
          </w:tcPr>
          <w:p w14:paraId="7F4A0813" w14:textId="77777777" w:rsidR="006016B9" w:rsidRPr="0087752B" w:rsidRDefault="006016B9" w:rsidP="00E3113A">
            <w:pPr>
              <w:pStyle w:val="DETTableTextFinancial"/>
              <w:jc w:val="center"/>
              <w:rPr>
                <w:highlight w:val="yellow"/>
              </w:rPr>
            </w:pPr>
            <w:r w:rsidRPr="0087752B">
              <w:t>13</w:t>
            </w:r>
          </w:p>
        </w:tc>
      </w:tr>
      <w:tr w:rsidR="006016B9" w:rsidRPr="0087752B" w14:paraId="57CB6AFF" w14:textId="77777777" w:rsidTr="00E3113A">
        <w:trPr>
          <w:cantSplit/>
        </w:trPr>
        <w:tc>
          <w:tcPr>
            <w:tcW w:w="3205" w:type="pct"/>
            <w:shd w:val="clear" w:color="auto" w:fill="auto"/>
            <w:vAlign w:val="center"/>
          </w:tcPr>
          <w:p w14:paraId="5AC91DDD" w14:textId="77777777" w:rsidR="006016B9" w:rsidRPr="0087752B" w:rsidRDefault="006016B9" w:rsidP="00E3113A">
            <w:pPr>
              <w:pStyle w:val="DETTableTextFinancial"/>
            </w:pPr>
            <w:r w:rsidRPr="0087752B">
              <w:t>Percentage of 75–100% recycled content copy paper purchased (%)</w:t>
            </w:r>
          </w:p>
        </w:tc>
        <w:tc>
          <w:tcPr>
            <w:tcW w:w="983" w:type="pct"/>
            <w:shd w:val="clear" w:color="auto" w:fill="F8F8F8"/>
            <w:vAlign w:val="center"/>
          </w:tcPr>
          <w:p w14:paraId="708B828C" w14:textId="77777777" w:rsidR="006016B9" w:rsidRPr="0087752B" w:rsidRDefault="006016B9" w:rsidP="00E3113A">
            <w:pPr>
              <w:pStyle w:val="DETTableTextFinancial"/>
              <w:jc w:val="center"/>
            </w:pPr>
            <w:r w:rsidRPr="0087752B">
              <w:t>74</w:t>
            </w:r>
          </w:p>
        </w:tc>
        <w:tc>
          <w:tcPr>
            <w:tcW w:w="812" w:type="pct"/>
            <w:vAlign w:val="center"/>
          </w:tcPr>
          <w:p w14:paraId="331C17D7" w14:textId="77777777" w:rsidR="006016B9" w:rsidRPr="0087752B" w:rsidRDefault="006016B9" w:rsidP="00E3113A">
            <w:pPr>
              <w:pStyle w:val="DETTableTextFinancial"/>
              <w:jc w:val="center"/>
            </w:pPr>
            <w:r w:rsidRPr="0087752B">
              <w:t>79</w:t>
            </w:r>
          </w:p>
        </w:tc>
      </w:tr>
      <w:tr w:rsidR="006016B9" w:rsidRPr="0087752B" w14:paraId="4127BEAD" w14:textId="77777777" w:rsidTr="00E3113A">
        <w:trPr>
          <w:cantSplit/>
        </w:trPr>
        <w:tc>
          <w:tcPr>
            <w:tcW w:w="3205" w:type="pct"/>
            <w:shd w:val="clear" w:color="auto" w:fill="auto"/>
            <w:vAlign w:val="center"/>
          </w:tcPr>
          <w:p w14:paraId="31D494F3" w14:textId="77777777" w:rsidR="006016B9" w:rsidRPr="0087752B" w:rsidRDefault="006016B9" w:rsidP="00E3113A">
            <w:pPr>
              <w:pStyle w:val="DETTableTextFinancial"/>
            </w:pPr>
            <w:r w:rsidRPr="0087752B">
              <w:t>Percentage of 50–74% recycled content copy paper purchased (%)</w:t>
            </w:r>
          </w:p>
        </w:tc>
        <w:tc>
          <w:tcPr>
            <w:tcW w:w="983" w:type="pct"/>
            <w:shd w:val="clear" w:color="auto" w:fill="F8F8F8"/>
            <w:vAlign w:val="center"/>
          </w:tcPr>
          <w:p w14:paraId="4362FFB9" w14:textId="77777777" w:rsidR="006016B9" w:rsidRPr="0087752B" w:rsidRDefault="006016B9" w:rsidP="00E3113A">
            <w:pPr>
              <w:pStyle w:val="DETTableTextFinancial"/>
              <w:jc w:val="center"/>
            </w:pPr>
            <w:r w:rsidRPr="0087752B">
              <w:t>5</w:t>
            </w:r>
          </w:p>
        </w:tc>
        <w:tc>
          <w:tcPr>
            <w:tcW w:w="812" w:type="pct"/>
            <w:vAlign w:val="center"/>
          </w:tcPr>
          <w:p w14:paraId="47F9470E" w14:textId="77777777" w:rsidR="006016B9" w:rsidRPr="0087752B" w:rsidRDefault="006016B9" w:rsidP="00E3113A">
            <w:pPr>
              <w:pStyle w:val="DETTableTextFinancial"/>
              <w:jc w:val="center"/>
            </w:pPr>
            <w:r w:rsidRPr="0087752B">
              <w:t>11</w:t>
            </w:r>
          </w:p>
        </w:tc>
      </w:tr>
      <w:tr w:rsidR="006016B9" w:rsidRPr="0087752B" w14:paraId="7D992206" w14:textId="77777777" w:rsidTr="00E3113A">
        <w:trPr>
          <w:cantSplit/>
        </w:trPr>
        <w:tc>
          <w:tcPr>
            <w:tcW w:w="3205" w:type="pct"/>
            <w:shd w:val="clear" w:color="auto" w:fill="auto"/>
            <w:vAlign w:val="center"/>
          </w:tcPr>
          <w:p w14:paraId="2CCABD7A" w14:textId="77777777" w:rsidR="006016B9" w:rsidRPr="0087752B" w:rsidRDefault="006016B9" w:rsidP="00E3113A">
            <w:pPr>
              <w:pStyle w:val="DETTableTextFinancial"/>
            </w:pPr>
            <w:r w:rsidRPr="0087752B">
              <w:t>Percentage of 0–49% recycled content copy paper purchased (%)</w:t>
            </w:r>
          </w:p>
        </w:tc>
        <w:tc>
          <w:tcPr>
            <w:tcW w:w="983" w:type="pct"/>
            <w:shd w:val="clear" w:color="auto" w:fill="F8F8F8"/>
            <w:vAlign w:val="center"/>
          </w:tcPr>
          <w:p w14:paraId="78D3C7DC" w14:textId="77777777" w:rsidR="006016B9" w:rsidRPr="0087752B" w:rsidRDefault="006016B9" w:rsidP="00E3113A">
            <w:pPr>
              <w:pStyle w:val="DETTableTextFinancial"/>
              <w:jc w:val="center"/>
            </w:pPr>
            <w:r w:rsidRPr="0087752B">
              <w:t>21</w:t>
            </w:r>
          </w:p>
        </w:tc>
        <w:tc>
          <w:tcPr>
            <w:tcW w:w="812" w:type="pct"/>
            <w:vAlign w:val="center"/>
          </w:tcPr>
          <w:p w14:paraId="6FA73B41" w14:textId="77777777" w:rsidR="006016B9" w:rsidRPr="0087752B" w:rsidRDefault="006016B9" w:rsidP="00E3113A">
            <w:pPr>
              <w:pStyle w:val="DETTableTextFinancial"/>
              <w:jc w:val="center"/>
            </w:pPr>
            <w:r w:rsidRPr="0087752B">
              <w:t>9</w:t>
            </w:r>
          </w:p>
        </w:tc>
      </w:tr>
      <w:tr w:rsidR="006016B9" w:rsidRPr="0087752B" w14:paraId="1D267128" w14:textId="77777777" w:rsidTr="00E3113A">
        <w:trPr>
          <w:cantSplit/>
        </w:trPr>
        <w:tc>
          <w:tcPr>
            <w:tcW w:w="3205" w:type="pct"/>
            <w:tcBorders>
              <w:bottom w:val="single" w:sz="6" w:space="0" w:color="auto"/>
            </w:tcBorders>
            <w:shd w:val="clear" w:color="auto" w:fill="auto"/>
            <w:vAlign w:val="center"/>
          </w:tcPr>
          <w:p w14:paraId="76BB324B" w14:textId="77777777" w:rsidR="006016B9" w:rsidRPr="0087752B" w:rsidRDefault="006016B9" w:rsidP="00E3113A">
            <w:pPr>
              <w:pStyle w:val="DETTableTextFinancial"/>
            </w:pPr>
            <w:r w:rsidRPr="0087752B">
              <w:t>Total units of A4-equivalent paper used in publications (reams)</w:t>
            </w:r>
          </w:p>
        </w:tc>
        <w:tc>
          <w:tcPr>
            <w:tcW w:w="983" w:type="pct"/>
            <w:tcBorders>
              <w:bottom w:val="single" w:sz="6" w:space="0" w:color="auto"/>
            </w:tcBorders>
            <w:shd w:val="clear" w:color="auto" w:fill="F8F8F8"/>
            <w:vAlign w:val="center"/>
          </w:tcPr>
          <w:p w14:paraId="068559AA" w14:textId="77777777" w:rsidR="006016B9" w:rsidRPr="0087752B" w:rsidRDefault="006016B9" w:rsidP="00E3113A">
            <w:pPr>
              <w:pStyle w:val="DETTableTextFinancial"/>
              <w:jc w:val="center"/>
            </w:pPr>
            <w:r w:rsidRPr="0087752B">
              <w:t>30,012</w:t>
            </w:r>
          </w:p>
        </w:tc>
        <w:tc>
          <w:tcPr>
            <w:tcW w:w="812" w:type="pct"/>
            <w:tcBorders>
              <w:bottom w:val="single" w:sz="6" w:space="0" w:color="auto"/>
            </w:tcBorders>
            <w:vAlign w:val="center"/>
          </w:tcPr>
          <w:p w14:paraId="44CD9052" w14:textId="77777777" w:rsidR="006016B9" w:rsidRPr="0087752B" w:rsidRDefault="006016B9" w:rsidP="00E3113A">
            <w:pPr>
              <w:pStyle w:val="DETTableTextFinancial"/>
              <w:jc w:val="center"/>
              <w:rPr>
                <w:highlight w:val="yellow"/>
              </w:rPr>
            </w:pPr>
            <w:r w:rsidRPr="0087752B">
              <w:t>39,326</w:t>
            </w:r>
          </w:p>
        </w:tc>
      </w:tr>
    </w:tbl>
    <w:p w14:paraId="66CFDD6D" w14:textId="77777777" w:rsidR="006016B9" w:rsidRPr="0087752B" w:rsidRDefault="006016B9" w:rsidP="006016B9"/>
    <w:p w14:paraId="4F6E8CE4" w14:textId="77777777" w:rsidR="006016B9" w:rsidRPr="0087752B" w:rsidRDefault="006016B9" w:rsidP="00E3113A">
      <w:pPr>
        <w:pStyle w:val="Heading4"/>
      </w:pPr>
      <w:r w:rsidRPr="0087752B">
        <w:t>Target</w:t>
      </w:r>
    </w:p>
    <w:p w14:paraId="5F1FEF0D" w14:textId="77777777" w:rsidR="006016B9" w:rsidRPr="0087752B" w:rsidRDefault="006016B9" w:rsidP="006016B9">
      <w:r w:rsidRPr="0087752B">
        <w:t xml:space="preserve">Reduce paper consumption to 12 A4 reams per FTE by 31 March 2016. </w:t>
      </w:r>
    </w:p>
    <w:p w14:paraId="6722B8F6" w14:textId="77777777" w:rsidR="006016B9" w:rsidRPr="0087752B" w:rsidRDefault="006016B9" w:rsidP="006016B9">
      <w:r w:rsidRPr="0087752B">
        <w:t>Increase the amount of copy paper purchased with 75–100 per cent recycled content to minimum of 75 per cent by 31 March 2016.</w:t>
      </w:r>
    </w:p>
    <w:p w14:paraId="3A1E9D25" w14:textId="77777777" w:rsidR="006016B9" w:rsidRPr="0087752B" w:rsidRDefault="006016B9" w:rsidP="00E3113A">
      <w:pPr>
        <w:pStyle w:val="Heading4"/>
      </w:pPr>
      <w:r w:rsidRPr="0087752B">
        <w:t>Explanatory notes</w:t>
      </w:r>
    </w:p>
    <w:p w14:paraId="437F5DDF" w14:textId="77777777" w:rsidR="006016B9" w:rsidRPr="0087752B" w:rsidRDefault="006016B9" w:rsidP="006016B9">
      <w:r w:rsidRPr="0087752B">
        <w:t>There was a significant increase in paper consumption (19 per cent) in 2015–16, compared to a reduction in 2014–15.</w:t>
      </w:r>
    </w:p>
    <w:p w14:paraId="08410E27" w14:textId="77777777" w:rsidR="006016B9" w:rsidRPr="0087752B" w:rsidRDefault="006016B9" w:rsidP="006016B9">
      <w:r w:rsidRPr="0087752B">
        <w:t>The Department nearly met its target to increase the use of paper with the highest recycled content (74 per cent). An increase in lower recycled content used (0–49 per cent) offset this.</w:t>
      </w:r>
    </w:p>
    <w:p w14:paraId="42C8B55A" w14:textId="77777777" w:rsidR="006016B9" w:rsidRPr="0087752B" w:rsidRDefault="006016B9" w:rsidP="006016B9">
      <w:r w:rsidRPr="0087752B">
        <w:t>An increase in online publications has reduced the need for printed copies, resulting in a record low for the total units of A4 equivalent paper used.</w:t>
      </w:r>
    </w:p>
    <w:p w14:paraId="0395F984" w14:textId="77777777" w:rsidR="00885C8B" w:rsidRDefault="00885C8B">
      <w:pPr>
        <w:spacing w:after="200" w:line="276" w:lineRule="auto"/>
        <w:rPr>
          <w:rFonts w:cs="Arial"/>
          <w:bCs/>
          <w:sz w:val="22"/>
          <w:szCs w:val="19"/>
        </w:rPr>
      </w:pPr>
      <w:r>
        <w:br w:type="page"/>
      </w:r>
    </w:p>
    <w:p w14:paraId="28E2069A" w14:textId="51DC181D" w:rsidR="006016B9" w:rsidRPr="0087752B" w:rsidRDefault="006016B9" w:rsidP="00E3113A">
      <w:pPr>
        <w:pStyle w:val="Heading3"/>
      </w:pPr>
      <w:r w:rsidRPr="0087752B">
        <w:lastRenderedPageBreak/>
        <w:t>Water</w:t>
      </w:r>
    </w:p>
    <w:p w14:paraId="022411AC" w14:textId="77777777" w:rsidR="006016B9" w:rsidRPr="0087752B" w:rsidRDefault="006016B9" w:rsidP="006016B9">
      <w:r w:rsidRPr="0087752B">
        <w:t>The data in the table below is based on water meter readings at 78 per cent of office sites covering 86 per cent of FTEs.</w:t>
      </w:r>
    </w:p>
    <w:tbl>
      <w:tblPr>
        <w:tblW w:w="4858" w:type="pct"/>
        <w:tblInd w:w="108" w:type="dxa"/>
        <w:tblLook w:val="04A0" w:firstRow="1" w:lastRow="0" w:firstColumn="1" w:lastColumn="0" w:noHBand="0" w:noVBand="1"/>
      </w:tblPr>
      <w:tblGrid>
        <w:gridCol w:w="9081"/>
        <w:gridCol w:w="2331"/>
        <w:gridCol w:w="2017"/>
      </w:tblGrid>
      <w:tr w:rsidR="006016B9" w:rsidRPr="0087752B" w14:paraId="5952FE26" w14:textId="77777777" w:rsidTr="00E3113A">
        <w:trPr>
          <w:cantSplit/>
        </w:trPr>
        <w:tc>
          <w:tcPr>
            <w:tcW w:w="3381" w:type="pct"/>
            <w:shd w:val="clear" w:color="auto" w:fill="7F7F7F" w:themeFill="text1" w:themeFillTint="80"/>
            <w:vAlign w:val="center"/>
          </w:tcPr>
          <w:p w14:paraId="2D86EB74" w14:textId="77777777" w:rsidR="006016B9" w:rsidRPr="0087752B" w:rsidRDefault="006016B9" w:rsidP="00E3113A">
            <w:pPr>
              <w:pStyle w:val="DETTablecolumnheading"/>
              <w:jc w:val="left"/>
            </w:pPr>
            <w:r w:rsidRPr="0087752B">
              <w:t>Indicator</w:t>
            </w:r>
          </w:p>
        </w:tc>
        <w:tc>
          <w:tcPr>
            <w:tcW w:w="868" w:type="pct"/>
            <w:shd w:val="clear" w:color="auto" w:fill="7F7F7F" w:themeFill="text1" w:themeFillTint="80"/>
            <w:vAlign w:val="center"/>
          </w:tcPr>
          <w:p w14:paraId="2C039A28" w14:textId="77777777" w:rsidR="006016B9" w:rsidRPr="0087752B" w:rsidRDefault="006016B9" w:rsidP="00F91533">
            <w:pPr>
              <w:pStyle w:val="DETTablecolumnheading"/>
            </w:pPr>
            <w:r w:rsidRPr="0087752B">
              <w:t>2015–16</w:t>
            </w:r>
          </w:p>
        </w:tc>
        <w:tc>
          <w:tcPr>
            <w:tcW w:w="751" w:type="pct"/>
            <w:shd w:val="clear" w:color="auto" w:fill="7F7F7F" w:themeFill="text1" w:themeFillTint="80"/>
            <w:vAlign w:val="center"/>
          </w:tcPr>
          <w:p w14:paraId="213DC248" w14:textId="77777777" w:rsidR="006016B9" w:rsidRPr="0087752B" w:rsidRDefault="006016B9" w:rsidP="00F91533">
            <w:pPr>
              <w:pStyle w:val="DETTablecolumnheading"/>
            </w:pPr>
            <w:r w:rsidRPr="0087752B">
              <w:t>2014–15</w:t>
            </w:r>
          </w:p>
        </w:tc>
      </w:tr>
      <w:tr w:rsidR="006016B9" w:rsidRPr="0087752B" w14:paraId="249BD90F" w14:textId="77777777" w:rsidTr="00E3113A">
        <w:trPr>
          <w:cantSplit/>
        </w:trPr>
        <w:tc>
          <w:tcPr>
            <w:tcW w:w="3381" w:type="pct"/>
            <w:shd w:val="clear" w:color="auto" w:fill="auto"/>
            <w:vAlign w:val="center"/>
          </w:tcPr>
          <w:p w14:paraId="5FECE845" w14:textId="77777777" w:rsidR="006016B9" w:rsidRPr="0087752B" w:rsidRDefault="006016B9" w:rsidP="00E3113A">
            <w:pPr>
              <w:pStyle w:val="DETTableTextFinancial"/>
            </w:pPr>
            <w:r w:rsidRPr="0087752B">
              <w:t>Total units of metered water consumed by usage types (kL)</w:t>
            </w:r>
          </w:p>
        </w:tc>
        <w:tc>
          <w:tcPr>
            <w:tcW w:w="868" w:type="pct"/>
            <w:shd w:val="clear" w:color="auto" w:fill="F8F8F8"/>
            <w:vAlign w:val="center"/>
          </w:tcPr>
          <w:p w14:paraId="1E97918F" w14:textId="77777777" w:rsidR="006016B9" w:rsidRPr="0087752B" w:rsidRDefault="006016B9" w:rsidP="00F91533">
            <w:pPr>
              <w:pStyle w:val="DETTableTextFinancial"/>
              <w:jc w:val="center"/>
            </w:pPr>
            <w:r w:rsidRPr="0087752B">
              <w:t>18,013</w:t>
            </w:r>
          </w:p>
        </w:tc>
        <w:tc>
          <w:tcPr>
            <w:tcW w:w="751" w:type="pct"/>
            <w:vAlign w:val="center"/>
          </w:tcPr>
          <w:p w14:paraId="37B7E368" w14:textId="77777777" w:rsidR="006016B9" w:rsidRPr="0087752B" w:rsidRDefault="006016B9" w:rsidP="00F91533">
            <w:pPr>
              <w:pStyle w:val="DETTableTextFinancial"/>
              <w:jc w:val="center"/>
            </w:pPr>
            <w:r w:rsidRPr="0087752B">
              <w:t>17,723</w:t>
            </w:r>
          </w:p>
        </w:tc>
      </w:tr>
      <w:tr w:rsidR="006016B9" w:rsidRPr="0087752B" w14:paraId="190D49B9" w14:textId="77777777" w:rsidTr="00E3113A">
        <w:trPr>
          <w:cantSplit/>
        </w:trPr>
        <w:tc>
          <w:tcPr>
            <w:tcW w:w="3381" w:type="pct"/>
            <w:shd w:val="clear" w:color="auto" w:fill="auto"/>
            <w:vAlign w:val="center"/>
          </w:tcPr>
          <w:p w14:paraId="09E2EAD8" w14:textId="77777777" w:rsidR="006016B9" w:rsidRPr="0087752B" w:rsidRDefault="006016B9" w:rsidP="00E3113A">
            <w:pPr>
              <w:pStyle w:val="DETTableTextFinancial"/>
            </w:pPr>
            <w:r w:rsidRPr="0087752B">
              <w:t>Units of metered water consumed in offices per FTE (kL/FTE)</w:t>
            </w:r>
          </w:p>
        </w:tc>
        <w:tc>
          <w:tcPr>
            <w:tcW w:w="868" w:type="pct"/>
            <w:shd w:val="clear" w:color="auto" w:fill="F8F8F8"/>
            <w:vAlign w:val="center"/>
          </w:tcPr>
          <w:p w14:paraId="61582480" w14:textId="77777777" w:rsidR="006016B9" w:rsidRPr="0087752B" w:rsidRDefault="006016B9" w:rsidP="00F91533">
            <w:pPr>
              <w:pStyle w:val="DETTableTextFinancial"/>
              <w:jc w:val="center"/>
            </w:pPr>
            <w:r w:rsidRPr="0087752B">
              <w:t>9.69</w:t>
            </w:r>
          </w:p>
        </w:tc>
        <w:tc>
          <w:tcPr>
            <w:tcW w:w="751" w:type="pct"/>
            <w:vAlign w:val="center"/>
          </w:tcPr>
          <w:p w14:paraId="0D7D4002" w14:textId="77777777" w:rsidR="006016B9" w:rsidRPr="0087752B" w:rsidRDefault="006016B9" w:rsidP="00F91533">
            <w:pPr>
              <w:pStyle w:val="DETTableTextFinancial"/>
              <w:jc w:val="center"/>
            </w:pPr>
            <w:r w:rsidRPr="0087752B">
              <w:t>9.96</w:t>
            </w:r>
          </w:p>
        </w:tc>
      </w:tr>
      <w:tr w:rsidR="006016B9" w:rsidRPr="0087752B" w14:paraId="33457D04" w14:textId="77777777" w:rsidTr="00E3113A">
        <w:trPr>
          <w:cantSplit/>
        </w:trPr>
        <w:tc>
          <w:tcPr>
            <w:tcW w:w="3381" w:type="pct"/>
            <w:tcBorders>
              <w:bottom w:val="single" w:sz="6" w:space="0" w:color="auto"/>
            </w:tcBorders>
            <w:shd w:val="clear" w:color="auto" w:fill="auto"/>
            <w:vAlign w:val="center"/>
          </w:tcPr>
          <w:p w14:paraId="2DD1EC24" w14:textId="77777777" w:rsidR="006016B9" w:rsidRPr="0087752B" w:rsidRDefault="006016B9" w:rsidP="00E3113A">
            <w:pPr>
              <w:pStyle w:val="DETTableTextFinancial"/>
            </w:pPr>
            <w:r w:rsidRPr="0087752B">
              <w:t>Units of metered water consumed in offices per unit of office area (kL/m2)</w:t>
            </w:r>
          </w:p>
        </w:tc>
        <w:tc>
          <w:tcPr>
            <w:tcW w:w="868" w:type="pct"/>
            <w:tcBorders>
              <w:bottom w:val="single" w:sz="6" w:space="0" w:color="auto"/>
            </w:tcBorders>
            <w:shd w:val="clear" w:color="auto" w:fill="F8F8F8"/>
            <w:vAlign w:val="center"/>
          </w:tcPr>
          <w:p w14:paraId="695CE1D0" w14:textId="77777777" w:rsidR="006016B9" w:rsidRPr="0087752B" w:rsidRDefault="006016B9" w:rsidP="00F91533">
            <w:pPr>
              <w:pStyle w:val="DETTableTextFinancial"/>
              <w:jc w:val="center"/>
            </w:pPr>
            <w:r w:rsidRPr="0087752B">
              <w:t>0.55</w:t>
            </w:r>
          </w:p>
        </w:tc>
        <w:tc>
          <w:tcPr>
            <w:tcW w:w="751" w:type="pct"/>
            <w:tcBorders>
              <w:bottom w:val="single" w:sz="6" w:space="0" w:color="auto"/>
            </w:tcBorders>
            <w:vAlign w:val="center"/>
          </w:tcPr>
          <w:p w14:paraId="2B4FE65E" w14:textId="77777777" w:rsidR="006016B9" w:rsidRPr="0087752B" w:rsidRDefault="006016B9" w:rsidP="00F91533">
            <w:pPr>
              <w:pStyle w:val="DETTableTextFinancial"/>
              <w:jc w:val="center"/>
            </w:pPr>
            <w:r w:rsidRPr="0087752B">
              <w:t>0.51</w:t>
            </w:r>
          </w:p>
        </w:tc>
      </w:tr>
    </w:tbl>
    <w:p w14:paraId="3C97E0F1" w14:textId="77777777" w:rsidR="006016B9" w:rsidRPr="0087752B" w:rsidRDefault="006016B9" w:rsidP="00E3113A">
      <w:pPr>
        <w:pStyle w:val="Heading4"/>
      </w:pPr>
      <w:r w:rsidRPr="0087752B">
        <w:t>Target</w:t>
      </w:r>
    </w:p>
    <w:p w14:paraId="299D46E8" w14:textId="77777777" w:rsidR="006016B9" w:rsidRPr="0087752B" w:rsidRDefault="006016B9" w:rsidP="006016B9">
      <w:r w:rsidRPr="0087752B">
        <w:t>Reduce water consumed per FTE by 15 per cent of 2013–14 levels by 31 March 2024, averaging an incremental reduction of 1.5 per cent each year for 10 years.</w:t>
      </w:r>
    </w:p>
    <w:p w14:paraId="11B60574" w14:textId="77777777" w:rsidR="006016B9" w:rsidRPr="0087752B" w:rsidRDefault="006016B9" w:rsidP="00E3113A">
      <w:pPr>
        <w:pStyle w:val="Heading4"/>
      </w:pPr>
      <w:r w:rsidRPr="0087752B">
        <w:t>Explanatory notes</w:t>
      </w:r>
    </w:p>
    <w:p w14:paraId="0EFBFE72" w14:textId="77777777" w:rsidR="006016B9" w:rsidRPr="0087752B" w:rsidRDefault="006016B9" w:rsidP="006016B9">
      <w:r w:rsidRPr="0087752B">
        <w:t xml:space="preserve">The central region recorded a modest 2 per cent increase in water consumption. </w:t>
      </w:r>
    </w:p>
    <w:p w14:paraId="745D23F1" w14:textId="77777777" w:rsidR="006016B9" w:rsidRPr="0087752B" w:rsidRDefault="006016B9" w:rsidP="006016B9">
      <w:r w:rsidRPr="0087752B">
        <w:t>All central and some regional offices share a water meter with other non-Departmental buildings. The data presented is therefore based on a percentage of the buildings’ net leased area held by the Department. Water consumption data for some regional offices is unavailable due to the offices being shared facilities. The shared meter makes it impossible to confirm the source of any increase.</w:t>
      </w:r>
    </w:p>
    <w:p w14:paraId="3438CE29" w14:textId="77777777" w:rsidR="006016B9" w:rsidRPr="0087752B" w:rsidRDefault="006016B9" w:rsidP="006016B9">
      <w:r w:rsidRPr="0087752B">
        <w:t>The Department will re-assess its water consumption and take further action to meet targets.</w:t>
      </w:r>
    </w:p>
    <w:p w14:paraId="2FB4A9BC" w14:textId="77777777" w:rsidR="00E3113A" w:rsidRPr="0087752B" w:rsidRDefault="00E3113A">
      <w:pPr>
        <w:spacing w:after="200" w:line="276" w:lineRule="auto"/>
        <w:rPr>
          <w:rFonts w:cs="Arial"/>
          <w:bCs/>
          <w:sz w:val="22"/>
          <w:szCs w:val="19"/>
        </w:rPr>
      </w:pPr>
      <w:r w:rsidRPr="0087752B">
        <w:br w:type="page"/>
      </w:r>
    </w:p>
    <w:p w14:paraId="64538EE6" w14:textId="65314F1B" w:rsidR="006016B9" w:rsidRPr="0087752B" w:rsidRDefault="006016B9" w:rsidP="00E3113A">
      <w:pPr>
        <w:pStyle w:val="Heading3"/>
      </w:pPr>
      <w:r w:rsidRPr="0087752B">
        <w:lastRenderedPageBreak/>
        <w:t>Transport</w:t>
      </w:r>
    </w:p>
    <w:p w14:paraId="749E036B" w14:textId="77777777" w:rsidR="006016B9" w:rsidRPr="0087752B" w:rsidRDefault="006016B9" w:rsidP="006016B9">
      <w:r w:rsidRPr="0087752B">
        <w:t>The Department-owned operational fleet comprises 249 vehicles. Of these, 42 per cent are hybrid electric vehicles, 2 per cent are LPG-fuelled, 52 per cent are petrol-fuelled, and 4 per cent are diesel-fuelled.</w:t>
      </w:r>
    </w:p>
    <w:p w14:paraId="6CF605FF" w14:textId="77777777" w:rsidR="006016B9" w:rsidRPr="0087752B" w:rsidRDefault="006016B9" w:rsidP="006016B9">
      <w:r w:rsidRPr="0087752B">
        <w:t>The data in the table below measures the kilometres, energy consumption and associated emissions for work-related travel by corporate employees, segmented by transport type, excluding public transport. This excludes executive vehicles.</w:t>
      </w:r>
    </w:p>
    <w:p w14:paraId="3550F7A8" w14:textId="77777777" w:rsidR="006016B9" w:rsidRPr="0087752B" w:rsidRDefault="006016B9" w:rsidP="007540CD">
      <w:pPr>
        <w:pStyle w:val="DETTableheading"/>
      </w:pPr>
      <w:r w:rsidRPr="0087752B">
        <w:t xml:space="preserve">Operational vehicles </w:t>
      </w:r>
    </w:p>
    <w:tbl>
      <w:tblPr>
        <w:tblW w:w="13822" w:type="dxa"/>
        <w:tblBorders>
          <w:bottom w:val="single" w:sz="4" w:space="0" w:color="auto"/>
        </w:tblBorders>
        <w:tblLook w:val="04A0" w:firstRow="1" w:lastRow="0" w:firstColumn="1" w:lastColumn="0" w:noHBand="0" w:noVBand="1"/>
      </w:tblPr>
      <w:tblGrid>
        <w:gridCol w:w="1535"/>
        <w:gridCol w:w="1535"/>
        <w:gridCol w:w="1536"/>
        <w:gridCol w:w="1536"/>
        <w:gridCol w:w="1536"/>
        <w:gridCol w:w="1536"/>
        <w:gridCol w:w="1536"/>
        <w:gridCol w:w="1536"/>
        <w:gridCol w:w="1536"/>
      </w:tblGrid>
      <w:tr w:rsidR="006016B9" w:rsidRPr="0087752B" w14:paraId="3B9F8E78" w14:textId="77777777" w:rsidTr="00E3113A">
        <w:tc>
          <w:tcPr>
            <w:tcW w:w="1535" w:type="dxa"/>
            <w:tcBorders>
              <w:top w:val="nil"/>
              <w:left w:val="nil"/>
              <w:bottom w:val="nil"/>
              <w:right w:val="nil"/>
            </w:tcBorders>
            <w:shd w:val="clear" w:color="auto" w:fill="7F7F7F" w:themeFill="text1" w:themeFillTint="80"/>
            <w:vAlign w:val="center"/>
          </w:tcPr>
          <w:p w14:paraId="7E39B0C8" w14:textId="77777777" w:rsidR="006016B9" w:rsidRPr="0087752B" w:rsidRDefault="006016B9" w:rsidP="00E3113A">
            <w:pPr>
              <w:pStyle w:val="DETTablecolumnheading"/>
              <w:jc w:val="left"/>
            </w:pPr>
            <w:r w:rsidRPr="0087752B">
              <w:t>Operational vehicles</w:t>
            </w:r>
          </w:p>
        </w:tc>
        <w:tc>
          <w:tcPr>
            <w:tcW w:w="6143" w:type="dxa"/>
            <w:gridSpan w:val="4"/>
            <w:tcBorders>
              <w:top w:val="nil"/>
              <w:left w:val="nil"/>
              <w:bottom w:val="nil"/>
              <w:right w:val="nil"/>
            </w:tcBorders>
            <w:shd w:val="clear" w:color="auto" w:fill="7F7F7F" w:themeFill="text1" w:themeFillTint="80"/>
            <w:vAlign w:val="center"/>
          </w:tcPr>
          <w:p w14:paraId="063FF72C" w14:textId="77777777" w:rsidR="006016B9" w:rsidRPr="0087752B" w:rsidRDefault="006016B9" w:rsidP="00E3113A">
            <w:pPr>
              <w:pStyle w:val="DETTablecolumnheading"/>
              <w:jc w:val="left"/>
            </w:pPr>
            <w:r w:rsidRPr="0087752B">
              <w:t>2015–16</w:t>
            </w:r>
          </w:p>
        </w:tc>
        <w:tc>
          <w:tcPr>
            <w:tcW w:w="6144" w:type="dxa"/>
            <w:gridSpan w:val="4"/>
            <w:tcBorders>
              <w:top w:val="nil"/>
              <w:left w:val="nil"/>
              <w:bottom w:val="nil"/>
              <w:right w:val="nil"/>
            </w:tcBorders>
            <w:shd w:val="clear" w:color="auto" w:fill="7F7F7F" w:themeFill="text1" w:themeFillTint="80"/>
            <w:vAlign w:val="center"/>
          </w:tcPr>
          <w:p w14:paraId="5EFA190A" w14:textId="3CAF844D" w:rsidR="006016B9" w:rsidRPr="0087752B" w:rsidRDefault="006016B9" w:rsidP="00E3113A">
            <w:pPr>
              <w:pStyle w:val="DETTablecolumnheading"/>
              <w:jc w:val="left"/>
            </w:pPr>
            <w:r w:rsidRPr="0087752B">
              <w:t>2014</w:t>
            </w:r>
            <w:r w:rsidR="00885C8B">
              <w:t>–</w:t>
            </w:r>
            <w:r w:rsidRPr="0087752B">
              <w:t>15</w:t>
            </w:r>
          </w:p>
        </w:tc>
      </w:tr>
      <w:tr w:rsidR="006016B9" w:rsidRPr="0087752B" w14:paraId="2061EB17" w14:textId="77777777" w:rsidTr="00E3113A">
        <w:tc>
          <w:tcPr>
            <w:tcW w:w="1535" w:type="dxa"/>
            <w:tcBorders>
              <w:top w:val="nil"/>
              <w:left w:val="nil"/>
              <w:bottom w:val="nil"/>
              <w:right w:val="nil"/>
            </w:tcBorders>
            <w:shd w:val="clear" w:color="auto" w:fill="7F7F7F" w:themeFill="text1" w:themeFillTint="80"/>
            <w:vAlign w:val="center"/>
          </w:tcPr>
          <w:p w14:paraId="73295267" w14:textId="77777777" w:rsidR="006016B9" w:rsidRPr="0087752B" w:rsidRDefault="006016B9" w:rsidP="00E3113A">
            <w:pPr>
              <w:pStyle w:val="DETTablecolumnheading"/>
              <w:jc w:val="left"/>
            </w:pPr>
          </w:p>
        </w:tc>
        <w:tc>
          <w:tcPr>
            <w:tcW w:w="1535" w:type="dxa"/>
            <w:tcBorders>
              <w:top w:val="nil"/>
              <w:left w:val="nil"/>
              <w:bottom w:val="nil"/>
              <w:right w:val="nil"/>
            </w:tcBorders>
            <w:shd w:val="clear" w:color="auto" w:fill="7F7F7F" w:themeFill="text1" w:themeFillTint="80"/>
            <w:vAlign w:val="center"/>
          </w:tcPr>
          <w:p w14:paraId="134B3E32" w14:textId="77777777" w:rsidR="006016B9" w:rsidRPr="0087752B" w:rsidRDefault="006016B9" w:rsidP="00E3113A">
            <w:pPr>
              <w:pStyle w:val="DETTablecolumnheading"/>
            </w:pPr>
            <w:r w:rsidRPr="0087752B">
              <w:t>Hybrid</w:t>
            </w:r>
          </w:p>
        </w:tc>
        <w:tc>
          <w:tcPr>
            <w:tcW w:w="1536" w:type="dxa"/>
            <w:tcBorders>
              <w:top w:val="nil"/>
              <w:left w:val="nil"/>
              <w:bottom w:val="nil"/>
              <w:right w:val="nil"/>
            </w:tcBorders>
            <w:shd w:val="clear" w:color="auto" w:fill="7F7F7F" w:themeFill="text1" w:themeFillTint="80"/>
            <w:vAlign w:val="center"/>
          </w:tcPr>
          <w:p w14:paraId="489DB28B" w14:textId="77777777" w:rsidR="006016B9" w:rsidRPr="0087752B" w:rsidRDefault="006016B9" w:rsidP="00E3113A">
            <w:pPr>
              <w:pStyle w:val="DETTablecolumnheading"/>
            </w:pPr>
            <w:r w:rsidRPr="0087752B">
              <w:t>LPG</w:t>
            </w:r>
          </w:p>
        </w:tc>
        <w:tc>
          <w:tcPr>
            <w:tcW w:w="1536" w:type="dxa"/>
            <w:tcBorders>
              <w:top w:val="nil"/>
              <w:left w:val="nil"/>
              <w:bottom w:val="nil"/>
              <w:right w:val="nil"/>
            </w:tcBorders>
            <w:shd w:val="clear" w:color="auto" w:fill="7F7F7F" w:themeFill="text1" w:themeFillTint="80"/>
            <w:vAlign w:val="center"/>
          </w:tcPr>
          <w:p w14:paraId="64D7690B" w14:textId="77777777" w:rsidR="006016B9" w:rsidRPr="0087752B" w:rsidRDefault="006016B9" w:rsidP="00E3113A">
            <w:pPr>
              <w:pStyle w:val="DETTablecolumnheading"/>
            </w:pPr>
            <w:r w:rsidRPr="0087752B">
              <w:t>Petrol</w:t>
            </w:r>
          </w:p>
        </w:tc>
        <w:tc>
          <w:tcPr>
            <w:tcW w:w="1536" w:type="dxa"/>
            <w:tcBorders>
              <w:top w:val="nil"/>
              <w:left w:val="nil"/>
              <w:bottom w:val="nil"/>
              <w:right w:val="nil"/>
            </w:tcBorders>
            <w:shd w:val="clear" w:color="auto" w:fill="7F7F7F" w:themeFill="text1" w:themeFillTint="80"/>
            <w:vAlign w:val="center"/>
          </w:tcPr>
          <w:p w14:paraId="36E5B013" w14:textId="77777777" w:rsidR="006016B9" w:rsidRPr="0087752B" w:rsidRDefault="006016B9" w:rsidP="00E3113A">
            <w:pPr>
              <w:pStyle w:val="DETTablecolumnheading"/>
            </w:pPr>
            <w:r w:rsidRPr="0087752B">
              <w:t>Diesel</w:t>
            </w:r>
          </w:p>
        </w:tc>
        <w:tc>
          <w:tcPr>
            <w:tcW w:w="1536" w:type="dxa"/>
            <w:tcBorders>
              <w:top w:val="nil"/>
              <w:left w:val="nil"/>
              <w:bottom w:val="nil"/>
              <w:right w:val="nil"/>
            </w:tcBorders>
            <w:shd w:val="clear" w:color="auto" w:fill="7F7F7F" w:themeFill="text1" w:themeFillTint="80"/>
            <w:vAlign w:val="center"/>
          </w:tcPr>
          <w:p w14:paraId="24A0A404" w14:textId="77777777" w:rsidR="006016B9" w:rsidRPr="0087752B" w:rsidRDefault="006016B9" w:rsidP="00E3113A">
            <w:pPr>
              <w:pStyle w:val="DETTablecolumnheading"/>
            </w:pPr>
            <w:r w:rsidRPr="0087752B">
              <w:t>Hybrid</w:t>
            </w:r>
          </w:p>
        </w:tc>
        <w:tc>
          <w:tcPr>
            <w:tcW w:w="1536" w:type="dxa"/>
            <w:tcBorders>
              <w:top w:val="nil"/>
              <w:left w:val="nil"/>
              <w:bottom w:val="nil"/>
              <w:right w:val="nil"/>
            </w:tcBorders>
            <w:shd w:val="clear" w:color="auto" w:fill="7F7F7F" w:themeFill="text1" w:themeFillTint="80"/>
            <w:vAlign w:val="center"/>
          </w:tcPr>
          <w:p w14:paraId="41C1027F" w14:textId="77777777" w:rsidR="006016B9" w:rsidRPr="0087752B" w:rsidRDefault="006016B9" w:rsidP="00E3113A">
            <w:pPr>
              <w:pStyle w:val="DETTablecolumnheading"/>
            </w:pPr>
            <w:r w:rsidRPr="0087752B">
              <w:t>LPG</w:t>
            </w:r>
          </w:p>
        </w:tc>
        <w:tc>
          <w:tcPr>
            <w:tcW w:w="1536" w:type="dxa"/>
            <w:tcBorders>
              <w:top w:val="nil"/>
              <w:left w:val="nil"/>
              <w:bottom w:val="nil"/>
              <w:right w:val="nil"/>
            </w:tcBorders>
            <w:shd w:val="clear" w:color="auto" w:fill="7F7F7F" w:themeFill="text1" w:themeFillTint="80"/>
            <w:vAlign w:val="center"/>
          </w:tcPr>
          <w:p w14:paraId="2489A232" w14:textId="77777777" w:rsidR="006016B9" w:rsidRPr="0087752B" w:rsidRDefault="006016B9" w:rsidP="00E3113A">
            <w:pPr>
              <w:pStyle w:val="DETTablecolumnheading"/>
            </w:pPr>
            <w:r w:rsidRPr="0087752B">
              <w:t>Petrol</w:t>
            </w:r>
          </w:p>
        </w:tc>
        <w:tc>
          <w:tcPr>
            <w:tcW w:w="1536" w:type="dxa"/>
            <w:tcBorders>
              <w:top w:val="nil"/>
              <w:left w:val="nil"/>
              <w:bottom w:val="nil"/>
              <w:right w:val="nil"/>
            </w:tcBorders>
            <w:shd w:val="clear" w:color="auto" w:fill="7F7F7F" w:themeFill="text1" w:themeFillTint="80"/>
            <w:vAlign w:val="center"/>
          </w:tcPr>
          <w:p w14:paraId="4F202CC2" w14:textId="77777777" w:rsidR="006016B9" w:rsidRPr="0087752B" w:rsidRDefault="006016B9" w:rsidP="00E3113A">
            <w:pPr>
              <w:pStyle w:val="DETTablecolumnheading"/>
            </w:pPr>
            <w:r w:rsidRPr="0087752B">
              <w:t>Diesel</w:t>
            </w:r>
          </w:p>
        </w:tc>
      </w:tr>
      <w:tr w:rsidR="006016B9" w:rsidRPr="0087752B" w14:paraId="15D4544A" w14:textId="77777777" w:rsidTr="00E3113A">
        <w:tc>
          <w:tcPr>
            <w:tcW w:w="1535" w:type="dxa"/>
            <w:tcBorders>
              <w:top w:val="nil"/>
            </w:tcBorders>
          </w:tcPr>
          <w:p w14:paraId="6784984F" w14:textId="77777777" w:rsidR="006016B9" w:rsidRPr="0087752B" w:rsidRDefault="006016B9" w:rsidP="00E3113A">
            <w:pPr>
              <w:pStyle w:val="DETTableTextFinancial"/>
            </w:pPr>
            <w:r w:rsidRPr="0087752B">
              <w:t>Total energy consumption by vehicles (MJ)</w:t>
            </w:r>
          </w:p>
        </w:tc>
        <w:tc>
          <w:tcPr>
            <w:tcW w:w="1535" w:type="dxa"/>
            <w:tcBorders>
              <w:top w:val="nil"/>
            </w:tcBorders>
            <w:shd w:val="clear" w:color="auto" w:fill="F8F8F8"/>
            <w:vAlign w:val="center"/>
          </w:tcPr>
          <w:p w14:paraId="64D40F6D" w14:textId="77777777" w:rsidR="006016B9" w:rsidRPr="0087752B" w:rsidRDefault="006016B9" w:rsidP="00E3113A">
            <w:pPr>
              <w:pStyle w:val="DETTableTextFinancial"/>
              <w:jc w:val="center"/>
            </w:pPr>
            <w:r w:rsidRPr="0087752B">
              <w:t>3,659,494</w:t>
            </w:r>
          </w:p>
        </w:tc>
        <w:tc>
          <w:tcPr>
            <w:tcW w:w="1536" w:type="dxa"/>
            <w:tcBorders>
              <w:top w:val="nil"/>
            </w:tcBorders>
            <w:shd w:val="clear" w:color="auto" w:fill="F8F8F8"/>
            <w:vAlign w:val="center"/>
          </w:tcPr>
          <w:p w14:paraId="3660A4AF" w14:textId="77777777" w:rsidR="006016B9" w:rsidRPr="0087752B" w:rsidRDefault="006016B9" w:rsidP="00E3113A">
            <w:pPr>
              <w:pStyle w:val="DETTableTextFinancial"/>
              <w:jc w:val="center"/>
            </w:pPr>
            <w:r w:rsidRPr="0087752B">
              <w:t>609,523</w:t>
            </w:r>
          </w:p>
        </w:tc>
        <w:tc>
          <w:tcPr>
            <w:tcW w:w="1536" w:type="dxa"/>
            <w:tcBorders>
              <w:top w:val="nil"/>
            </w:tcBorders>
            <w:shd w:val="clear" w:color="auto" w:fill="F8F8F8"/>
            <w:vAlign w:val="center"/>
          </w:tcPr>
          <w:p w14:paraId="349AB07B" w14:textId="77777777" w:rsidR="006016B9" w:rsidRPr="0087752B" w:rsidRDefault="006016B9" w:rsidP="00E3113A">
            <w:pPr>
              <w:pStyle w:val="DETTableTextFinancial"/>
              <w:jc w:val="center"/>
            </w:pPr>
            <w:r w:rsidRPr="0087752B">
              <w:t>5,702,249</w:t>
            </w:r>
          </w:p>
        </w:tc>
        <w:tc>
          <w:tcPr>
            <w:tcW w:w="1536" w:type="dxa"/>
            <w:tcBorders>
              <w:top w:val="nil"/>
            </w:tcBorders>
            <w:shd w:val="clear" w:color="auto" w:fill="F8F8F8"/>
            <w:vAlign w:val="center"/>
          </w:tcPr>
          <w:p w14:paraId="2D712F88" w14:textId="77777777" w:rsidR="006016B9" w:rsidRPr="0087752B" w:rsidRDefault="006016B9" w:rsidP="00E3113A">
            <w:pPr>
              <w:pStyle w:val="DETTableTextFinancial"/>
              <w:jc w:val="center"/>
            </w:pPr>
            <w:r w:rsidRPr="0087752B">
              <w:t>963,027</w:t>
            </w:r>
          </w:p>
        </w:tc>
        <w:tc>
          <w:tcPr>
            <w:tcW w:w="1536" w:type="dxa"/>
            <w:tcBorders>
              <w:top w:val="nil"/>
            </w:tcBorders>
            <w:vAlign w:val="center"/>
          </w:tcPr>
          <w:p w14:paraId="6A394DDE" w14:textId="77777777" w:rsidR="006016B9" w:rsidRPr="0087752B" w:rsidRDefault="006016B9" w:rsidP="00E3113A">
            <w:pPr>
              <w:pStyle w:val="DETTableTextFinancial"/>
              <w:jc w:val="center"/>
            </w:pPr>
            <w:r w:rsidRPr="0087752B">
              <w:t>4,680,322</w:t>
            </w:r>
          </w:p>
        </w:tc>
        <w:tc>
          <w:tcPr>
            <w:tcW w:w="1536" w:type="dxa"/>
            <w:tcBorders>
              <w:top w:val="nil"/>
            </w:tcBorders>
            <w:vAlign w:val="center"/>
          </w:tcPr>
          <w:p w14:paraId="336D3935" w14:textId="77777777" w:rsidR="006016B9" w:rsidRPr="0087752B" w:rsidRDefault="006016B9" w:rsidP="00E3113A">
            <w:pPr>
              <w:pStyle w:val="DETTableTextFinancial"/>
              <w:jc w:val="center"/>
            </w:pPr>
            <w:r w:rsidRPr="0087752B">
              <w:t>1,387,730</w:t>
            </w:r>
          </w:p>
        </w:tc>
        <w:tc>
          <w:tcPr>
            <w:tcW w:w="1536" w:type="dxa"/>
            <w:tcBorders>
              <w:top w:val="nil"/>
            </w:tcBorders>
            <w:vAlign w:val="center"/>
          </w:tcPr>
          <w:p w14:paraId="00386DE4" w14:textId="77777777" w:rsidR="006016B9" w:rsidRPr="0087752B" w:rsidRDefault="006016B9" w:rsidP="00E3113A">
            <w:pPr>
              <w:pStyle w:val="DETTableTextFinancial"/>
              <w:jc w:val="center"/>
            </w:pPr>
            <w:r w:rsidRPr="0087752B">
              <w:t>4,532,459</w:t>
            </w:r>
          </w:p>
        </w:tc>
        <w:tc>
          <w:tcPr>
            <w:tcW w:w="1536" w:type="dxa"/>
            <w:tcBorders>
              <w:top w:val="nil"/>
            </w:tcBorders>
            <w:vAlign w:val="center"/>
          </w:tcPr>
          <w:p w14:paraId="0FDC69D2" w14:textId="77777777" w:rsidR="006016B9" w:rsidRPr="0087752B" w:rsidRDefault="006016B9" w:rsidP="00E3113A">
            <w:pPr>
              <w:pStyle w:val="DETTableTextFinancial"/>
              <w:jc w:val="center"/>
            </w:pPr>
            <w:r w:rsidRPr="0087752B">
              <w:t>1,149,078</w:t>
            </w:r>
          </w:p>
        </w:tc>
      </w:tr>
      <w:tr w:rsidR="006016B9" w:rsidRPr="0087752B" w14:paraId="59BA6C84" w14:textId="77777777" w:rsidTr="00E3113A">
        <w:tc>
          <w:tcPr>
            <w:tcW w:w="1535" w:type="dxa"/>
          </w:tcPr>
          <w:p w14:paraId="0DB2692B" w14:textId="77777777" w:rsidR="006016B9" w:rsidRPr="0087752B" w:rsidRDefault="006016B9" w:rsidP="00E3113A">
            <w:pPr>
              <w:pStyle w:val="DETTableTextFinancial"/>
            </w:pPr>
            <w:r w:rsidRPr="0087752B">
              <w:t>Total vehicle travel associated with entity operations (km)</w:t>
            </w:r>
          </w:p>
        </w:tc>
        <w:tc>
          <w:tcPr>
            <w:tcW w:w="1535" w:type="dxa"/>
            <w:shd w:val="clear" w:color="auto" w:fill="F8F8F8"/>
            <w:vAlign w:val="center"/>
          </w:tcPr>
          <w:p w14:paraId="10794AD5" w14:textId="77777777" w:rsidR="006016B9" w:rsidRPr="0087752B" w:rsidRDefault="006016B9" w:rsidP="00E3113A">
            <w:pPr>
              <w:pStyle w:val="DETTableTextFinancial"/>
              <w:jc w:val="center"/>
            </w:pPr>
            <w:r w:rsidRPr="0087752B">
              <w:t>2,051,734</w:t>
            </w:r>
          </w:p>
        </w:tc>
        <w:tc>
          <w:tcPr>
            <w:tcW w:w="1536" w:type="dxa"/>
            <w:shd w:val="clear" w:color="auto" w:fill="F8F8F8"/>
            <w:vAlign w:val="center"/>
          </w:tcPr>
          <w:p w14:paraId="1838797F" w14:textId="77777777" w:rsidR="006016B9" w:rsidRPr="0087752B" w:rsidRDefault="006016B9" w:rsidP="00E3113A">
            <w:pPr>
              <w:pStyle w:val="DETTableTextFinancial"/>
              <w:jc w:val="center"/>
            </w:pPr>
            <w:r w:rsidRPr="0087752B">
              <w:t>195,262</w:t>
            </w:r>
          </w:p>
        </w:tc>
        <w:tc>
          <w:tcPr>
            <w:tcW w:w="1536" w:type="dxa"/>
            <w:shd w:val="clear" w:color="auto" w:fill="F8F8F8"/>
            <w:vAlign w:val="center"/>
          </w:tcPr>
          <w:p w14:paraId="4999B7F0" w14:textId="77777777" w:rsidR="006016B9" w:rsidRPr="0087752B" w:rsidRDefault="006016B9" w:rsidP="00E3113A">
            <w:pPr>
              <w:pStyle w:val="DETTableTextFinancial"/>
              <w:jc w:val="center"/>
            </w:pPr>
            <w:r w:rsidRPr="0087752B">
              <w:t>2,053,244</w:t>
            </w:r>
          </w:p>
        </w:tc>
        <w:tc>
          <w:tcPr>
            <w:tcW w:w="1536" w:type="dxa"/>
            <w:shd w:val="clear" w:color="auto" w:fill="F8F8F8"/>
            <w:vAlign w:val="center"/>
          </w:tcPr>
          <w:p w14:paraId="29324411" w14:textId="77777777" w:rsidR="006016B9" w:rsidRPr="0087752B" w:rsidRDefault="006016B9" w:rsidP="00E3113A">
            <w:pPr>
              <w:pStyle w:val="DETTableTextFinancial"/>
              <w:jc w:val="center"/>
            </w:pPr>
            <w:r w:rsidRPr="0087752B">
              <w:t>357,327</w:t>
            </w:r>
          </w:p>
        </w:tc>
        <w:tc>
          <w:tcPr>
            <w:tcW w:w="1536" w:type="dxa"/>
            <w:vAlign w:val="center"/>
          </w:tcPr>
          <w:p w14:paraId="086A0FFA" w14:textId="77777777" w:rsidR="006016B9" w:rsidRPr="0087752B" w:rsidRDefault="006016B9" w:rsidP="00E3113A">
            <w:pPr>
              <w:pStyle w:val="DETTableTextFinancial"/>
              <w:jc w:val="center"/>
            </w:pPr>
            <w:r w:rsidRPr="0087752B">
              <w:t>2,509,970</w:t>
            </w:r>
          </w:p>
        </w:tc>
        <w:tc>
          <w:tcPr>
            <w:tcW w:w="1536" w:type="dxa"/>
            <w:vAlign w:val="center"/>
          </w:tcPr>
          <w:p w14:paraId="67F3AE74" w14:textId="77777777" w:rsidR="006016B9" w:rsidRPr="0087752B" w:rsidRDefault="006016B9" w:rsidP="00E3113A">
            <w:pPr>
              <w:pStyle w:val="DETTableTextFinancial"/>
              <w:jc w:val="center"/>
            </w:pPr>
            <w:r w:rsidRPr="0087752B">
              <w:t>437,410</w:t>
            </w:r>
          </w:p>
        </w:tc>
        <w:tc>
          <w:tcPr>
            <w:tcW w:w="1536" w:type="dxa"/>
            <w:vAlign w:val="center"/>
          </w:tcPr>
          <w:p w14:paraId="0A7880AB" w14:textId="77777777" w:rsidR="006016B9" w:rsidRPr="0087752B" w:rsidRDefault="006016B9" w:rsidP="00E3113A">
            <w:pPr>
              <w:pStyle w:val="DETTableTextFinancial"/>
              <w:jc w:val="center"/>
            </w:pPr>
            <w:r w:rsidRPr="0087752B">
              <w:t>1,635,819</w:t>
            </w:r>
          </w:p>
        </w:tc>
        <w:tc>
          <w:tcPr>
            <w:tcW w:w="1536" w:type="dxa"/>
            <w:vAlign w:val="center"/>
          </w:tcPr>
          <w:p w14:paraId="4BECE282" w14:textId="77777777" w:rsidR="006016B9" w:rsidRPr="0087752B" w:rsidRDefault="006016B9" w:rsidP="00E3113A">
            <w:pPr>
              <w:pStyle w:val="DETTableTextFinancial"/>
              <w:jc w:val="center"/>
            </w:pPr>
            <w:r w:rsidRPr="0087752B">
              <w:t>434,770</w:t>
            </w:r>
          </w:p>
        </w:tc>
      </w:tr>
      <w:tr w:rsidR="006016B9" w:rsidRPr="0087752B" w14:paraId="7BF7A9E8" w14:textId="77777777" w:rsidTr="00E3113A">
        <w:tc>
          <w:tcPr>
            <w:tcW w:w="1535" w:type="dxa"/>
          </w:tcPr>
          <w:p w14:paraId="5FE1F53E" w14:textId="77777777" w:rsidR="006016B9" w:rsidRPr="0087752B" w:rsidRDefault="006016B9" w:rsidP="00E3113A">
            <w:pPr>
              <w:pStyle w:val="DETTableTextFinancial"/>
            </w:pPr>
            <w:r w:rsidRPr="0087752B">
              <w:t>Total greenhouse gas emissions from vehicle fleet (t CO2-e)</w:t>
            </w:r>
          </w:p>
        </w:tc>
        <w:tc>
          <w:tcPr>
            <w:tcW w:w="1535" w:type="dxa"/>
            <w:shd w:val="clear" w:color="auto" w:fill="F8F8F8"/>
            <w:vAlign w:val="center"/>
          </w:tcPr>
          <w:p w14:paraId="7A8A3DF0" w14:textId="77777777" w:rsidR="006016B9" w:rsidRPr="0087752B" w:rsidRDefault="006016B9" w:rsidP="00E3113A">
            <w:pPr>
              <w:pStyle w:val="DETTableTextFinancial"/>
              <w:jc w:val="center"/>
            </w:pPr>
            <w:r w:rsidRPr="0087752B">
              <w:t>261</w:t>
            </w:r>
          </w:p>
        </w:tc>
        <w:tc>
          <w:tcPr>
            <w:tcW w:w="1536" w:type="dxa"/>
            <w:shd w:val="clear" w:color="auto" w:fill="F8F8F8"/>
            <w:vAlign w:val="center"/>
          </w:tcPr>
          <w:p w14:paraId="2477080A" w14:textId="77777777" w:rsidR="006016B9" w:rsidRPr="0087752B" w:rsidRDefault="006016B9" w:rsidP="00E3113A">
            <w:pPr>
              <w:pStyle w:val="DETTableTextFinancial"/>
              <w:jc w:val="center"/>
            </w:pPr>
            <w:r w:rsidRPr="0087752B">
              <w:t>39</w:t>
            </w:r>
          </w:p>
        </w:tc>
        <w:tc>
          <w:tcPr>
            <w:tcW w:w="1536" w:type="dxa"/>
            <w:shd w:val="clear" w:color="auto" w:fill="F8F8F8"/>
            <w:vAlign w:val="center"/>
          </w:tcPr>
          <w:p w14:paraId="057C382F" w14:textId="77777777" w:rsidR="006016B9" w:rsidRPr="0087752B" w:rsidRDefault="006016B9" w:rsidP="00E3113A">
            <w:pPr>
              <w:pStyle w:val="DETTableTextFinancial"/>
              <w:jc w:val="center"/>
            </w:pPr>
            <w:r w:rsidRPr="0087752B">
              <w:t>406</w:t>
            </w:r>
          </w:p>
        </w:tc>
        <w:tc>
          <w:tcPr>
            <w:tcW w:w="1536" w:type="dxa"/>
            <w:shd w:val="clear" w:color="auto" w:fill="F8F8F8"/>
            <w:vAlign w:val="center"/>
          </w:tcPr>
          <w:p w14:paraId="098420AB" w14:textId="77777777" w:rsidR="006016B9" w:rsidRPr="0087752B" w:rsidRDefault="006016B9" w:rsidP="00E3113A">
            <w:pPr>
              <w:pStyle w:val="DETTableTextFinancial"/>
              <w:jc w:val="center"/>
            </w:pPr>
            <w:r w:rsidRPr="0087752B">
              <w:t>71</w:t>
            </w:r>
          </w:p>
        </w:tc>
        <w:tc>
          <w:tcPr>
            <w:tcW w:w="1536" w:type="dxa"/>
            <w:vAlign w:val="center"/>
          </w:tcPr>
          <w:p w14:paraId="2CE5FF70" w14:textId="77777777" w:rsidR="006016B9" w:rsidRPr="0087752B" w:rsidRDefault="006016B9" w:rsidP="00E3113A">
            <w:pPr>
              <w:pStyle w:val="DETTableTextFinancial"/>
              <w:jc w:val="center"/>
            </w:pPr>
            <w:r w:rsidRPr="0087752B">
              <w:t>338</w:t>
            </w:r>
          </w:p>
        </w:tc>
        <w:tc>
          <w:tcPr>
            <w:tcW w:w="1536" w:type="dxa"/>
            <w:vAlign w:val="center"/>
          </w:tcPr>
          <w:p w14:paraId="0E8531D3" w14:textId="77777777" w:rsidR="006016B9" w:rsidRPr="0087752B" w:rsidRDefault="006016B9" w:rsidP="00E3113A">
            <w:pPr>
              <w:pStyle w:val="DETTableTextFinancial"/>
              <w:jc w:val="center"/>
            </w:pPr>
            <w:r w:rsidRPr="0087752B">
              <w:t>90</w:t>
            </w:r>
          </w:p>
        </w:tc>
        <w:tc>
          <w:tcPr>
            <w:tcW w:w="1536" w:type="dxa"/>
            <w:vAlign w:val="center"/>
          </w:tcPr>
          <w:p w14:paraId="26D51FBB" w14:textId="77777777" w:rsidR="006016B9" w:rsidRPr="0087752B" w:rsidRDefault="006016B9" w:rsidP="00E3113A">
            <w:pPr>
              <w:pStyle w:val="DETTableTextFinancial"/>
              <w:jc w:val="center"/>
            </w:pPr>
            <w:r w:rsidRPr="0087752B">
              <w:t>327</w:t>
            </w:r>
          </w:p>
        </w:tc>
        <w:tc>
          <w:tcPr>
            <w:tcW w:w="1536" w:type="dxa"/>
            <w:vAlign w:val="center"/>
          </w:tcPr>
          <w:p w14:paraId="592F05A0" w14:textId="77777777" w:rsidR="006016B9" w:rsidRPr="0087752B" w:rsidRDefault="006016B9" w:rsidP="00E3113A">
            <w:pPr>
              <w:pStyle w:val="DETTableTextFinancial"/>
              <w:jc w:val="center"/>
            </w:pPr>
            <w:r w:rsidRPr="0087752B">
              <w:t>86</w:t>
            </w:r>
          </w:p>
        </w:tc>
      </w:tr>
      <w:tr w:rsidR="006016B9" w:rsidRPr="0087752B" w14:paraId="1693E153" w14:textId="77777777" w:rsidTr="00E3113A">
        <w:tc>
          <w:tcPr>
            <w:tcW w:w="1535" w:type="dxa"/>
          </w:tcPr>
          <w:p w14:paraId="673E20DD" w14:textId="50297EA4" w:rsidR="006016B9" w:rsidRPr="0087752B" w:rsidRDefault="006016B9" w:rsidP="00E3113A">
            <w:pPr>
              <w:pStyle w:val="DETTableTextFinancial"/>
            </w:pPr>
            <w:r w:rsidRPr="0087752B">
              <w:t>Greenhouse gas emissions from vehicle fleet per 1</w:t>
            </w:r>
            <w:r w:rsidR="00885C8B">
              <w:t>,</w:t>
            </w:r>
            <w:r w:rsidRPr="0087752B">
              <w:t>000 km travelled (t CO2-e)</w:t>
            </w:r>
          </w:p>
        </w:tc>
        <w:tc>
          <w:tcPr>
            <w:tcW w:w="1535" w:type="dxa"/>
            <w:shd w:val="clear" w:color="auto" w:fill="F8F8F8"/>
            <w:vAlign w:val="center"/>
          </w:tcPr>
          <w:p w14:paraId="557FBA97" w14:textId="77777777" w:rsidR="006016B9" w:rsidRPr="0087752B" w:rsidRDefault="006016B9" w:rsidP="00E3113A">
            <w:pPr>
              <w:pStyle w:val="DETTableTextFinancial"/>
              <w:jc w:val="center"/>
            </w:pPr>
            <w:r w:rsidRPr="0087752B">
              <w:t>0.13</w:t>
            </w:r>
          </w:p>
        </w:tc>
        <w:tc>
          <w:tcPr>
            <w:tcW w:w="1536" w:type="dxa"/>
            <w:shd w:val="clear" w:color="auto" w:fill="F8F8F8"/>
            <w:vAlign w:val="center"/>
          </w:tcPr>
          <w:p w14:paraId="202619CF" w14:textId="77777777" w:rsidR="006016B9" w:rsidRPr="0087752B" w:rsidRDefault="006016B9" w:rsidP="00E3113A">
            <w:pPr>
              <w:pStyle w:val="DETTableTextFinancial"/>
              <w:jc w:val="center"/>
            </w:pPr>
            <w:r w:rsidRPr="0087752B">
              <w:t>0.20</w:t>
            </w:r>
          </w:p>
        </w:tc>
        <w:tc>
          <w:tcPr>
            <w:tcW w:w="1536" w:type="dxa"/>
            <w:shd w:val="clear" w:color="auto" w:fill="F8F8F8"/>
            <w:vAlign w:val="center"/>
          </w:tcPr>
          <w:p w14:paraId="70B8E3B4" w14:textId="77777777" w:rsidR="006016B9" w:rsidRPr="0087752B" w:rsidRDefault="006016B9" w:rsidP="00E3113A">
            <w:pPr>
              <w:pStyle w:val="DETTableTextFinancial"/>
              <w:jc w:val="center"/>
            </w:pPr>
            <w:r w:rsidRPr="0087752B">
              <w:t>0.20</w:t>
            </w:r>
          </w:p>
        </w:tc>
        <w:tc>
          <w:tcPr>
            <w:tcW w:w="1536" w:type="dxa"/>
            <w:shd w:val="clear" w:color="auto" w:fill="F8F8F8"/>
            <w:vAlign w:val="center"/>
          </w:tcPr>
          <w:p w14:paraId="00045180" w14:textId="77777777" w:rsidR="006016B9" w:rsidRPr="0087752B" w:rsidRDefault="006016B9" w:rsidP="00E3113A">
            <w:pPr>
              <w:pStyle w:val="DETTableTextFinancial"/>
              <w:jc w:val="center"/>
            </w:pPr>
            <w:r w:rsidRPr="0087752B">
              <w:t>0.20</w:t>
            </w:r>
          </w:p>
        </w:tc>
        <w:tc>
          <w:tcPr>
            <w:tcW w:w="1536" w:type="dxa"/>
            <w:vAlign w:val="center"/>
          </w:tcPr>
          <w:p w14:paraId="40B75E90" w14:textId="77777777" w:rsidR="006016B9" w:rsidRPr="0087752B" w:rsidRDefault="006016B9" w:rsidP="00E3113A">
            <w:pPr>
              <w:pStyle w:val="DETTableTextFinancial"/>
              <w:jc w:val="center"/>
            </w:pPr>
            <w:r w:rsidRPr="0087752B">
              <w:t>0.13</w:t>
            </w:r>
          </w:p>
        </w:tc>
        <w:tc>
          <w:tcPr>
            <w:tcW w:w="1536" w:type="dxa"/>
            <w:vAlign w:val="center"/>
          </w:tcPr>
          <w:p w14:paraId="55B38398" w14:textId="77777777" w:rsidR="006016B9" w:rsidRPr="0087752B" w:rsidRDefault="006016B9" w:rsidP="00E3113A">
            <w:pPr>
              <w:pStyle w:val="DETTableTextFinancial"/>
              <w:jc w:val="center"/>
            </w:pPr>
            <w:r w:rsidRPr="0087752B">
              <w:t>0.21</w:t>
            </w:r>
          </w:p>
        </w:tc>
        <w:tc>
          <w:tcPr>
            <w:tcW w:w="1536" w:type="dxa"/>
            <w:vAlign w:val="center"/>
          </w:tcPr>
          <w:p w14:paraId="62CC3848" w14:textId="77777777" w:rsidR="006016B9" w:rsidRPr="0087752B" w:rsidRDefault="006016B9" w:rsidP="00E3113A">
            <w:pPr>
              <w:pStyle w:val="DETTableTextFinancial"/>
              <w:jc w:val="center"/>
            </w:pPr>
            <w:r w:rsidRPr="0087752B">
              <w:t>0.20</w:t>
            </w:r>
          </w:p>
        </w:tc>
        <w:tc>
          <w:tcPr>
            <w:tcW w:w="1536" w:type="dxa"/>
            <w:vAlign w:val="center"/>
          </w:tcPr>
          <w:p w14:paraId="4F9808BC" w14:textId="77777777" w:rsidR="006016B9" w:rsidRPr="0087752B" w:rsidRDefault="006016B9" w:rsidP="00E3113A">
            <w:pPr>
              <w:pStyle w:val="DETTableTextFinancial"/>
              <w:jc w:val="center"/>
            </w:pPr>
            <w:r w:rsidRPr="0087752B">
              <w:t>0.20</w:t>
            </w:r>
          </w:p>
        </w:tc>
      </w:tr>
    </w:tbl>
    <w:p w14:paraId="4237FC80" w14:textId="77777777" w:rsidR="006016B9" w:rsidRPr="0087752B" w:rsidRDefault="006016B9" w:rsidP="006016B9"/>
    <w:p w14:paraId="78DEA20C" w14:textId="77777777" w:rsidR="006016B9" w:rsidRPr="0087752B" w:rsidRDefault="006016B9" w:rsidP="006016B9">
      <w:r w:rsidRPr="0087752B">
        <w:br w:type="page"/>
      </w:r>
    </w:p>
    <w:p w14:paraId="0FFBA79D" w14:textId="77777777" w:rsidR="006016B9" w:rsidRPr="0087752B" w:rsidRDefault="006016B9" w:rsidP="007540CD">
      <w:pPr>
        <w:pStyle w:val="DETTableheading"/>
      </w:pPr>
      <w:r w:rsidRPr="0087752B">
        <w:lastRenderedPageBreak/>
        <w:t>Air travel</w:t>
      </w:r>
    </w:p>
    <w:tbl>
      <w:tblPr>
        <w:tblW w:w="0" w:type="auto"/>
        <w:tblBorders>
          <w:bottom w:val="single" w:sz="4" w:space="0" w:color="auto"/>
        </w:tblBorders>
        <w:tblLook w:val="04A0" w:firstRow="1" w:lastRow="0" w:firstColumn="1" w:lastColumn="0" w:noHBand="0" w:noVBand="1"/>
      </w:tblPr>
      <w:tblGrid>
        <w:gridCol w:w="1974"/>
        <w:gridCol w:w="1974"/>
        <w:gridCol w:w="1974"/>
        <w:gridCol w:w="1975"/>
        <w:gridCol w:w="1975"/>
        <w:gridCol w:w="1975"/>
        <w:gridCol w:w="1975"/>
      </w:tblGrid>
      <w:tr w:rsidR="006016B9" w:rsidRPr="0087752B" w14:paraId="66E351A1" w14:textId="77777777" w:rsidTr="00E3113A">
        <w:tc>
          <w:tcPr>
            <w:tcW w:w="1974" w:type="dxa"/>
            <w:shd w:val="clear" w:color="auto" w:fill="7F7F7F" w:themeFill="text1" w:themeFillTint="80"/>
            <w:vAlign w:val="center"/>
          </w:tcPr>
          <w:p w14:paraId="4459F240" w14:textId="77777777" w:rsidR="006016B9" w:rsidRPr="0087752B" w:rsidRDefault="006016B9" w:rsidP="00E3113A">
            <w:pPr>
              <w:pStyle w:val="DETTablecolumnheading"/>
              <w:jc w:val="left"/>
            </w:pPr>
          </w:p>
        </w:tc>
        <w:tc>
          <w:tcPr>
            <w:tcW w:w="5923" w:type="dxa"/>
            <w:gridSpan w:val="3"/>
            <w:shd w:val="clear" w:color="auto" w:fill="7F7F7F" w:themeFill="text1" w:themeFillTint="80"/>
            <w:vAlign w:val="center"/>
          </w:tcPr>
          <w:p w14:paraId="49AF4E47" w14:textId="59B3E75B" w:rsidR="006016B9" w:rsidRPr="0087752B" w:rsidRDefault="006016B9" w:rsidP="00E3113A">
            <w:pPr>
              <w:pStyle w:val="DETTablecolumnheading"/>
              <w:jc w:val="left"/>
            </w:pPr>
            <w:r w:rsidRPr="0087752B">
              <w:t>2015</w:t>
            </w:r>
            <w:r w:rsidR="00885C8B">
              <w:t>–</w:t>
            </w:r>
            <w:r w:rsidRPr="0087752B">
              <w:t>16</w:t>
            </w:r>
          </w:p>
        </w:tc>
        <w:tc>
          <w:tcPr>
            <w:tcW w:w="5925" w:type="dxa"/>
            <w:gridSpan w:val="3"/>
            <w:shd w:val="clear" w:color="auto" w:fill="7F7F7F" w:themeFill="text1" w:themeFillTint="80"/>
            <w:vAlign w:val="center"/>
          </w:tcPr>
          <w:p w14:paraId="655AC924" w14:textId="65BF7B74" w:rsidR="006016B9" w:rsidRPr="0087752B" w:rsidRDefault="006016B9" w:rsidP="00E3113A">
            <w:pPr>
              <w:pStyle w:val="DETTablecolumnheading"/>
              <w:jc w:val="left"/>
            </w:pPr>
            <w:r w:rsidRPr="0087752B">
              <w:t>2014</w:t>
            </w:r>
            <w:r w:rsidR="00885C8B">
              <w:t>–</w:t>
            </w:r>
            <w:r w:rsidRPr="0087752B">
              <w:t>15</w:t>
            </w:r>
          </w:p>
        </w:tc>
      </w:tr>
      <w:tr w:rsidR="006016B9" w:rsidRPr="0087752B" w14:paraId="6702DF96" w14:textId="77777777" w:rsidTr="00E3113A">
        <w:tc>
          <w:tcPr>
            <w:tcW w:w="1974" w:type="dxa"/>
            <w:shd w:val="clear" w:color="auto" w:fill="7F7F7F" w:themeFill="text1" w:themeFillTint="80"/>
            <w:vAlign w:val="center"/>
          </w:tcPr>
          <w:p w14:paraId="39BF6861" w14:textId="77777777" w:rsidR="006016B9" w:rsidRPr="0087752B" w:rsidRDefault="006016B9" w:rsidP="00E3113A">
            <w:pPr>
              <w:pStyle w:val="DETTablecolumnheading"/>
              <w:jc w:val="left"/>
            </w:pPr>
            <w:r w:rsidRPr="0087752B">
              <w:t>Air travel</w:t>
            </w:r>
          </w:p>
        </w:tc>
        <w:tc>
          <w:tcPr>
            <w:tcW w:w="1974" w:type="dxa"/>
            <w:shd w:val="clear" w:color="auto" w:fill="7F7F7F" w:themeFill="text1" w:themeFillTint="80"/>
            <w:vAlign w:val="center"/>
          </w:tcPr>
          <w:p w14:paraId="7F141160" w14:textId="77777777" w:rsidR="006016B9" w:rsidRPr="0087752B" w:rsidRDefault="006016B9" w:rsidP="00E3113A">
            <w:pPr>
              <w:pStyle w:val="DETTablecolumnheading"/>
              <w:jc w:val="left"/>
            </w:pPr>
            <w:r w:rsidRPr="0087752B">
              <w:t>Short &lt;500 km</w:t>
            </w:r>
          </w:p>
        </w:tc>
        <w:tc>
          <w:tcPr>
            <w:tcW w:w="1974" w:type="dxa"/>
            <w:shd w:val="clear" w:color="auto" w:fill="7F7F7F" w:themeFill="text1" w:themeFillTint="80"/>
            <w:vAlign w:val="center"/>
          </w:tcPr>
          <w:p w14:paraId="3FEB7C4C" w14:textId="77777777" w:rsidR="006016B9" w:rsidRPr="0087752B" w:rsidRDefault="006016B9" w:rsidP="00E3113A">
            <w:pPr>
              <w:pStyle w:val="DETTablecolumnheading"/>
              <w:jc w:val="left"/>
            </w:pPr>
            <w:r w:rsidRPr="0087752B">
              <w:t>Medium 500–3,700 km</w:t>
            </w:r>
          </w:p>
        </w:tc>
        <w:tc>
          <w:tcPr>
            <w:tcW w:w="1975" w:type="dxa"/>
            <w:shd w:val="clear" w:color="auto" w:fill="7F7F7F" w:themeFill="text1" w:themeFillTint="80"/>
            <w:vAlign w:val="center"/>
          </w:tcPr>
          <w:p w14:paraId="480C4327" w14:textId="77777777" w:rsidR="006016B9" w:rsidRPr="0087752B" w:rsidRDefault="006016B9" w:rsidP="00E3113A">
            <w:pPr>
              <w:pStyle w:val="DETTablecolumnheading"/>
              <w:jc w:val="left"/>
            </w:pPr>
            <w:r w:rsidRPr="0087752B">
              <w:t>Long &gt;3,700 km</w:t>
            </w:r>
          </w:p>
        </w:tc>
        <w:tc>
          <w:tcPr>
            <w:tcW w:w="1975" w:type="dxa"/>
            <w:shd w:val="clear" w:color="auto" w:fill="7F7F7F" w:themeFill="text1" w:themeFillTint="80"/>
            <w:vAlign w:val="center"/>
          </w:tcPr>
          <w:p w14:paraId="19791D51" w14:textId="77777777" w:rsidR="006016B9" w:rsidRPr="0087752B" w:rsidRDefault="006016B9" w:rsidP="00E3113A">
            <w:pPr>
              <w:pStyle w:val="DETTablecolumnheading"/>
              <w:jc w:val="left"/>
            </w:pPr>
            <w:r w:rsidRPr="0087752B">
              <w:t>Short &lt;500 km</w:t>
            </w:r>
          </w:p>
        </w:tc>
        <w:tc>
          <w:tcPr>
            <w:tcW w:w="1975" w:type="dxa"/>
            <w:shd w:val="clear" w:color="auto" w:fill="7F7F7F" w:themeFill="text1" w:themeFillTint="80"/>
            <w:vAlign w:val="center"/>
          </w:tcPr>
          <w:p w14:paraId="5666605A" w14:textId="77777777" w:rsidR="006016B9" w:rsidRPr="0087752B" w:rsidRDefault="006016B9" w:rsidP="00E3113A">
            <w:pPr>
              <w:pStyle w:val="DETTablecolumnheading"/>
              <w:jc w:val="left"/>
            </w:pPr>
            <w:r w:rsidRPr="0087752B">
              <w:t>Medium 500–3,700 km</w:t>
            </w:r>
          </w:p>
        </w:tc>
        <w:tc>
          <w:tcPr>
            <w:tcW w:w="1975" w:type="dxa"/>
            <w:shd w:val="clear" w:color="auto" w:fill="7F7F7F" w:themeFill="text1" w:themeFillTint="80"/>
            <w:vAlign w:val="center"/>
          </w:tcPr>
          <w:p w14:paraId="308B31D1" w14:textId="77777777" w:rsidR="006016B9" w:rsidRPr="0087752B" w:rsidRDefault="006016B9" w:rsidP="00E3113A">
            <w:pPr>
              <w:pStyle w:val="DETTablecolumnheading"/>
              <w:jc w:val="left"/>
            </w:pPr>
            <w:r w:rsidRPr="0087752B">
              <w:t>Long &gt;3,700 km</w:t>
            </w:r>
          </w:p>
        </w:tc>
      </w:tr>
      <w:tr w:rsidR="006016B9" w:rsidRPr="0087752B" w14:paraId="3F6B3E87" w14:textId="77777777" w:rsidTr="00E3113A">
        <w:tc>
          <w:tcPr>
            <w:tcW w:w="1974" w:type="dxa"/>
            <w:vAlign w:val="center"/>
          </w:tcPr>
          <w:p w14:paraId="74487453" w14:textId="77777777" w:rsidR="006016B9" w:rsidRPr="0087752B" w:rsidRDefault="006016B9" w:rsidP="00E3113A">
            <w:pPr>
              <w:pStyle w:val="DETTableTextFinancial"/>
            </w:pPr>
            <w:r w:rsidRPr="0087752B">
              <w:t>Total distance (km) travelled by aeroplane</w:t>
            </w:r>
          </w:p>
        </w:tc>
        <w:tc>
          <w:tcPr>
            <w:tcW w:w="1974" w:type="dxa"/>
            <w:shd w:val="clear" w:color="auto" w:fill="F8F8F8"/>
            <w:vAlign w:val="center"/>
          </w:tcPr>
          <w:p w14:paraId="1AA39781" w14:textId="77777777" w:rsidR="006016B9" w:rsidRPr="0087752B" w:rsidRDefault="006016B9" w:rsidP="00E3113A">
            <w:pPr>
              <w:pStyle w:val="DETTableTextFinancial"/>
            </w:pPr>
            <w:r w:rsidRPr="0087752B">
              <w:t>156,412</w:t>
            </w:r>
          </w:p>
        </w:tc>
        <w:tc>
          <w:tcPr>
            <w:tcW w:w="1974" w:type="dxa"/>
            <w:shd w:val="clear" w:color="auto" w:fill="F8F8F8"/>
            <w:vAlign w:val="center"/>
          </w:tcPr>
          <w:p w14:paraId="10F7F360" w14:textId="77777777" w:rsidR="006016B9" w:rsidRPr="0087752B" w:rsidRDefault="006016B9" w:rsidP="00E3113A">
            <w:pPr>
              <w:pStyle w:val="DETTableTextFinancial"/>
            </w:pPr>
            <w:r w:rsidRPr="0087752B">
              <w:t>495,194</w:t>
            </w:r>
          </w:p>
        </w:tc>
        <w:tc>
          <w:tcPr>
            <w:tcW w:w="1975" w:type="dxa"/>
            <w:shd w:val="clear" w:color="auto" w:fill="F8F8F8"/>
            <w:vAlign w:val="center"/>
          </w:tcPr>
          <w:p w14:paraId="1340769B" w14:textId="77777777" w:rsidR="006016B9" w:rsidRPr="0087752B" w:rsidRDefault="006016B9" w:rsidP="00E3113A">
            <w:pPr>
              <w:pStyle w:val="DETTableTextFinancial"/>
            </w:pPr>
            <w:r w:rsidRPr="0087752B">
              <w:t>483,802</w:t>
            </w:r>
          </w:p>
        </w:tc>
        <w:tc>
          <w:tcPr>
            <w:tcW w:w="1975" w:type="dxa"/>
            <w:vAlign w:val="center"/>
          </w:tcPr>
          <w:p w14:paraId="2B12CBC9" w14:textId="77777777" w:rsidR="006016B9" w:rsidRPr="0087752B" w:rsidRDefault="006016B9" w:rsidP="00E3113A">
            <w:pPr>
              <w:pStyle w:val="DETTableTextFinancial"/>
            </w:pPr>
            <w:r w:rsidRPr="0087752B">
              <w:t>234,744</w:t>
            </w:r>
          </w:p>
        </w:tc>
        <w:tc>
          <w:tcPr>
            <w:tcW w:w="1975" w:type="dxa"/>
            <w:vAlign w:val="center"/>
          </w:tcPr>
          <w:p w14:paraId="0B20AFB2" w14:textId="77777777" w:rsidR="006016B9" w:rsidRPr="0087752B" w:rsidRDefault="006016B9" w:rsidP="00E3113A">
            <w:pPr>
              <w:pStyle w:val="DETTableTextFinancial"/>
            </w:pPr>
            <w:r w:rsidRPr="0087752B">
              <w:t>660,031</w:t>
            </w:r>
          </w:p>
        </w:tc>
        <w:tc>
          <w:tcPr>
            <w:tcW w:w="1975" w:type="dxa"/>
            <w:vAlign w:val="center"/>
          </w:tcPr>
          <w:p w14:paraId="0000F2B2" w14:textId="77777777" w:rsidR="006016B9" w:rsidRPr="0087752B" w:rsidRDefault="006016B9" w:rsidP="00E3113A">
            <w:pPr>
              <w:pStyle w:val="DETTableTextFinancial"/>
            </w:pPr>
            <w:r w:rsidRPr="0087752B">
              <w:t>1,197,003</w:t>
            </w:r>
          </w:p>
        </w:tc>
      </w:tr>
    </w:tbl>
    <w:p w14:paraId="104A8CCD" w14:textId="77777777" w:rsidR="006016B9" w:rsidRPr="0087752B" w:rsidRDefault="006016B9" w:rsidP="007540CD">
      <w:pPr>
        <w:pStyle w:val="DETTableheading"/>
      </w:pPr>
      <w:r w:rsidRPr="0087752B">
        <w:t>Sustainable commuting</w:t>
      </w:r>
    </w:p>
    <w:tbl>
      <w:tblPr>
        <w:tblW w:w="0" w:type="auto"/>
        <w:tblBorders>
          <w:bottom w:val="single" w:sz="4" w:space="0" w:color="auto"/>
        </w:tblBorders>
        <w:tblLook w:val="04A0" w:firstRow="1" w:lastRow="0" w:firstColumn="1" w:lastColumn="0" w:noHBand="0" w:noVBand="1"/>
      </w:tblPr>
      <w:tblGrid>
        <w:gridCol w:w="2764"/>
        <w:gridCol w:w="2764"/>
        <w:gridCol w:w="2764"/>
        <w:gridCol w:w="2765"/>
        <w:gridCol w:w="2765"/>
      </w:tblGrid>
      <w:tr w:rsidR="006016B9" w:rsidRPr="0087752B" w14:paraId="6F892B24" w14:textId="77777777" w:rsidTr="00E3113A">
        <w:tc>
          <w:tcPr>
            <w:tcW w:w="2764" w:type="dxa"/>
            <w:shd w:val="clear" w:color="auto" w:fill="7F7F7F" w:themeFill="text1" w:themeFillTint="80"/>
            <w:vAlign w:val="center"/>
          </w:tcPr>
          <w:p w14:paraId="170847E0" w14:textId="77777777" w:rsidR="006016B9" w:rsidRPr="0087752B" w:rsidRDefault="006016B9" w:rsidP="00E3113A">
            <w:pPr>
              <w:pStyle w:val="DETTablecolumnheading"/>
            </w:pPr>
            <w:r w:rsidRPr="0087752B">
              <w:t>Sustainable commuting</w:t>
            </w:r>
          </w:p>
        </w:tc>
        <w:tc>
          <w:tcPr>
            <w:tcW w:w="5528" w:type="dxa"/>
            <w:gridSpan w:val="2"/>
            <w:shd w:val="clear" w:color="auto" w:fill="7F7F7F" w:themeFill="text1" w:themeFillTint="80"/>
          </w:tcPr>
          <w:p w14:paraId="33BA2714" w14:textId="77777777" w:rsidR="006016B9" w:rsidRPr="0087752B" w:rsidRDefault="006016B9" w:rsidP="00E3113A">
            <w:pPr>
              <w:pStyle w:val="DETTablecolumnheading"/>
            </w:pPr>
            <w:r w:rsidRPr="0087752B">
              <w:t>2015–16</w:t>
            </w:r>
          </w:p>
        </w:tc>
        <w:tc>
          <w:tcPr>
            <w:tcW w:w="5530" w:type="dxa"/>
            <w:gridSpan w:val="2"/>
            <w:shd w:val="clear" w:color="auto" w:fill="7F7F7F" w:themeFill="text1" w:themeFillTint="80"/>
          </w:tcPr>
          <w:p w14:paraId="077A07C8" w14:textId="77777777" w:rsidR="006016B9" w:rsidRPr="0087752B" w:rsidRDefault="006016B9" w:rsidP="00E3113A">
            <w:pPr>
              <w:pStyle w:val="DETTablecolumnheading"/>
            </w:pPr>
            <w:r w:rsidRPr="0087752B">
              <w:t>2014–15</w:t>
            </w:r>
          </w:p>
        </w:tc>
      </w:tr>
      <w:tr w:rsidR="006016B9" w:rsidRPr="0087752B" w14:paraId="6D44F0CB" w14:textId="77777777" w:rsidTr="00E3113A">
        <w:tc>
          <w:tcPr>
            <w:tcW w:w="2764" w:type="dxa"/>
            <w:shd w:val="clear" w:color="auto" w:fill="7F7F7F" w:themeFill="text1" w:themeFillTint="80"/>
          </w:tcPr>
          <w:p w14:paraId="7C48F9B6" w14:textId="77777777" w:rsidR="006016B9" w:rsidRPr="0087752B" w:rsidRDefault="006016B9" w:rsidP="00E3113A">
            <w:pPr>
              <w:pStyle w:val="DETTablecolumnheading"/>
            </w:pPr>
          </w:p>
        </w:tc>
        <w:tc>
          <w:tcPr>
            <w:tcW w:w="2764" w:type="dxa"/>
            <w:shd w:val="clear" w:color="auto" w:fill="7F7F7F" w:themeFill="text1" w:themeFillTint="80"/>
          </w:tcPr>
          <w:p w14:paraId="16A0C237" w14:textId="77777777" w:rsidR="006016B9" w:rsidRPr="0087752B" w:rsidRDefault="006016B9" w:rsidP="00E3113A">
            <w:pPr>
              <w:pStyle w:val="DETTablecolumnheading"/>
            </w:pPr>
            <w:r w:rsidRPr="0087752B">
              <w:t>CBD</w:t>
            </w:r>
          </w:p>
        </w:tc>
        <w:tc>
          <w:tcPr>
            <w:tcW w:w="2764" w:type="dxa"/>
            <w:shd w:val="clear" w:color="auto" w:fill="7F7F7F" w:themeFill="text1" w:themeFillTint="80"/>
          </w:tcPr>
          <w:p w14:paraId="30477EA4" w14:textId="77777777" w:rsidR="006016B9" w:rsidRPr="0087752B" w:rsidRDefault="006016B9" w:rsidP="00E3113A">
            <w:pPr>
              <w:pStyle w:val="DETTablecolumnheading"/>
            </w:pPr>
            <w:r w:rsidRPr="0087752B">
              <w:t>Regional</w:t>
            </w:r>
          </w:p>
        </w:tc>
        <w:tc>
          <w:tcPr>
            <w:tcW w:w="2765" w:type="dxa"/>
            <w:shd w:val="clear" w:color="auto" w:fill="7F7F7F" w:themeFill="text1" w:themeFillTint="80"/>
          </w:tcPr>
          <w:p w14:paraId="41D21812" w14:textId="77777777" w:rsidR="006016B9" w:rsidRPr="0087752B" w:rsidRDefault="006016B9" w:rsidP="00E3113A">
            <w:pPr>
              <w:pStyle w:val="DETTablecolumnheading"/>
            </w:pPr>
            <w:r w:rsidRPr="0087752B">
              <w:t>CBD</w:t>
            </w:r>
          </w:p>
        </w:tc>
        <w:tc>
          <w:tcPr>
            <w:tcW w:w="2765" w:type="dxa"/>
            <w:shd w:val="clear" w:color="auto" w:fill="7F7F7F" w:themeFill="text1" w:themeFillTint="80"/>
          </w:tcPr>
          <w:p w14:paraId="33F230BF" w14:textId="77777777" w:rsidR="006016B9" w:rsidRPr="0087752B" w:rsidRDefault="006016B9" w:rsidP="00E3113A">
            <w:pPr>
              <w:pStyle w:val="DETTablecolumnheading"/>
            </w:pPr>
            <w:r w:rsidRPr="0087752B">
              <w:t>Regional</w:t>
            </w:r>
          </w:p>
        </w:tc>
      </w:tr>
      <w:tr w:rsidR="006016B9" w:rsidRPr="0087752B" w14:paraId="4DFF95E1" w14:textId="77777777" w:rsidTr="00E3113A">
        <w:tc>
          <w:tcPr>
            <w:tcW w:w="2764" w:type="dxa"/>
          </w:tcPr>
          <w:p w14:paraId="08D67AAF" w14:textId="7DEFF278" w:rsidR="006016B9" w:rsidRPr="0087752B" w:rsidRDefault="006016B9" w:rsidP="00E3113A">
            <w:pPr>
              <w:pStyle w:val="DETTableTextFinancial"/>
            </w:pPr>
            <w:r w:rsidRPr="0087752B">
              <w:t>Percentage of employees regularly (&gt;75 per cent of attendance days) using public transport, cycling, walking or car-pooling to and from work or working from home, by workplace locality.</w:t>
            </w:r>
          </w:p>
        </w:tc>
        <w:tc>
          <w:tcPr>
            <w:tcW w:w="2764" w:type="dxa"/>
            <w:shd w:val="clear" w:color="auto" w:fill="F8F8F8"/>
            <w:vAlign w:val="center"/>
          </w:tcPr>
          <w:p w14:paraId="272D4472" w14:textId="77777777" w:rsidR="006016B9" w:rsidRPr="0087752B" w:rsidRDefault="006016B9" w:rsidP="00E3113A">
            <w:pPr>
              <w:pStyle w:val="DETTableTextFinancial"/>
              <w:jc w:val="center"/>
            </w:pPr>
            <w:r w:rsidRPr="0087752B">
              <w:t>93</w:t>
            </w:r>
          </w:p>
        </w:tc>
        <w:tc>
          <w:tcPr>
            <w:tcW w:w="2764" w:type="dxa"/>
            <w:shd w:val="clear" w:color="auto" w:fill="F8F8F8"/>
            <w:vAlign w:val="center"/>
          </w:tcPr>
          <w:p w14:paraId="0EA79E16" w14:textId="77777777" w:rsidR="006016B9" w:rsidRPr="0087752B" w:rsidRDefault="006016B9" w:rsidP="00E3113A">
            <w:pPr>
              <w:pStyle w:val="DETTableTextFinancial"/>
              <w:jc w:val="center"/>
            </w:pPr>
            <w:r w:rsidRPr="0087752B">
              <w:t>0</w:t>
            </w:r>
          </w:p>
        </w:tc>
        <w:tc>
          <w:tcPr>
            <w:tcW w:w="2765" w:type="dxa"/>
            <w:vAlign w:val="center"/>
          </w:tcPr>
          <w:p w14:paraId="4F686F35" w14:textId="77777777" w:rsidR="006016B9" w:rsidRPr="0087752B" w:rsidRDefault="006016B9" w:rsidP="00E3113A">
            <w:pPr>
              <w:pStyle w:val="DETTableTextFinancial"/>
              <w:jc w:val="center"/>
            </w:pPr>
            <w:r w:rsidRPr="0087752B">
              <w:t>70</w:t>
            </w:r>
          </w:p>
        </w:tc>
        <w:tc>
          <w:tcPr>
            <w:tcW w:w="2765" w:type="dxa"/>
            <w:vAlign w:val="center"/>
          </w:tcPr>
          <w:p w14:paraId="747F2D73" w14:textId="77777777" w:rsidR="006016B9" w:rsidRPr="0087752B" w:rsidRDefault="006016B9" w:rsidP="00E3113A">
            <w:pPr>
              <w:pStyle w:val="DETTableTextFinancial"/>
              <w:jc w:val="center"/>
            </w:pPr>
            <w:r w:rsidRPr="0087752B">
              <w:t>4</w:t>
            </w:r>
          </w:p>
        </w:tc>
      </w:tr>
    </w:tbl>
    <w:p w14:paraId="6125B160" w14:textId="77777777" w:rsidR="006016B9" w:rsidRPr="0087752B" w:rsidRDefault="006016B9" w:rsidP="00E3113A">
      <w:pPr>
        <w:pStyle w:val="Heading4"/>
      </w:pPr>
      <w:r w:rsidRPr="0087752B">
        <w:t>Target</w:t>
      </w:r>
    </w:p>
    <w:p w14:paraId="7E12AB81" w14:textId="77777777" w:rsidR="006016B9" w:rsidRPr="0087752B" w:rsidRDefault="006016B9" w:rsidP="006016B9">
      <w:r w:rsidRPr="0087752B">
        <w:t>Reduce by five per cent of 2014–15 levels the total kilometres travelled by operational vehicles by 31 March 2016. Reduce air travel by 25 per cent by 31 March 2016.</w:t>
      </w:r>
    </w:p>
    <w:p w14:paraId="2D4A68D4" w14:textId="77777777" w:rsidR="006016B9" w:rsidRPr="0087752B" w:rsidRDefault="006016B9" w:rsidP="00E3113A">
      <w:pPr>
        <w:pStyle w:val="Heading4"/>
      </w:pPr>
      <w:r w:rsidRPr="0087752B">
        <w:t>Explanatory notes</w:t>
      </w:r>
    </w:p>
    <w:p w14:paraId="1AA45553" w14:textId="742B96F1" w:rsidR="006016B9" w:rsidRPr="0087752B" w:rsidRDefault="006016B9" w:rsidP="006016B9">
      <w:r w:rsidRPr="0087752B">
        <w:t>Total kilometres travelled by operational vehicle fleet fell by 7.2 per cent against the previous year resulting in the reduction target of 5 per</w:t>
      </w:r>
      <w:r w:rsidR="00885C8B">
        <w:t xml:space="preserve"> </w:t>
      </w:r>
      <w:r w:rsidRPr="0087752B">
        <w:t xml:space="preserve">cent being achieved. Hybrid-fuelled vehicles were the most used, contributing to a 7 per cent fall in total energy consumption against last year. These factors clearly led to the 8 per cent reduction in total emissions. </w:t>
      </w:r>
    </w:p>
    <w:p w14:paraId="2D6A0F7F" w14:textId="7935E3EB" w:rsidR="006016B9" w:rsidRPr="0087752B" w:rsidRDefault="006016B9" w:rsidP="006016B9">
      <w:r w:rsidRPr="0087752B">
        <w:t>In 2015–16, air travel reduced by 46 per cent to 1,135,408 km compared to the previous year. This is the lowest distance recorded in all flight categories since 2010–11. The greatest contributor to this overall reduction is the significant 60 per cent fall in long-distance flights compared to 2014</w:t>
      </w:r>
      <w:r w:rsidR="00885C8B">
        <w:t>–</w:t>
      </w:r>
      <w:r w:rsidRPr="0087752B">
        <w:t xml:space="preserve">15. </w:t>
      </w:r>
    </w:p>
    <w:p w14:paraId="58E13368" w14:textId="77777777" w:rsidR="006016B9" w:rsidRPr="0087752B" w:rsidRDefault="006016B9" w:rsidP="006016B9">
      <w:r w:rsidRPr="0087752B">
        <w:t>Sustainable commuting figures are obtained via staff survey and depend on response rates.</w:t>
      </w:r>
    </w:p>
    <w:p w14:paraId="527E066E" w14:textId="77777777" w:rsidR="006016B9" w:rsidRPr="0087752B" w:rsidRDefault="006016B9" w:rsidP="006016B9">
      <w:pPr>
        <w:sectPr w:rsidR="006016B9" w:rsidRPr="0087752B" w:rsidSect="006016B9">
          <w:pgSz w:w="16838" w:h="11906" w:orient="landscape" w:code="9"/>
          <w:pgMar w:top="2835" w:right="1814" w:bottom="1701" w:left="1418" w:header="851" w:footer="567" w:gutter="0"/>
          <w:cols w:space="567"/>
          <w:docGrid w:linePitch="360"/>
        </w:sectPr>
      </w:pPr>
    </w:p>
    <w:p w14:paraId="47C98825" w14:textId="77777777" w:rsidR="006016B9" w:rsidRPr="0087752B" w:rsidRDefault="006016B9" w:rsidP="00993B43">
      <w:pPr>
        <w:pStyle w:val="Heading3"/>
      </w:pPr>
      <w:r w:rsidRPr="0087752B">
        <w:lastRenderedPageBreak/>
        <w:t>Greenhouse gas emissions</w:t>
      </w:r>
    </w:p>
    <w:p w14:paraId="1978D9A5" w14:textId="77777777" w:rsidR="006016B9" w:rsidRPr="0087752B" w:rsidRDefault="006016B9" w:rsidP="006016B9">
      <w:r w:rsidRPr="0087752B">
        <w:t>The emissions disclosed in the section below are taken from the previous sections and brought together here to show the Department’s greenhouse footprint.</w:t>
      </w:r>
    </w:p>
    <w:tbl>
      <w:tblPr>
        <w:tblW w:w="7400" w:type="dxa"/>
        <w:jc w:val="center"/>
        <w:tblLook w:val="04A0" w:firstRow="1" w:lastRow="0" w:firstColumn="1" w:lastColumn="0" w:noHBand="0" w:noVBand="1"/>
      </w:tblPr>
      <w:tblGrid>
        <w:gridCol w:w="5499"/>
        <w:gridCol w:w="895"/>
        <w:gridCol w:w="1006"/>
      </w:tblGrid>
      <w:tr w:rsidR="006016B9" w:rsidRPr="0087752B" w14:paraId="21CC003A" w14:textId="77777777" w:rsidTr="00993B43">
        <w:trPr>
          <w:jc w:val="center"/>
        </w:trPr>
        <w:tc>
          <w:tcPr>
            <w:tcW w:w="5499" w:type="dxa"/>
            <w:shd w:val="clear" w:color="auto" w:fill="7F7F7F" w:themeFill="text1" w:themeFillTint="80"/>
            <w:vAlign w:val="center"/>
          </w:tcPr>
          <w:p w14:paraId="2956225E" w14:textId="77777777" w:rsidR="006016B9" w:rsidRPr="0087752B" w:rsidRDefault="006016B9" w:rsidP="00993B43">
            <w:pPr>
              <w:pStyle w:val="DETTablecolumnheading"/>
              <w:jc w:val="left"/>
            </w:pPr>
            <w:r w:rsidRPr="0087752B">
              <w:t>Indicator</w:t>
            </w:r>
          </w:p>
        </w:tc>
        <w:tc>
          <w:tcPr>
            <w:tcW w:w="895" w:type="dxa"/>
            <w:shd w:val="clear" w:color="auto" w:fill="7F7F7F" w:themeFill="text1" w:themeFillTint="80"/>
            <w:vAlign w:val="center"/>
          </w:tcPr>
          <w:p w14:paraId="68712F76" w14:textId="77777777" w:rsidR="006016B9" w:rsidRPr="0087752B" w:rsidRDefault="006016B9" w:rsidP="00993B43">
            <w:pPr>
              <w:pStyle w:val="DETTablecolumnheading"/>
              <w:jc w:val="left"/>
            </w:pPr>
            <w:r w:rsidRPr="0087752B">
              <w:t>2015–16</w:t>
            </w:r>
          </w:p>
        </w:tc>
        <w:tc>
          <w:tcPr>
            <w:tcW w:w="1006" w:type="dxa"/>
            <w:shd w:val="clear" w:color="auto" w:fill="7F7F7F" w:themeFill="text1" w:themeFillTint="80"/>
            <w:vAlign w:val="center"/>
          </w:tcPr>
          <w:p w14:paraId="5936AE5D" w14:textId="77777777" w:rsidR="006016B9" w:rsidRPr="0087752B" w:rsidRDefault="006016B9" w:rsidP="00993B43">
            <w:pPr>
              <w:pStyle w:val="DETTablecolumnheading"/>
              <w:jc w:val="left"/>
            </w:pPr>
            <w:r w:rsidRPr="0087752B">
              <w:t>2014–15</w:t>
            </w:r>
          </w:p>
        </w:tc>
      </w:tr>
      <w:tr w:rsidR="006016B9" w:rsidRPr="0087752B" w14:paraId="44C01B46" w14:textId="77777777" w:rsidTr="00993B43">
        <w:trPr>
          <w:jc w:val="center"/>
        </w:trPr>
        <w:tc>
          <w:tcPr>
            <w:tcW w:w="5499" w:type="dxa"/>
            <w:shd w:val="clear" w:color="auto" w:fill="auto"/>
            <w:vAlign w:val="center"/>
          </w:tcPr>
          <w:p w14:paraId="2A316DC4" w14:textId="77777777" w:rsidR="006016B9" w:rsidRPr="0087752B" w:rsidRDefault="006016B9" w:rsidP="00993B43">
            <w:pPr>
              <w:pStyle w:val="DETTableTextFinancial"/>
            </w:pPr>
            <w:r w:rsidRPr="0087752B">
              <w:t>Total greenhouse gas emissions from energy use (t CO2 e)</w:t>
            </w:r>
          </w:p>
        </w:tc>
        <w:tc>
          <w:tcPr>
            <w:tcW w:w="895" w:type="dxa"/>
            <w:shd w:val="clear" w:color="auto" w:fill="F8F8F8"/>
            <w:vAlign w:val="center"/>
          </w:tcPr>
          <w:p w14:paraId="454CB0A0" w14:textId="77777777" w:rsidR="006016B9" w:rsidRPr="0087752B" w:rsidRDefault="006016B9" w:rsidP="00993B43">
            <w:pPr>
              <w:pStyle w:val="DETTableTextFinancial"/>
              <w:jc w:val="right"/>
            </w:pPr>
            <w:r w:rsidRPr="0087752B">
              <w:t>7,699</w:t>
            </w:r>
          </w:p>
        </w:tc>
        <w:tc>
          <w:tcPr>
            <w:tcW w:w="1006" w:type="dxa"/>
            <w:vAlign w:val="center"/>
          </w:tcPr>
          <w:p w14:paraId="2A20BB59" w14:textId="77777777" w:rsidR="006016B9" w:rsidRPr="0087752B" w:rsidRDefault="006016B9" w:rsidP="00993B43">
            <w:pPr>
              <w:pStyle w:val="DETTableTextFinancial"/>
              <w:jc w:val="right"/>
            </w:pPr>
            <w:r w:rsidRPr="0087752B">
              <w:t>7,559</w:t>
            </w:r>
          </w:p>
        </w:tc>
      </w:tr>
      <w:tr w:rsidR="006016B9" w:rsidRPr="0087752B" w14:paraId="508CB66E" w14:textId="77777777" w:rsidTr="00993B43">
        <w:trPr>
          <w:jc w:val="center"/>
        </w:trPr>
        <w:tc>
          <w:tcPr>
            <w:tcW w:w="5499" w:type="dxa"/>
            <w:shd w:val="clear" w:color="auto" w:fill="auto"/>
            <w:vAlign w:val="center"/>
          </w:tcPr>
          <w:p w14:paraId="18E33362" w14:textId="77777777" w:rsidR="006016B9" w:rsidRPr="0087752B" w:rsidRDefault="006016B9" w:rsidP="00993B43">
            <w:pPr>
              <w:pStyle w:val="DETTableTextFinancial"/>
            </w:pPr>
            <w:r w:rsidRPr="0087752B">
              <w:t>Total greenhouse gas emissions from waste production (t CO2 e)</w:t>
            </w:r>
          </w:p>
        </w:tc>
        <w:tc>
          <w:tcPr>
            <w:tcW w:w="895" w:type="dxa"/>
            <w:shd w:val="clear" w:color="auto" w:fill="F8F8F8"/>
            <w:vAlign w:val="center"/>
          </w:tcPr>
          <w:p w14:paraId="5F37001B" w14:textId="77777777" w:rsidR="006016B9" w:rsidRPr="0087752B" w:rsidRDefault="006016B9" w:rsidP="00993B43">
            <w:pPr>
              <w:pStyle w:val="DETTableTextFinancial"/>
              <w:jc w:val="right"/>
            </w:pPr>
            <w:r w:rsidRPr="0087752B">
              <w:t>29</w:t>
            </w:r>
          </w:p>
        </w:tc>
        <w:tc>
          <w:tcPr>
            <w:tcW w:w="1006" w:type="dxa"/>
            <w:vAlign w:val="center"/>
          </w:tcPr>
          <w:p w14:paraId="5C0BECEA" w14:textId="77777777" w:rsidR="006016B9" w:rsidRPr="0087752B" w:rsidRDefault="006016B9" w:rsidP="00993B43">
            <w:pPr>
              <w:pStyle w:val="DETTableTextFinancial"/>
              <w:jc w:val="right"/>
            </w:pPr>
            <w:r w:rsidRPr="0087752B">
              <w:t>18</w:t>
            </w:r>
          </w:p>
        </w:tc>
      </w:tr>
      <w:tr w:rsidR="006016B9" w:rsidRPr="0087752B" w14:paraId="7C98D19B" w14:textId="77777777" w:rsidTr="00993B43">
        <w:trPr>
          <w:jc w:val="center"/>
        </w:trPr>
        <w:tc>
          <w:tcPr>
            <w:tcW w:w="5499" w:type="dxa"/>
            <w:shd w:val="clear" w:color="auto" w:fill="auto"/>
            <w:vAlign w:val="center"/>
          </w:tcPr>
          <w:p w14:paraId="413F899B" w14:textId="77777777" w:rsidR="006016B9" w:rsidRPr="0087752B" w:rsidRDefault="006016B9" w:rsidP="00993B43">
            <w:pPr>
              <w:pStyle w:val="DETTableTextFinancial"/>
            </w:pPr>
            <w:r w:rsidRPr="0087752B">
              <w:t>Total greenhouse gas emissions from paper purchases (t CO2 e)</w:t>
            </w:r>
          </w:p>
        </w:tc>
        <w:tc>
          <w:tcPr>
            <w:tcW w:w="895" w:type="dxa"/>
            <w:shd w:val="clear" w:color="auto" w:fill="F8F8F8"/>
            <w:vAlign w:val="center"/>
          </w:tcPr>
          <w:p w14:paraId="3D8ECB83" w14:textId="77777777" w:rsidR="006016B9" w:rsidRPr="0087752B" w:rsidRDefault="006016B9" w:rsidP="00993B43">
            <w:pPr>
              <w:pStyle w:val="DETTableTextFinancial"/>
              <w:jc w:val="right"/>
            </w:pPr>
            <w:r w:rsidRPr="0087752B">
              <w:t>115</w:t>
            </w:r>
          </w:p>
        </w:tc>
        <w:tc>
          <w:tcPr>
            <w:tcW w:w="1006" w:type="dxa"/>
            <w:vAlign w:val="center"/>
          </w:tcPr>
          <w:p w14:paraId="2A223004" w14:textId="77777777" w:rsidR="006016B9" w:rsidRPr="0087752B" w:rsidRDefault="006016B9" w:rsidP="00993B43">
            <w:pPr>
              <w:pStyle w:val="DETTableTextFinancial"/>
              <w:jc w:val="right"/>
              <w:rPr>
                <w:highlight w:val="yellow"/>
              </w:rPr>
            </w:pPr>
            <w:r w:rsidRPr="0087752B">
              <w:t>103</w:t>
            </w:r>
          </w:p>
        </w:tc>
      </w:tr>
      <w:tr w:rsidR="006016B9" w:rsidRPr="0087752B" w14:paraId="33BF54C7" w14:textId="77777777" w:rsidTr="00993B43">
        <w:trPr>
          <w:jc w:val="center"/>
        </w:trPr>
        <w:tc>
          <w:tcPr>
            <w:tcW w:w="5499" w:type="dxa"/>
            <w:shd w:val="clear" w:color="auto" w:fill="auto"/>
            <w:vAlign w:val="center"/>
          </w:tcPr>
          <w:p w14:paraId="0DAE2471" w14:textId="77777777" w:rsidR="006016B9" w:rsidRPr="0087752B" w:rsidRDefault="006016B9" w:rsidP="00993B43">
            <w:pPr>
              <w:pStyle w:val="DETTableTextFinancial"/>
            </w:pPr>
            <w:r w:rsidRPr="0087752B">
              <w:t>Total greenhouse gas emissions from water consumption (t CO2 e)</w:t>
            </w:r>
          </w:p>
        </w:tc>
        <w:tc>
          <w:tcPr>
            <w:tcW w:w="895" w:type="dxa"/>
            <w:shd w:val="clear" w:color="auto" w:fill="F8F8F8"/>
            <w:vAlign w:val="center"/>
          </w:tcPr>
          <w:p w14:paraId="6CB8C3B6" w14:textId="77777777" w:rsidR="006016B9" w:rsidRPr="0087752B" w:rsidRDefault="006016B9" w:rsidP="00993B43">
            <w:pPr>
              <w:pStyle w:val="DETTableTextFinancial"/>
              <w:jc w:val="right"/>
            </w:pPr>
            <w:r w:rsidRPr="0087752B">
              <w:t>25</w:t>
            </w:r>
          </w:p>
        </w:tc>
        <w:tc>
          <w:tcPr>
            <w:tcW w:w="1006" w:type="dxa"/>
            <w:vAlign w:val="center"/>
          </w:tcPr>
          <w:p w14:paraId="073913F5" w14:textId="77777777" w:rsidR="006016B9" w:rsidRPr="0087752B" w:rsidRDefault="006016B9" w:rsidP="00993B43">
            <w:pPr>
              <w:pStyle w:val="DETTableTextFinancial"/>
              <w:jc w:val="right"/>
            </w:pPr>
            <w:r w:rsidRPr="0087752B">
              <w:t>24</w:t>
            </w:r>
          </w:p>
        </w:tc>
      </w:tr>
      <w:tr w:rsidR="006016B9" w:rsidRPr="0087752B" w14:paraId="71D35559" w14:textId="77777777" w:rsidTr="00993B43">
        <w:trPr>
          <w:jc w:val="center"/>
        </w:trPr>
        <w:tc>
          <w:tcPr>
            <w:tcW w:w="5499" w:type="dxa"/>
            <w:shd w:val="clear" w:color="auto" w:fill="auto"/>
            <w:vAlign w:val="center"/>
          </w:tcPr>
          <w:p w14:paraId="4E2427AA" w14:textId="77777777" w:rsidR="006016B9" w:rsidRPr="0087752B" w:rsidRDefault="006016B9" w:rsidP="00993B43">
            <w:pPr>
              <w:pStyle w:val="DETTableTextFinancial"/>
            </w:pPr>
            <w:r w:rsidRPr="0087752B">
              <w:t>Total greenhouse gas emissions from vehicle fleet (t CO2 e)</w:t>
            </w:r>
          </w:p>
        </w:tc>
        <w:tc>
          <w:tcPr>
            <w:tcW w:w="895" w:type="dxa"/>
            <w:shd w:val="clear" w:color="auto" w:fill="F8F8F8"/>
            <w:vAlign w:val="center"/>
          </w:tcPr>
          <w:p w14:paraId="5C1288A3" w14:textId="77777777" w:rsidR="006016B9" w:rsidRPr="0087752B" w:rsidRDefault="006016B9" w:rsidP="00993B43">
            <w:pPr>
              <w:pStyle w:val="DETTableTextFinancial"/>
              <w:jc w:val="right"/>
            </w:pPr>
            <w:r w:rsidRPr="0087752B">
              <w:t>777</w:t>
            </w:r>
          </w:p>
        </w:tc>
        <w:tc>
          <w:tcPr>
            <w:tcW w:w="1006" w:type="dxa"/>
            <w:vAlign w:val="center"/>
          </w:tcPr>
          <w:p w14:paraId="4E10B3EC" w14:textId="77777777" w:rsidR="006016B9" w:rsidRPr="0087752B" w:rsidRDefault="006016B9" w:rsidP="00993B43">
            <w:pPr>
              <w:pStyle w:val="DETTableTextFinancial"/>
              <w:jc w:val="right"/>
            </w:pPr>
            <w:r w:rsidRPr="0087752B">
              <w:t>842</w:t>
            </w:r>
          </w:p>
        </w:tc>
      </w:tr>
      <w:tr w:rsidR="006016B9" w:rsidRPr="0087752B" w14:paraId="2B641DAB" w14:textId="77777777" w:rsidTr="00993B43">
        <w:trPr>
          <w:jc w:val="center"/>
        </w:trPr>
        <w:tc>
          <w:tcPr>
            <w:tcW w:w="5499" w:type="dxa"/>
            <w:tcBorders>
              <w:bottom w:val="single" w:sz="4" w:space="0" w:color="auto"/>
            </w:tcBorders>
            <w:shd w:val="clear" w:color="auto" w:fill="auto"/>
            <w:vAlign w:val="center"/>
          </w:tcPr>
          <w:p w14:paraId="537E37C2" w14:textId="77777777" w:rsidR="006016B9" w:rsidRPr="0087752B" w:rsidRDefault="006016B9" w:rsidP="00993B43">
            <w:pPr>
              <w:pStyle w:val="DETTableTextFinancial"/>
            </w:pPr>
            <w:r w:rsidRPr="0087752B">
              <w:t>Total greenhouse gas emissions from air travel (t CO2 e)</w:t>
            </w:r>
          </w:p>
        </w:tc>
        <w:tc>
          <w:tcPr>
            <w:tcW w:w="895" w:type="dxa"/>
            <w:tcBorders>
              <w:bottom w:val="single" w:sz="4" w:space="0" w:color="auto"/>
            </w:tcBorders>
            <w:shd w:val="clear" w:color="auto" w:fill="F8F8F8"/>
            <w:vAlign w:val="center"/>
          </w:tcPr>
          <w:p w14:paraId="2C2DF434" w14:textId="77777777" w:rsidR="006016B9" w:rsidRPr="0087752B" w:rsidRDefault="006016B9" w:rsidP="00993B43">
            <w:pPr>
              <w:pStyle w:val="DETTableTextFinancial"/>
              <w:jc w:val="right"/>
            </w:pPr>
            <w:r w:rsidRPr="0087752B">
              <w:t>251</w:t>
            </w:r>
          </w:p>
        </w:tc>
        <w:tc>
          <w:tcPr>
            <w:tcW w:w="1006" w:type="dxa"/>
            <w:tcBorders>
              <w:bottom w:val="single" w:sz="4" w:space="0" w:color="auto"/>
            </w:tcBorders>
            <w:vAlign w:val="center"/>
          </w:tcPr>
          <w:p w14:paraId="79FE49DA" w14:textId="77777777" w:rsidR="006016B9" w:rsidRPr="0087752B" w:rsidRDefault="006016B9" w:rsidP="00993B43">
            <w:pPr>
              <w:pStyle w:val="DETTableTextFinancial"/>
              <w:jc w:val="right"/>
            </w:pPr>
            <w:r w:rsidRPr="0087752B">
              <w:t>477</w:t>
            </w:r>
          </w:p>
        </w:tc>
      </w:tr>
      <w:tr w:rsidR="006016B9" w:rsidRPr="0087752B" w14:paraId="3692D9ED" w14:textId="77777777" w:rsidTr="00993B43">
        <w:trPr>
          <w:trHeight w:val="444"/>
          <w:jc w:val="center"/>
        </w:trPr>
        <w:tc>
          <w:tcPr>
            <w:tcW w:w="5499" w:type="dxa"/>
            <w:tcBorders>
              <w:top w:val="single" w:sz="4" w:space="0" w:color="auto"/>
              <w:bottom w:val="single" w:sz="4" w:space="0" w:color="auto"/>
            </w:tcBorders>
            <w:shd w:val="clear" w:color="auto" w:fill="auto"/>
            <w:vAlign w:val="center"/>
          </w:tcPr>
          <w:p w14:paraId="3AD2EB22" w14:textId="77777777" w:rsidR="006016B9" w:rsidRPr="0087752B" w:rsidRDefault="006016B9" w:rsidP="00993B43">
            <w:pPr>
              <w:pStyle w:val="DETTableTextFinancial"/>
              <w:rPr>
                <w:b/>
              </w:rPr>
            </w:pPr>
            <w:r w:rsidRPr="0087752B">
              <w:rPr>
                <w:b/>
              </w:rPr>
              <w:t>Grand total greenhouse gas emissions created by the Department</w:t>
            </w:r>
          </w:p>
        </w:tc>
        <w:tc>
          <w:tcPr>
            <w:tcW w:w="895" w:type="dxa"/>
            <w:tcBorders>
              <w:top w:val="single" w:sz="4" w:space="0" w:color="auto"/>
              <w:bottom w:val="single" w:sz="4" w:space="0" w:color="auto"/>
            </w:tcBorders>
            <w:shd w:val="clear" w:color="auto" w:fill="F8F8F8"/>
            <w:vAlign w:val="center"/>
          </w:tcPr>
          <w:p w14:paraId="4893522A" w14:textId="77777777" w:rsidR="006016B9" w:rsidRPr="0087752B" w:rsidRDefault="006016B9" w:rsidP="00993B43">
            <w:pPr>
              <w:pStyle w:val="DETTableTextFinancial"/>
              <w:jc w:val="right"/>
              <w:rPr>
                <w:b/>
              </w:rPr>
            </w:pPr>
            <w:r w:rsidRPr="0087752B">
              <w:rPr>
                <w:b/>
              </w:rPr>
              <w:t>8,896</w:t>
            </w:r>
          </w:p>
        </w:tc>
        <w:tc>
          <w:tcPr>
            <w:tcW w:w="1006" w:type="dxa"/>
            <w:tcBorders>
              <w:top w:val="single" w:sz="4" w:space="0" w:color="auto"/>
              <w:bottom w:val="single" w:sz="4" w:space="0" w:color="auto"/>
            </w:tcBorders>
            <w:vAlign w:val="center"/>
          </w:tcPr>
          <w:p w14:paraId="56C3F4CA" w14:textId="77777777" w:rsidR="006016B9" w:rsidRPr="0087752B" w:rsidRDefault="006016B9" w:rsidP="00993B43">
            <w:pPr>
              <w:pStyle w:val="DETTableTextFinancial"/>
              <w:jc w:val="right"/>
              <w:rPr>
                <w:b/>
              </w:rPr>
            </w:pPr>
            <w:r w:rsidRPr="0087752B">
              <w:rPr>
                <w:b/>
              </w:rPr>
              <w:t>9,023</w:t>
            </w:r>
          </w:p>
        </w:tc>
      </w:tr>
    </w:tbl>
    <w:p w14:paraId="3ABF2C32" w14:textId="77777777" w:rsidR="006016B9" w:rsidRPr="0087752B" w:rsidRDefault="006016B9" w:rsidP="00993B43">
      <w:pPr>
        <w:pStyle w:val="Heading4"/>
      </w:pPr>
      <w:r w:rsidRPr="0087752B">
        <w:t>Target</w:t>
      </w:r>
    </w:p>
    <w:p w14:paraId="530F3E7F" w14:textId="77777777" w:rsidR="006016B9" w:rsidRPr="0087752B" w:rsidRDefault="006016B9" w:rsidP="006016B9">
      <w:r w:rsidRPr="0087752B">
        <w:t xml:space="preserve">Reduce by 15 per cent of 2013–14 levels the Department’s office-based greenhouse gas emissions by 31 March 2024, averaging an incremental reduction of 1.5 per cent each year for 10 years. </w:t>
      </w:r>
    </w:p>
    <w:p w14:paraId="0ADD8128" w14:textId="77777777" w:rsidR="006016B9" w:rsidRPr="0087752B" w:rsidRDefault="006016B9" w:rsidP="00993B43">
      <w:pPr>
        <w:pStyle w:val="Heading4"/>
      </w:pPr>
      <w:r w:rsidRPr="0087752B">
        <w:t>Explanatory notes</w:t>
      </w:r>
    </w:p>
    <w:p w14:paraId="6EB08809" w14:textId="77777777" w:rsidR="006016B9" w:rsidRPr="0087752B" w:rsidRDefault="006016B9" w:rsidP="006016B9">
      <w:r w:rsidRPr="0087752B">
        <w:t xml:space="preserve">Total greenhouse gas emissions decreased in 2015–16 compared to the previous year with two indicators, air travel and vehicle fleets, achieving a reduction. </w:t>
      </w:r>
    </w:p>
    <w:p w14:paraId="055FBD6E" w14:textId="77777777" w:rsidR="006016B9" w:rsidRPr="0087752B" w:rsidRDefault="006016B9" w:rsidP="00993B43">
      <w:pPr>
        <w:pStyle w:val="Heading3"/>
      </w:pPr>
      <w:r w:rsidRPr="0087752B">
        <w:t>Procurement</w:t>
      </w:r>
    </w:p>
    <w:p w14:paraId="44F2D7B0" w14:textId="0FB3A23F" w:rsidR="006016B9" w:rsidRPr="0087752B" w:rsidRDefault="006016B9" w:rsidP="006016B9">
      <w:r w:rsidRPr="0087752B">
        <w:t>The Department continues to promote the purchase of environmental friendly products, specifically in stationery/office products. This is achieved by incorporating more environmentally friendly items listed as ‘preferred product options’. Before purchasing new stationery items, business units are also encouraged to visit the Department’s ‘Swap Shop’</w:t>
      </w:r>
      <w:r w:rsidR="00885C8B">
        <w:t>—</w:t>
      </w:r>
      <w:r w:rsidRPr="0087752B">
        <w:t>a stationery re-use system.</w:t>
      </w:r>
    </w:p>
    <w:p w14:paraId="334953A7" w14:textId="77777777" w:rsidR="006016B9" w:rsidRPr="0087752B" w:rsidRDefault="006016B9" w:rsidP="006016B9">
      <w:r w:rsidRPr="0087752B">
        <w:t>The Department continues to work with print management provider Finsbury Green to ensure sustainability is a consideration in all externally printed publications, for example, by using vegetable dyes and minimal packaging.</w:t>
      </w:r>
    </w:p>
    <w:p w14:paraId="1F1B09E8" w14:textId="77777777" w:rsidR="006016B9" w:rsidRPr="0087752B" w:rsidRDefault="006016B9" w:rsidP="006016B9">
      <w:r w:rsidRPr="0087752B">
        <w:t>The Procurement Division encourages Procurement Evaluation Panels to add environmental commitments into the Invitation to Supply (ITS) template. This ITS template is available on request to all business units.</w:t>
      </w:r>
    </w:p>
    <w:p w14:paraId="6B57D3C2" w14:textId="77777777" w:rsidR="006016B9" w:rsidRPr="0087752B" w:rsidRDefault="006016B9" w:rsidP="006016B9">
      <w:r w:rsidRPr="0087752B">
        <w:t xml:space="preserve">With infrastructure projects, tenders are evaluated against the criteria of their ‘ability to satisfy environmental sustainability requirements’. </w:t>
      </w:r>
    </w:p>
    <w:p w14:paraId="2363A873" w14:textId="77777777" w:rsidR="006016B9" w:rsidRPr="0087752B" w:rsidRDefault="006016B9" w:rsidP="00993B43">
      <w:pPr>
        <w:pStyle w:val="DETHeading2"/>
      </w:pPr>
      <w:bookmarkStart w:id="274" w:name="_Toc458069625"/>
      <w:bookmarkStart w:id="275" w:name="_Toc458072404"/>
      <w:bookmarkStart w:id="276" w:name="_Toc458088587"/>
      <w:bookmarkStart w:id="277" w:name="_Toc461013283"/>
      <w:bookmarkStart w:id="278" w:name="_Toc461025863"/>
      <w:bookmarkStart w:id="279" w:name="_Toc462405158"/>
      <w:r w:rsidRPr="0087752B">
        <w:t>Details of changes in prices, fees, charges, rates and levies</w:t>
      </w:r>
      <w:bookmarkEnd w:id="274"/>
      <w:bookmarkEnd w:id="275"/>
      <w:bookmarkEnd w:id="276"/>
      <w:bookmarkEnd w:id="277"/>
      <w:bookmarkEnd w:id="278"/>
      <w:bookmarkEnd w:id="279"/>
    </w:p>
    <w:p w14:paraId="1AC88983" w14:textId="6F47A0B1"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r w:rsidRPr="0087752B">
        <w:t xml:space="preserve">Details of current prices, fees, charges, rates and levies charged by the Department are outlined on </w:t>
      </w:r>
      <w:hyperlink r:id="rId40" w:history="1">
        <w:r w:rsidRPr="00A03DEB">
          <w:rPr>
            <w:u w:val="single"/>
          </w:rPr>
          <w:t>www.education.vic.gov.au</w:t>
        </w:r>
      </w:hyperlink>
      <w:r w:rsidRPr="005C767D">
        <w:t xml:space="preserve"> and </w:t>
      </w:r>
      <w:hyperlink r:id="rId41" w:history="1">
        <w:r w:rsidRPr="00A03DEB">
          <w:rPr>
            <w:u w:val="single"/>
          </w:rPr>
          <w:t>www.foi.vic.gov.au</w:t>
        </w:r>
      </w:hyperlink>
      <w:r w:rsidR="00885C8B">
        <w:t>.</w:t>
      </w:r>
    </w:p>
    <w:p w14:paraId="1A502741" w14:textId="77777777" w:rsidR="006016B9" w:rsidRPr="0087752B" w:rsidRDefault="006016B9" w:rsidP="00993B43">
      <w:pPr>
        <w:pStyle w:val="DETHeading2"/>
      </w:pPr>
      <w:bookmarkStart w:id="280" w:name="_Toc458069626"/>
      <w:bookmarkStart w:id="281" w:name="_Toc458072405"/>
      <w:bookmarkStart w:id="282" w:name="_Toc458088588"/>
      <w:bookmarkStart w:id="283" w:name="_Toc461013284"/>
      <w:bookmarkStart w:id="284" w:name="_Toc461025864"/>
      <w:bookmarkStart w:id="285" w:name="_Toc462405159"/>
      <w:r w:rsidRPr="0087752B">
        <w:lastRenderedPageBreak/>
        <w:t>Additional information available on request</w:t>
      </w:r>
      <w:bookmarkEnd w:id="280"/>
      <w:bookmarkEnd w:id="281"/>
      <w:bookmarkEnd w:id="282"/>
      <w:bookmarkEnd w:id="283"/>
      <w:bookmarkEnd w:id="284"/>
      <w:bookmarkEnd w:id="285"/>
    </w:p>
    <w:p w14:paraId="0FFEB917" w14:textId="77777777" w:rsidR="006016B9" w:rsidRPr="0087752B" w:rsidRDefault="006016B9" w:rsidP="006016B9">
      <w:r w:rsidRPr="0087752B">
        <w:t xml:space="preserve">Financial Reporting Direction (FRD) 22G requires the Accountable Officer to retain and make available specified information. This material may be made available subject to the provisions of the </w:t>
      </w:r>
      <w:r w:rsidRPr="000D1271">
        <w:rPr>
          <w:i/>
        </w:rPr>
        <w:t>Freedom of Information Act 1982</w:t>
      </w:r>
      <w:r w:rsidRPr="0087752B">
        <w:t xml:space="preserve">. </w:t>
      </w:r>
    </w:p>
    <w:p w14:paraId="3A0F5DFB" w14:textId="65147417" w:rsidR="006016B9" w:rsidRPr="0087752B" w:rsidRDefault="006016B9" w:rsidP="006016B9">
      <w:r w:rsidRPr="0087752B">
        <w:t xml:space="preserve">The Department has made this information available (or provided details of how the material may be sourced) in the </w:t>
      </w:r>
      <w:r w:rsidRPr="000D1271">
        <w:rPr>
          <w:i/>
        </w:rPr>
        <w:t>Department’s Annual Report 2015</w:t>
      </w:r>
      <w:r w:rsidRPr="000D1271">
        <w:rPr>
          <w:i/>
        </w:rPr>
        <w:softHyphen/>
        <w:t>–16</w:t>
      </w:r>
      <w:r w:rsidRPr="0087752B">
        <w:t xml:space="preserve"> or the </w:t>
      </w:r>
      <w:r w:rsidRPr="000D1271">
        <w:rPr>
          <w:i/>
        </w:rPr>
        <w:t>Department’s Annual Report 2015</w:t>
      </w:r>
      <w:r w:rsidRPr="000D1271">
        <w:rPr>
          <w:i/>
        </w:rPr>
        <w:softHyphen/>
        <w:t>–16</w:t>
      </w:r>
      <w:r w:rsidR="00DA27D5" w:rsidRPr="000D1271">
        <w:rPr>
          <w:i/>
        </w:rPr>
        <w:t>—</w:t>
      </w:r>
      <w:r w:rsidRPr="000D1271">
        <w:rPr>
          <w:i/>
        </w:rPr>
        <w:t>Additional Information</w:t>
      </w:r>
      <w:r w:rsidRPr="0087752B">
        <w:t xml:space="preserve"> report.</w:t>
      </w:r>
    </w:p>
    <w:p w14:paraId="7A95299E" w14:textId="77777777" w:rsidR="006016B9" w:rsidRPr="0087752B" w:rsidRDefault="006016B9" w:rsidP="006016B9">
      <w:r w:rsidRPr="0087752B">
        <w:t>Requirements covered in this report include:</w:t>
      </w:r>
    </w:p>
    <w:p w14:paraId="476A7E85" w14:textId="77777777" w:rsidR="006016B9" w:rsidRPr="0087752B" w:rsidRDefault="006016B9" w:rsidP="00993B43">
      <w:pPr>
        <w:pStyle w:val="DETNormallistbullet"/>
      </w:pPr>
      <w:r w:rsidRPr="0087752B">
        <w:t>a statement that declarations of pecuniary interests have been duly completed by all relevant officers</w:t>
      </w:r>
    </w:p>
    <w:p w14:paraId="5B84925A" w14:textId="77777777" w:rsidR="006016B9" w:rsidRPr="0087752B" w:rsidRDefault="006016B9" w:rsidP="00993B43">
      <w:pPr>
        <w:pStyle w:val="DETNormallistbullet"/>
      </w:pPr>
      <w:r w:rsidRPr="0087752B">
        <w:t>details of shares held by a senior officer as nominee or held beneficially in a statutory authority or subsidiary</w:t>
      </w:r>
    </w:p>
    <w:p w14:paraId="07EF5EF7" w14:textId="2DAEBA3E" w:rsidR="006016B9" w:rsidRPr="0087752B" w:rsidRDefault="006016B9" w:rsidP="00993B43">
      <w:pPr>
        <w:pStyle w:val="DETNormallistbullet"/>
      </w:pPr>
      <w:r w:rsidRPr="0087752B">
        <w:t>details of publications produced by the entity about itself and how these can be obtained</w:t>
      </w:r>
    </w:p>
    <w:p w14:paraId="051ADC29" w14:textId="232BB564" w:rsidR="006016B9" w:rsidRPr="0087752B" w:rsidRDefault="006016B9" w:rsidP="00993B43">
      <w:pPr>
        <w:pStyle w:val="DETNormallistbullet"/>
      </w:pPr>
      <w:r w:rsidRPr="0087752B">
        <w:t>details of assessments and measures undertaken to improve the occupational health and safety of employees</w:t>
      </w:r>
    </w:p>
    <w:p w14:paraId="727CCDBC" w14:textId="77777777" w:rsidR="006016B9" w:rsidRPr="0087752B" w:rsidRDefault="006016B9" w:rsidP="00993B43">
      <w:pPr>
        <w:pStyle w:val="DETNormallistbullet"/>
      </w:pPr>
      <w:r w:rsidRPr="0087752B">
        <w:t>a general statement on industrial relations within the entity and details of time lost through industrial accidents and disputes</w:t>
      </w:r>
    </w:p>
    <w:p w14:paraId="38ED9205" w14:textId="77777777" w:rsidR="006016B9" w:rsidRPr="0087752B" w:rsidRDefault="006016B9" w:rsidP="00993B43">
      <w:pPr>
        <w:pStyle w:val="DETNormallistbullet"/>
      </w:pPr>
      <w:r w:rsidRPr="0087752B">
        <w:t>details of changes in prices, fees, charges, rates and levies charged by the entity.</w:t>
      </w:r>
    </w:p>
    <w:p w14:paraId="0D0792E0" w14:textId="15B978D1" w:rsidR="006016B9" w:rsidRPr="005C767D" w:rsidRDefault="006016B9" w:rsidP="006016B9">
      <w:r w:rsidRPr="0087752B">
        <w:t xml:space="preserve">The requirements listed below are included in the </w:t>
      </w:r>
      <w:r w:rsidRPr="000D1271">
        <w:rPr>
          <w:i/>
        </w:rPr>
        <w:t>Department’s Annual Report 2015</w:t>
      </w:r>
      <w:r w:rsidR="00DA27D5" w:rsidRPr="000D1271">
        <w:rPr>
          <w:i/>
        </w:rPr>
        <w:t>–</w:t>
      </w:r>
      <w:r w:rsidRPr="000D1271">
        <w:rPr>
          <w:i/>
        </w:rPr>
        <w:t>16</w:t>
      </w:r>
      <w:r w:rsidR="00DA27D5" w:rsidRPr="000D1271">
        <w:rPr>
          <w:i/>
        </w:rPr>
        <w:t>—</w:t>
      </w:r>
      <w:r w:rsidRPr="000D1271">
        <w:rPr>
          <w:i/>
        </w:rPr>
        <w:t xml:space="preserve">Additional Information </w:t>
      </w:r>
      <w:r w:rsidRPr="0087752B">
        <w:t xml:space="preserve">report available from the Department’s website at </w:t>
      </w:r>
      <w:hyperlink r:id="rId42" w:history="1">
        <w:r w:rsidR="00DA27D5">
          <w:rPr>
            <w:u w:val="single"/>
          </w:rPr>
          <w:t>www.education.vic.gov.au</w:t>
        </w:r>
      </w:hyperlink>
      <w:r w:rsidR="00DA27D5">
        <w:t>.</w:t>
      </w:r>
    </w:p>
    <w:p w14:paraId="769A52AB" w14:textId="77777777" w:rsidR="006016B9" w:rsidRPr="0087752B" w:rsidRDefault="006016B9" w:rsidP="00993B43">
      <w:pPr>
        <w:pStyle w:val="DETNormallistbullet"/>
      </w:pPr>
      <w:r w:rsidRPr="0087752B">
        <w:t>details of any major external reviews carried out on the entity</w:t>
      </w:r>
    </w:p>
    <w:p w14:paraId="19626C46" w14:textId="77777777" w:rsidR="006016B9" w:rsidRPr="0087752B" w:rsidRDefault="006016B9" w:rsidP="00993B43">
      <w:pPr>
        <w:pStyle w:val="DETNormallistbullet"/>
      </w:pPr>
      <w:r w:rsidRPr="0087752B">
        <w:t>details of major research and development activities undertaken by the entity</w:t>
      </w:r>
    </w:p>
    <w:p w14:paraId="6FE08089" w14:textId="77777777" w:rsidR="006016B9" w:rsidRPr="0087752B" w:rsidRDefault="006016B9" w:rsidP="00993B43">
      <w:pPr>
        <w:pStyle w:val="DETNormallistbullet"/>
      </w:pPr>
      <w:r w:rsidRPr="0087752B">
        <w:t>details of overseas visits undertaken including a summary of the objectives and outcomes of each visit</w:t>
      </w:r>
    </w:p>
    <w:p w14:paraId="12AFF013" w14:textId="77777777" w:rsidR="006016B9" w:rsidRPr="0087752B" w:rsidRDefault="006016B9" w:rsidP="00993B43">
      <w:pPr>
        <w:pStyle w:val="DETNormallistbullet"/>
      </w:pPr>
      <w:r w:rsidRPr="0087752B">
        <w:t>details of major promotional, public relations and marketing activities undertaken by the entity to develop community awareness of the entity and its services</w:t>
      </w:r>
    </w:p>
    <w:p w14:paraId="0299B663" w14:textId="77777777" w:rsidR="006016B9" w:rsidRPr="0087752B" w:rsidRDefault="006016B9" w:rsidP="00993B43">
      <w:pPr>
        <w:pStyle w:val="DETNormallistbullet"/>
      </w:pPr>
      <w:r w:rsidRPr="0087752B">
        <w:t>a list of major committees sponsored by the entity, the purposes of each committee and the extent to which the purposes have been achieved</w:t>
      </w:r>
    </w:p>
    <w:p w14:paraId="5DF6B141" w14:textId="77777777" w:rsidR="006016B9" w:rsidRPr="0087752B" w:rsidRDefault="006016B9" w:rsidP="00993B43">
      <w:pPr>
        <w:pStyle w:val="DETNormallistbullet"/>
      </w:pPr>
      <w:r w:rsidRPr="0087752B">
        <w:t>details of all consultancies and contractors including:</w:t>
      </w:r>
    </w:p>
    <w:p w14:paraId="5BFAFAC8" w14:textId="77777777" w:rsidR="006016B9" w:rsidRPr="00DA27D5" w:rsidRDefault="006016B9" w:rsidP="00AD641C">
      <w:pPr>
        <w:pStyle w:val="DETNormallistbullet"/>
        <w:numPr>
          <w:ilvl w:val="1"/>
          <w:numId w:val="38"/>
        </w:numPr>
      </w:pPr>
      <w:r w:rsidRPr="00DA27D5">
        <w:t>consultants/contractors engaged</w:t>
      </w:r>
    </w:p>
    <w:p w14:paraId="4673B847" w14:textId="77777777" w:rsidR="006016B9" w:rsidRPr="0087752B" w:rsidRDefault="006016B9" w:rsidP="00AD641C">
      <w:pPr>
        <w:pStyle w:val="DETNormallistbullet"/>
        <w:numPr>
          <w:ilvl w:val="1"/>
          <w:numId w:val="38"/>
        </w:numPr>
      </w:pPr>
      <w:r w:rsidRPr="0087752B">
        <w:t>services provided</w:t>
      </w:r>
    </w:p>
    <w:p w14:paraId="60714BAA" w14:textId="77777777" w:rsidR="006016B9" w:rsidRPr="0087752B" w:rsidRDefault="006016B9" w:rsidP="00AD641C">
      <w:pPr>
        <w:pStyle w:val="DETNormallistbullet"/>
        <w:numPr>
          <w:ilvl w:val="1"/>
          <w:numId w:val="38"/>
        </w:numPr>
        <w:rPr>
          <w:rFonts w:eastAsiaTheme="minorHAnsi"/>
        </w:rPr>
      </w:pPr>
      <w:r w:rsidRPr="0087752B">
        <w:t>expenditure committed to for each engagement.</w:t>
      </w:r>
    </w:p>
    <w:p w14:paraId="7570AAB9"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7E525F9C" w14:textId="77777777" w:rsidR="006016B9" w:rsidRPr="0087752B" w:rsidRDefault="006016B9" w:rsidP="00993B43">
      <w:pPr>
        <w:pStyle w:val="DETHeading2"/>
      </w:pPr>
      <w:bookmarkStart w:id="286" w:name="_Toc461013285"/>
      <w:bookmarkStart w:id="287" w:name="_Toc461025865"/>
      <w:bookmarkStart w:id="288" w:name="_Toc462405160"/>
      <w:bookmarkStart w:id="289" w:name="_Toc458072406"/>
      <w:bookmarkStart w:id="290" w:name="_Toc458069627"/>
      <w:r w:rsidRPr="00300489">
        <w:lastRenderedPageBreak/>
        <w:t>Risk attestation</w:t>
      </w:r>
      <w:bookmarkEnd w:id="286"/>
      <w:bookmarkEnd w:id="287"/>
      <w:bookmarkEnd w:id="288"/>
      <w:r w:rsidRPr="0087752B">
        <w:t xml:space="preserve"> </w:t>
      </w:r>
    </w:p>
    <w:p w14:paraId="465D7732" w14:textId="77777777" w:rsidR="00EF1327" w:rsidRPr="001D3DB2" w:rsidRDefault="00EF1327" w:rsidP="00EF1327">
      <w:pPr>
        <w:pStyle w:val="Style5"/>
        <w:shd w:val="clear" w:color="auto" w:fill="auto"/>
        <w:spacing w:before="0" w:after="0" w:line="220" w:lineRule="exact"/>
        <w:ind w:left="40"/>
        <w:rPr>
          <w:sz w:val="19"/>
          <w:szCs w:val="19"/>
        </w:rPr>
      </w:pPr>
      <w:bookmarkStart w:id="291" w:name="_Toc458069630"/>
      <w:bookmarkStart w:id="292" w:name="_Toc458072407"/>
      <w:bookmarkStart w:id="293" w:name="_Toc458088589"/>
      <w:bookmarkEnd w:id="289"/>
      <w:bookmarkEnd w:id="290"/>
      <w:r w:rsidRPr="001D3DB2">
        <w:rPr>
          <w:rStyle w:val="CharStyle7"/>
          <w:i/>
          <w:iCs/>
          <w:sz w:val="19"/>
          <w:szCs w:val="19"/>
        </w:rPr>
        <w:t>Risk management context</w:t>
      </w:r>
    </w:p>
    <w:p w14:paraId="0AB286DE" w14:textId="77777777" w:rsidR="00EF1327" w:rsidRPr="001D3DB2" w:rsidRDefault="00EF1327" w:rsidP="00EF1327">
      <w:pPr>
        <w:pStyle w:val="Style8"/>
        <w:shd w:val="clear" w:color="auto" w:fill="auto"/>
        <w:spacing w:before="0" w:after="169"/>
        <w:ind w:left="40" w:right="40"/>
        <w:rPr>
          <w:sz w:val="19"/>
          <w:szCs w:val="19"/>
        </w:rPr>
      </w:pPr>
      <w:r w:rsidRPr="001D3DB2">
        <w:rPr>
          <w:rStyle w:val="CharStyle10"/>
          <w:sz w:val="19"/>
          <w:szCs w:val="19"/>
        </w:rPr>
        <w:t>During 2015-2016, the Department has progressed significant and system-wide Education reforms. This level of activity has necessarily increased the number, and altered the nature of risks being managed by the Department of Education and Training. At the same time, the Department has initiated large scale organisational transformation activities.</w:t>
      </w:r>
    </w:p>
    <w:p w14:paraId="7DECB3FC" w14:textId="77777777" w:rsidR="00EF1327" w:rsidRPr="001D3DB2" w:rsidRDefault="00EF1327" w:rsidP="00EF1327">
      <w:pPr>
        <w:pStyle w:val="Style5"/>
        <w:shd w:val="clear" w:color="auto" w:fill="auto"/>
        <w:spacing w:before="0" w:line="288" w:lineRule="exact"/>
        <w:ind w:left="40"/>
        <w:rPr>
          <w:sz w:val="19"/>
          <w:szCs w:val="19"/>
        </w:rPr>
      </w:pPr>
      <w:r w:rsidRPr="001D3DB2">
        <w:rPr>
          <w:rStyle w:val="CharStyle7"/>
          <w:i/>
          <w:iCs/>
          <w:sz w:val="19"/>
          <w:szCs w:val="19"/>
        </w:rPr>
        <w:t>Risk attestation</w:t>
      </w:r>
    </w:p>
    <w:p w14:paraId="7CC1B35E" w14:textId="77777777" w:rsidR="00EF1327" w:rsidRPr="001D3DB2" w:rsidRDefault="00EF1327" w:rsidP="00EF1327">
      <w:pPr>
        <w:pStyle w:val="Style5"/>
        <w:shd w:val="clear" w:color="auto" w:fill="auto"/>
        <w:spacing w:before="0" w:after="72" w:line="288" w:lineRule="exact"/>
        <w:ind w:left="40" w:right="40"/>
        <w:rPr>
          <w:sz w:val="19"/>
          <w:szCs w:val="19"/>
        </w:rPr>
      </w:pPr>
      <w:r w:rsidRPr="001D3DB2">
        <w:rPr>
          <w:rStyle w:val="CharStyle11"/>
          <w:i w:val="0"/>
          <w:iCs w:val="0"/>
          <w:sz w:val="19"/>
          <w:szCs w:val="19"/>
        </w:rPr>
        <w:t xml:space="preserve">I, Jenny Atta, certify that the Department of Education and Training has partially complied with </w:t>
      </w:r>
      <w:r w:rsidRPr="001D3DB2">
        <w:rPr>
          <w:rStyle w:val="CharStyle7"/>
          <w:i/>
          <w:iCs/>
          <w:sz w:val="19"/>
          <w:szCs w:val="19"/>
        </w:rPr>
        <w:t>Ministerial Standing Direction 4.5.5 - Risk Management Framework and Processes (Standing Direction 4.5.5).</w:t>
      </w:r>
    </w:p>
    <w:p w14:paraId="2E0B21D9" w14:textId="77777777" w:rsidR="00EF1327" w:rsidRPr="001D3DB2" w:rsidRDefault="00EF1327" w:rsidP="00EF1327">
      <w:pPr>
        <w:pStyle w:val="Style8"/>
        <w:shd w:val="clear" w:color="auto" w:fill="auto"/>
        <w:spacing w:before="0" w:after="60"/>
        <w:ind w:left="40" w:right="40"/>
        <w:rPr>
          <w:sz w:val="19"/>
          <w:szCs w:val="19"/>
        </w:rPr>
      </w:pPr>
      <w:r w:rsidRPr="001D3DB2">
        <w:rPr>
          <w:rStyle w:val="CharStyle10"/>
          <w:sz w:val="19"/>
          <w:szCs w:val="19"/>
        </w:rPr>
        <w:t>The partial compliance is due to the evolving maturity of management of inter-agency risk. The Department will collaborate with other agencies to progressively strengthen and further integrate inter-agency risk management into new and existing risk review processes. This will ensure there are improvements in the quality of inter-agency risk information and an improved understanding of the management of these risks across Departments.</w:t>
      </w:r>
    </w:p>
    <w:p w14:paraId="7C1E4FAE" w14:textId="77777777" w:rsidR="00EF1327" w:rsidRPr="001D3DB2" w:rsidRDefault="00EF1327" w:rsidP="00EF1327">
      <w:pPr>
        <w:pStyle w:val="Style8"/>
        <w:shd w:val="clear" w:color="auto" w:fill="auto"/>
        <w:spacing w:before="0" w:after="54"/>
        <w:ind w:left="40" w:right="40"/>
        <w:rPr>
          <w:sz w:val="19"/>
          <w:szCs w:val="19"/>
        </w:rPr>
      </w:pPr>
      <w:r w:rsidRPr="001D3DB2">
        <w:rPr>
          <w:rStyle w:val="CharStyle10"/>
          <w:sz w:val="19"/>
          <w:szCs w:val="19"/>
        </w:rPr>
        <w:t>The Department is also partially compliant in relation to the insurance requirements of</w:t>
      </w:r>
      <w:r w:rsidRPr="001D3DB2">
        <w:rPr>
          <w:rStyle w:val="CharStyle12"/>
          <w:sz w:val="19"/>
          <w:szCs w:val="19"/>
        </w:rPr>
        <w:t xml:space="preserve"> Standing Direction 4.5.5,</w:t>
      </w:r>
      <w:r w:rsidRPr="001D3DB2">
        <w:rPr>
          <w:rStyle w:val="CharStyle10"/>
          <w:sz w:val="19"/>
          <w:szCs w:val="19"/>
        </w:rPr>
        <w:t xml:space="preserve"> because it has not fully maintained a current register of all indemnities. The Department has alternatively provided a list of significant indemnities to the Victorian Managed Insurance Authority and accounts for these as contingent liabilities.</w:t>
      </w:r>
    </w:p>
    <w:p w14:paraId="31E3BBD9" w14:textId="77777777" w:rsidR="00EF1327" w:rsidRPr="001D3DB2" w:rsidRDefault="00EF1327" w:rsidP="00EF1327">
      <w:pPr>
        <w:pStyle w:val="Style8"/>
        <w:shd w:val="clear" w:color="auto" w:fill="auto"/>
        <w:spacing w:before="0" w:after="109" w:line="281" w:lineRule="exact"/>
        <w:ind w:left="40" w:right="40"/>
        <w:rPr>
          <w:sz w:val="19"/>
          <w:szCs w:val="19"/>
        </w:rPr>
      </w:pPr>
      <w:r w:rsidRPr="001D3DB2">
        <w:rPr>
          <w:rStyle w:val="CharStyle10"/>
          <w:sz w:val="19"/>
          <w:szCs w:val="19"/>
        </w:rPr>
        <w:t>The Department has fully complied with all other mandatory requirements of the</w:t>
      </w:r>
      <w:r w:rsidRPr="001D3DB2">
        <w:rPr>
          <w:rStyle w:val="CharStyle12"/>
          <w:sz w:val="19"/>
          <w:szCs w:val="19"/>
        </w:rPr>
        <w:t xml:space="preserve"> Standing Direction 4.5.5.</w:t>
      </w:r>
    </w:p>
    <w:p w14:paraId="08AA546B" w14:textId="32FDCD58" w:rsidR="00EF1327" w:rsidRPr="001D3DB2" w:rsidRDefault="00EF1327" w:rsidP="00EF1327">
      <w:pPr>
        <w:pStyle w:val="Style8"/>
        <w:shd w:val="clear" w:color="auto" w:fill="auto"/>
        <w:spacing w:before="0" w:after="496" w:line="220" w:lineRule="exact"/>
        <w:ind w:left="40"/>
        <w:rPr>
          <w:rStyle w:val="CharStyle10"/>
          <w:sz w:val="19"/>
          <w:szCs w:val="19"/>
        </w:rPr>
      </w:pPr>
      <w:r w:rsidRPr="001D3DB2">
        <w:rPr>
          <w:rStyle w:val="CharStyle10"/>
          <w:sz w:val="19"/>
          <w:szCs w:val="19"/>
        </w:rPr>
        <w:t>The Department of Education and Training's Portfolio Audit and Risk Committee has verified this.</w:t>
      </w:r>
    </w:p>
    <w:p w14:paraId="0BC4A824" w14:textId="4DBB7EE9" w:rsidR="00EA1337" w:rsidRDefault="001D3DB2" w:rsidP="00EF1327">
      <w:pPr>
        <w:pStyle w:val="Style8"/>
        <w:shd w:val="clear" w:color="auto" w:fill="auto"/>
        <w:spacing w:before="0" w:after="496" w:line="220" w:lineRule="exact"/>
        <w:ind w:left="40"/>
      </w:pPr>
      <w:r>
        <w:rPr>
          <w:noProof/>
          <w:lang w:eastAsia="en-AU"/>
        </w:rPr>
        <w:drawing>
          <wp:anchor distT="0" distB="0" distL="114300" distR="114300" simplePos="0" relativeHeight="251657728" behindDoc="0" locked="0" layoutInCell="1" allowOverlap="1" wp14:anchorId="5B422E9F" wp14:editId="2D009799">
            <wp:simplePos x="0" y="0"/>
            <wp:positionH relativeFrom="column">
              <wp:posOffset>67945</wp:posOffset>
            </wp:positionH>
            <wp:positionV relativeFrom="paragraph">
              <wp:posOffset>3175</wp:posOffset>
            </wp:positionV>
            <wp:extent cx="1219835" cy="11156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219835" cy="1115695"/>
                    </a:xfrm>
                    <a:prstGeom prst="rect">
                      <a:avLst/>
                    </a:prstGeom>
                  </pic:spPr>
                </pic:pic>
              </a:graphicData>
            </a:graphic>
            <wp14:sizeRelH relativeFrom="margin">
              <wp14:pctWidth>0</wp14:pctWidth>
            </wp14:sizeRelH>
            <wp14:sizeRelV relativeFrom="margin">
              <wp14:pctHeight>0</wp14:pctHeight>
            </wp14:sizeRelV>
          </wp:anchor>
        </w:drawing>
      </w:r>
    </w:p>
    <w:p w14:paraId="44866EFA" w14:textId="77777777" w:rsidR="006016B9" w:rsidRPr="0087752B" w:rsidRDefault="006016B9" w:rsidP="006016B9">
      <w:pPr>
        <w:rPr>
          <w:rFonts w:eastAsiaTheme="majorEastAsia"/>
        </w:rPr>
      </w:pPr>
      <w:r w:rsidRPr="0087752B">
        <w:br w:type="page"/>
      </w:r>
    </w:p>
    <w:p w14:paraId="745C55F1" w14:textId="77777777" w:rsidR="006016B9" w:rsidRPr="0087752B" w:rsidRDefault="006016B9" w:rsidP="00993B43">
      <w:pPr>
        <w:pStyle w:val="DETHeading2"/>
      </w:pPr>
      <w:bookmarkStart w:id="294" w:name="_Toc461013286"/>
      <w:bookmarkStart w:id="295" w:name="_Toc461025866"/>
      <w:bookmarkStart w:id="296" w:name="_Toc462405161"/>
      <w:r w:rsidRPr="0087752B">
        <w:lastRenderedPageBreak/>
        <w:t>Details of publications about the Department</w:t>
      </w:r>
      <w:bookmarkEnd w:id="291"/>
      <w:bookmarkEnd w:id="292"/>
      <w:bookmarkEnd w:id="293"/>
      <w:bookmarkEnd w:id="294"/>
      <w:bookmarkEnd w:id="295"/>
      <w:bookmarkEnd w:id="296"/>
    </w:p>
    <w:tbl>
      <w:tblPr>
        <w:tblW w:w="0" w:type="auto"/>
        <w:tblBorders>
          <w:bottom w:val="single" w:sz="4" w:space="0" w:color="auto"/>
        </w:tblBorders>
        <w:tblLayout w:type="fixed"/>
        <w:tblLook w:val="04A0" w:firstRow="1" w:lastRow="0" w:firstColumn="1" w:lastColumn="0" w:noHBand="0" w:noVBand="1"/>
      </w:tblPr>
      <w:tblGrid>
        <w:gridCol w:w="1951"/>
        <w:gridCol w:w="1843"/>
        <w:gridCol w:w="3685"/>
      </w:tblGrid>
      <w:tr w:rsidR="006016B9" w:rsidRPr="0087752B" w14:paraId="667070BA" w14:textId="77777777" w:rsidTr="00993B43">
        <w:tc>
          <w:tcPr>
            <w:tcW w:w="1951" w:type="dxa"/>
            <w:shd w:val="clear" w:color="auto" w:fill="7F7F7F" w:themeFill="text1" w:themeFillTint="80"/>
          </w:tcPr>
          <w:p w14:paraId="1559F8B0" w14:textId="77777777" w:rsidR="006016B9" w:rsidRPr="0087752B" w:rsidRDefault="006016B9" w:rsidP="00993B43">
            <w:pPr>
              <w:pStyle w:val="DETTablecolumnheading"/>
              <w:jc w:val="left"/>
            </w:pPr>
            <w:r w:rsidRPr="0087752B">
              <w:t>Publication</w:t>
            </w:r>
          </w:p>
        </w:tc>
        <w:tc>
          <w:tcPr>
            <w:tcW w:w="1843" w:type="dxa"/>
            <w:shd w:val="clear" w:color="auto" w:fill="7F7F7F" w:themeFill="text1" w:themeFillTint="80"/>
          </w:tcPr>
          <w:p w14:paraId="37A62E69" w14:textId="77777777" w:rsidR="006016B9" w:rsidRPr="0087752B" w:rsidRDefault="006016B9" w:rsidP="00993B43">
            <w:pPr>
              <w:pStyle w:val="DETTablecolumnheading"/>
              <w:jc w:val="left"/>
            </w:pPr>
            <w:r w:rsidRPr="0087752B">
              <w:t>Produced</w:t>
            </w:r>
          </w:p>
        </w:tc>
        <w:tc>
          <w:tcPr>
            <w:tcW w:w="3685" w:type="dxa"/>
            <w:shd w:val="clear" w:color="auto" w:fill="7F7F7F" w:themeFill="text1" w:themeFillTint="80"/>
          </w:tcPr>
          <w:p w14:paraId="7D4F4E01" w14:textId="77777777" w:rsidR="006016B9" w:rsidRPr="0087752B" w:rsidRDefault="006016B9" w:rsidP="00993B43">
            <w:pPr>
              <w:pStyle w:val="DETTablecolumnheading"/>
              <w:jc w:val="left"/>
            </w:pPr>
          </w:p>
        </w:tc>
      </w:tr>
      <w:tr w:rsidR="006016B9" w:rsidRPr="0087752B" w14:paraId="257D6BB8" w14:textId="77777777" w:rsidTr="006016B9">
        <w:tc>
          <w:tcPr>
            <w:tcW w:w="1951" w:type="dxa"/>
          </w:tcPr>
          <w:p w14:paraId="02A16CDC" w14:textId="77777777" w:rsidR="006016B9" w:rsidRPr="000D1271" w:rsidRDefault="006016B9" w:rsidP="00993B43">
            <w:pPr>
              <w:pStyle w:val="DETTableTextFinancial"/>
              <w:rPr>
                <w:i/>
              </w:rPr>
            </w:pPr>
            <w:r w:rsidRPr="000D1271">
              <w:rPr>
                <w:i/>
              </w:rPr>
              <w:t xml:space="preserve">The Department’s Strategic Intent </w:t>
            </w:r>
          </w:p>
        </w:tc>
        <w:tc>
          <w:tcPr>
            <w:tcW w:w="1843" w:type="dxa"/>
          </w:tcPr>
          <w:p w14:paraId="05D9ECDF" w14:textId="77777777" w:rsidR="006016B9" w:rsidRPr="0087752B" w:rsidRDefault="006016B9" w:rsidP="00993B43">
            <w:pPr>
              <w:pStyle w:val="DETTableTextFinancial"/>
            </w:pPr>
            <w:r w:rsidRPr="0087752B">
              <w:t>October 2015</w:t>
            </w:r>
          </w:p>
        </w:tc>
        <w:tc>
          <w:tcPr>
            <w:tcW w:w="3685" w:type="dxa"/>
          </w:tcPr>
          <w:p w14:paraId="1460DC4B" w14:textId="2AF865FB" w:rsidR="006016B9" w:rsidRPr="005C767D" w:rsidRDefault="00FF2E71" w:rsidP="00993B43">
            <w:pPr>
              <w:pStyle w:val="DETTableTextFinancial"/>
              <w:rPr>
                <w:u w:val="single"/>
              </w:rPr>
            </w:pPr>
            <w:hyperlink r:id="rId44" w:history="1">
              <w:r w:rsidR="00DA27D5">
                <w:rPr>
                  <w:u w:val="single"/>
                </w:rPr>
                <w:t>www.education.vic.gov.au/about/department/Pages/stratplan.aspx</w:t>
              </w:r>
            </w:hyperlink>
          </w:p>
          <w:p w14:paraId="62EFD2F8" w14:textId="77777777" w:rsidR="006016B9" w:rsidRPr="0087752B" w:rsidRDefault="006016B9" w:rsidP="00993B43">
            <w:pPr>
              <w:pStyle w:val="DETTableTextFinancial"/>
              <w:rPr>
                <w:u w:val="single"/>
              </w:rPr>
            </w:pPr>
          </w:p>
        </w:tc>
      </w:tr>
      <w:tr w:rsidR="006016B9" w:rsidRPr="0087752B" w14:paraId="2D23EE56" w14:textId="77777777" w:rsidTr="006016B9">
        <w:tc>
          <w:tcPr>
            <w:tcW w:w="1951" w:type="dxa"/>
          </w:tcPr>
          <w:p w14:paraId="579A3820" w14:textId="166D0B8D" w:rsidR="006016B9" w:rsidRPr="000D1271" w:rsidRDefault="006016B9" w:rsidP="00993B43">
            <w:pPr>
              <w:pStyle w:val="DETTableTextFinancial"/>
              <w:rPr>
                <w:i/>
              </w:rPr>
            </w:pPr>
            <w:r w:rsidRPr="000D1271">
              <w:rPr>
                <w:i/>
              </w:rPr>
              <w:t>The Department’s Annual Report 2014</w:t>
            </w:r>
            <w:r w:rsidR="00DA27D5" w:rsidRPr="000D1271">
              <w:rPr>
                <w:i/>
              </w:rPr>
              <w:t>–</w:t>
            </w:r>
            <w:r w:rsidRPr="000D1271">
              <w:rPr>
                <w:i/>
              </w:rPr>
              <w:t>15</w:t>
            </w:r>
          </w:p>
        </w:tc>
        <w:tc>
          <w:tcPr>
            <w:tcW w:w="1843" w:type="dxa"/>
          </w:tcPr>
          <w:p w14:paraId="52680C00" w14:textId="77777777" w:rsidR="006016B9" w:rsidRPr="0087752B" w:rsidRDefault="006016B9" w:rsidP="00993B43">
            <w:pPr>
              <w:pStyle w:val="DETTableTextFinancial"/>
            </w:pPr>
            <w:r w:rsidRPr="0087752B">
              <w:t>November 2015</w:t>
            </w:r>
          </w:p>
        </w:tc>
        <w:tc>
          <w:tcPr>
            <w:tcW w:w="3685" w:type="dxa"/>
          </w:tcPr>
          <w:p w14:paraId="7CA136CF" w14:textId="178F9540" w:rsidR="006016B9" w:rsidRPr="005C767D" w:rsidRDefault="00FF2E71" w:rsidP="00993B43">
            <w:pPr>
              <w:pStyle w:val="DETTableTextFinancial"/>
              <w:rPr>
                <w:u w:val="single"/>
              </w:rPr>
            </w:pPr>
            <w:hyperlink r:id="rId45" w:history="1">
              <w:r w:rsidR="00DA27D5">
                <w:rPr>
                  <w:u w:val="single"/>
                </w:rPr>
                <w:t>www.education.vic.gov.au/about/department/Pages/annual-reports-2014–15.aspx</w:t>
              </w:r>
            </w:hyperlink>
          </w:p>
          <w:p w14:paraId="4FC0A918" w14:textId="77777777" w:rsidR="006016B9" w:rsidRPr="0087752B" w:rsidRDefault="006016B9" w:rsidP="00993B43">
            <w:pPr>
              <w:pStyle w:val="DETTableTextFinancial"/>
              <w:rPr>
                <w:u w:val="single"/>
              </w:rPr>
            </w:pPr>
          </w:p>
        </w:tc>
      </w:tr>
    </w:tbl>
    <w:p w14:paraId="567B334E" w14:textId="77777777" w:rsidR="006016B9" w:rsidRPr="0087752B" w:rsidRDefault="006016B9" w:rsidP="00993B43">
      <w:pPr>
        <w:pStyle w:val="DETHeading2"/>
      </w:pPr>
      <w:bookmarkStart w:id="297" w:name="_Toc458069631"/>
      <w:bookmarkStart w:id="298" w:name="_Toc458072408"/>
      <w:bookmarkStart w:id="299" w:name="_Toc458088590"/>
      <w:bookmarkStart w:id="300" w:name="_Toc461013287"/>
      <w:bookmarkStart w:id="301" w:name="_Toc461025867"/>
      <w:bookmarkStart w:id="302" w:name="_Toc462405162"/>
      <w:r w:rsidRPr="0087752B">
        <w:t>About this report</w:t>
      </w:r>
      <w:bookmarkEnd w:id="297"/>
      <w:bookmarkEnd w:id="298"/>
      <w:bookmarkEnd w:id="299"/>
      <w:bookmarkEnd w:id="300"/>
      <w:bookmarkEnd w:id="301"/>
      <w:bookmarkEnd w:id="302"/>
    </w:p>
    <w:p w14:paraId="4F6C1DEA" w14:textId="77777777" w:rsidR="006016B9" w:rsidRPr="0087752B" w:rsidRDefault="006016B9" w:rsidP="006016B9">
      <w:r w:rsidRPr="0087752B">
        <w:t xml:space="preserve">In accordance with Ministerial Reporting Direction (FRD) 22G that annual reports be ‘reports of the financial and business operations of an entity, produced to comply with relevant Victorian legislation and pronouncements’, material not required under relevant legislation and pronouncements is not included in this report. </w:t>
      </w:r>
    </w:p>
    <w:p w14:paraId="01C4670A" w14:textId="77777777" w:rsidR="006016B9" w:rsidRPr="0087752B" w:rsidRDefault="006016B9" w:rsidP="006016B9">
      <w:r w:rsidRPr="0087752B">
        <w:t xml:space="preserve">An index that identifies the Department’s compliance with statutory requirements is provided in </w:t>
      </w:r>
      <w:r w:rsidRPr="00300489">
        <w:t>Appendix 1</w:t>
      </w:r>
      <w:r w:rsidRPr="0087752B">
        <w:t>.</w:t>
      </w:r>
    </w:p>
    <w:p w14:paraId="66B1939E" w14:textId="77777777" w:rsidR="006016B9" w:rsidRPr="0087752B" w:rsidRDefault="006016B9" w:rsidP="006016B9"/>
    <w:p w14:paraId="4578FBF4"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75905680" w14:textId="07C22D7A" w:rsidR="00A9534A" w:rsidRPr="005C767D" w:rsidRDefault="00A9534A" w:rsidP="00AE7424">
      <w:pPr>
        <w:pStyle w:val="Heading1"/>
        <w:rPr>
          <w:rStyle w:val="TablesubheadingfirstrowChar"/>
          <w:b w:val="0"/>
          <w:bCs w:val="0"/>
          <w:iCs/>
        </w:rPr>
      </w:pPr>
      <w:bookmarkStart w:id="303" w:name="Administereditems"/>
      <w:bookmarkStart w:id="304" w:name="Parliamentaryappropriations"/>
      <w:bookmarkStart w:id="305" w:name="Note10"/>
      <w:bookmarkStart w:id="306" w:name="Propertyplantandequipment"/>
      <w:bookmarkStart w:id="307" w:name="Physicalassets"/>
      <w:bookmarkStart w:id="308" w:name="Financialinstruments"/>
      <w:bookmarkStart w:id="309" w:name="Subsequentevents"/>
      <w:bookmarkStart w:id="310" w:name="Rounding"/>
      <w:bookmarkStart w:id="311" w:name="Accountingpolicies"/>
      <w:bookmarkStart w:id="312" w:name="Disclosureindex"/>
      <w:bookmarkStart w:id="313" w:name="Additionalinformation"/>
      <w:bookmarkEnd w:id="5"/>
      <w:bookmarkEnd w:id="6"/>
      <w:bookmarkEnd w:id="7"/>
      <w:bookmarkEnd w:id="8"/>
      <w:bookmarkEnd w:id="9"/>
      <w:bookmarkEnd w:id="303"/>
      <w:bookmarkEnd w:id="304"/>
      <w:bookmarkEnd w:id="305"/>
      <w:bookmarkEnd w:id="306"/>
      <w:bookmarkEnd w:id="307"/>
      <w:bookmarkEnd w:id="308"/>
      <w:bookmarkEnd w:id="309"/>
      <w:bookmarkEnd w:id="310"/>
      <w:bookmarkEnd w:id="311"/>
      <w:bookmarkEnd w:id="312"/>
      <w:bookmarkEnd w:id="313"/>
    </w:p>
    <w:sectPr w:rsidR="00A9534A" w:rsidRPr="005C767D" w:rsidSect="00AE7424">
      <w:footerReference w:type="even" r:id="rId46"/>
      <w:footerReference w:type="default" r:id="rId47"/>
      <w:footnotePr>
        <w:numRestart w:val="eachPage"/>
      </w:footnotePr>
      <w:pgSz w:w="11909" w:h="16834"/>
      <w:pgMar w:top="1814" w:right="1701" w:bottom="1418" w:left="2835" w:header="992"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8AE99" w14:textId="77777777" w:rsidR="00FF2E71" w:rsidRDefault="00FF2E71" w:rsidP="00A9534A">
      <w:pPr>
        <w:spacing w:after="0" w:line="240" w:lineRule="auto"/>
      </w:pPr>
      <w:r>
        <w:separator/>
      </w:r>
    </w:p>
  </w:endnote>
  <w:endnote w:type="continuationSeparator" w:id="0">
    <w:p w14:paraId="2812A380" w14:textId="77777777" w:rsidR="00FF2E71" w:rsidRDefault="00FF2E71" w:rsidP="00A9534A">
      <w:pPr>
        <w:spacing w:after="0" w:line="240" w:lineRule="auto"/>
      </w:pPr>
      <w:r>
        <w:continuationSeparator/>
      </w:r>
    </w:p>
  </w:endnote>
  <w:endnote w:type="continuationNotice" w:id="1">
    <w:p w14:paraId="07A19AEF" w14:textId="77777777" w:rsidR="00FF2E71" w:rsidRDefault="00FF2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empos Text Regular">
    <w:altName w:val="Tiempos Text 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499167"/>
      <w:docPartObj>
        <w:docPartGallery w:val="Page Numbers (Bottom of Page)"/>
        <w:docPartUnique/>
      </w:docPartObj>
    </w:sdtPr>
    <w:sdtEndPr>
      <w:rPr>
        <w:noProof/>
      </w:rPr>
    </w:sdtEndPr>
    <w:sdtContent>
      <w:p w14:paraId="23EA420E" w14:textId="64BC8778" w:rsidR="00A63E03" w:rsidRDefault="00A63E03">
        <w:pPr>
          <w:pStyle w:val="Footer"/>
        </w:pPr>
        <w:r>
          <w:t xml:space="preserve">Page | </w:t>
        </w:r>
        <w:r>
          <w:fldChar w:fldCharType="begin"/>
        </w:r>
        <w:r>
          <w:instrText xml:space="preserve"> PAGE   \* MERGEFORMAT </w:instrText>
        </w:r>
        <w:r>
          <w:fldChar w:fldCharType="separate"/>
        </w:r>
        <w:r w:rsidR="004E66F3">
          <w:rPr>
            <w:noProof/>
          </w:rPr>
          <w:t>2</w:t>
        </w:r>
        <w:r>
          <w:rPr>
            <w:noProof/>
          </w:rPr>
          <w:fldChar w:fldCharType="end"/>
        </w:r>
      </w:p>
    </w:sdtContent>
  </w:sdt>
  <w:p w14:paraId="1A19BC4F" w14:textId="77777777" w:rsidR="00A63E03" w:rsidRDefault="00A6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753809"/>
      <w:docPartObj>
        <w:docPartGallery w:val="Page Numbers (Bottom of Page)"/>
        <w:docPartUnique/>
      </w:docPartObj>
    </w:sdtPr>
    <w:sdtEndPr>
      <w:rPr>
        <w:noProof/>
      </w:rPr>
    </w:sdtEndPr>
    <w:sdtContent>
      <w:p w14:paraId="5E1051A1" w14:textId="0E909B19" w:rsidR="00A63E03" w:rsidRDefault="00A63E03">
        <w:pPr>
          <w:pStyle w:val="Footer"/>
        </w:pPr>
        <w:r>
          <w:t xml:space="preserve">Page | </w:t>
        </w:r>
        <w:r>
          <w:fldChar w:fldCharType="begin"/>
        </w:r>
        <w:r>
          <w:instrText xml:space="preserve"> PAGE   \* MERGEFORMAT </w:instrText>
        </w:r>
        <w:r>
          <w:fldChar w:fldCharType="separate"/>
        </w:r>
        <w:r w:rsidR="004E66F3">
          <w:rPr>
            <w:noProof/>
          </w:rPr>
          <w:t>1</w:t>
        </w:r>
        <w:r>
          <w:rPr>
            <w:noProof/>
          </w:rPr>
          <w:fldChar w:fldCharType="end"/>
        </w:r>
      </w:p>
    </w:sdtContent>
  </w:sdt>
  <w:p w14:paraId="71B8E392" w14:textId="0C72F611" w:rsidR="00A63E03" w:rsidRPr="006016B9" w:rsidRDefault="00A63E03" w:rsidP="006016B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839301"/>
      <w:docPartObj>
        <w:docPartGallery w:val="Page Numbers (Bottom of Page)"/>
        <w:docPartUnique/>
      </w:docPartObj>
    </w:sdtPr>
    <w:sdtEndPr/>
    <w:sdtContent>
      <w:p w14:paraId="1BB8A0CE" w14:textId="77777777" w:rsidR="00A63E03" w:rsidRPr="006016B9" w:rsidRDefault="00A63E03" w:rsidP="006016B9">
        <w:r w:rsidRPr="006016B9">
          <w:fldChar w:fldCharType="begin"/>
        </w:r>
        <w:r w:rsidRPr="006016B9">
          <w:instrText xml:space="preserve"> PAGE   \* MERGEFORMAT </w:instrText>
        </w:r>
        <w:r w:rsidRPr="006016B9">
          <w:fldChar w:fldCharType="separate"/>
        </w:r>
        <w:r w:rsidRPr="006016B9">
          <w:t>65</w:t>
        </w:r>
        <w:r w:rsidRPr="006016B9">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7F19" w14:textId="7419B5A5" w:rsidR="00A63E03" w:rsidRPr="000A5EFD" w:rsidRDefault="00A63E03" w:rsidP="009B7616">
    <w:pPr>
      <w:pStyle w:val="Footer"/>
      <w:tabs>
        <w:tab w:val="clear" w:pos="8640"/>
        <w:tab w:val="right" w:pos="7371"/>
      </w:tabs>
      <w:jc w:val="left"/>
    </w:pPr>
    <w:r>
      <w:rPr>
        <w:rStyle w:val="PageNumber"/>
      </w:rPr>
      <w:fldChar w:fldCharType="begin"/>
    </w:r>
    <w:r>
      <w:rPr>
        <w:rStyle w:val="PageNumber"/>
      </w:rPr>
      <w:instrText xml:space="preserve"> PAGE </w:instrText>
    </w:r>
    <w:r>
      <w:rPr>
        <w:rStyle w:val="PageNumber"/>
      </w:rPr>
      <w:fldChar w:fldCharType="separate"/>
    </w:r>
    <w:r w:rsidR="00AE7424">
      <w:rPr>
        <w:rStyle w:val="PageNumber"/>
        <w:noProof/>
      </w:rPr>
      <w:t>170</w:t>
    </w:r>
    <w:r>
      <w:rPr>
        <w:rStyle w:val="PageNumber"/>
      </w:rPr>
      <w:fldChar w:fldCharType="end"/>
    </w:r>
    <w:r>
      <w:rPr>
        <w:rStyle w:val="PageNumber"/>
      </w:rPr>
      <w:tab/>
      <w:t xml:space="preserve">DET </w:t>
    </w:r>
    <w:r>
      <w:t>Annual Report 2015–16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D842" w14:textId="522BE80C" w:rsidR="00A63E03" w:rsidRPr="005F1059" w:rsidRDefault="00A63E03" w:rsidP="00923741">
    <w:pPr>
      <w:pStyle w:val="Footer"/>
      <w:tabs>
        <w:tab w:val="right" w:pos="7371"/>
      </w:tabs>
    </w:pPr>
    <w:r w:rsidRPr="00162E84">
      <w:tab/>
    </w:r>
    <w:r>
      <w:fldChar w:fldCharType="begin"/>
    </w:r>
    <w:r>
      <w:instrText xml:space="preserve"> PAGE   \* MERGEFORMAT </w:instrText>
    </w:r>
    <w:r>
      <w:fldChar w:fldCharType="separate"/>
    </w:r>
    <w:r w:rsidR="00D656AB">
      <w:rPr>
        <w:noProof/>
      </w:rPr>
      <w:t>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0045" w14:textId="77777777" w:rsidR="00FF2E71" w:rsidRDefault="00FF2E71" w:rsidP="00A9534A">
      <w:pPr>
        <w:spacing w:after="0" w:line="240" w:lineRule="auto"/>
      </w:pPr>
      <w:r>
        <w:separator/>
      </w:r>
    </w:p>
  </w:footnote>
  <w:footnote w:type="continuationSeparator" w:id="0">
    <w:p w14:paraId="6DAA4F85" w14:textId="77777777" w:rsidR="00FF2E71" w:rsidRDefault="00FF2E71" w:rsidP="00A9534A">
      <w:pPr>
        <w:spacing w:after="0" w:line="240" w:lineRule="auto"/>
      </w:pPr>
      <w:r>
        <w:continuationSeparator/>
      </w:r>
    </w:p>
  </w:footnote>
  <w:footnote w:type="continuationNotice" w:id="1">
    <w:p w14:paraId="211A4134" w14:textId="77777777" w:rsidR="00FF2E71" w:rsidRDefault="00FF2E71">
      <w:pPr>
        <w:spacing w:after="0" w:line="240" w:lineRule="auto"/>
      </w:pPr>
    </w:p>
  </w:footnote>
  <w:footnote w:id="2">
    <w:p w14:paraId="2F167A83" w14:textId="77777777" w:rsidR="00A63E03" w:rsidRPr="006016B9" w:rsidRDefault="00A63E03" w:rsidP="00DA1E13">
      <w:r w:rsidRPr="004B1764">
        <w:rPr>
          <w:rStyle w:val="DETFootnoteTextforobjectivestablesOHStableChar"/>
        </w:rPr>
        <w:footnoteRef/>
      </w:r>
      <w:r w:rsidRPr="006016B9">
        <w:t xml:space="preserve"> </w:t>
      </w:r>
      <w:r w:rsidRPr="009834E4">
        <w:rPr>
          <w:rStyle w:val="DETFootnoteTextforobjectivestablesOHStableChar"/>
        </w:rPr>
        <w:t>Victorian Training Market Report 2015.</w:t>
      </w:r>
    </w:p>
  </w:footnote>
  <w:footnote w:id="3">
    <w:p w14:paraId="586470F7" w14:textId="1D352BA6" w:rsidR="00A63E03" w:rsidRPr="006016B9" w:rsidRDefault="00A63E03" w:rsidP="0071566B">
      <w:r w:rsidRPr="004B1764">
        <w:rPr>
          <w:rStyle w:val="DETFootnoteTextforobjectivestablesOHStableChar"/>
        </w:rPr>
        <w:footnoteRef/>
      </w:r>
      <w:r w:rsidRPr="006016B9">
        <w:t xml:space="preserve"> </w:t>
      </w:r>
      <w:r>
        <w:rPr>
          <w:rStyle w:val="DETFootnoteTextforobjectivestablesOHStableChar"/>
        </w:rPr>
        <w:t>National Centre for Vocational Education Research, Government funded student outcomes 2015: time series of key findings</w:t>
      </w:r>
      <w:r w:rsidRPr="009834E4">
        <w:rPr>
          <w:rStyle w:val="DETFootnoteTextforobjectivestablesOHStableChar"/>
        </w:rPr>
        <w:t>.</w:t>
      </w:r>
      <w:r>
        <w:rPr>
          <w:rStyle w:val="DETFootnoteTextforobjectivestablesOHStableChar"/>
        </w:rPr>
        <w:t>2006–15.</w:t>
      </w:r>
    </w:p>
  </w:footnote>
  <w:footnote w:id="4">
    <w:p w14:paraId="2F11492E" w14:textId="3111A254" w:rsidR="00A63E03" w:rsidRPr="006016B9" w:rsidRDefault="00A63E03" w:rsidP="0071566B">
      <w:r w:rsidRPr="004B1764">
        <w:rPr>
          <w:rStyle w:val="DETFootnoteTextforobjectivestablesOHStableChar"/>
        </w:rPr>
        <w:footnoteRef/>
      </w:r>
      <w:r w:rsidRPr="006016B9">
        <w:t xml:space="preserve"> </w:t>
      </w:r>
      <w:r>
        <w:rPr>
          <w:rStyle w:val="DETFootnoteTextforobjectivestablesOHStableChar"/>
        </w:rPr>
        <w:t>Report on Government Services 2016</w:t>
      </w:r>
      <w:r w:rsidRPr="009834E4">
        <w:rPr>
          <w:rStyle w:val="DETFootnoteTextforobjectivestablesOHStableChar"/>
        </w:rPr>
        <w:t>.</w:t>
      </w:r>
    </w:p>
  </w:footnote>
  <w:footnote w:id="5">
    <w:p w14:paraId="6679C557" w14:textId="4EB0BC64" w:rsidR="00A63E03" w:rsidRDefault="00A63E03" w:rsidP="0053227D">
      <w:pPr>
        <w:pStyle w:val="DETFootnoteTextforobjectivestablesOHStable"/>
      </w:pPr>
      <w:r>
        <w:rPr>
          <w:rStyle w:val="FootnoteReference"/>
        </w:rPr>
        <w:footnoteRef/>
      </w:r>
      <w:r>
        <w:t xml:space="preserve"> </w:t>
      </w:r>
      <w:r w:rsidRPr="00A437C7">
        <w:t xml:space="preserve">Source: </w:t>
      </w:r>
      <w:r>
        <w:t xml:space="preserve">On 1 July 2014 </w:t>
      </w:r>
      <w:r w:rsidRPr="00A437C7">
        <w:t>Australian Early Development Index</w:t>
      </w:r>
      <w:r>
        <w:t xml:space="preserve"> (AEDI) programme became known as the Australian Early Development Census (AEDC)</w:t>
      </w:r>
      <w:r w:rsidRPr="00A437C7">
        <w:t xml:space="preserve"> 201</w:t>
      </w:r>
      <w:r>
        <w:t>5</w:t>
      </w:r>
      <w:r w:rsidRPr="00A437C7">
        <w:t>. Data collected every three years.</w:t>
      </w:r>
    </w:p>
  </w:footnote>
  <w:footnote w:id="6">
    <w:p w14:paraId="0501D539" w14:textId="164A3267" w:rsidR="00A63E03" w:rsidRDefault="00A63E03" w:rsidP="0053227D">
      <w:pPr>
        <w:pStyle w:val="DETFootnoteTextforobjectivestablesOHStable"/>
      </w:pPr>
      <w:r>
        <w:rPr>
          <w:rStyle w:val="FootnoteReference"/>
        </w:rPr>
        <w:footnoteRef/>
      </w:r>
      <w:r>
        <w:t xml:space="preserve"> </w:t>
      </w:r>
      <w:r w:rsidRPr="00133346">
        <w:t>Victorian government and non-government schools.</w:t>
      </w:r>
    </w:p>
  </w:footnote>
  <w:footnote w:id="7">
    <w:p w14:paraId="77D25EB9" w14:textId="3D3A3542" w:rsidR="00A63E03" w:rsidRDefault="00A63E03" w:rsidP="0053227D">
      <w:pPr>
        <w:pStyle w:val="DETFootnoteTextforobjectivestablesOHStable"/>
      </w:pPr>
      <w:r>
        <w:rPr>
          <w:rStyle w:val="FootnoteReference"/>
        </w:rPr>
        <w:footnoteRef/>
      </w:r>
      <w:r>
        <w:t xml:space="preserve"> </w:t>
      </w:r>
      <w:r w:rsidRPr="00133346">
        <w:t>Progress in International Reading Literacy Study. Data collected every five years.</w:t>
      </w:r>
    </w:p>
  </w:footnote>
  <w:footnote w:id="8">
    <w:p w14:paraId="0B5EF3CF" w14:textId="4EB0445D" w:rsidR="00A63E03" w:rsidRDefault="00A63E03" w:rsidP="0053227D">
      <w:pPr>
        <w:pStyle w:val="DETFootnoteTextforobjectivestablesOHStable"/>
      </w:pPr>
      <w:r>
        <w:rPr>
          <w:rStyle w:val="FootnoteReference"/>
        </w:rPr>
        <w:footnoteRef/>
      </w:r>
      <w:r>
        <w:t xml:space="preserve"> </w:t>
      </w:r>
      <w:r w:rsidRPr="00133346">
        <w:t>Source: Thomson, S., Hillman, K., Wernert, N., Schmid, M., Buckley, S. and Munene, A. (2012). Monitoring Australian Year 4 student achievement internationally: TIMSS and PIRLS 2011, ACER.</w:t>
      </w:r>
    </w:p>
  </w:footnote>
  <w:footnote w:id="9">
    <w:p w14:paraId="14B8A435" w14:textId="1CFB49AE" w:rsidR="00A63E03" w:rsidRDefault="00A63E03" w:rsidP="0053227D">
      <w:pPr>
        <w:pStyle w:val="DETFootnoteTextforobjectivestablesOHStable"/>
      </w:pPr>
      <w:r>
        <w:rPr>
          <w:rStyle w:val="FootnoteReference"/>
        </w:rPr>
        <w:footnoteRef/>
      </w:r>
      <w:r>
        <w:t xml:space="preserve"> </w:t>
      </w:r>
      <w:r w:rsidRPr="00133346">
        <w:t>Trends in International Mathematics and Science Study. Data collected every four years.</w:t>
      </w:r>
      <w:r>
        <w:t xml:space="preserve"> The 2015 results will be released in December 2016.</w:t>
      </w:r>
    </w:p>
  </w:footnote>
  <w:footnote w:id="10">
    <w:p w14:paraId="4F1E469A" w14:textId="0333D636" w:rsidR="00A63E03" w:rsidRDefault="00A63E03" w:rsidP="0053227D">
      <w:pPr>
        <w:pStyle w:val="DETFootnoteTextforobjectivestablesOHStable"/>
      </w:pPr>
      <w:r>
        <w:rPr>
          <w:rStyle w:val="FootnoteReference"/>
        </w:rPr>
        <w:footnoteRef/>
      </w:r>
      <w:r>
        <w:t xml:space="preserve"> </w:t>
      </w:r>
      <w:r w:rsidRPr="00133346">
        <w:t>Source: Thomson, S., Hillman, K. and Wernert, N. (2012). Monitoring Australian Year 8 student achievement internationally: TIMSS 2011, ACER.</w:t>
      </w:r>
    </w:p>
  </w:footnote>
  <w:footnote w:id="11">
    <w:p w14:paraId="061B847E" w14:textId="744D212B" w:rsidR="00A63E03" w:rsidRDefault="00A63E03" w:rsidP="00146A97">
      <w:pPr>
        <w:pStyle w:val="DETFootnoteTextforobjectivestablesOHStable"/>
      </w:pPr>
      <w:r>
        <w:rPr>
          <w:rStyle w:val="FootnoteReference"/>
        </w:rPr>
        <w:footnoteRef/>
      </w:r>
      <w:r>
        <w:t xml:space="preserve"> </w:t>
      </w:r>
      <w:r w:rsidRPr="00133346">
        <w:t xml:space="preserve">Programme for International Student Assessment (PISA). Data collected every three years. </w:t>
      </w:r>
      <w:r>
        <w:t xml:space="preserve">The 2015 results will be released in December 2016. </w:t>
      </w:r>
      <w:r w:rsidRPr="00133346">
        <w:t>In Australia, the national agreed baseline, as agreed in the Measurement Framework for Schooling in Australia, is Level 3. Sources: Thomson, S., De Bortoli,</w:t>
      </w:r>
      <w:r w:rsidRPr="00A437C7">
        <w:t> </w:t>
      </w:r>
      <w:r w:rsidRPr="00133346">
        <w:t>L.,Nicholas, M., Hillman, K</w:t>
      </w:r>
      <w:r>
        <w:t>.</w:t>
      </w:r>
      <w:r w:rsidRPr="00A437C7">
        <w:t>,</w:t>
      </w:r>
      <w:r>
        <w:t xml:space="preserve"> </w:t>
      </w:r>
      <w:r w:rsidRPr="00133346">
        <w:t>Buckley, S (2011). PISA 2012: how Australia measures up: The PISA 2012 assessment of students’ mathematical, scientific and reading literacy, ACER.</w:t>
      </w:r>
      <w:r>
        <w:t xml:space="preserve"> </w:t>
      </w:r>
    </w:p>
  </w:footnote>
  <w:footnote w:id="12">
    <w:p w14:paraId="5A5AE416" w14:textId="3138AE9E" w:rsidR="00A63E03" w:rsidRDefault="00A63E03" w:rsidP="00146A97">
      <w:pPr>
        <w:pStyle w:val="DETFootnoteTextforobjectivestablesOHStable"/>
      </w:pPr>
      <w:r>
        <w:rPr>
          <w:rStyle w:val="FootnoteReference"/>
        </w:rPr>
        <w:footnoteRef/>
      </w:r>
      <w:r>
        <w:t xml:space="preserve"> </w:t>
      </w:r>
      <w:r w:rsidRPr="00336047">
        <w:t xml:space="preserve">Students achieving at a Proficient Level of 3.3 or better (from </w:t>
      </w:r>
      <w:r>
        <w:t>five</w:t>
      </w:r>
      <w:r w:rsidRPr="00336047">
        <w:t xml:space="preserve"> levels) is considered to demonstrate </w:t>
      </w:r>
      <w:r>
        <w:t>exemplary understanding of Year </w:t>
      </w:r>
      <w:r w:rsidRPr="00336047">
        <w:t xml:space="preserve">6 science. </w:t>
      </w:r>
      <w:r>
        <w:t xml:space="preserve">Data collected every three years. The 2015 Science Literacy results will be released in 2016. </w:t>
      </w:r>
      <w:r w:rsidRPr="00336047">
        <w:t>Source: National Assessment Program</w:t>
      </w:r>
      <w:r>
        <w:t>—</w:t>
      </w:r>
      <w:r w:rsidRPr="00336047">
        <w:t>Science Literacy Year 6 Report 2012, ACARA.</w:t>
      </w:r>
    </w:p>
  </w:footnote>
  <w:footnote w:id="13">
    <w:p w14:paraId="4DF1B5FE" w14:textId="1A78E205" w:rsidR="00A63E03" w:rsidRDefault="00A63E03" w:rsidP="00146A97">
      <w:pPr>
        <w:pStyle w:val="DETFootnoteTextforobjectivestablesOHStable"/>
      </w:pPr>
      <w:r>
        <w:rPr>
          <w:rStyle w:val="FootnoteReference"/>
        </w:rPr>
        <w:footnoteRef/>
      </w:r>
      <w:r>
        <w:t xml:space="preserve"> </w:t>
      </w:r>
      <w:r w:rsidRPr="00336047">
        <w:t xml:space="preserve">Year 6 students performing at a Proficient Level of 3 and above, and Year 10 students performing at a Proficient Level of 4 and above (from </w:t>
      </w:r>
      <w:r>
        <w:t>six</w:t>
      </w:r>
      <w:r w:rsidRPr="00336047">
        <w:t xml:space="preserve"> levels) are considered to have meet or exceeded their achievement in ICT Literacy. </w:t>
      </w:r>
      <w:r>
        <w:t xml:space="preserve">Data collected every three years. </w:t>
      </w:r>
      <w:r w:rsidRPr="00336047">
        <w:t>Source: National Assessment Program</w:t>
      </w:r>
      <w:r>
        <w:t>—</w:t>
      </w:r>
      <w:r w:rsidRPr="00336047">
        <w:t>ICT Literacy Years 6 &amp; 10 Report 201</w:t>
      </w:r>
      <w:r>
        <w:t>4</w:t>
      </w:r>
      <w:r w:rsidRPr="00336047">
        <w:t>, ACARA.</w:t>
      </w:r>
    </w:p>
  </w:footnote>
  <w:footnote w:id="14">
    <w:p w14:paraId="157787B9" w14:textId="2DA0A981" w:rsidR="00A63E03" w:rsidRDefault="00A63E03" w:rsidP="00146A97">
      <w:pPr>
        <w:pStyle w:val="DETFootnoteTextforobjectivestablesOHStable"/>
      </w:pPr>
      <w:r>
        <w:rPr>
          <w:rStyle w:val="FootnoteReference"/>
        </w:rPr>
        <w:footnoteRef/>
      </w:r>
      <w:r>
        <w:t xml:space="preserve"> </w:t>
      </w:r>
      <w:r w:rsidRPr="00133346">
        <w:t>Government-subsidised and fee-for-service</w:t>
      </w:r>
      <w:r>
        <w:t xml:space="preserve"> reported course completions</w:t>
      </w:r>
      <w:r w:rsidRPr="00133346">
        <w:t>. Data rounded. Likely to be an undercount of actual c</w:t>
      </w:r>
      <w:r>
        <w:t>ompletions between</w:t>
      </w:r>
      <w:r w:rsidRPr="00133346">
        <w:t xml:space="preserve"> due to variations in administrative practices by training organisations in identifying, recording and reporting qualification completion and variations in student intent and behaviour in completing qualifications. </w:t>
      </w:r>
      <w:r>
        <w:t xml:space="preserve">The Department has been actively working to improve the quality of completion data provided by training organisations. </w:t>
      </w:r>
      <w:r w:rsidRPr="00133346">
        <w:t>Source: Department of Education and Training internal administrative data.</w:t>
      </w:r>
    </w:p>
  </w:footnote>
  <w:footnote w:id="15">
    <w:p w14:paraId="0189580E" w14:textId="0B3EF1EA" w:rsidR="00A63E03" w:rsidRDefault="00A63E03" w:rsidP="00146A97">
      <w:pPr>
        <w:pStyle w:val="DETFootnoteTextforobjectivestablesOHStable"/>
      </w:pPr>
      <w:r>
        <w:rPr>
          <w:rStyle w:val="FootnoteReference"/>
        </w:rPr>
        <w:footnoteRef/>
      </w:r>
      <w:r>
        <w:t xml:space="preserve"> </w:t>
      </w:r>
      <w:r w:rsidRPr="006F0163">
        <w:t>Survey estimates</w:t>
      </w:r>
      <w:r>
        <w:t>,</w:t>
      </w:r>
      <w:r w:rsidRPr="006F0163">
        <w:t xml:space="preserve"> subject to statistical error.</w:t>
      </w:r>
      <w:r w:rsidRPr="00C10CA7">
        <w:t xml:space="preserve"> </w:t>
      </w:r>
      <w:r>
        <w:t xml:space="preserve">Source: </w:t>
      </w:r>
      <w:r w:rsidRPr="00C701A9">
        <w:t>ABS Survey of Education and Work (cat.n</w:t>
      </w:r>
      <w:r>
        <w:t>o. 6227.0</w:t>
      </w:r>
      <w:r w:rsidRPr="00C701A9">
        <w:t>).</w:t>
      </w:r>
    </w:p>
  </w:footnote>
  <w:footnote w:id="16">
    <w:p w14:paraId="3AD5CE96" w14:textId="77777777" w:rsidR="00A63E03" w:rsidRPr="006016B9" w:rsidRDefault="00A63E03" w:rsidP="0014546F">
      <w:pPr>
        <w:pStyle w:val="DETFootnoteTextforobjectivestablesOHStable"/>
      </w:pPr>
      <w:r w:rsidRPr="006016B9">
        <w:footnoteRef/>
      </w:r>
      <w:r w:rsidRPr="006016B9">
        <w:t xml:space="preserve"> From 2014 onwards, the methodology has changed slightly due to an improvement in available data and analysis methods. The method of identifying and excluding second year enrolments has been improved and the participation rate is now based on child count rather than an enrolment count.</w:t>
      </w:r>
    </w:p>
  </w:footnote>
  <w:footnote w:id="17">
    <w:p w14:paraId="37631E1E" w14:textId="731CAD6B" w:rsidR="00A63E03" w:rsidRPr="006016B9" w:rsidRDefault="00A63E03" w:rsidP="0014546F">
      <w:pPr>
        <w:pStyle w:val="DETFootnoteTextforobjectivestablesOHStable"/>
      </w:pPr>
      <w:r w:rsidRPr="006016B9">
        <w:footnoteRef/>
      </w:r>
      <w:r w:rsidRPr="006016B9">
        <w:t xml:space="preserve"> Figures for the 2011–12 financial year under 2011, for 2012–13 under 2012, 2013–14 under 2013, and for 2014–15 under 2014. Results for 2015–16 were not available at the time of publication.</w:t>
      </w:r>
      <w:r>
        <w:t xml:space="preserve"> Source: Maternal and Child Health Services Annual Report.</w:t>
      </w:r>
    </w:p>
  </w:footnote>
  <w:footnote w:id="18">
    <w:p w14:paraId="708745A1" w14:textId="77777777" w:rsidR="00A63E03" w:rsidRPr="006016B9" w:rsidRDefault="00A63E03" w:rsidP="004D1C46">
      <w:pPr>
        <w:pStyle w:val="DETFootnoteTextforobjectivestablesOHStable"/>
      </w:pPr>
      <w:r w:rsidRPr="006016B9">
        <w:footnoteRef/>
      </w:r>
      <w:r w:rsidRPr="006016B9">
        <w:t xml:space="preserve"> Participation Rates will exceed 100 per cent when the number of children attending the Maternal &amp; Child Health Centre throughout the year is greater than the number of children registered at the Centre on 30th June.</w:t>
      </w:r>
    </w:p>
  </w:footnote>
  <w:footnote w:id="19">
    <w:p w14:paraId="10871E70" w14:textId="77777777" w:rsidR="00A63E03" w:rsidRPr="006016B9" w:rsidRDefault="00A63E03" w:rsidP="0014546F">
      <w:pPr>
        <w:pStyle w:val="DETFootnoteTextforobjectivestablesOHStable"/>
      </w:pPr>
      <w:r w:rsidRPr="006016B9">
        <w:footnoteRef/>
      </w:r>
      <w:r w:rsidRPr="006016B9">
        <w:t xml:space="preserve"> Victorian government schools.</w:t>
      </w:r>
    </w:p>
  </w:footnote>
  <w:footnote w:id="20">
    <w:p w14:paraId="2AA7665C" w14:textId="77777777" w:rsidR="00A63E03" w:rsidRPr="006016B9" w:rsidRDefault="00A63E03" w:rsidP="0014546F">
      <w:pPr>
        <w:pStyle w:val="DETFootnoteTextforobjectivestablesOHStable"/>
      </w:pPr>
      <w:r w:rsidRPr="006016B9">
        <w:footnoteRef/>
      </w:r>
      <w:r w:rsidRPr="006016B9">
        <w:t xml:space="preserve"> Data extracted at 29 July 2016.</w:t>
      </w:r>
    </w:p>
  </w:footnote>
  <w:footnote w:id="21">
    <w:p w14:paraId="730EAFAF" w14:textId="77777777" w:rsidR="00A63E03" w:rsidRPr="006016B9" w:rsidRDefault="00A63E03" w:rsidP="0014546F">
      <w:pPr>
        <w:pStyle w:val="DETFootnoteTextforobjectivestablesOHStable"/>
      </w:pPr>
      <w:r w:rsidRPr="006016B9">
        <w:footnoteRef/>
      </w:r>
      <w:r w:rsidRPr="006016B9">
        <w:t xml:space="preserve"> Derived from multiple questions. Only students who responded ‘agree’ or ‘strongly agree’ on all relevant questions are included. Other students gave mixed or opposing views. Source: Department of Education and Training Attitudes to School Survey.</w:t>
      </w:r>
    </w:p>
  </w:footnote>
  <w:footnote w:id="22">
    <w:p w14:paraId="1576CBBB" w14:textId="24ED7361" w:rsidR="00A63E03" w:rsidRPr="006016B9" w:rsidRDefault="00A63E03" w:rsidP="0014546F">
      <w:pPr>
        <w:pStyle w:val="DETFootnoteTextforobjectivestablesOHStable"/>
      </w:pPr>
      <w:r w:rsidRPr="006016B9">
        <w:footnoteRef/>
      </w:r>
      <w:r w:rsidRPr="006016B9">
        <w:t xml:space="preserve"> Following a review of Funded Courses by the Department in 2014, it was identified that some training organisations had enrolled students in qualifications that had been superseded, i.e. replaced by a more up</w:t>
      </w:r>
      <w:r>
        <w:t>-</w:t>
      </w:r>
      <w:r w:rsidRPr="006016B9">
        <w:t>to</w:t>
      </w:r>
      <w:r>
        <w:t>-</w:t>
      </w:r>
      <w:r w:rsidRPr="006016B9">
        <w:t>date version of the course. In response, the Department strengthened the teach-out and transition requirements specified in the 2015 Standards for training providers and notified all training providers that these requirements would be applied by the Department for funding purposes. The changes will ensure students are undertaking the most up-to-date and relevant training and will allow superseded qualifications to be accurately captured and reported. In line with standard Departmental reporting standards for VET data, enrolment data for the VET indicators in this section have been revised accordingly. It was estimated that for the first half of 2015, less than 1 per cent of government subsidised course enrolments were duplicate records as a result of superseded qualifications. All data rounded. Source: Department of Education and Training internal administrative data. In addition, all data reported in this section for VET is consistent with that previously published in the 2015 Victorian Training Market Report.</w:t>
      </w:r>
    </w:p>
  </w:footnote>
  <w:footnote w:id="23">
    <w:p w14:paraId="097281DB" w14:textId="447025A8" w:rsidR="00A63E03" w:rsidRPr="006016B9" w:rsidRDefault="00A63E03" w:rsidP="0014546F">
      <w:pPr>
        <w:pStyle w:val="DETFootnoteTextforobjectivestablesOHStable"/>
      </w:pPr>
      <w:r w:rsidRPr="006016B9">
        <w:footnoteRef/>
      </w:r>
      <w:r w:rsidRPr="006016B9">
        <w:t xml:space="preserve"> Number of students undertaking government</w:t>
      </w:r>
      <w:r>
        <w:t>-</w:t>
      </w:r>
      <w:r w:rsidRPr="006016B9">
        <w:t>subsidised training.</w:t>
      </w:r>
    </w:p>
  </w:footnote>
  <w:footnote w:id="24">
    <w:p w14:paraId="08EC5586" w14:textId="77777777" w:rsidR="00A63E03" w:rsidRPr="006016B9" w:rsidRDefault="00A63E03" w:rsidP="0014546F">
      <w:pPr>
        <w:pStyle w:val="DETFootnoteTextforobjectivestablesOHStable"/>
      </w:pPr>
      <w:r w:rsidRPr="006016B9">
        <w:footnoteRef/>
      </w:r>
      <w:r w:rsidRPr="006016B9">
        <w:t xml:space="preserve"> The result in 2014 for this indicator was incorrectly identified as 133,800, this figure has been revised to the correct figure of 88,900 which is also consistent with data reported in the 2015 Victorian Training Market Report.</w:t>
      </w:r>
    </w:p>
  </w:footnote>
  <w:footnote w:id="25">
    <w:p w14:paraId="6D99BA89" w14:textId="77777777" w:rsidR="00A63E03" w:rsidRPr="006016B9" w:rsidRDefault="00A63E03" w:rsidP="003447A9">
      <w:pPr>
        <w:pStyle w:val="DETFootnoteTextforobjectivestablesOHStable"/>
      </w:pPr>
      <w:r w:rsidRPr="006016B9">
        <w:footnoteRef/>
      </w:r>
      <w:r w:rsidRPr="006016B9">
        <w:t xml:space="preserve"> Figures for the 2011–12 financial year under 2011, for 2012–13 under 2012, 2013–14 under 2013, and for 2014–15 under 2014. Results for 2015–16 were not available at the time of publication. Source: Maternal &amp; Child Health Services Annual Report.</w:t>
      </w:r>
    </w:p>
  </w:footnote>
  <w:footnote w:id="26">
    <w:p w14:paraId="3D961733" w14:textId="77777777" w:rsidR="00A63E03" w:rsidRPr="006016B9" w:rsidRDefault="00A63E03" w:rsidP="003447A9">
      <w:pPr>
        <w:pStyle w:val="DETFootnoteTextforobjectivestablesOHStable"/>
      </w:pPr>
      <w:r w:rsidRPr="006016B9">
        <w:footnoteRef/>
      </w:r>
      <w:r w:rsidRPr="006016B9">
        <w:t xml:space="preserve"> School Entrant Health Questionnaire (SEHQ), Department of Education and Training.</w:t>
      </w:r>
    </w:p>
  </w:footnote>
  <w:footnote w:id="27">
    <w:p w14:paraId="4204DC10" w14:textId="77777777" w:rsidR="00A63E03" w:rsidRPr="006016B9" w:rsidRDefault="00A63E03" w:rsidP="003447A9">
      <w:pPr>
        <w:pStyle w:val="DETFootnoteTextforobjectivestablesOHStable"/>
      </w:pPr>
      <w:r w:rsidRPr="006016B9">
        <w:footnoteRef/>
      </w:r>
      <w:r w:rsidRPr="006016B9">
        <w:t xml:space="preserve"> Source: On 1 July 2014 Australian Early Development Index (AEDI) programme became known as the Australian Early Development Census (AEDC) 2015. Data collection for the index is undertaken every three years.</w:t>
      </w:r>
    </w:p>
  </w:footnote>
  <w:footnote w:id="28">
    <w:p w14:paraId="4F7B382A" w14:textId="77777777" w:rsidR="00A63E03" w:rsidRPr="006016B9" w:rsidRDefault="00A63E03" w:rsidP="003447A9">
      <w:pPr>
        <w:pStyle w:val="DETFootnoteTextforobjectivestablesOHStable"/>
      </w:pPr>
      <w:r w:rsidRPr="006016B9">
        <w:footnoteRef/>
      </w:r>
      <w:r w:rsidRPr="006016B9">
        <w:t xml:space="preserve"> Victorian government schools. Derived from multiple questions. Only students who responded ‘agree’ or ‘strongly agree’ on all relevant questions are included. Other students gave mixed or opposing views. Source: Department of Education and Training Attitudes to School Survey.</w:t>
      </w:r>
    </w:p>
  </w:footnote>
  <w:footnote w:id="29">
    <w:p w14:paraId="452681BE" w14:textId="2F2D62D6" w:rsidR="00A63E03" w:rsidRPr="006016B9" w:rsidRDefault="00A63E03" w:rsidP="003447A9">
      <w:pPr>
        <w:pStyle w:val="DETFootnoteTextforobjectivestablesOHStable"/>
      </w:pPr>
      <w:r w:rsidRPr="006016B9">
        <w:footnoteRef/>
      </w:r>
      <w:r w:rsidRPr="006016B9">
        <w:t xml:space="preserve"> Survey estimates, subject to statistical error. Source: Student Outcomes Survey, National Centre for Vocational Education Research 2015, Table 5: Key findings for </w:t>
      </w:r>
      <w:r>
        <w:t xml:space="preserve">government-funded </w:t>
      </w:r>
      <w:r w:rsidRPr="006016B9">
        <w:t>graduates, 2006-2015.</w:t>
      </w:r>
    </w:p>
  </w:footnote>
  <w:footnote w:id="30">
    <w:p w14:paraId="714C31BC" w14:textId="77777777" w:rsidR="00A63E03" w:rsidRPr="006016B9" w:rsidRDefault="00A63E03" w:rsidP="00414C2B">
      <w:pPr>
        <w:pStyle w:val="DETFootnoteTextforobjectivestablesOHStable"/>
      </w:pPr>
      <w:r w:rsidRPr="006016B9">
        <w:footnoteRef/>
      </w:r>
      <w:r w:rsidRPr="006016B9">
        <w:t xml:space="preserve"> Reflects the Victorian Government expenditure on early childhood services available to all children (that is, universal expenditure) and does not include the significant resourcing provided to deliver a range of targeted services for specific cohorts of children.</w:t>
      </w:r>
    </w:p>
  </w:footnote>
  <w:footnote w:id="31">
    <w:p w14:paraId="131CDFBA" w14:textId="0066AF7F" w:rsidR="00A63E03" w:rsidRPr="006016B9" w:rsidRDefault="00A63E03" w:rsidP="00414C2B">
      <w:pPr>
        <w:pStyle w:val="DETFootnoteTextforobjectivestablesOHStable"/>
      </w:pPr>
      <w:r w:rsidRPr="006016B9">
        <w:footnoteRef/>
      </w:r>
      <w:r w:rsidRPr="006016B9">
        <w:t xml:space="preserve"> Figures for the 2011–12 financial year under 2011, 2012–13 under 2012, 2013–14 under 2013, 2014–15 under 2014 and 2015–16 under 2015</w:t>
      </w:r>
      <w:r>
        <w:t>.</w:t>
      </w:r>
    </w:p>
  </w:footnote>
  <w:footnote w:id="32">
    <w:p w14:paraId="55BFA1BC" w14:textId="77777777" w:rsidR="00A63E03" w:rsidRPr="006016B9" w:rsidRDefault="00A63E03" w:rsidP="00414C2B">
      <w:pPr>
        <w:pStyle w:val="DETFootnoteTextforobjectivestablesOHStable"/>
      </w:pPr>
      <w:r w:rsidRPr="006016B9">
        <w:footnoteRef/>
      </w:r>
      <w:r w:rsidRPr="006016B9">
        <w:t xml:space="preserve"> Additional loadings are also made available to children living in rural or low socioeconomic areas. Additional resourcing of the delivery of this service is provided through matched local government funding.</w:t>
      </w:r>
    </w:p>
  </w:footnote>
  <w:footnote w:id="33">
    <w:p w14:paraId="33AC87DC" w14:textId="77777777" w:rsidR="00A63E03" w:rsidRPr="006016B9" w:rsidRDefault="00A63E03" w:rsidP="00414C2B">
      <w:pPr>
        <w:pStyle w:val="DETFootnoteTextforobjectivestablesOHStable"/>
      </w:pPr>
      <w:r w:rsidRPr="006016B9">
        <w:footnoteRef/>
      </w:r>
      <w:r w:rsidRPr="006016B9">
        <w:t xml:space="preserve"> Reflects the State Government component of the standard per capita rate at the end of the relevant financial year.</w:t>
      </w:r>
    </w:p>
  </w:footnote>
  <w:footnote w:id="34">
    <w:p w14:paraId="7CE4BF3C" w14:textId="77777777" w:rsidR="00A63E03" w:rsidRPr="006016B9" w:rsidRDefault="00A63E03" w:rsidP="00414C2B">
      <w:pPr>
        <w:pStyle w:val="DETFootnoteTextforobjectivestablesOHStable"/>
      </w:pPr>
      <w:r w:rsidRPr="006016B9">
        <w:footnoteRef/>
      </w:r>
      <w:r w:rsidRPr="006016B9">
        <w:t xml:space="preserve"> A small proportion of children (approximately five per cent) who access a kindergarten program in a non-government school receive less (State Government component between $354 and $1,150 in 2015</w:t>
      </w:r>
      <w:r w:rsidRPr="006016B9">
        <w:softHyphen/>
      </w:r>
      <w:r w:rsidRPr="006016B9">
        <w:softHyphen/>
        <w:t>–16). Additional loadings are provided for children based on characteristics including living in a rural area, Aboriginal or Torres Strait Islander status, or being holders of health care or pension cards or refugee or humanitarian visas. Additional resourcing of the delivery of program is provided through parental fees and service fundraising.</w:t>
      </w:r>
    </w:p>
  </w:footnote>
  <w:footnote w:id="35">
    <w:p w14:paraId="6E896977" w14:textId="3011A577" w:rsidR="00A63E03" w:rsidRPr="006016B9" w:rsidRDefault="00A63E03" w:rsidP="00414C2B">
      <w:pPr>
        <w:pStyle w:val="DETFootnoteTextforobjectivestablesOHStable"/>
      </w:pPr>
      <w:r w:rsidRPr="006016B9">
        <w:footnoteRef/>
      </w:r>
      <w:r w:rsidRPr="006016B9">
        <w:t xml:space="preserve"> Victorian government and non-government schools. Source: Productivity Commission Report on Government Services 2016, </w:t>
      </w:r>
      <w:r>
        <w:br/>
      </w:r>
      <w:r w:rsidRPr="006016B9">
        <w:t>Table 4A.12</w:t>
      </w:r>
    </w:p>
  </w:footnote>
  <w:footnote w:id="36">
    <w:p w14:paraId="289FE00F" w14:textId="5C2E6F7C" w:rsidR="00A63E03" w:rsidRPr="006016B9" w:rsidRDefault="00A63E03" w:rsidP="00414C2B">
      <w:pPr>
        <w:pStyle w:val="DETFootnoteTextforobjectivestablesOHStable"/>
      </w:pPr>
      <w:r w:rsidRPr="006016B9">
        <w:footnoteRef/>
      </w:r>
      <w:r w:rsidRPr="006016B9">
        <w:t xml:space="preserve"> Figures for School Education</w:t>
      </w:r>
      <w:r>
        <w:t>—</w:t>
      </w:r>
      <w:r w:rsidRPr="006016B9">
        <w:t>Primary and School Education</w:t>
      </w:r>
      <w:r>
        <w:t>—</w:t>
      </w:r>
      <w:r w:rsidRPr="006016B9">
        <w:t>Secondary not available for 2014.</w:t>
      </w:r>
    </w:p>
  </w:footnote>
  <w:footnote w:id="37">
    <w:p w14:paraId="18637399" w14:textId="7FD12BB4" w:rsidR="00A63E03" w:rsidRPr="006016B9" w:rsidRDefault="00A63E03" w:rsidP="00414C2B">
      <w:pPr>
        <w:pStyle w:val="DETFootnoteTextforobjectivestablesOHStable"/>
      </w:pPr>
      <w:r w:rsidRPr="006016B9">
        <w:footnoteRef/>
      </w:r>
      <w:r w:rsidRPr="006016B9">
        <w:t xml:space="preserve"> Reports on Government Services are</w:t>
      </w:r>
      <w:r>
        <w:t xml:space="preserve"> published in January each year;</w:t>
      </w:r>
      <w:r w:rsidRPr="006016B9">
        <w:t xml:space="preserve"> 2015 results not a</w:t>
      </w:r>
      <w:r>
        <w:t>vailable at time of publication, anticipated to be released in the 2017 Report on Government Services.</w:t>
      </w:r>
    </w:p>
    <w:p w14:paraId="3A566762" w14:textId="18F071E4" w:rsidR="00A63E03" w:rsidRPr="006016B9" w:rsidRDefault="00A63E03" w:rsidP="00414C2B">
      <w:pPr>
        <w:pStyle w:val="DETFootnoteTextforobjectivestablesOHStable"/>
      </w:pPr>
      <w:r w:rsidRPr="006016B9">
        <w:t>9 Source: Productivity Commission Report on Government Services 2016, Tab</w:t>
      </w:r>
      <w:r>
        <w:t>le 5A.34</w:t>
      </w:r>
      <w:r w:rsidRPr="006016B9">
        <w:t>.</w:t>
      </w:r>
    </w:p>
    <w:p w14:paraId="1FC8FA4A" w14:textId="77777777" w:rsidR="00A63E03" w:rsidRPr="006016B9" w:rsidRDefault="00A63E03" w:rsidP="006016B9"/>
  </w:footnote>
  <w:footnote w:id="38">
    <w:p w14:paraId="05F1182B" w14:textId="3094AF57" w:rsidR="00A63E03" w:rsidRDefault="00A63E03" w:rsidP="00D95C09">
      <w:pPr>
        <w:pStyle w:val="DETFootnoteTextforobjectivestablesOHStable"/>
      </w:pPr>
      <w:r>
        <w:rPr>
          <w:rStyle w:val="FootnoteReference"/>
        </w:rPr>
        <w:footnoteRef/>
      </w:r>
      <w:r>
        <w:t xml:space="preserve"> </w:t>
      </w:r>
      <w:r w:rsidRPr="00A63C8F">
        <w:t>Figures for 2014–15, 2013–14 and 2012–13 have been revised compared to the previously published annual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B28F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7ED5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CCCC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4622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3D44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C95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A29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0E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DAC5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FEC9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CA23102"/>
    <w:styleLink w:val="MD2007111"/>
    <w:lvl w:ilvl="0">
      <w:start w:val="1"/>
      <w:numFmt w:val="decimal"/>
      <w:lvlText w:val="%1."/>
      <w:lvlJc w:val="left"/>
      <w:pPr>
        <w:tabs>
          <w:tab w:val="num" w:pos="709"/>
        </w:tabs>
        <w:ind w:left="709" w:hanging="709"/>
      </w:pPr>
      <w:rPr>
        <w:rFonts w:ascii="Arial" w:hAnsi="Arial" w:hint="default"/>
        <w:b w:val="0"/>
        <w:i w:val="0"/>
        <w:sz w:val="21"/>
      </w:rPr>
    </w:lvl>
    <w:lvl w:ilvl="1">
      <w:start w:val="1"/>
      <w:numFmt w:val="lowerLetter"/>
      <w:lvlText w:val="(%2)"/>
      <w:lvlJc w:val="left"/>
      <w:pPr>
        <w:tabs>
          <w:tab w:val="num" w:pos="2127"/>
        </w:tabs>
        <w:ind w:left="2127" w:hanging="709"/>
      </w:pPr>
      <w:rPr>
        <w:rFonts w:ascii="Arial" w:hAnsi="Arial" w:hint="default"/>
        <w:b w:val="0"/>
        <w:i w:val="0"/>
        <w:sz w:val="21"/>
      </w:rPr>
    </w:lvl>
    <w:lvl w:ilvl="2">
      <w:start w:val="1"/>
      <w:numFmt w:val="lowerRoman"/>
      <w:lvlText w:val="(%3)"/>
      <w:lvlJc w:val="left"/>
      <w:pPr>
        <w:tabs>
          <w:tab w:val="num" w:pos="2835"/>
        </w:tabs>
        <w:ind w:left="2835" w:hanging="708"/>
      </w:pPr>
      <w:rPr>
        <w:rFonts w:ascii="Arial" w:hAnsi="Arial" w:hint="default"/>
        <w:b w:val="0"/>
        <w:i w:val="0"/>
        <w:sz w:val="21"/>
      </w:rPr>
    </w:lvl>
    <w:lvl w:ilvl="3">
      <w:start w:val="1"/>
      <w:numFmt w:val="upperLetter"/>
      <w:lvlText w:val="%4."/>
      <w:lvlJc w:val="left"/>
      <w:pPr>
        <w:tabs>
          <w:tab w:val="num" w:pos="3544"/>
        </w:tabs>
        <w:ind w:left="3544" w:hanging="709"/>
      </w:pPr>
      <w:rPr>
        <w:rFonts w:hint="default"/>
        <w:b w:val="0"/>
        <w:i w:val="0"/>
        <w:sz w:val="21"/>
      </w:rPr>
    </w:lvl>
    <w:lvl w:ilvl="4">
      <w:start w:val="1"/>
      <w:numFmt w:val="decimal"/>
      <w:lvlText w:val="(%5)"/>
      <w:lvlJc w:val="left"/>
      <w:pPr>
        <w:tabs>
          <w:tab w:val="num" w:pos="4253"/>
        </w:tabs>
        <w:ind w:left="4253" w:hanging="709"/>
      </w:pPr>
      <w:rPr>
        <w:rFonts w:ascii="Arial" w:hAnsi="Arial" w:hint="default"/>
        <w:b w:val="0"/>
        <w:i w:val="0"/>
        <w:sz w:val="21"/>
      </w:rPr>
    </w:lvl>
    <w:lvl w:ilvl="5">
      <w:start w:val="1"/>
      <w:numFmt w:val="lowerRoman"/>
      <w:lvlText w:val="(%6)"/>
      <w:lvlJc w:val="left"/>
      <w:pPr>
        <w:tabs>
          <w:tab w:val="num" w:pos="4962"/>
        </w:tabs>
        <w:ind w:left="4962" w:hanging="709"/>
      </w:pPr>
      <w:rPr>
        <w:rFonts w:ascii="Arial" w:hAnsi="Arial" w:hint="default"/>
        <w:b w:val="0"/>
        <w:i w:val="0"/>
        <w:sz w:val="21"/>
      </w:rPr>
    </w:lvl>
    <w:lvl w:ilvl="6">
      <w:start w:val="1"/>
      <w:numFmt w:val="lowerRoman"/>
      <w:lvlText w:val="(%7)"/>
      <w:lvlJc w:val="left"/>
      <w:pPr>
        <w:tabs>
          <w:tab w:val="num" w:pos="709"/>
        </w:tabs>
        <w:ind w:left="5725" w:hanging="708"/>
      </w:pPr>
    </w:lvl>
    <w:lvl w:ilvl="7">
      <w:start w:val="1"/>
      <w:numFmt w:val="lowerLetter"/>
      <w:lvlText w:val="(%8)"/>
      <w:lvlJc w:val="left"/>
      <w:pPr>
        <w:tabs>
          <w:tab w:val="num" w:pos="709"/>
        </w:tabs>
        <w:ind w:left="6433" w:hanging="708"/>
      </w:pPr>
    </w:lvl>
    <w:lvl w:ilvl="8">
      <w:start w:val="1"/>
      <w:numFmt w:val="lowerRoman"/>
      <w:lvlText w:val="(%9)"/>
      <w:lvlJc w:val="left"/>
      <w:pPr>
        <w:tabs>
          <w:tab w:val="num" w:pos="709"/>
        </w:tabs>
        <w:ind w:left="7141" w:hanging="708"/>
      </w:pPr>
    </w:lvl>
  </w:abstractNum>
  <w:abstractNum w:abstractNumId="11" w15:restartNumberingAfterBreak="0">
    <w:nsid w:val="006B2FB5"/>
    <w:multiLevelType w:val="multilevel"/>
    <w:tmpl w:val="0F488840"/>
    <w:styleLink w:val="ListNumber1"/>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580397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091D11"/>
    <w:multiLevelType w:val="hybridMultilevel"/>
    <w:tmpl w:val="E15C2E2E"/>
    <w:lvl w:ilvl="0" w:tplc="02D641B8">
      <w:start w:val="1"/>
      <w:numFmt w:val="lowerLetter"/>
      <w:pStyle w:val="Heading3notesnumbered"/>
      <w:lvlText w:val="(%1)"/>
      <w:lvlJc w:val="left"/>
      <w:pPr>
        <w:ind w:left="501" w:hanging="360"/>
      </w:pPr>
      <w:rPr>
        <w:rFonts w:hint="default"/>
      </w:rPr>
    </w:lvl>
    <w:lvl w:ilvl="1" w:tplc="E8989BCE">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5B02FCB"/>
    <w:multiLevelType w:val="hybridMultilevel"/>
    <w:tmpl w:val="FB129866"/>
    <w:lvl w:ilvl="0" w:tplc="D0142878">
      <w:start w:val="1"/>
      <w:numFmt w:val="bullet"/>
      <w:pStyle w:val="DETNormallistbullet"/>
      <w:lvlText w:val=""/>
      <w:lvlJc w:val="left"/>
      <w:pPr>
        <w:ind w:left="71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AE3B2E"/>
    <w:multiLevelType w:val="multilevel"/>
    <w:tmpl w:val="0F488840"/>
    <w:styleLink w:v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AD7735D"/>
    <w:multiLevelType w:val="hybridMultilevel"/>
    <w:tmpl w:val="F70623F0"/>
    <w:lvl w:ilvl="0" w:tplc="0E30C6C2">
      <w:start w:val="1"/>
      <w:numFmt w:val="bullet"/>
      <w:pStyle w:val="Imprint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7" w15:restartNumberingAfterBreak="0">
    <w:nsid w:val="1B540EF4"/>
    <w:multiLevelType w:val="hybridMultilevel"/>
    <w:tmpl w:val="A7CA82C6"/>
    <w:lvl w:ilvl="0" w:tplc="0C09001B">
      <w:start w:val="1"/>
      <w:numFmt w:val="lowerRoman"/>
      <w:lvlText w:val="%1."/>
      <w:lvlJc w:val="right"/>
      <w:pPr>
        <w:ind w:left="71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C2224E"/>
    <w:multiLevelType w:val="hybridMultilevel"/>
    <w:tmpl w:val="F0B05352"/>
    <w:lvl w:ilvl="0" w:tplc="DD780972">
      <w:start w:val="1"/>
      <w:numFmt w:val="bullet"/>
      <w:pStyle w:val="AR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FB7D99"/>
    <w:multiLevelType w:val="multilevel"/>
    <w:tmpl w:val="0F488840"/>
    <w:styleLink w:val="Listnumber10"/>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23039E5"/>
    <w:multiLevelType w:val="hybridMultilevel"/>
    <w:tmpl w:val="7AE87586"/>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9A06F7"/>
    <w:multiLevelType w:val="hybridMultilevel"/>
    <w:tmpl w:val="E2D8268A"/>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CC462F"/>
    <w:multiLevelType w:val="hybridMultilevel"/>
    <w:tmpl w:val="FE2A43EC"/>
    <w:lvl w:ilvl="0" w:tplc="4138562C">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D004E2"/>
    <w:multiLevelType w:val="multilevel"/>
    <w:tmpl w:val="0C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501507"/>
    <w:multiLevelType w:val="hybridMultilevel"/>
    <w:tmpl w:val="A91E6C3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7D5B43"/>
    <w:multiLevelType w:val="multilevel"/>
    <w:tmpl w:val="0F488840"/>
    <w:styleLink w:val="Norm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57555E2"/>
    <w:multiLevelType w:val="hybridMultilevel"/>
    <w:tmpl w:val="0D888D00"/>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9A6F38"/>
    <w:multiLevelType w:val="hybridMultilevel"/>
    <w:tmpl w:val="FA8A462E"/>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5B55E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BE5424"/>
    <w:multiLevelType w:val="hybridMultilevel"/>
    <w:tmpl w:val="3E3E3A28"/>
    <w:lvl w:ilvl="0" w:tplc="78B42CB4">
      <w:start w:val="1"/>
      <w:numFmt w:val="decimal"/>
      <w:pStyle w:val="DETHeading2appendicesnumbered"/>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C02D17"/>
    <w:multiLevelType w:val="hybridMultilevel"/>
    <w:tmpl w:val="876A8A7C"/>
    <w:lvl w:ilvl="0" w:tplc="D5C8F296">
      <w:start w:val="1"/>
      <w:numFmt w:val="decimal"/>
      <w:pStyle w:val="Heading2notes"/>
      <w:lvlText w:val="Note %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F4847D2"/>
    <w:multiLevelType w:val="hybridMultilevel"/>
    <w:tmpl w:val="84845028"/>
    <w:lvl w:ilvl="0" w:tplc="A8983EE6">
      <w:start w:val="1"/>
      <w:numFmt w:val="decimal"/>
      <w:pStyle w:val="Heading2Notes0"/>
      <w:lvlText w:val="Note %1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9670A6"/>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9709ED"/>
    <w:multiLevelType w:val="hybridMultilevel"/>
    <w:tmpl w:val="0764F52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7F1948"/>
    <w:multiLevelType w:val="multilevel"/>
    <w:tmpl w:val="87B0CCC0"/>
    <w:styleLink w:val="ArticleSection"/>
    <w:lvl w:ilvl="0">
      <w:start w:val="1"/>
      <w:numFmt w:val="upperRoman"/>
      <w:lvlText w:val="Article %1."/>
      <w:lvlJc w:val="left"/>
      <w:pPr>
        <w:ind w:left="0" w:firstLine="0"/>
      </w:pPr>
    </w:lvl>
    <w:lvl w:ilvl="1">
      <w:start w:val="1"/>
      <w:numFmt w:val="decimalZero"/>
      <w:isLgl/>
      <w:lvlText w:val="Section %1.%2"/>
      <w:lvlJc w:val="left"/>
      <w:pPr>
        <w:ind w:left="71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7F60521"/>
    <w:multiLevelType w:val="hybridMultilevel"/>
    <w:tmpl w:val="794E03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820071"/>
    <w:multiLevelType w:val="hybridMultilevel"/>
    <w:tmpl w:val="E2CEA9CC"/>
    <w:lvl w:ilvl="0" w:tplc="792AD84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1129E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15:restartNumberingAfterBreak="0">
    <w:nsid w:val="733631B6"/>
    <w:multiLevelType w:val="multilevel"/>
    <w:tmpl w:val="0C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9C24E7"/>
    <w:multiLevelType w:val="hybridMultilevel"/>
    <w:tmpl w:val="C212A840"/>
    <w:lvl w:ilvl="0" w:tplc="3FCE2F8C">
      <w:start w:val="1"/>
      <w:numFmt w:val="bullet"/>
      <w:pStyle w:val="ListBullet20"/>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7737D1"/>
    <w:multiLevelType w:val="hybridMultilevel"/>
    <w:tmpl w:val="1CE83898"/>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9067F"/>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0"/>
  </w:num>
  <w:num w:numId="11">
    <w:abstractNumId w:val="9"/>
  </w:num>
  <w:num w:numId="12">
    <w:abstractNumId w:val="12"/>
  </w:num>
  <w:num w:numId="13">
    <w:abstractNumId w:val="28"/>
  </w:num>
  <w:num w:numId="14">
    <w:abstractNumId w:val="34"/>
  </w:num>
  <w:num w:numId="15">
    <w:abstractNumId w:val="37"/>
  </w:num>
  <w:num w:numId="16">
    <w:abstractNumId w:val="32"/>
  </w:num>
  <w:num w:numId="17">
    <w:abstractNumId w:val="38"/>
  </w:num>
  <w:num w:numId="18">
    <w:abstractNumId w:val="23"/>
  </w:num>
  <w:num w:numId="19">
    <w:abstractNumId w:val="29"/>
  </w:num>
  <w:num w:numId="20">
    <w:abstractNumId w:val="36"/>
  </w:num>
  <w:num w:numId="21">
    <w:abstractNumId w:val="7"/>
  </w:num>
  <w:num w:numId="22">
    <w:abstractNumId w:val="39"/>
  </w:num>
  <w:num w:numId="23">
    <w:abstractNumId w:val="10"/>
  </w:num>
  <w:num w:numId="24">
    <w:abstractNumId w:val="31"/>
  </w:num>
  <w:num w:numId="25">
    <w:abstractNumId w:val="16"/>
  </w:num>
  <w:num w:numId="26">
    <w:abstractNumId w:val="19"/>
  </w:num>
  <w:num w:numId="27">
    <w:abstractNumId w:val="11"/>
  </w:num>
  <w:num w:numId="28">
    <w:abstractNumId w:val="25"/>
  </w:num>
  <w:num w:numId="29">
    <w:abstractNumId w:val="15"/>
  </w:num>
  <w:num w:numId="30">
    <w:abstractNumId w:val="22"/>
  </w:num>
  <w:num w:numId="31">
    <w:abstractNumId w:val="14"/>
  </w:num>
  <w:num w:numId="32">
    <w:abstractNumId w:val="18"/>
  </w:num>
  <w:num w:numId="33">
    <w:abstractNumId w:val="33"/>
  </w:num>
  <w:num w:numId="34">
    <w:abstractNumId w:val="26"/>
  </w:num>
  <w:num w:numId="35">
    <w:abstractNumId w:val="27"/>
  </w:num>
  <w:num w:numId="36">
    <w:abstractNumId w:val="17"/>
  </w:num>
  <w:num w:numId="37">
    <w:abstractNumId w:val="40"/>
  </w:num>
  <w:num w:numId="38">
    <w:abstractNumId w:val="2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41"/>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48"/>
    <w:rsid w:val="000067B1"/>
    <w:rsid w:val="0001372E"/>
    <w:rsid w:val="00013B9F"/>
    <w:rsid w:val="00013F84"/>
    <w:rsid w:val="000161A6"/>
    <w:rsid w:val="00020413"/>
    <w:rsid w:val="000241A7"/>
    <w:rsid w:val="00026A2F"/>
    <w:rsid w:val="00026C4C"/>
    <w:rsid w:val="00027AAB"/>
    <w:rsid w:val="000318AC"/>
    <w:rsid w:val="0003394C"/>
    <w:rsid w:val="00033D28"/>
    <w:rsid w:val="00036C96"/>
    <w:rsid w:val="000418B4"/>
    <w:rsid w:val="0004210F"/>
    <w:rsid w:val="000433D8"/>
    <w:rsid w:val="000435BB"/>
    <w:rsid w:val="00046BE8"/>
    <w:rsid w:val="000519EF"/>
    <w:rsid w:val="00054C50"/>
    <w:rsid w:val="0005657E"/>
    <w:rsid w:val="0005782C"/>
    <w:rsid w:val="00057FEF"/>
    <w:rsid w:val="000628B8"/>
    <w:rsid w:val="00063662"/>
    <w:rsid w:val="0006484F"/>
    <w:rsid w:val="00067432"/>
    <w:rsid w:val="00067661"/>
    <w:rsid w:val="00075771"/>
    <w:rsid w:val="00077004"/>
    <w:rsid w:val="000771D1"/>
    <w:rsid w:val="00080160"/>
    <w:rsid w:val="00081EA6"/>
    <w:rsid w:val="000828C2"/>
    <w:rsid w:val="00083677"/>
    <w:rsid w:val="000848E5"/>
    <w:rsid w:val="00084A40"/>
    <w:rsid w:val="000859DF"/>
    <w:rsid w:val="00091B98"/>
    <w:rsid w:val="000950DE"/>
    <w:rsid w:val="000953B1"/>
    <w:rsid w:val="00095D69"/>
    <w:rsid w:val="000974E0"/>
    <w:rsid w:val="000A0BD0"/>
    <w:rsid w:val="000A136C"/>
    <w:rsid w:val="000A4A70"/>
    <w:rsid w:val="000A5EFD"/>
    <w:rsid w:val="000A728A"/>
    <w:rsid w:val="000B19CA"/>
    <w:rsid w:val="000B20FA"/>
    <w:rsid w:val="000B22A1"/>
    <w:rsid w:val="000B4DEF"/>
    <w:rsid w:val="000C0384"/>
    <w:rsid w:val="000C0D1D"/>
    <w:rsid w:val="000C1AF5"/>
    <w:rsid w:val="000C357A"/>
    <w:rsid w:val="000C478E"/>
    <w:rsid w:val="000C6169"/>
    <w:rsid w:val="000C7959"/>
    <w:rsid w:val="000D0A51"/>
    <w:rsid w:val="000D1271"/>
    <w:rsid w:val="000D1DD6"/>
    <w:rsid w:val="000D5AF0"/>
    <w:rsid w:val="000D7264"/>
    <w:rsid w:val="000D7D87"/>
    <w:rsid w:val="000E0387"/>
    <w:rsid w:val="000E0841"/>
    <w:rsid w:val="000E27A0"/>
    <w:rsid w:val="000E7576"/>
    <w:rsid w:val="000F089F"/>
    <w:rsid w:val="000F1EF3"/>
    <w:rsid w:val="000F3E50"/>
    <w:rsid w:val="000F5B30"/>
    <w:rsid w:val="000F6437"/>
    <w:rsid w:val="001010E5"/>
    <w:rsid w:val="00106B5D"/>
    <w:rsid w:val="00107DF4"/>
    <w:rsid w:val="00111172"/>
    <w:rsid w:val="0011227D"/>
    <w:rsid w:val="0011351A"/>
    <w:rsid w:val="00113FC6"/>
    <w:rsid w:val="0011776B"/>
    <w:rsid w:val="00117DAB"/>
    <w:rsid w:val="00120368"/>
    <w:rsid w:val="00120AAB"/>
    <w:rsid w:val="0012168B"/>
    <w:rsid w:val="0012214B"/>
    <w:rsid w:val="00122811"/>
    <w:rsid w:val="001243D4"/>
    <w:rsid w:val="0012473E"/>
    <w:rsid w:val="00125C53"/>
    <w:rsid w:val="00127B23"/>
    <w:rsid w:val="0013110C"/>
    <w:rsid w:val="00134A60"/>
    <w:rsid w:val="00144C90"/>
    <w:rsid w:val="00145093"/>
    <w:rsid w:val="0014546F"/>
    <w:rsid w:val="00146A97"/>
    <w:rsid w:val="00146FD5"/>
    <w:rsid w:val="00147696"/>
    <w:rsid w:val="00147B73"/>
    <w:rsid w:val="00147BAB"/>
    <w:rsid w:val="00155353"/>
    <w:rsid w:val="001576AE"/>
    <w:rsid w:val="00157B83"/>
    <w:rsid w:val="001605BC"/>
    <w:rsid w:val="001605FE"/>
    <w:rsid w:val="00160FDE"/>
    <w:rsid w:val="001611BB"/>
    <w:rsid w:val="001621BC"/>
    <w:rsid w:val="00165A08"/>
    <w:rsid w:val="00167D21"/>
    <w:rsid w:val="00170E98"/>
    <w:rsid w:val="0017233C"/>
    <w:rsid w:val="0017274F"/>
    <w:rsid w:val="00172C53"/>
    <w:rsid w:val="00174B10"/>
    <w:rsid w:val="00175BD8"/>
    <w:rsid w:val="00175C40"/>
    <w:rsid w:val="00176661"/>
    <w:rsid w:val="001770CB"/>
    <w:rsid w:val="00177A5B"/>
    <w:rsid w:val="001821AE"/>
    <w:rsid w:val="001920DB"/>
    <w:rsid w:val="00192B7F"/>
    <w:rsid w:val="00194772"/>
    <w:rsid w:val="00194CB8"/>
    <w:rsid w:val="00195229"/>
    <w:rsid w:val="00195D76"/>
    <w:rsid w:val="0019640B"/>
    <w:rsid w:val="001A54F8"/>
    <w:rsid w:val="001B1D65"/>
    <w:rsid w:val="001B3627"/>
    <w:rsid w:val="001C1E4B"/>
    <w:rsid w:val="001C23D9"/>
    <w:rsid w:val="001C288E"/>
    <w:rsid w:val="001C36E1"/>
    <w:rsid w:val="001C6983"/>
    <w:rsid w:val="001D3DB2"/>
    <w:rsid w:val="001D52B3"/>
    <w:rsid w:val="001D5A4C"/>
    <w:rsid w:val="001D6D97"/>
    <w:rsid w:val="001D6FA5"/>
    <w:rsid w:val="001E09E5"/>
    <w:rsid w:val="001E1FF1"/>
    <w:rsid w:val="001E274F"/>
    <w:rsid w:val="001E4FF6"/>
    <w:rsid w:val="001F07C0"/>
    <w:rsid w:val="001F185F"/>
    <w:rsid w:val="001F2406"/>
    <w:rsid w:val="001F3461"/>
    <w:rsid w:val="001F5EA1"/>
    <w:rsid w:val="001F6F04"/>
    <w:rsid w:val="001F7D3F"/>
    <w:rsid w:val="00201598"/>
    <w:rsid w:val="00201A69"/>
    <w:rsid w:val="00202533"/>
    <w:rsid w:val="00205CEF"/>
    <w:rsid w:val="0020740A"/>
    <w:rsid w:val="0021131C"/>
    <w:rsid w:val="0021131E"/>
    <w:rsid w:val="0021275E"/>
    <w:rsid w:val="002127C3"/>
    <w:rsid w:val="00212A1C"/>
    <w:rsid w:val="002178E9"/>
    <w:rsid w:val="002211FB"/>
    <w:rsid w:val="00221426"/>
    <w:rsid w:val="0022199E"/>
    <w:rsid w:val="002225EC"/>
    <w:rsid w:val="002227AA"/>
    <w:rsid w:val="00224F74"/>
    <w:rsid w:val="00226661"/>
    <w:rsid w:val="0022711D"/>
    <w:rsid w:val="00232BA7"/>
    <w:rsid w:val="0023348B"/>
    <w:rsid w:val="0023385E"/>
    <w:rsid w:val="00237FCA"/>
    <w:rsid w:val="00241313"/>
    <w:rsid w:val="00242176"/>
    <w:rsid w:val="002421D8"/>
    <w:rsid w:val="0024511A"/>
    <w:rsid w:val="002452A0"/>
    <w:rsid w:val="00245E79"/>
    <w:rsid w:val="00250CA3"/>
    <w:rsid w:val="002511E8"/>
    <w:rsid w:val="002530AF"/>
    <w:rsid w:val="0025697C"/>
    <w:rsid w:val="00256C67"/>
    <w:rsid w:val="0025754E"/>
    <w:rsid w:val="00260C87"/>
    <w:rsid w:val="0026188E"/>
    <w:rsid w:val="002619FD"/>
    <w:rsid w:val="00263240"/>
    <w:rsid w:val="002653B7"/>
    <w:rsid w:val="00267E20"/>
    <w:rsid w:val="0027041D"/>
    <w:rsid w:val="00271A98"/>
    <w:rsid w:val="0027212E"/>
    <w:rsid w:val="0027465D"/>
    <w:rsid w:val="00274F9F"/>
    <w:rsid w:val="002759EC"/>
    <w:rsid w:val="00283685"/>
    <w:rsid w:val="002861B7"/>
    <w:rsid w:val="00286362"/>
    <w:rsid w:val="002902E5"/>
    <w:rsid w:val="00290E48"/>
    <w:rsid w:val="0029580D"/>
    <w:rsid w:val="002A01A0"/>
    <w:rsid w:val="002A197F"/>
    <w:rsid w:val="002A4C1A"/>
    <w:rsid w:val="002A5892"/>
    <w:rsid w:val="002A76D2"/>
    <w:rsid w:val="002B051D"/>
    <w:rsid w:val="002C2D56"/>
    <w:rsid w:val="002C32B0"/>
    <w:rsid w:val="002C3A06"/>
    <w:rsid w:val="002C5EB7"/>
    <w:rsid w:val="002C6CE5"/>
    <w:rsid w:val="002C6CE8"/>
    <w:rsid w:val="002C6DE5"/>
    <w:rsid w:val="002D13A5"/>
    <w:rsid w:val="002D35D7"/>
    <w:rsid w:val="002D39DB"/>
    <w:rsid w:val="002D499E"/>
    <w:rsid w:val="002D5854"/>
    <w:rsid w:val="002D5BEE"/>
    <w:rsid w:val="002D5D4F"/>
    <w:rsid w:val="002D7A01"/>
    <w:rsid w:val="002E3F40"/>
    <w:rsid w:val="002E583A"/>
    <w:rsid w:val="002F0E3B"/>
    <w:rsid w:val="002F1014"/>
    <w:rsid w:val="002F354C"/>
    <w:rsid w:val="002F4E14"/>
    <w:rsid w:val="002F52D2"/>
    <w:rsid w:val="002F7FF9"/>
    <w:rsid w:val="00300489"/>
    <w:rsid w:val="00300A0D"/>
    <w:rsid w:val="00300F61"/>
    <w:rsid w:val="00301925"/>
    <w:rsid w:val="003066B6"/>
    <w:rsid w:val="003107BF"/>
    <w:rsid w:val="00313E75"/>
    <w:rsid w:val="003153E0"/>
    <w:rsid w:val="00315599"/>
    <w:rsid w:val="003158D4"/>
    <w:rsid w:val="00315E8A"/>
    <w:rsid w:val="00316A07"/>
    <w:rsid w:val="0032064B"/>
    <w:rsid w:val="0032176E"/>
    <w:rsid w:val="0032201A"/>
    <w:rsid w:val="00325E88"/>
    <w:rsid w:val="00326376"/>
    <w:rsid w:val="00326D1B"/>
    <w:rsid w:val="003301C1"/>
    <w:rsid w:val="00331303"/>
    <w:rsid w:val="00331840"/>
    <w:rsid w:val="0033215B"/>
    <w:rsid w:val="0033244C"/>
    <w:rsid w:val="00333A2A"/>
    <w:rsid w:val="003344FC"/>
    <w:rsid w:val="0033633C"/>
    <w:rsid w:val="0033707A"/>
    <w:rsid w:val="003412E1"/>
    <w:rsid w:val="003428E8"/>
    <w:rsid w:val="003447A9"/>
    <w:rsid w:val="00351716"/>
    <w:rsid w:val="00354573"/>
    <w:rsid w:val="003546A2"/>
    <w:rsid w:val="003607A9"/>
    <w:rsid w:val="0036129F"/>
    <w:rsid w:val="00361949"/>
    <w:rsid w:val="00361F21"/>
    <w:rsid w:val="0036581E"/>
    <w:rsid w:val="00366EE9"/>
    <w:rsid w:val="00367404"/>
    <w:rsid w:val="0036786A"/>
    <w:rsid w:val="00371841"/>
    <w:rsid w:val="00372950"/>
    <w:rsid w:val="00375064"/>
    <w:rsid w:val="00375C40"/>
    <w:rsid w:val="0037770C"/>
    <w:rsid w:val="003804E3"/>
    <w:rsid w:val="00383602"/>
    <w:rsid w:val="0038379A"/>
    <w:rsid w:val="003842BB"/>
    <w:rsid w:val="003846DA"/>
    <w:rsid w:val="00387F42"/>
    <w:rsid w:val="00391AD5"/>
    <w:rsid w:val="00392647"/>
    <w:rsid w:val="00392D51"/>
    <w:rsid w:val="003932C4"/>
    <w:rsid w:val="00393557"/>
    <w:rsid w:val="00394069"/>
    <w:rsid w:val="00394DCF"/>
    <w:rsid w:val="00395EAA"/>
    <w:rsid w:val="003A0FF2"/>
    <w:rsid w:val="003A36C9"/>
    <w:rsid w:val="003A48BF"/>
    <w:rsid w:val="003A68B0"/>
    <w:rsid w:val="003B02BE"/>
    <w:rsid w:val="003B0ECC"/>
    <w:rsid w:val="003B4C26"/>
    <w:rsid w:val="003B5E11"/>
    <w:rsid w:val="003C073F"/>
    <w:rsid w:val="003C497C"/>
    <w:rsid w:val="003C4DE2"/>
    <w:rsid w:val="003C5EA1"/>
    <w:rsid w:val="003C6609"/>
    <w:rsid w:val="003C6936"/>
    <w:rsid w:val="003D14D9"/>
    <w:rsid w:val="003D2E30"/>
    <w:rsid w:val="003D2FDD"/>
    <w:rsid w:val="003D34FE"/>
    <w:rsid w:val="003D35B1"/>
    <w:rsid w:val="003D4025"/>
    <w:rsid w:val="003D40CE"/>
    <w:rsid w:val="003D4367"/>
    <w:rsid w:val="003D4E0B"/>
    <w:rsid w:val="003D585E"/>
    <w:rsid w:val="003E066C"/>
    <w:rsid w:val="003E3ABF"/>
    <w:rsid w:val="003E740E"/>
    <w:rsid w:val="003E7441"/>
    <w:rsid w:val="003E7FD1"/>
    <w:rsid w:val="003F06AA"/>
    <w:rsid w:val="003F237C"/>
    <w:rsid w:val="003F2924"/>
    <w:rsid w:val="003F4135"/>
    <w:rsid w:val="003F5669"/>
    <w:rsid w:val="003F573D"/>
    <w:rsid w:val="003F660B"/>
    <w:rsid w:val="00403363"/>
    <w:rsid w:val="00405E13"/>
    <w:rsid w:val="00405F7B"/>
    <w:rsid w:val="00406CF0"/>
    <w:rsid w:val="00406DDD"/>
    <w:rsid w:val="00410027"/>
    <w:rsid w:val="00410092"/>
    <w:rsid w:val="00410522"/>
    <w:rsid w:val="00412565"/>
    <w:rsid w:val="00414A8E"/>
    <w:rsid w:val="00414C2B"/>
    <w:rsid w:val="004158CB"/>
    <w:rsid w:val="0042375E"/>
    <w:rsid w:val="0042529B"/>
    <w:rsid w:val="00430638"/>
    <w:rsid w:val="00430B4E"/>
    <w:rsid w:val="004315D5"/>
    <w:rsid w:val="00432A1C"/>
    <w:rsid w:val="00435224"/>
    <w:rsid w:val="004357F4"/>
    <w:rsid w:val="00436A00"/>
    <w:rsid w:val="00442677"/>
    <w:rsid w:val="00443056"/>
    <w:rsid w:val="0044311B"/>
    <w:rsid w:val="00443DF1"/>
    <w:rsid w:val="00443FCF"/>
    <w:rsid w:val="00444499"/>
    <w:rsid w:val="00444768"/>
    <w:rsid w:val="00444AAE"/>
    <w:rsid w:val="004453B1"/>
    <w:rsid w:val="00446360"/>
    <w:rsid w:val="004500BB"/>
    <w:rsid w:val="0045134B"/>
    <w:rsid w:val="00454354"/>
    <w:rsid w:val="00455CB5"/>
    <w:rsid w:val="00460347"/>
    <w:rsid w:val="00460452"/>
    <w:rsid w:val="0046202A"/>
    <w:rsid w:val="004665EF"/>
    <w:rsid w:val="0046684A"/>
    <w:rsid w:val="00470D46"/>
    <w:rsid w:val="00470DBB"/>
    <w:rsid w:val="00472BB1"/>
    <w:rsid w:val="00472EA7"/>
    <w:rsid w:val="004751A9"/>
    <w:rsid w:val="004764E0"/>
    <w:rsid w:val="00476D71"/>
    <w:rsid w:val="0048356B"/>
    <w:rsid w:val="00484255"/>
    <w:rsid w:val="004853C0"/>
    <w:rsid w:val="0048622B"/>
    <w:rsid w:val="00487668"/>
    <w:rsid w:val="00491531"/>
    <w:rsid w:val="00493464"/>
    <w:rsid w:val="00494AF4"/>
    <w:rsid w:val="00495938"/>
    <w:rsid w:val="0049773A"/>
    <w:rsid w:val="004979FE"/>
    <w:rsid w:val="00497F31"/>
    <w:rsid w:val="004A4ADA"/>
    <w:rsid w:val="004B0B5D"/>
    <w:rsid w:val="004B0E7F"/>
    <w:rsid w:val="004B1764"/>
    <w:rsid w:val="004B2D02"/>
    <w:rsid w:val="004B3FCD"/>
    <w:rsid w:val="004B4C0A"/>
    <w:rsid w:val="004B739B"/>
    <w:rsid w:val="004C723B"/>
    <w:rsid w:val="004D1C46"/>
    <w:rsid w:val="004D25DA"/>
    <w:rsid w:val="004D2AC1"/>
    <w:rsid w:val="004D2DFB"/>
    <w:rsid w:val="004D4FE8"/>
    <w:rsid w:val="004D647B"/>
    <w:rsid w:val="004D6BD1"/>
    <w:rsid w:val="004E15DF"/>
    <w:rsid w:val="004E25F5"/>
    <w:rsid w:val="004E28FC"/>
    <w:rsid w:val="004E451A"/>
    <w:rsid w:val="004E4A70"/>
    <w:rsid w:val="004E54B7"/>
    <w:rsid w:val="004E66F3"/>
    <w:rsid w:val="004E6984"/>
    <w:rsid w:val="004F1EC5"/>
    <w:rsid w:val="004F2F5E"/>
    <w:rsid w:val="004F3A91"/>
    <w:rsid w:val="004F5090"/>
    <w:rsid w:val="005013C5"/>
    <w:rsid w:val="005018BC"/>
    <w:rsid w:val="00501F53"/>
    <w:rsid w:val="00502AD7"/>
    <w:rsid w:val="00507D3E"/>
    <w:rsid w:val="005110BA"/>
    <w:rsid w:val="0051170F"/>
    <w:rsid w:val="00513C3A"/>
    <w:rsid w:val="005216CB"/>
    <w:rsid w:val="005222FF"/>
    <w:rsid w:val="005227D3"/>
    <w:rsid w:val="00523423"/>
    <w:rsid w:val="00523C9B"/>
    <w:rsid w:val="005248E2"/>
    <w:rsid w:val="0052704D"/>
    <w:rsid w:val="0053227D"/>
    <w:rsid w:val="00532EEF"/>
    <w:rsid w:val="0053699D"/>
    <w:rsid w:val="00537696"/>
    <w:rsid w:val="00541FA6"/>
    <w:rsid w:val="00542A9C"/>
    <w:rsid w:val="005444B3"/>
    <w:rsid w:val="00544829"/>
    <w:rsid w:val="00552289"/>
    <w:rsid w:val="00553535"/>
    <w:rsid w:val="00554BDB"/>
    <w:rsid w:val="005553EF"/>
    <w:rsid w:val="0055567D"/>
    <w:rsid w:val="00555CD6"/>
    <w:rsid w:val="005560DB"/>
    <w:rsid w:val="005572D8"/>
    <w:rsid w:val="0056353B"/>
    <w:rsid w:val="0056397F"/>
    <w:rsid w:val="00563F36"/>
    <w:rsid w:val="005640FD"/>
    <w:rsid w:val="00564392"/>
    <w:rsid w:val="00564733"/>
    <w:rsid w:val="0056642C"/>
    <w:rsid w:val="00571A53"/>
    <w:rsid w:val="0057353C"/>
    <w:rsid w:val="0057471D"/>
    <w:rsid w:val="00574DEF"/>
    <w:rsid w:val="0057640A"/>
    <w:rsid w:val="00576647"/>
    <w:rsid w:val="00581EDA"/>
    <w:rsid w:val="00582DC9"/>
    <w:rsid w:val="005830E6"/>
    <w:rsid w:val="00585D2D"/>
    <w:rsid w:val="00586491"/>
    <w:rsid w:val="0058795B"/>
    <w:rsid w:val="00587C58"/>
    <w:rsid w:val="00590472"/>
    <w:rsid w:val="005914AE"/>
    <w:rsid w:val="0059229E"/>
    <w:rsid w:val="0059604C"/>
    <w:rsid w:val="005962A4"/>
    <w:rsid w:val="005A3979"/>
    <w:rsid w:val="005A446E"/>
    <w:rsid w:val="005A60E4"/>
    <w:rsid w:val="005A667B"/>
    <w:rsid w:val="005A7478"/>
    <w:rsid w:val="005B0DF0"/>
    <w:rsid w:val="005B1FBC"/>
    <w:rsid w:val="005B22E4"/>
    <w:rsid w:val="005B5F56"/>
    <w:rsid w:val="005B7590"/>
    <w:rsid w:val="005C2575"/>
    <w:rsid w:val="005C4668"/>
    <w:rsid w:val="005C767D"/>
    <w:rsid w:val="005D10F1"/>
    <w:rsid w:val="005D1719"/>
    <w:rsid w:val="005D1943"/>
    <w:rsid w:val="005D3A4F"/>
    <w:rsid w:val="005D529D"/>
    <w:rsid w:val="005D543C"/>
    <w:rsid w:val="005D5867"/>
    <w:rsid w:val="005D6706"/>
    <w:rsid w:val="005E1FA8"/>
    <w:rsid w:val="005E3314"/>
    <w:rsid w:val="005E345E"/>
    <w:rsid w:val="005E3CF6"/>
    <w:rsid w:val="005E6739"/>
    <w:rsid w:val="005E6C3A"/>
    <w:rsid w:val="005E7199"/>
    <w:rsid w:val="005E77C8"/>
    <w:rsid w:val="005F1059"/>
    <w:rsid w:val="005F1A89"/>
    <w:rsid w:val="005F227C"/>
    <w:rsid w:val="005F3485"/>
    <w:rsid w:val="005F394E"/>
    <w:rsid w:val="005F3EBD"/>
    <w:rsid w:val="005F5A6C"/>
    <w:rsid w:val="005F69F0"/>
    <w:rsid w:val="005F7FC4"/>
    <w:rsid w:val="006016B9"/>
    <w:rsid w:val="006025BC"/>
    <w:rsid w:val="00602FA1"/>
    <w:rsid w:val="00603A34"/>
    <w:rsid w:val="0060513E"/>
    <w:rsid w:val="00606AE0"/>
    <w:rsid w:val="00606E01"/>
    <w:rsid w:val="006072E6"/>
    <w:rsid w:val="006107AF"/>
    <w:rsid w:val="0061121B"/>
    <w:rsid w:val="0061123B"/>
    <w:rsid w:val="00611B3E"/>
    <w:rsid w:val="00612A2F"/>
    <w:rsid w:val="00614E36"/>
    <w:rsid w:val="00617314"/>
    <w:rsid w:val="0062137A"/>
    <w:rsid w:val="00621DB2"/>
    <w:rsid w:val="006229D5"/>
    <w:rsid w:val="00624253"/>
    <w:rsid w:val="00626564"/>
    <w:rsid w:val="006340D2"/>
    <w:rsid w:val="00635307"/>
    <w:rsid w:val="00637429"/>
    <w:rsid w:val="0063756E"/>
    <w:rsid w:val="006415CF"/>
    <w:rsid w:val="00645528"/>
    <w:rsid w:val="006517E5"/>
    <w:rsid w:val="00653083"/>
    <w:rsid w:val="00654074"/>
    <w:rsid w:val="006635A9"/>
    <w:rsid w:val="00663FCF"/>
    <w:rsid w:val="00666290"/>
    <w:rsid w:val="006668CD"/>
    <w:rsid w:val="0066780D"/>
    <w:rsid w:val="00676456"/>
    <w:rsid w:val="00677B90"/>
    <w:rsid w:val="006805B7"/>
    <w:rsid w:val="00680ED4"/>
    <w:rsid w:val="00684ADE"/>
    <w:rsid w:val="00690D93"/>
    <w:rsid w:val="006914DD"/>
    <w:rsid w:val="006922DB"/>
    <w:rsid w:val="00692BB5"/>
    <w:rsid w:val="00692F07"/>
    <w:rsid w:val="00693307"/>
    <w:rsid w:val="00693653"/>
    <w:rsid w:val="006A13F9"/>
    <w:rsid w:val="006A5F0F"/>
    <w:rsid w:val="006B3A1D"/>
    <w:rsid w:val="006B4317"/>
    <w:rsid w:val="006B7790"/>
    <w:rsid w:val="006B7D85"/>
    <w:rsid w:val="006C0D56"/>
    <w:rsid w:val="006C1564"/>
    <w:rsid w:val="006C1E73"/>
    <w:rsid w:val="006C32D4"/>
    <w:rsid w:val="006C5F81"/>
    <w:rsid w:val="006C703B"/>
    <w:rsid w:val="006C70D9"/>
    <w:rsid w:val="006C7C81"/>
    <w:rsid w:val="006D2083"/>
    <w:rsid w:val="006D2529"/>
    <w:rsid w:val="006D3948"/>
    <w:rsid w:val="006D62A1"/>
    <w:rsid w:val="006E11B2"/>
    <w:rsid w:val="006E7FBD"/>
    <w:rsid w:val="006F1519"/>
    <w:rsid w:val="006F4175"/>
    <w:rsid w:val="006F6141"/>
    <w:rsid w:val="006F67B0"/>
    <w:rsid w:val="006F6A60"/>
    <w:rsid w:val="007003D0"/>
    <w:rsid w:val="00700646"/>
    <w:rsid w:val="00703AFE"/>
    <w:rsid w:val="00703C88"/>
    <w:rsid w:val="007058E9"/>
    <w:rsid w:val="007064BB"/>
    <w:rsid w:val="007064C6"/>
    <w:rsid w:val="00707C15"/>
    <w:rsid w:val="00707C33"/>
    <w:rsid w:val="007109B6"/>
    <w:rsid w:val="00711F35"/>
    <w:rsid w:val="0071566B"/>
    <w:rsid w:val="00716F41"/>
    <w:rsid w:val="007200D7"/>
    <w:rsid w:val="00720B11"/>
    <w:rsid w:val="00720C7D"/>
    <w:rsid w:val="00720FB4"/>
    <w:rsid w:val="0072257E"/>
    <w:rsid w:val="00723292"/>
    <w:rsid w:val="00724B68"/>
    <w:rsid w:val="00725F99"/>
    <w:rsid w:val="007304EB"/>
    <w:rsid w:val="0073050D"/>
    <w:rsid w:val="00730911"/>
    <w:rsid w:val="00732983"/>
    <w:rsid w:val="00732C68"/>
    <w:rsid w:val="0073354A"/>
    <w:rsid w:val="007336ED"/>
    <w:rsid w:val="00734D17"/>
    <w:rsid w:val="0074120C"/>
    <w:rsid w:val="007425A9"/>
    <w:rsid w:val="0074267A"/>
    <w:rsid w:val="007447D9"/>
    <w:rsid w:val="00744A75"/>
    <w:rsid w:val="00744B9E"/>
    <w:rsid w:val="0074538C"/>
    <w:rsid w:val="0074554A"/>
    <w:rsid w:val="00750088"/>
    <w:rsid w:val="00751374"/>
    <w:rsid w:val="007516D1"/>
    <w:rsid w:val="00751E7C"/>
    <w:rsid w:val="00752983"/>
    <w:rsid w:val="007536A7"/>
    <w:rsid w:val="007540CD"/>
    <w:rsid w:val="00755CF4"/>
    <w:rsid w:val="007561CF"/>
    <w:rsid w:val="00756724"/>
    <w:rsid w:val="007617D6"/>
    <w:rsid w:val="00761984"/>
    <w:rsid w:val="00762B85"/>
    <w:rsid w:val="00764788"/>
    <w:rsid w:val="00765499"/>
    <w:rsid w:val="00767483"/>
    <w:rsid w:val="00770123"/>
    <w:rsid w:val="00771185"/>
    <w:rsid w:val="00772299"/>
    <w:rsid w:val="00774E4B"/>
    <w:rsid w:val="0077548F"/>
    <w:rsid w:val="00776C24"/>
    <w:rsid w:val="0078035F"/>
    <w:rsid w:val="007810BA"/>
    <w:rsid w:val="0078361B"/>
    <w:rsid w:val="00784715"/>
    <w:rsid w:val="00790650"/>
    <w:rsid w:val="00790749"/>
    <w:rsid w:val="00791AA9"/>
    <w:rsid w:val="0079226B"/>
    <w:rsid w:val="00792A27"/>
    <w:rsid w:val="00794523"/>
    <w:rsid w:val="00795B4D"/>
    <w:rsid w:val="007966B4"/>
    <w:rsid w:val="0079697F"/>
    <w:rsid w:val="007A074B"/>
    <w:rsid w:val="007A0851"/>
    <w:rsid w:val="007A3D07"/>
    <w:rsid w:val="007A55AC"/>
    <w:rsid w:val="007A568D"/>
    <w:rsid w:val="007A6FC2"/>
    <w:rsid w:val="007B19D5"/>
    <w:rsid w:val="007B400B"/>
    <w:rsid w:val="007B42E8"/>
    <w:rsid w:val="007B51FE"/>
    <w:rsid w:val="007C08BB"/>
    <w:rsid w:val="007C7287"/>
    <w:rsid w:val="007D34C9"/>
    <w:rsid w:val="007E09BA"/>
    <w:rsid w:val="007E1180"/>
    <w:rsid w:val="007E12FA"/>
    <w:rsid w:val="007E2B14"/>
    <w:rsid w:val="007E4A2F"/>
    <w:rsid w:val="007E58C9"/>
    <w:rsid w:val="007F050B"/>
    <w:rsid w:val="007F0D1E"/>
    <w:rsid w:val="007F0E57"/>
    <w:rsid w:val="007F1367"/>
    <w:rsid w:val="007F28C0"/>
    <w:rsid w:val="007F3358"/>
    <w:rsid w:val="007F3724"/>
    <w:rsid w:val="007F3829"/>
    <w:rsid w:val="007F4691"/>
    <w:rsid w:val="007F5575"/>
    <w:rsid w:val="007F6943"/>
    <w:rsid w:val="007F7273"/>
    <w:rsid w:val="008017D2"/>
    <w:rsid w:val="008018DA"/>
    <w:rsid w:val="008022D7"/>
    <w:rsid w:val="008025D0"/>
    <w:rsid w:val="008042C9"/>
    <w:rsid w:val="00806E33"/>
    <w:rsid w:val="00807A69"/>
    <w:rsid w:val="00811642"/>
    <w:rsid w:val="008149C6"/>
    <w:rsid w:val="0081632E"/>
    <w:rsid w:val="008168CA"/>
    <w:rsid w:val="00821234"/>
    <w:rsid w:val="00821A3B"/>
    <w:rsid w:val="0082261F"/>
    <w:rsid w:val="00822764"/>
    <w:rsid w:val="0082336D"/>
    <w:rsid w:val="00825BDF"/>
    <w:rsid w:val="0082652C"/>
    <w:rsid w:val="00827FEB"/>
    <w:rsid w:val="00833480"/>
    <w:rsid w:val="008335BD"/>
    <w:rsid w:val="008346BF"/>
    <w:rsid w:val="00834CFC"/>
    <w:rsid w:val="0083513B"/>
    <w:rsid w:val="00835560"/>
    <w:rsid w:val="00837349"/>
    <w:rsid w:val="00843A6B"/>
    <w:rsid w:val="00843F76"/>
    <w:rsid w:val="0084507D"/>
    <w:rsid w:val="00845B9A"/>
    <w:rsid w:val="00851A21"/>
    <w:rsid w:val="00854648"/>
    <w:rsid w:val="008559A4"/>
    <w:rsid w:val="0085712B"/>
    <w:rsid w:val="00863C58"/>
    <w:rsid w:val="00864166"/>
    <w:rsid w:val="008664B0"/>
    <w:rsid w:val="00870625"/>
    <w:rsid w:val="008715F4"/>
    <w:rsid w:val="00873779"/>
    <w:rsid w:val="00873D09"/>
    <w:rsid w:val="00874C27"/>
    <w:rsid w:val="0087752B"/>
    <w:rsid w:val="00877A9F"/>
    <w:rsid w:val="00881C2F"/>
    <w:rsid w:val="00882463"/>
    <w:rsid w:val="00885C8B"/>
    <w:rsid w:val="00887031"/>
    <w:rsid w:val="0089085D"/>
    <w:rsid w:val="00890957"/>
    <w:rsid w:val="00890AB5"/>
    <w:rsid w:val="00890EF0"/>
    <w:rsid w:val="00890FE9"/>
    <w:rsid w:val="008921C1"/>
    <w:rsid w:val="00892AFF"/>
    <w:rsid w:val="00894976"/>
    <w:rsid w:val="00896C3F"/>
    <w:rsid w:val="008A0114"/>
    <w:rsid w:val="008A0164"/>
    <w:rsid w:val="008A12CE"/>
    <w:rsid w:val="008A3A0E"/>
    <w:rsid w:val="008A6F1F"/>
    <w:rsid w:val="008B5313"/>
    <w:rsid w:val="008B5430"/>
    <w:rsid w:val="008B6298"/>
    <w:rsid w:val="008B7568"/>
    <w:rsid w:val="008B7D2C"/>
    <w:rsid w:val="008C2071"/>
    <w:rsid w:val="008C3206"/>
    <w:rsid w:val="008C34F3"/>
    <w:rsid w:val="008C370D"/>
    <w:rsid w:val="008C557D"/>
    <w:rsid w:val="008C5C15"/>
    <w:rsid w:val="008C66E6"/>
    <w:rsid w:val="008D1044"/>
    <w:rsid w:val="008D1977"/>
    <w:rsid w:val="008D1ECC"/>
    <w:rsid w:val="008D2BAC"/>
    <w:rsid w:val="008D4131"/>
    <w:rsid w:val="008E213E"/>
    <w:rsid w:val="008E2430"/>
    <w:rsid w:val="008E27B6"/>
    <w:rsid w:val="008E32CB"/>
    <w:rsid w:val="008E384B"/>
    <w:rsid w:val="008E3DCE"/>
    <w:rsid w:val="008E5335"/>
    <w:rsid w:val="008E54E9"/>
    <w:rsid w:val="008F0FDD"/>
    <w:rsid w:val="008F17A8"/>
    <w:rsid w:val="008F1988"/>
    <w:rsid w:val="008F5A55"/>
    <w:rsid w:val="00900DE5"/>
    <w:rsid w:val="00903144"/>
    <w:rsid w:val="00904114"/>
    <w:rsid w:val="00905A83"/>
    <w:rsid w:val="00906A22"/>
    <w:rsid w:val="009103E2"/>
    <w:rsid w:val="00911DE6"/>
    <w:rsid w:val="009141B3"/>
    <w:rsid w:val="009157F3"/>
    <w:rsid w:val="00915C24"/>
    <w:rsid w:val="00916A13"/>
    <w:rsid w:val="00917D1F"/>
    <w:rsid w:val="00920C16"/>
    <w:rsid w:val="00920C84"/>
    <w:rsid w:val="0092197F"/>
    <w:rsid w:val="009227ED"/>
    <w:rsid w:val="00923741"/>
    <w:rsid w:val="00925C5F"/>
    <w:rsid w:val="00932650"/>
    <w:rsid w:val="00932A4C"/>
    <w:rsid w:val="0093540D"/>
    <w:rsid w:val="00936443"/>
    <w:rsid w:val="00936796"/>
    <w:rsid w:val="009367FE"/>
    <w:rsid w:val="00937886"/>
    <w:rsid w:val="00941974"/>
    <w:rsid w:val="00941D53"/>
    <w:rsid w:val="00941EDD"/>
    <w:rsid w:val="00942727"/>
    <w:rsid w:val="00943FD0"/>
    <w:rsid w:val="00944B63"/>
    <w:rsid w:val="009466D9"/>
    <w:rsid w:val="009474D4"/>
    <w:rsid w:val="00950063"/>
    <w:rsid w:val="00951CC1"/>
    <w:rsid w:val="00954255"/>
    <w:rsid w:val="00956AAF"/>
    <w:rsid w:val="009651E4"/>
    <w:rsid w:val="00965F39"/>
    <w:rsid w:val="0096643F"/>
    <w:rsid w:val="00966734"/>
    <w:rsid w:val="00967FEA"/>
    <w:rsid w:val="0097001C"/>
    <w:rsid w:val="0097092F"/>
    <w:rsid w:val="0097137F"/>
    <w:rsid w:val="0097313B"/>
    <w:rsid w:val="00975783"/>
    <w:rsid w:val="009759F0"/>
    <w:rsid w:val="00975BC3"/>
    <w:rsid w:val="00981A81"/>
    <w:rsid w:val="0098239F"/>
    <w:rsid w:val="009834E4"/>
    <w:rsid w:val="00984CE0"/>
    <w:rsid w:val="00985339"/>
    <w:rsid w:val="0098645B"/>
    <w:rsid w:val="0098653C"/>
    <w:rsid w:val="009917D1"/>
    <w:rsid w:val="0099258D"/>
    <w:rsid w:val="0099330E"/>
    <w:rsid w:val="00993B43"/>
    <w:rsid w:val="00994032"/>
    <w:rsid w:val="00995AEA"/>
    <w:rsid w:val="00996131"/>
    <w:rsid w:val="0099731B"/>
    <w:rsid w:val="009976B5"/>
    <w:rsid w:val="00997BAD"/>
    <w:rsid w:val="009A027C"/>
    <w:rsid w:val="009A0AA6"/>
    <w:rsid w:val="009A0FF2"/>
    <w:rsid w:val="009A18FD"/>
    <w:rsid w:val="009A2636"/>
    <w:rsid w:val="009A3B0B"/>
    <w:rsid w:val="009A7B03"/>
    <w:rsid w:val="009B19DF"/>
    <w:rsid w:val="009B1C76"/>
    <w:rsid w:val="009B6DC7"/>
    <w:rsid w:val="009B750E"/>
    <w:rsid w:val="009B7616"/>
    <w:rsid w:val="009C0997"/>
    <w:rsid w:val="009C4E28"/>
    <w:rsid w:val="009D2551"/>
    <w:rsid w:val="009D478E"/>
    <w:rsid w:val="009E1694"/>
    <w:rsid w:val="009E2A63"/>
    <w:rsid w:val="009E4708"/>
    <w:rsid w:val="009E5173"/>
    <w:rsid w:val="009E7502"/>
    <w:rsid w:val="009E7940"/>
    <w:rsid w:val="009F4294"/>
    <w:rsid w:val="009F59BD"/>
    <w:rsid w:val="009F6106"/>
    <w:rsid w:val="009F6B39"/>
    <w:rsid w:val="009F77B0"/>
    <w:rsid w:val="009F78C0"/>
    <w:rsid w:val="00A008F8"/>
    <w:rsid w:val="00A025B4"/>
    <w:rsid w:val="00A03173"/>
    <w:rsid w:val="00A03DEB"/>
    <w:rsid w:val="00A06FDE"/>
    <w:rsid w:val="00A072D5"/>
    <w:rsid w:val="00A101DA"/>
    <w:rsid w:val="00A116C0"/>
    <w:rsid w:val="00A13825"/>
    <w:rsid w:val="00A14199"/>
    <w:rsid w:val="00A154EC"/>
    <w:rsid w:val="00A15D74"/>
    <w:rsid w:val="00A16B7C"/>
    <w:rsid w:val="00A237FC"/>
    <w:rsid w:val="00A23E1B"/>
    <w:rsid w:val="00A25044"/>
    <w:rsid w:val="00A25081"/>
    <w:rsid w:val="00A26C49"/>
    <w:rsid w:val="00A26CEF"/>
    <w:rsid w:val="00A31B6D"/>
    <w:rsid w:val="00A3553E"/>
    <w:rsid w:val="00A371FF"/>
    <w:rsid w:val="00A37560"/>
    <w:rsid w:val="00A37846"/>
    <w:rsid w:val="00A44631"/>
    <w:rsid w:val="00A45981"/>
    <w:rsid w:val="00A45B59"/>
    <w:rsid w:val="00A472C7"/>
    <w:rsid w:val="00A522C6"/>
    <w:rsid w:val="00A5231E"/>
    <w:rsid w:val="00A528CD"/>
    <w:rsid w:val="00A52C1E"/>
    <w:rsid w:val="00A54A6A"/>
    <w:rsid w:val="00A54BDF"/>
    <w:rsid w:val="00A63A2B"/>
    <w:rsid w:val="00A63C8F"/>
    <w:rsid w:val="00A63E03"/>
    <w:rsid w:val="00A64024"/>
    <w:rsid w:val="00A645B0"/>
    <w:rsid w:val="00A67326"/>
    <w:rsid w:val="00A676AE"/>
    <w:rsid w:val="00A71C13"/>
    <w:rsid w:val="00A7229D"/>
    <w:rsid w:val="00A738ED"/>
    <w:rsid w:val="00A75569"/>
    <w:rsid w:val="00A7556A"/>
    <w:rsid w:val="00A77AC0"/>
    <w:rsid w:val="00A8286F"/>
    <w:rsid w:val="00A832C5"/>
    <w:rsid w:val="00A8472D"/>
    <w:rsid w:val="00A851B9"/>
    <w:rsid w:val="00A90BE8"/>
    <w:rsid w:val="00A921C8"/>
    <w:rsid w:val="00A92BE7"/>
    <w:rsid w:val="00A92EFB"/>
    <w:rsid w:val="00A94639"/>
    <w:rsid w:val="00A9534A"/>
    <w:rsid w:val="00A95F83"/>
    <w:rsid w:val="00A963C4"/>
    <w:rsid w:val="00A972E0"/>
    <w:rsid w:val="00AA00F2"/>
    <w:rsid w:val="00AA61C5"/>
    <w:rsid w:val="00AB2BD5"/>
    <w:rsid w:val="00AB4E9C"/>
    <w:rsid w:val="00AB7B17"/>
    <w:rsid w:val="00AB7FA0"/>
    <w:rsid w:val="00AC0873"/>
    <w:rsid w:val="00AC08A3"/>
    <w:rsid w:val="00AC77EB"/>
    <w:rsid w:val="00AC7B1D"/>
    <w:rsid w:val="00AD2C55"/>
    <w:rsid w:val="00AD4106"/>
    <w:rsid w:val="00AD4FFD"/>
    <w:rsid w:val="00AD641C"/>
    <w:rsid w:val="00AD700C"/>
    <w:rsid w:val="00AE0351"/>
    <w:rsid w:val="00AE340A"/>
    <w:rsid w:val="00AE6059"/>
    <w:rsid w:val="00AE61DD"/>
    <w:rsid w:val="00AE6B8D"/>
    <w:rsid w:val="00AE7424"/>
    <w:rsid w:val="00AE7BBD"/>
    <w:rsid w:val="00AF2A10"/>
    <w:rsid w:val="00AF399B"/>
    <w:rsid w:val="00AF6A12"/>
    <w:rsid w:val="00AF6B4F"/>
    <w:rsid w:val="00AF6D7F"/>
    <w:rsid w:val="00B019AB"/>
    <w:rsid w:val="00B02D5F"/>
    <w:rsid w:val="00B050D4"/>
    <w:rsid w:val="00B05D91"/>
    <w:rsid w:val="00B06649"/>
    <w:rsid w:val="00B07236"/>
    <w:rsid w:val="00B07294"/>
    <w:rsid w:val="00B104CF"/>
    <w:rsid w:val="00B12BD5"/>
    <w:rsid w:val="00B14564"/>
    <w:rsid w:val="00B15E33"/>
    <w:rsid w:val="00B1750B"/>
    <w:rsid w:val="00B20D4F"/>
    <w:rsid w:val="00B218F9"/>
    <w:rsid w:val="00B257A6"/>
    <w:rsid w:val="00B26660"/>
    <w:rsid w:val="00B3019E"/>
    <w:rsid w:val="00B31486"/>
    <w:rsid w:val="00B315A2"/>
    <w:rsid w:val="00B327EB"/>
    <w:rsid w:val="00B33727"/>
    <w:rsid w:val="00B359AF"/>
    <w:rsid w:val="00B36ADC"/>
    <w:rsid w:val="00B409E1"/>
    <w:rsid w:val="00B454EB"/>
    <w:rsid w:val="00B45AB1"/>
    <w:rsid w:val="00B46219"/>
    <w:rsid w:val="00B508DE"/>
    <w:rsid w:val="00B51A1E"/>
    <w:rsid w:val="00B51AB3"/>
    <w:rsid w:val="00B53333"/>
    <w:rsid w:val="00B551AF"/>
    <w:rsid w:val="00B552F7"/>
    <w:rsid w:val="00B60623"/>
    <w:rsid w:val="00B60684"/>
    <w:rsid w:val="00B6126B"/>
    <w:rsid w:val="00B63B8E"/>
    <w:rsid w:val="00B63E43"/>
    <w:rsid w:val="00B64938"/>
    <w:rsid w:val="00B66BDA"/>
    <w:rsid w:val="00B707D7"/>
    <w:rsid w:val="00B70B34"/>
    <w:rsid w:val="00B70D35"/>
    <w:rsid w:val="00B76566"/>
    <w:rsid w:val="00B8123E"/>
    <w:rsid w:val="00B82039"/>
    <w:rsid w:val="00B84D04"/>
    <w:rsid w:val="00B95DBE"/>
    <w:rsid w:val="00B96F15"/>
    <w:rsid w:val="00B97074"/>
    <w:rsid w:val="00BA2329"/>
    <w:rsid w:val="00BA281F"/>
    <w:rsid w:val="00BA4210"/>
    <w:rsid w:val="00BA67AF"/>
    <w:rsid w:val="00BA7468"/>
    <w:rsid w:val="00BB103C"/>
    <w:rsid w:val="00BB1129"/>
    <w:rsid w:val="00BB139D"/>
    <w:rsid w:val="00BB1595"/>
    <w:rsid w:val="00BB1602"/>
    <w:rsid w:val="00BB285D"/>
    <w:rsid w:val="00BB374A"/>
    <w:rsid w:val="00BB3A8A"/>
    <w:rsid w:val="00BB460D"/>
    <w:rsid w:val="00BB4E30"/>
    <w:rsid w:val="00BB68BB"/>
    <w:rsid w:val="00BC0DC7"/>
    <w:rsid w:val="00BC1508"/>
    <w:rsid w:val="00BC196C"/>
    <w:rsid w:val="00BC5492"/>
    <w:rsid w:val="00BC6E35"/>
    <w:rsid w:val="00BC70DF"/>
    <w:rsid w:val="00BD1750"/>
    <w:rsid w:val="00BD2A1A"/>
    <w:rsid w:val="00BD310F"/>
    <w:rsid w:val="00BD47E9"/>
    <w:rsid w:val="00BE1810"/>
    <w:rsid w:val="00BE753C"/>
    <w:rsid w:val="00BE783C"/>
    <w:rsid w:val="00BF2932"/>
    <w:rsid w:val="00BF4FE9"/>
    <w:rsid w:val="00BF6889"/>
    <w:rsid w:val="00BF7876"/>
    <w:rsid w:val="00C00FEE"/>
    <w:rsid w:val="00C0231F"/>
    <w:rsid w:val="00C024B3"/>
    <w:rsid w:val="00C03924"/>
    <w:rsid w:val="00C04544"/>
    <w:rsid w:val="00C04557"/>
    <w:rsid w:val="00C04E23"/>
    <w:rsid w:val="00C05D32"/>
    <w:rsid w:val="00C05FB0"/>
    <w:rsid w:val="00C06A7A"/>
    <w:rsid w:val="00C10F0B"/>
    <w:rsid w:val="00C11677"/>
    <w:rsid w:val="00C12F58"/>
    <w:rsid w:val="00C1328E"/>
    <w:rsid w:val="00C13D2E"/>
    <w:rsid w:val="00C14C12"/>
    <w:rsid w:val="00C1533D"/>
    <w:rsid w:val="00C21FA4"/>
    <w:rsid w:val="00C222EB"/>
    <w:rsid w:val="00C2331F"/>
    <w:rsid w:val="00C23DE6"/>
    <w:rsid w:val="00C24F71"/>
    <w:rsid w:val="00C25BB8"/>
    <w:rsid w:val="00C27B82"/>
    <w:rsid w:val="00C27BEF"/>
    <w:rsid w:val="00C3253C"/>
    <w:rsid w:val="00C350B5"/>
    <w:rsid w:val="00C36DE3"/>
    <w:rsid w:val="00C43F4A"/>
    <w:rsid w:val="00C45712"/>
    <w:rsid w:val="00C45886"/>
    <w:rsid w:val="00C47EBC"/>
    <w:rsid w:val="00C503F5"/>
    <w:rsid w:val="00C50E0F"/>
    <w:rsid w:val="00C55FD2"/>
    <w:rsid w:val="00C60B5B"/>
    <w:rsid w:val="00C61383"/>
    <w:rsid w:val="00C6232F"/>
    <w:rsid w:val="00C6378E"/>
    <w:rsid w:val="00C6493F"/>
    <w:rsid w:val="00C6784C"/>
    <w:rsid w:val="00C67BCA"/>
    <w:rsid w:val="00C67CDF"/>
    <w:rsid w:val="00C707E9"/>
    <w:rsid w:val="00C71556"/>
    <w:rsid w:val="00C72ABC"/>
    <w:rsid w:val="00C73998"/>
    <w:rsid w:val="00C742BE"/>
    <w:rsid w:val="00C74AF0"/>
    <w:rsid w:val="00C74C72"/>
    <w:rsid w:val="00C75103"/>
    <w:rsid w:val="00C75E99"/>
    <w:rsid w:val="00C766D5"/>
    <w:rsid w:val="00C76971"/>
    <w:rsid w:val="00C77241"/>
    <w:rsid w:val="00C81DCC"/>
    <w:rsid w:val="00C81E8A"/>
    <w:rsid w:val="00C90083"/>
    <w:rsid w:val="00C900A2"/>
    <w:rsid w:val="00C935E2"/>
    <w:rsid w:val="00C96EEF"/>
    <w:rsid w:val="00CA1751"/>
    <w:rsid w:val="00CA192B"/>
    <w:rsid w:val="00CA1B9B"/>
    <w:rsid w:val="00CA1E26"/>
    <w:rsid w:val="00CA20AD"/>
    <w:rsid w:val="00CA223B"/>
    <w:rsid w:val="00CA3146"/>
    <w:rsid w:val="00CA35F5"/>
    <w:rsid w:val="00CA3D56"/>
    <w:rsid w:val="00CA41DA"/>
    <w:rsid w:val="00CA51BA"/>
    <w:rsid w:val="00CA6271"/>
    <w:rsid w:val="00CA7825"/>
    <w:rsid w:val="00CB1869"/>
    <w:rsid w:val="00CB323A"/>
    <w:rsid w:val="00CB7713"/>
    <w:rsid w:val="00CC327C"/>
    <w:rsid w:val="00CC5469"/>
    <w:rsid w:val="00CC7E94"/>
    <w:rsid w:val="00CD091A"/>
    <w:rsid w:val="00CD6240"/>
    <w:rsid w:val="00CD77AF"/>
    <w:rsid w:val="00CE0CEE"/>
    <w:rsid w:val="00CE36F6"/>
    <w:rsid w:val="00CE4E88"/>
    <w:rsid w:val="00CE6105"/>
    <w:rsid w:val="00CF03E4"/>
    <w:rsid w:val="00CF1A2F"/>
    <w:rsid w:val="00CF3B3E"/>
    <w:rsid w:val="00CF70DB"/>
    <w:rsid w:val="00CF7E6A"/>
    <w:rsid w:val="00D10537"/>
    <w:rsid w:val="00D10F26"/>
    <w:rsid w:val="00D1115E"/>
    <w:rsid w:val="00D13F21"/>
    <w:rsid w:val="00D14729"/>
    <w:rsid w:val="00D160E8"/>
    <w:rsid w:val="00D16BA8"/>
    <w:rsid w:val="00D17197"/>
    <w:rsid w:val="00D22909"/>
    <w:rsid w:val="00D24A0D"/>
    <w:rsid w:val="00D27556"/>
    <w:rsid w:val="00D27FE7"/>
    <w:rsid w:val="00D30A12"/>
    <w:rsid w:val="00D31E67"/>
    <w:rsid w:val="00D345E6"/>
    <w:rsid w:val="00D34D98"/>
    <w:rsid w:val="00D357C5"/>
    <w:rsid w:val="00D407F8"/>
    <w:rsid w:val="00D42A58"/>
    <w:rsid w:val="00D44774"/>
    <w:rsid w:val="00D4564F"/>
    <w:rsid w:val="00D516AB"/>
    <w:rsid w:val="00D523EA"/>
    <w:rsid w:val="00D53A3A"/>
    <w:rsid w:val="00D577ED"/>
    <w:rsid w:val="00D6005B"/>
    <w:rsid w:val="00D61D3B"/>
    <w:rsid w:val="00D637CA"/>
    <w:rsid w:val="00D63FD0"/>
    <w:rsid w:val="00D656AB"/>
    <w:rsid w:val="00D65DDE"/>
    <w:rsid w:val="00D670A2"/>
    <w:rsid w:val="00D729A3"/>
    <w:rsid w:val="00D73748"/>
    <w:rsid w:val="00D73FFC"/>
    <w:rsid w:val="00D7400D"/>
    <w:rsid w:val="00D7625C"/>
    <w:rsid w:val="00D82CB0"/>
    <w:rsid w:val="00D8761D"/>
    <w:rsid w:val="00D87CF6"/>
    <w:rsid w:val="00D92CBD"/>
    <w:rsid w:val="00D948D2"/>
    <w:rsid w:val="00D95C09"/>
    <w:rsid w:val="00D97B3D"/>
    <w:rsid w:val="00D97FE3"/>
    <w:rsid w:val="00DA14E7"/>
    <w:rsid w:val="00DA1E13"/>
    <w:rsid w:val="00DA27D5"/>
    <w:rsid w:val="00DA64AD"/>
    <w:rsid w:val="00DA6E63"/>
    <w:rsid w:val="00DB342A"/>
    <w:rsid w:val="00DB3A2E"/>
    <w:rsid w:val="00DB3EF3"/>
    <w:rsid w:val="00DB4A7A"/>
    <w:rsid w:val="00DB72B3"/>
    <w:rsid w:val="00DB79C1"/>
    <w:rsid w:val="00DC090E"/>
    <w:rsid w:val="00DC0AC0"/>
    <w:rsid w:val="00DC29DC"/>
    <w:rsid w:val="00DC3FB8"/>
    <w:rsid w:val="00DC470D"/>
    <w:rsid w:val="00DC5189"/>
    <w:rsid w:val="00DC65A2"/>
    <w:rsid w:val="00DC7C92"/>
    <w:rsid w:val="00DD0B83"/>
    <w:rsid w:val="00DD122E"/>
    <w:rsid w:val="00DD1ACA"/>
    <w:rsid w:val="00DD4D68"/>
    <w:rsid w:val="00DD5C95"/>
    <w:rsid w:val="00DD60DE"/>
    <w:rsid w:val="00DD6660"/>
    <w:rsid w:val="00DE69D9"/>
    <w:rsid w:val="00DF05CD"/>
    <w:rsid w:val="00DF1693"/>
    <w:rsid w:val="00DF1B63"/>
    <w:rsid w:val="00DF3464"/>
    <w:rsid w:val="00DF7BB7"/>
    <w:rsid w:val="00E01E44"/>
    <w:rsid w:val="00E02E12"/>
    <w:rsid w:val="00E03366"/>
    <w:rsid w:val="00E0364A"/>
    <w:rsid w:val="00E03DC3"/>
    <w:rsid w:val="00E03E44"/>
    <w:rsid w:val="00E043B7"/>
    <w:rsid w:val="00E0763C"/>
    <w:rsid w:val="00E10652"/>
    <w:rsid w:val="00E13FE4"/>
    <w:rsid w:val="00E17DC7"/>
    <w:rsid w:val="00E25469"/>
    <w:rsid w:val="00E26B79"/>
    <w:rsid w:val="00E26CF3"/>
    <w:rsid w:val="00E27A77"/>
    <w:rsid w:val="00E304AB"/>
    <w:rsid w:val="00E30537"/>
    <w:rsid w:val="00E3113A"/>
    <w:rsid w:val="00E34E86"/>
    <w:rsid w:val="00E353F9"/>
    <w:rsid w:val="00E35D2F"/>
    <w:rsid w:val="00E45BE4"/>
    <w:rsid w:val="00E52BB8"/>
    <w:rsid w:val="00E54E3F"/>
    <w:rsid w:val="00E57AED"/>
    <w:rsid w:val="00E60384"/>
    <w:rsid w:val="00E6047F"/>
    <w:rsid w:val="00E62847"/>
    <w:rsid w:val="00E6576E"/>
    <w:rsid w:val="00E706CD"/>
    <w:rsid w:val="00E71911"/>
    <w:rsid w:val="00E729F7"/>
    <w:rsid w:val="00E73803"/>
    <w:rsid w:val="00E741BE"/>
    <w:rsid w:val="00E747C6"/>
    <w:rsid w:val="00E77858"/>
    <w:rsid w:val="00E81307"/>
    <w:rsid w:val="00E825B4"/>
    <w:rsid w:val="00E829BC"/>
    <w:rsid w:val="00E86CC0"/>
    <w:rsid w:val="00E9225D"/>
    <w:rsid w:val="00E937E4"/>
    <w:rsid w:val="00E93F0E"/>
    <w:rsid w:val="00E942E2"/>
    <w:rsid w:val="00E95C07"/>
    <w:rsid w:val="00EA0803"/>
    <w:rsid w:val="00EA1337"/>
    <w:rsid w:val="00EA20AE"/>
    <w:rsid w:val="00EA2B4B"/>
    <w:rsid w:val="00EA4CA5"/>
    <w:rsid w:val="00EA5E24"/>
    <w:rsid w:val="00EB2ECF"/>
    <w:rsid w:val="00EB3805"/>
    <w:rsid w:val="00EC0F05"/>
    <w:rsid w:val="00EC51A7"/>
    <w:rsid w:val="00EC5CB8"/>
    <w:rsid w:val="00EC5CF7"/>
    <w:rsid w:val="00EC6726"/>
    <w:rsid w:val="00ED0E01"/>
    <w:rsid w:val="00ED1B53"/>
    <w:rsid w:val="00ED58B9"/>
    <w:rsid w:val="00ED605C"/>
    <w:rsid w:val="00EE0562"/>
    <w:rsid w:val="00EE06C4"/>
    <w:rsid w:val="00EE1EF3"/>
    <w:rsid w:val="00EE43D1"/>
    <w:rsid w:val="00EE57AF"/>
    <w:rsid w:val="00EE610D"/>
    <w:rsid w:val="00EE64D7"/>
    <w:rsid w:val="00EF11A2"/>
    <w:rsid w:val="00EF1327"/>
    <w:rsid w:val="00EF29FD"/>
    <w:rsid w:val="00EF4010"/>
    <w:rsid w:val="00EF65D7"/>
    <w:rsid w:val="00EF67CF"/>
    <w:rsid w:val="00EF68A2"/>
    <w:rsid w:val="00F01245"/>
    <w:rsid w:val="00F0232F"/>
    <w:rsid w:val="00F02CD2"/>
    <w:rsid w:val="00F039F5"/>
    <w:rsid w:val="00F0458A"/>
    <w:rsid w:val="00F06DB9"/>
    <w:rsid w:val="00F07E30"/>
    <w:rsid w:val="00F12286"/>
    <w:rsid w:val="00F122BC"/>
    <w:rsid w:val="00F1256B"/>
    <w:rsid w:val="00F1338D"/>
    <w:rsid w:val="00F14168"/>
    <w:rsid w:val="00F1444F"/>
    <w:rsid w:val="00F14949"/>
    <w:rsid w:val="00F155ED"/>
    <w:rsid w:val="00F21042"/>
    <w:rsid w:val="00F22B1D"/>
    <w:rsid w:val="00F24A17"/>
    <w:rsid w:val="00F275A2"/>
    <w:rsid w:val="00F3103B"/>
    <w:rsid w:val="00F315A4"/>
    <w:rsid w:val="00F321FC"/>
    <w:rsid w:val="00F32426"/>
    <w:rsid w:val="00F3247C"/>
    <w:rsid w:val="00F33E3B"/>
    <w:rsid w:val="00F34D42"/>
    <w:rsid w:val="00F34DB8"/>
    <w:rsid w:val="00F35C44"/>
    <w:rsid w:val="00F41094"/>
    <w:rsid w:val="00F4550D"/>
    <w:rsid w:val="00F457C3"/>
    <w:rsid w:val="00F4634E"/>
    <w:rsid w:val="00F467A3"/>
    <w:rsid w:val="00F50B15"/>
    <w:rsid w:val="00F54EB0"/>
    <w:rsid w:val="00F55D02"/>
    <w:rsid w:val="00F56447"/>
    <w:rsid w:val="00F56E38"/>
    <w:rsid w:val="00F57B33"/>
    <w:rsid w:val="00F60227"/>
    <w:rsid w:val="00F62779"/>
    <w:rsid w:val="00F62A94"/>
    <w:rsid w:val="00F64366"/>
    <w:rsid w:val="00F66DA1"/>
    <w:rsid w:val="00F6765D"/>
    <w:rsid w:val="00F70EAE"/>
    <w:rsid w:val="00F727BC"/>
    <w:rsid w:val="00F745B1"/>
    <w:rsid w:val="00F74619"/>
    <w:rsid w:val="00F75291"/>
    <w:rsid w:val="00F7602D"/>
    <w:rsid w:val="00F772E8"/>
    <w:rsid w:val="00F77F0D"/>
    <w:rsid w:val="00F800CF"/>
    <w:rsid w:val="00F80E0B"/>
    <w:rsid w:val="00F81032"/>
    <w:rsid w:val="00F8284A"/>
    <w:rsid w:val="00F8343F"/>
    <w:rsid w:val="00F83988"/>
    <w:rsid w:val="00F91533"/>
    <w:rsid w:val="00F92818"/>
    <w:rsid w:val="00F94128"/>
    <w:rsid w:val="00F94AC9"/>
    <w:rsid w:val="00F96335"/>
    <w:rsid w:val="00F96BC7"/>
    <w:rsid w:val="00F9757C"/>
    <w:rsid w:val="00F97BF8"/>
    <w:rsid w:val="00FA10D9"/>
    <w:rsid w:val="00FA2229"/>
    <w:rsid w:val="00FA24FA"/>
    <w:rsid w:val="00FA2FDC"/>
    <w:rsid w:val="00FA3660"/>
    <w:rsid w:val="00FA51D4"/>
    <w:rsid w:val="00FA5C2D"/>
    <w:rsid w:val="00FA6DDC"/>
    <w:rsid w:val="00FB00A5"/>
    <w:rsid w:val="00FB13BB"/>
    <w:rsid w:val="00FB40DB"/>
    <w:rsid w:val="00FB5CF8"/>
    <w:rsid w:val="00FB6E23"/>
    <w:rsid w:val="00FC00A9"/>
    <w:rsid w:val="00FC0484"/>
    <w:rsid w:val="00FC5505"/>
    <w:rsid w:val="00FC598D"/>
    <w:rsid w:val="00FC5D15"/>
    <w:rsid w:val="00FC77B8"/>
    <w:rsid w:val="00FD0018"/>
    <w:rsid w:val="00FD075B"/>
    <w:rsid w:val="00FD2E8D"/>
    <w:rsid w:val="00FD31CF"/>
    <w:rsid w:val="00FD359A"/>
    <w:rsid w:val="00FD40BA"/>
    <w:rsid w:val="00FD4CBD"/>
    <w:rsid w:val="00FD563E"/>
    <w:rsid w:val="00FE2802"/>
    <w:rsid w:val="00FE3C59"/>
    <w:rsid w:val="00FE3C87"/>
    <w:rsid w:val="00FE3FF7"/>
    <w:rsid w:val="00FE493F"/>
    <w:rsid w:val="00FE60E0"/>
    <w:rsid w:val="00FE6D56"/>
    <w:rsid w:val="00FE7049"/>
    <w:rsid w:val="00FE74A2"/>
    <w:rsid w:val="00FE7ECF"/>
    <w:rsid w:val="00FE7F8B"/>
    <w:rsid w:val="00FF2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AFA52"/>
  <w15:docId w15:val="{EFC9D7FB-7154-4391-8E37-1BF4F516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T Normal"/>
    <w:qFormat/>
    <w:rsid w:val="00F4550D"/>
    <w:pPr>
      <w:spacing w:after="90" w:line="220" w:lineRule="atLeast"/>
    </w:pPr>
    <w:rPr>
      <w:rFonts w:ascii="Arial" w:eastAsia="Times New Roman" w:hAnsi="Arial" w:cs="Times New Roman"/>
      <w:color w:val="000000" w:themeColor="text1"/>
      <w:sz w:val="19"/>
      <w:szCs w:val="24"/>
    </w:rPr>
  </w:style>
  <w:style w:type="paragraph" w:styleId="Heading1">
    <w:name w:val="heading 1"/>
    <w:aliases w:val="DET Heading 1,Heading 1 Section Heading"/>
    <w:basedOn w:val="Normal"/>
    <w:next w:val="Normal"/>
    <w:link w:val="Heading1Char"/>
    <w:uiPriority w:val="9"/>
    <w:qFormat/>
    <w:rsid w:val="00F41094"/>
    <w:pPr>
      <w:keepNext/>
      <w:pageBreakBefore/>
      <w:spacing w:after="180" w:line="450" w:lineRule="atLeast"/>
      <w:outlineLvl w:val="0"/>
    </w:pPr>
    <w:rPr>
      <w:rFonts w:cs="Arial"/>
      <w:bCs/>
      <w:kern w:val="32"/>
      <w:sz w:val="36"/>
      <w:szCs w:val="36"/>
    </w:rPr>
  </w:style>
  <w:style w:type="paragraph" w:styleId="Heading2">
    <w:name w:val="heading 2"/>
    <w:aliases w:val="Reset numbering,Reset numbering1"/>
    <w:basedOn w:val="Normal"/>
    <w:next w:val="Normal"/>
    <w:link w:val="Heading2Char"/>
    <w:uiPriority w:val="9"/>
    <w:qFormat/>
    <w:rsid w:val="00F41094"/>
    <w:pPr>
      <w:keepNext/>
      <w:spacing w:before="430" w:line="360" w:lineRule="atLeast"/>
      <w:outlineLvl w:val="1"/>
    </w:pPr>
    <w:rPr>
      <w:rFonts w:cs="Arial"/>
      <w:bCs/>
      <w:iCs/>
      <w:sz w:val="28"/>
      <w:szCs w:val="28"/>
    </w:rPr>
  </w:style>
  <w:style w:type="paragraph" w:styleId="Heading3">
    <w:name w:val="heading 3"/>
    <w:aliases w:val="DET Heading 3,Level 1 - 1"/>
    <w:basedOn w:val="Normal"/>
    <w:next w:val="Normal"/>
    <w:link w:val="Heading3Char"/>
    <w:uiPriority w:val="9"/>
    <w:qFormat/>
    <w:rsid w:val="00F41094"/>
    <w:pPr>
      <w:keepNext/>
      <w:spacing w:before="250" w:line="280" w:lineRule="atLeast"/>
      <w:outlineLvl w:val="2"/>
    </w:pPr>
    <w:rPr>
      <w:rFonts w:cs="Arial"/>
      <w:bCs/>
      <w:sz w:val="22"/>
      <w:szCs w:val="19"/>
    </w:rPr>
  </w:style>
  <w:style w:type="paragraph" w:styleId="Heading4">
    <w:name w:val="heading 4"/>
    <w:aliases w:val="DET Heading 4"/>
    <w:basedOn w:val="Normal"/>
    <w:next w:val="Normal"/>
    <w:link w:val="Heading4Char"/>
    <w:uiPriority w:val="9"/>
    <w:unhideWhenUsed/>
    <w:qFormat/>
    <w:rsid w:val="00391AD5"/>
    <w:pPr>
      <w:keepNext/>
      <w:tabs>
        <w:tab w:val="left" w:pos="397"/>
      </w:tabs>
      <w:spacing w:before="200"/>
      <w:outlineLvl w:val="3"/>
    </w:pPr>
    <w:rPr>
      <w:b/>
      <w:i/>
    </w:rPr>
  </w:style>
  <w:style w:type="paragraph" w:styleId="Heading5">
    <w:name w:val="heading 5"/>
    <w:basedOn w:val="Normal"/>
    <w:next w:val="Normal"/>
    <w:link w:val="Heading5Char"/>
    <w:uiPriority w:val="9"/>
    <w:unhideWhenUsed/>
    <w:qFormat/>
    <w:rsid w:val="00F41094"/>
    <w:pPr>
      <w:keepNext/>
      <w:keepLines/>
      <w:spacing w:before="200"/>
      <w:outlineLvl w:val="4"/>
    </w:pPr>
    <w:rPr>
      <w:rFonts w:eastAsiaTheme="majorEastAsia" w:cstheme="majorBidi"/>
      <w:i/>
      <w:szCs w:val="22"/>
    </w:rPr>
  </w:style>
  <w:style w:type="paragraph" w:styleId="Heading6">
    <w:name w:val="heading 6"/>
    <w:basedOn w:val="Normal"/>
    <w:next w:val="Normal"/>
    <w:link w:val="Heading6Char"/>
    <w:hidden/>
    <w:uiPriority w:val="9"/>
    <w:unhideWhenUsed/>
    <w:qFormat/>
    <w:rsid w:val="00AD2C55"/>
    <w:pPr>
      <w:keepNext/>
      <w:keepLines/>
      <w:numPr>
        <w:ilvl w:val="5"/>
        <w:numId w:val="15"/>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hidden/>
    <w:uiPriority w:val="9"/>
    <w:semiHidden/>
    <w:unhideWhenUsed/>
    <w:qFormat/>
    <w:rsid w:val="00AD2C55"/>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C55"/>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hidden/>
    <w:uiPriority w:val="9"/>
    <w:semiHidden/>
    <w:unhideWhenUsed/>
    <w:qFormat/>
    <w:rsid w:val="00AD2C55"/>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T Heading 1 Char,Heading 1 Section Heading Char"/>
    <w:basedOn w:val="DefaultParagraphFont"/>
    <w:link w:val="Heading1"/>
    <w:uiPriority w:val="9"/>
    <w:rsid w:val="00F41094"/>
    <w:rPr>
      <w:rFonts w:ascii="Arial" w:eastAsia="Times New Roman" w:hAnsi="Arial" w:cs="Arial"/>
      <w:bCs/>
      <w:color w:val="000000" w:themeColor="text1"/>
      <w:kern w:val="32"/>
      <w:sz w:val="36"/>
      <w:szCs w:val="36"/>
    </w:rPr>
  </w:style>
  <w:style w:type="character" w:customStyle="1" w:styleId="Heading2Char">
    <w:name w:val="Heading 2 Char"/>
    <w:aliases w:val="Reset numbering Char,Reset numbering1 Char"/>
    <w:basedOn w:val="DefaultParagraphFont"/>
    <w:link w:val="Heading2"/>
    <w:uiPriority w:val="9"/>
    <w:rsid w:val="00F41094"/>
    <w:rPr>
      <w:rFonts w:ascii="Arial" w:eastAsia="Times New Roman" w:hAnsi="Arial" w:cs="Arial"/>
      <w:bCs/>
      <w:iCs/>
      <w:color w:val="000000" w:themeColor="text1"/>
      <w:sz w:val="28"/>
      <w:szCs w:val="28"/>
    </w:rPr>
  </w:style>
  <w:style w:type="character" w:customStyle="1" w:styleId="Heading3Char">
    <w:name w:val="Heading 3 Char"/>
    <w:aliases w:val="DET Heading 3 Char,Level 1 - 1 Char"/>
    <w:basedOn w:val="DefaultParagraphFont"/>
    <w:link w:val="Heading3"/>
    <w:uiPriority w:val="9"/>
    <w:rsid w:val="00F41094"/>
    <w:rPr>
      <w:rFonts w:ascii="Arial" w:eastAsia="Times New Roman" w:hAnsi="Arial" w:cs="Arial"/>
      <w:bCs/>
      <w:color w:val="000000" w:themeColor="text1"/>
      <w:szCs w:val="19"/>
    </w:rPr>
  </w:style>
  <w:style w:type="character" w:customStyle="1" w:styleId="Heading4Char">
    <w:name w:val="Heading 4 Char"/>
    <w:aliases w:val="DET Heading 4 Char"/>
    <w:basedOn w:val="DefaultParagraphFont"/>
    <w:link w:val="Heading4"/>
    <w:uiPriority w:val="9"/>
    <w:rsid w:val="00391AD5"/>
    <w:rPr>
      <w:rFonts w:ascii="Arial" w:eastAsia="Times New Roman" w:hAnsi="Arial" w:cs="Times New Roman"/>
      <w:b/>
      <w:i/>
      <w:color w:val="000000" w:themeColor="text1"/>
      <w:sz w:val="19"/>
      <w:szCs w:val="24"/>
    </w:rPr>
  </w:style>
  <w:style w:type="character" w:customStyle="1" w:styleId="Heading5Char">
    <w:name w:val="Heading 5 Char"/>
    <w:basedOn w:val="DefaultParagraphFont"/>
    <w:link w:val="Heading5"/>
    <w:uiPriority w:val="9"/>
    <w:rsid w:val="00F41094"/>
    <w:rPr>
      <w:rFonts w:ascii="Arial" w:eastAsiaTheme="majorEastAsia" w:hAnsi="Arial" w:cstheme="majorBidi"/>
      <w:i/>
      <w:color w:val="000000" w:themeColor="text1"/>
      <w:sz w:val="19"/>
    </w:rPr>
  </w:style>
  <w:style w:type="character" w:customStyle="1" w:styleId="Heading6Char">
    <w:name w:val="Heading 6 Char"/>
    <w:basedOn w:val="DefaultParagraphFont"/>
    <w:link w:val="Heading6"/>
    <w:uiPriority w:val="9"/>
    <w:rsid w:val="00AD2C55"/>
    <w:rPr>
      <w:rFonts w:asciiTheme="majorHAnsi" w:eastAsiaTheme="majorEastAsia" w:hAnsiTheme="majorHAnsi" w:cstheme="majorBidi"/>
      <w:i/>
      <w:iCs/>
      <w:color w:val="243F60" w:themeColor="accent1" w:themeShade="7F"/>
    </w:rPr>
  </w:style>
  <w:style w:type="paragraph" w:styleId="Header">
    <w:name w:val="header"/>
    <w:basedOn w:val="Footer"/>
    <w:link w:val="HeaderChar"/>
    <w:hidden/>
    <w:uiPriority w:val="99"/>
    <w:rsid w:val="007F28C0"/>
    <w:pPr>
      <w:jc w:val="left"/>
    </w:pPr>
  </w:style>
  <w:style w:type="character" w:customStyle="1" w:styleId="HeaderChar">
    <w:name w:val="Header Char"/>
    <w:basedOn w:val="DefaultParagraphFont"/>
    <w:link w:val="Header"/>
    <w:uiPriority w:val="99"/>
    <w:rsid w:val="007F28C0"/>
    <w:rPr>
      <w:rFonts w:ascii="Arial" w:eastAsia="Times New Roman" w:hAnsi="Arial" w:cs="Times New Roman"/>
      <w:color w:val="000000" w:themeColor="text1"/>
      <w:spacing w:val="-1"/>
      <w:sz w:val="14"/>
      <w:szCs w:val="14"/>
    </w:rPr>
  </w:style>
  <w:style w:type="paragraph" w:styleId="Footer">
    <w:name w:val="footer"/>
    <w:basedOn w:val="Normal"/>
    <w:link w:val="FooterChar"/>
    <w:hidden/>
    <w:uiPriority w:val="99"/>
    <w:rsid w:val="007F28C0"/>
    <w:pPr>
      <w:tabs>
        <w:tab w:val="right" w:pos="8640"/>
      </w:tabs>
      <w:spacing w:after="0" w:line="240" w:lineRule="auto"/>
      <w:jc w:val="right"/>
    </w:pPr>
    <w:rPr>
      <w:spacing w:val="-1"/>
      <w:sz w:val="14"/>
      <w:szCs w:val="14"/>
    </w:rPr>
  </w:style>
  <w:style w:type="character" w:customStyle="1" w:styleId="FooterChar">
    <w:name w:val="Footer Char"/>
    <w:basedOn w:val="DefaultParagraphFont"/>
    <w:link w:val="Footer"/>
    <w:uiPriority w:val="99"/>
    <w:rsid w:val="007F28C0"/>
    <w:rPr>
      <w:rFonts w:ascii="Arial" w:eastAsia="Times New Roman" w:hAnsi="Arial" w:cs="Times New Roman"/>
      <w:color w:val="000000" w:themeColor="text1"/>
      <w:spacing w:val="-1"/>
      <w:sz w:val="14"/>
      <w:szCs w:val="14"/>
    </w:rPr>
  </w:style>
  <w:style w:type="table" w:styleId="TableColumns1">
    <w:name w:val="Table Columns 1"/>
    <w:basedOn w:val="TableNormal"/>
    <w:uiPriority w:val="99"/>
    <w:semiHidden/>
    <w:unhideWhenUsed/>
    <w:rsid w:val="00776C24"/>
    <w:pPr>
      <w:spacing w:after="9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ing">
    <w:name w:val="Table column heading"/>
    <w:basedOn w:val="Tabletext"/>
    <w:link w:val="TablecolumnheadingChar"/>
    <w:uiPriority w:val="99"/>
    <w:rsid w:val="007F28C0"/>
    <w:pPr>
      <w:keepNext/>
    </w:pPr>
    <w:rPr>
      <w:b/>
      <w:bCs/>
      <w:color w:val="FFFFFF"/>
    </w:rPr>
  </w:style>
  <w:style w:type="paragraph" w:customStyle="1" w:styleId="Tabletext">
    <w:name w:val="Table text"/>
    <w:basedOn w:val="Normal"/>
    <w:link w:val="TabletextChar"/>
    <w:uiPriority w:val="9"/>
    <w:qFormat/>
    <w:rsid w:val="007F28C0"/>
    <w:pPr>
      <w:widowControl w:val="0"/>
      <w:tabs>
        <w:tab w:val="left" w:pos="205"/>
      </w:tabs>
      <w:autoSpaceDE w:val="0"/>
      <w:autoSpaceDN w:val="0"/>
      <w:adjustRightInd w:val="0"/>
      <w:spacing w:before="80" w:after="80" w:line="240" w:lineRule="auto"/>
    </w:pPr>
    <w:rPr>
      <w:rFonts w:cs="Arial"/>
      <w:sz w:val="17"/>
      <w:szCs w:val="18"/>
    </w:rPr>
  </w:style>
  <w:style w:type="character" w:customStyle="1" w:styleId="TabletextChar">
    <w:name w:val="Table text Char"/>
    <w:basedOn w:val="DefaultParagraphFont"/>
    <w:link w:val="Tabletext"/>
    <w:uiPriority w:val="9"/>
    <w:rsid w:val="007F28C0"/>
    <w:rPr>
      <w:rFonts w:ascii="Arial" w:eastAsia="Times New Roman" w:hAnsi="Arial" w:cs="Arial"/>
      <w:color w:val="000000" w:themeColor="text1"/>
      <w:sz w:val="17"/>
      <w:szCs w:val="18"/>
    </w:rPr>
  </w:style>
  <w:style w:type="character" w:customStyle="1" w:styleId="TablecolumnheadingChar">
    <w:name w:val="Table column heading Char"/>
    <w:basedOn w:val="TabletextChar"/>
    <w:link w:val="Tablecolumnheading"/>
    <w:uiPriority w:val="99"/>
    <w:rsid w:val="007F28C0"/>
    <w:rPr>
      <w:rFonts w:ascii="Arial" w:eastAsia="Times New Roman" w:hAnsi="Arial" w:cs="Arial"/>
      <w:b/>
      <w:bCs/>
      <w:color w:val="FFFFFF"/>
      <w:sz w:val="17"/>
      <w:szCs w:val="18"/>
    </w:rPr>
  </w:style>
  <w:style w:type="paragraph" w:customStyle="1" w:styleId="TablesubheadingVPSstafftable">
    <w:name w:val="Table subheading VPS staff table"/>
    <w:basedOn w:val="Tablesubheadingfirstrow"/>
    <w:uiPriority w:val="99"/>
    <w:rsid w:val="007F28C0"/>
    <w:pPr>
      <w:spacing w:before="120"/>
    </w:pPr>
    <w:rPr>
      <w:bCs/>
      <w:sz w:val="16"/>
    </w:rPr>
  </w:style>
  <w:style w:type="paragraph" w:customStyle="1" w:styleId="Tablesubheadingfirstrow">
    <w:name w:val="Table subheading first row"/>
    <w:basedOn w:val="Tablerowheading"/>
    <w:link w:val="TablesubheadingfirstrowChar"/>
    <w:qFormat/>
    <w:rsid w:val="007F28C0"/>
    <w:pPr>
      <w:keepNext/>
      <w:spacing w:before="200" w:after="80"/>
    </w:pPr>
    <w:rPr>
      <w:snapToGrid w:val="0"/>
    </w:rPr>
  </w:style>
  <w:style w:type="paragraph" w:customStyle="1" w:styleId="Tablerowheading">
    <w:name w:val="Table row heading"/>
    <w:basedOn w:val="Normal"/>
    <w:link w:val="TablerowheadingChar"/>
    <w:rsid w:val="007F28C0"/>
    <w:pPr>
      <w:widowControl w:val="0"/>
      <w:autoSpaceDE w:val="0"/>
      <w:autoSpaceDN w:val="0"/>
      <w:adjustRightInd w:val="0"/>
      <w:spacing w:before="90" w:line="240" w:lineRule="auto"/>
    </w:pPr>
    <w:rPr>
      <w:rFonts w:cs="Arial"/>
      <w:b/>
      <w:sz w:val="17"/>
      <w:szCs w:val="18"/>
    </w:rPr>
  </w:style>
  <w:style w:type="character" w:customStyle="1" w:styleId="TablerowheadingChar">
    <w:name w:val="Table row heading Char"/>
    <w:basedOn w:val="DefaultParagraphFont"/>
    <w:link w:val="Tablerowheading"/>
    <w:rsid w:val="007F28C0"/>
    <w:rPr>
      <w:rFonts w:ascii="Arial" w:eastAsia="Times New Roman" w:hAnsi="Arial" w:cs="Arial"/>
      <w:b/>
      <w:color w:val="000000" w:themeColor="text1"/>
      <w:sz w:val="17"/>
      <w:szCs w:val="18"/>
    </w:rPr>
  </w:style>
  <w:style w:type="character" w:customStyle="1" w:styleId="TablesubheadingfirstrowChar">
    <w:name w:val="Table subheading first row Char"/>
    <w:basedOn w:val="TablerowheadingChar"/>
    <w:link w:val="Tablesubheadingfirstrow"/>
    <w:rsid w:val="007F28C0"/>
    <w:rPr>
      <w:rFonts w:ascii="Arial" w:eastAsia="Times New Roman" w:hAnsi="Arial" w:cs="Arial"/>
      <w:b/>
      <w:snapToGrid w:val="0"/>
      <w:color w:val="000000" w:themeColor="text1"/>
      <w:sz w:val="17"/>
      <w:szCs w:val="18"/>
    </w:rPr>
  </w:style>
  <w:style w:type="paragraph" w:customStyle="1" w:styleId="Imprintinformationspaced">
    <w:name w:val="Imprint information spaced"/>
    <w:basedOn w:val="Normal"/>
    <w:uiPriority w:val="99"/>
    <w:rsid w:val="007F28C0"/>
    <w:pPr>
      <w:spacing w:after="360"/>
    </w:pPr>
    <w:rPr>
      <w:sz w:val="17"/>
    </w:rPr>
  </w:style>
  <w:style w:type="table" w:styleId="TableGrid">
    <w:name w:val="Table Grid"/>
    <w:basedOn w:val="TableNormal"/>
    <w:hidden/>
    <w:uiPriority w:val="59"/>
    <w:rsid w:val="007F28C0"/>
    <w:pPr>
      <w:spacing w:after="90" w:line="2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95F83"/>
    <w:pPr>
      <w:keepNext/>
      <w:tabs>
        <w:tab w:val="left" w:pos="851"/>
        <w:tab w:val="right" w:pos="7371"/>
      </w:tabs>
      <w:spacing w:after="180"/>
      <w:ind w:left="57" w:right="567"/>
    </w:pPr>
    <w:rPr>
      <w:b/>
      <w:noProof/>
      <w:lang w:eastAsia="en-AU"/>
    </w:rPr>
  </w:style>
  <w:style w:type="paragraph" w:styleId="ListBullet">
    <w:name w:val="List Bullet"/>
    <w:basedOn w:val="Normal"/>
    <w:uiPriority w:val="99"/>
    <w:qFormat/>
    <w:rsid w:val="00F02CD2"/>
    <w:pPr>
      <w:numPr>
        <w:numId w:val="11"/>
      </w:numPr>
      <w:tabs>
        <w:tab w:val="clear" w:pos="360"/>
        <w:tab w:val="left" w:pos="170"/>
      </w:tabs>
      <w:spacing w:after="40"/>
      <w:ind w:left="142" w:hanging="142"/>
    </w:pPr>
  </w:style>
  <w:style w:type="paragraph" w:styleId="TOC3">
    <w:name w:val="toc 3"/>
    <w:basedOn w:val="Normal"/>
    <w:next w:val="Normal"/>
    <w:autoRedefine/>
    <w:hidden/>
    <w:uiPriority w:val="39"/>
    <w:rsid w:val="007F28C0"/>
    <w:pPr>
      <w:ind w:left="360"/>
    </w:pPr>
  </w:style>
  <w:style w:type="paragraph" w:styleId="TOC2">
    <w:name w:val="toc 2"/>
    <w:basedOn w:val="Normal"/>
    <w:next w:val="Normal"/>
    <w:uiPriority w:val="39"/>
    <w:rsid w:val="000A136C"/>
    <w:pPr>
      <w:tabs>
        <w:tab w:val="right" w:pos="7371"/>
      </w:tabs>
      <w:spacing w:after="220"/>
      <w:ind w:left="1418" w:right="567" w:hanging="284"/>
    </w:pPr>
    <w:rPr>
      <w:noProof/>
    </w:rPr>
  </w:style>
  <w:style w:type="paragraph" w:styleId="Caption">
    <w:name w:val="caption"/>
    <w:basedOn w:val="Normal"/>
    <w:next w:val="Normal"/>
    <w:uiPriority w:val="99"/>
    <w:qFormat/>
    <w:rsid w:val="007F28C0"/>
    <w:pPr>
      <w:keepNext/>
      <w:spacing w:before="200"/>
    </w:pPr>
    <w:rPr>
      <w:b/>
      <w:i/>
      <w:sz w:val="17"/>
    </w:rPr>
  </w:style>
  <w:style w:type="character" w:styleId="CommentReference">
    <w:name w:val="annotation reference"/>
    <w:hidden/>
    <w:unhideWhenUsed/>
    <w:rsid w:val="007F28C0"/>
    <w:rPr>
      <w:sz w:val="16"/>
      <w:szCs w:val="16"/>
    </w:rPr>
  </w:style>
  <w:style w:type="character" w:styleId="FootnoteReference">
    <w:name w:val="footnote reference"/>
    <w:aliases w:val="DET Footnote Reference"/>
    <w:uiPriority w:val="99"/>
    <w:unhideWhenUsed/>
    <w:rsid w:val="007E09BA"/>
    <w:rPr>
      <w:caps w:val="0"/>
      <w:smallCaps w:val="0"/>
      <w:strike w:val="0"/>
      <w:dstrike w:val="0"/>
      <w:vanish w:val="0"/>
      <w:vertAlign w:val="superscript"/>
    </w:rPr>
  </w:style>
  <w:style w:type="paragraph" w:customStyle="1" w:styleId="Normalaftertable">
    <w:name w:val="Normal after table"/>
    <w:basedOn w:val="Normal"/>
    <w:next w:val="Normal"/>
    <w:link w:val="NormalaftertableChar"/>
    <w:qFormat/>
    <w:rsid w:val="007F28C0"/>
    <w:pPr>
      <w:spacing w:before="130"/>
    </w:pPr>
  </w:style>
  <w:style w:type="character" w:customStyle="1" w:styleId="NormalaftertableChar">
    <w:name w:val="Normal after table Char"/>
    <w:basedOn w:val="DefaultParagraphFont"/>
    <w:link w:val="Normalaftertable"/>
    <w:rsid w:val="007F28C0"/>
    <w:rPr>
      <w:rFonts w:ascii="Arial" w:eastAsia="Times New Roman" w:hAnsi="Arial" w:cs="Times New Roman"/>
      <w:color w:val="000000" w:themeColor="text1"/>
      <w:sz w:val="19"/>
      <w:szCs w:val="24"/>
    </w:rPr>
  </w:style>
  <w:style w:type="paragraph" w:customStyle="1" w:styleId="Normalbeforelist">
    <w:name w:val="Normal before list"/>
    <w:basedOn w:val="Normal"/>
    <w:uiPriority w:val="99"/>
    <w:rsid w:val="007F28C0"/>
    <w:pPr>
      <w:keepNext/>
      <w:spacing w:after="40"/>
    </w:pPr>
    <w:rPr>
      <w:szCs w:val="20"/>
    </w:rPr>
  </w:style>
  <w:style w:type="paragraph" w:styleId="CommentText">
    <w:name w:val="annotation text"/>
    <w:basedOn w:val="Normal"/>
    <w:link w:val="CommentTextChar"/>
    <w:hidden/>
    <w:uiPriority w:val="99"/>
    <w:rsid w:val="007F28C0"/>
    <w:pPr>
      <w:spacing w:line="240" w:lineRule="auto"/>
    </w:pPr>
    <w:rPr>
      <w:sz w:val="20"/>
      <w:szCs w:val="20"/>
    </w:rPr>
  </w:style>
  <w:style w:type="character" w:customStyle="1" w:styleId="CommentTextChar">
    <w:name w:val="Comment Text Char"/>
    <w:basedOn w:val="DefaultParagraphFont"/>
    <w:link w:val="CommentText"/>
    <w:uiPriority w:val="99"/>
    <w:rsid w:val="007F28C0"/>
    <w:rPr>
      <w:rFonts w:ascii="Arial" w:eastAsia="Times New Roman" w:hAnsi="Arial" w:cs="Times New Roman"/>
      <w:color w:val="000000" w:themeColor="text1"/>
      <w:sz w:val="20"/>
      <w:szCs w:val="20"/>
    </w:rPr>
  </w:style>
  <w:style w:type="paragraph" w:customStyle="1" w:styleId="Attestationcommittalletterlargespaceafter">
    <w:name w:val="Attestation/committal letter large space after"/>
    <w:basedOn w:val="Normal"/>
    <w:uiPriority w:val="99"/>
    <w:rsid w:val="007F28C0"/>
    <w:pPr>
      <w:spacing w:after="720"/>
    </w:pPr>
    <w:rPr>
      <w:szCs w:val="20"/>
    </w:rPr>
  </w:style>
  <w:style w:type="paragraph" w:customStyle="1" w:styleId="Attestationcommitallettersmallspaceafter">
    <w:name w:val="Attestation/commital letter small space after"/>
    <w:basedOn w:val="Normal"/>
    <w:uiPriority w:val="99"/>
    <w:rsid w:val="007F28C0"/>
    <w:pPr>
      <w:spacing w:after="180"/>
    </w:pPr>
    <w:rPr>
      <w:szCs w:val="20"/>
    </w:rPr>
  </w:style>
  <w:style w:type="paragraph" w:customStyle="1" w:styleId="Contentshead">
    <w:name w:val="Contents head"/>
    <w:basedOn w:val="Heading1"/>
    <w:uiPriority w:val="99"/>
    <w:qFormat/>
    <w:rsid w:val="001F185F"/>
    <w:pPr>
      <w:spacing w:before="480" w:after="0" w:line="240" w:lineRule="auto"/>
      <w:ind w:left="851"/>
    </w:pPr>
  </w:style>
  <w:style w:type="paragraph" w:customStyle="1" w:styleId="Imprintinformation">
    <w:name w:val="Imprint  information"/>
    <w:basedOn w:val="Imprintinformationspaced"/>
    <w:uiPriority w:val="99"/>
    <w:rsid w:val="007F28C0"/>
    <w:pPr>
      <w:spacing w:after="90"/>
    </w:pPr>
    <w:rPr>
      <w:szCs w:val="20"/>
    </w:rPr>
  </w:style>
  <w:style w:type="paragraph" w:customStyle="1" w:styleId="Imrpintinformationheading">
    <w:name w:val="Imrpint information heading"/>
    <w:basedOn w:val="Imprintinformationspaced"/>
    <w:uiPriority w:val="99"/>
    <w:rsid w:val="007F28C0"/>
    <w:rPr>
      <w:b/>
      <w:bCs/>
      <w:szCs w:val="20"/>
    </w:rPr>
  </w:style>
  <w:style w:type="paragraph" w:customStyle="1" w:styleId="Indentedtext">
    <w:name w:val="Indented text"/>
    <w:basedOn w:val="Normal"/>
    <w:uiPriority w:val="99"/>
    <w:rsid w:val="007F28C0"/>
    <w:pPr>
      <w:ind w:left="170"/>
    </w:pPr>
    <w:rPr>
      <w:szCs w:val="20"/>
    </w:rPr>
  </w:style>
  <w:style w:type="paragraph" w:customStyle="1" w:styleId="Tablesuperheading">
    <w:name w:val="Table superheading"/>
    <w:basedOn w:val="Tablecolumnheading"/>
    <w:link w:val="TablesuperheadingChar"/>
    <w:qFormat/>
    <w:rsid w:val="007F28C0"/>
    <w:pPr>
      <w:spacing w:before="360"/>
    </w:pPr>
  </w:style>
  <w:style w:type="character" w:customStyle="1" w:styleId="TablesuperheadingChar">
    <w:name w:val="Table superheading Char"/>
    <w:basedOn w:val="TablecolumnheadingChar"/>
    <w:link w:val="Tablesuperheading"/>
    <w:rsid w:val="007F28C0"/>
    <w:rPr>
      <w:rFonts w:ascii="Arial" w:eastAsia="Times New Roman" w:hAnsi="Arial" w:cs="Arial"/>
      <w:b/>
      <w:bCs/>
      <w:color w:val="FFFFFF"/>
      <w:sz w:val="17"/>
      <w:szCs w:val="18"/>
    </w:rPr>
  </w:style>
  <w:style w:type="paragraph" w:styleId="CommentSubject">
    <w:name w:val="annotation subject"/>
    <w:basedOn w:val="CommentText"/>
    <w:next w:val="CommentText"/>
    <w:link w:val="CommentSubjectChar"/>
    <w:hidden/>
    <w:uiPriority w:val="99"/>
    <w:rsid w:val="007F28C0"/>
    <w:rPr>
      <w:b/>
      <w:bCs/>
    </w:rPr>
  </w:style>
  <w:style w:type="character" w:customStyle="1" w:styleId="CommentSubjectChar">
    <w:name w:val="Comment Subject Char"/>
    <w:basedOn w:val="CommentTextChar"/>
    <w:link w:val="CommentSubject"/>
    <w:uiPriority w:val="99"/>
    <w:rsid w:val="007F28C0"/>
    <w:rPr>
      <w:rFonts w:ascii="Arial" w:eastAsia="Times New Roman" w:hAnsi="Arial" w:cs="Times New Roman"/>
      <w:b/>
      <w:bCs/>
      <w:color w:val="000000" w:themeColor="text1"/>
      <w:sz w:val="20"/>
      <w:szCs w:val="20"/>
    </w:rPr>
  </w:style>
  <w:style w:type="paragraph" w:customStyle="1" w:styleId="Heading4pagebreakbefore">
    <w:name w:val="Heading 4 page break before"/>
    <w:basedOn w:val="Heading4"/>
    <w:link w:val="Heading4pagebreakbeforeChar"/>
    <w:qFormat/>
    <w:rsid w:val="007F28C0"/>
    <w:pPr>
      <w:pageBreakBefore/>
      <w:spacing w:before="0"/>
    </w:pPr>
    <w:rPr>
      <w:bCs/>
      <w:iCs/>
    </w:rPr>
  </w:style>
  <w:style w:type="character" w:customStyle="1" w:styleId="Heading4pagebreakbeforeChar">
    <w:name w:val="Heading 4 page break before Char"/>
    <w:basedOn w:val="Heading4Char"/>
    <w:link w:val="Heading4pagebreakbefore"/>
    <w:rsid w:val="007F28C0"/>
    <w:rPr>
      <w:rFonts w:ascii="Arial" w:eastAsia="Times New Roman" w:hAnsi="Arial" w:cs="Times New Roman"/>
      <w:b/>
      <w:bCs/>
      <w:i/>
      <w:iCs/>
      <w:color w:val="000000" w:themeColor="text1"/>
      <w:sz w:val="19"/>
      <w:szCs w:val="24"/>
    </w:rPr>
  </w:style>
  <w:style w:type="paragraph" w:customStyle="1" w:styleId="TablerowheadingVPSstafftable">
    <w:name w:val="Table row heading VPS staff table"/>
    <w:basedOn w:val="Tablerowheading"/>
    <w:uiPriority w:val="99"/>
    <w:rsid w:val="007F28C0"/>
    <w:pPr>
      <w:keepNext/>
      <w:spacing w:before="0" w:after="0"/>
    </w:pPr>
    <w:rPr>
      <w:bCs/>
      <w:sz w:val="16"/>
    </w:rPr>
  </w:style>
  <w:style w:type="table" w:styleId="TableList1">
    <w:name w:val="Table List 1"/>
    <w:basedOn w:val="TableNormal"/>
    <w:uiPriority w:val="99"/>
    <w:unhideWhenUsed/>
    <w:rsid w:val="00776C24"/>
    <w:pPr>
      <w:spacing w:after="9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hidden/>
    <w:rsid w:val="007F28C0"/>
  </w:style>
  <w:style w:type="paragraph" w:styleId="EndnoteText">
    <w:name w:val="endnote text"/>
    <w:basedOn w:val="Normal"/>
    <w:link w:val="EndnoteTextChar"/>
    <w:hidden/>
    <w:uiPriority w:val="99"/>
    <w:rsid w:val="007F28C0"/>
    <w:pPr>
      <w:spacing w:after="0" w:line="240" w:lineRule="auto"/>
    </w:pPr>
    <w:rPr>
      <w:color w:val="747378"/>
      <w:sz w:val="20"/>
      <w:szCs w:val="20"/>
    </w:rPr>
  </w:style>
  <w:style w:type="character" w:customStyle="1" w:styleId="EndnoteTextChar">
    <w:name w:val="Endnote Text Char"/>
    <w:basedOn w:val="DefaultParagraphFont"/>
    <w:link w:val="EndnoteText"/>
    <w:uiPriority w:val="99"/>
    <w:rsid w:val="007F28C0"/>
    <w:rPr>
      <w:rFonts w:ascii="Arial" w:eastAsia="Times New Roman" w:hAnsi="Arial" w:cs="Times New Roman"/>
      <w:color w:val="747378"/>
      <w:sz w:val="20"/>
      <w:szCs w:val="20"/>
    </w:rPr>
  </w:style>
  <w:style w:type="paragraph" w:customStyle="1" w:styleId="Tabletextobjectivestablesnarrow">
    <w:name w:val="Table text objectives tables narrow"/>
    <w:basedOn w:val="Tabletextobjectivestables"/>
    <w:uiPriority w:val="99"/>
    <w:qFormat/>
    <w:rsid w:val="00A31B6D"/>
    <w:pPr>
      <w:spacing w:before="40" w:after="40"/>
      <w:jc w:val="center"/>
    </w:pPr>
    <w:rPr>
      <w:rFonts w:ascii="Arial Narrow" w:hAnsi="Arial Narrow"/>
    </w:rPr>
  </w:style>
  <w:style w:type="paragraph" w:customStyle="1" w:styleId="Tabletextobjectivestables">
    <w:name w:val="Table text objectives tables"/>
    <w:basedOn w:val="Tabletext"/>
    <w:link w:val="TabletextobjectivestablesChar"/>
    <w:qFormat/>
    <w:rsid w:val="007A55AC"/>
    <w:rPr>
      <w:sz w:val="16"/>
      <w:szCs w:val="16"/>
    </w:rPr>
  </w:style>
  <w:style w:type="character" w:customStyle="1" w:styleId="TabletextobjectivestablesChar">
    <w:name w:val="Table text objectives tables Char"/>
    <w:basedOn w:val="TabletextChar"/>
    <w:link w:val="Tabletextobjectivestables"/>
    <w:rsid w:val="007A55AC"/>
    <w:rPr>
      <w:rFonts w:ascii="Arial" w:eastAsia="Times New Roman" w:hAnsi="Arial" w:cs="Arial"/>
      <w:color w:val="000000" w:themeColor="text1"/>
      <w:sz w:val="16"/>
      <w:szCs w:val="16"/>
    </w:rPr>
  </w:style>
  <w:style w:type="paragraph" w:customStyle="1" w:styleId="Tablerowheadingobjectivestables">
    <w:name w:val="Table row heading objectives tables"/>
    <w:basedOn w:val="Tablerowheading"/>
    <w:link w:val="TablerowheadingobjectivestablesChar"/>
    <w:qFormat/>
    <w:rsid w:val="00A31B6D"/>
    <w:pPr>
      <w:widowControl/>
    </w:pPr>
    <w:rPr>
      <w:rFonts w:ascii="Arial Narrow" w:hAnsi="Arial Narrow"/>
      <w:color w:val="auto"/>
      <w:sz w:val="16"/>
      <w:szCs w:val="16"/>
    </w:rPr>
  </w:style>
  <w:style w:type="character" w:customStyle="1" w:styleId="TablerowheadingobjectivestablesChar">
    <w:name w:val="Table row heading objectives tables Char"/>
    <w:basedOn w:val="TablerowheadingChar"/>
    <w:link w:val="Tablerowheadingobjectivestables"/>
    <w:rsid w:val="00A31B6D"/>
    <w:rPr>
      <w:rFonts w:ascii="Arial Narrow" w:eastAsia="Times New Roman" w:hAnsi="Arial Narrow" w:cs="Arial"/>
      <w:b/>
      <w:color w:val="000000" w:themeColor="text1"/>
      <w:sz w:val="16"/>
      <w:szCs w:val="16"/>
    </w:rPr>
  </w:style>
  <w:style w:type="paragraph" w:customStyle="1" w:styleId="Tablecolumnheadingobjectivestables">
    <w:name w:val="Table column heading objectives tables"/>
    <w:basedOn w:val="Tablecolumnheading"/>
    <w:link w:val="TablecolumnheadingobjectivestablesChar"/>
    <w:qFormat/>
    <w:rsid w:val="007F28C0"/>
    <w:rPr>
      <w:b w:val="0"/>
      <w:sz w:val="16"/>
      <w:szCs w:val="16"/>
      <w:lang w:val="en-US"/>
    </w:rPr>
  </w:style>
  <w:style w:type="character" w:customStyle="1" w:styleId="TablecolumnheadingobjectivestablesChar">
    <w:name w:val="Table column heading objectives tables Char"/>
    <w:basedOn w:val="TablecolumnheadingChar"/>
    <w:link w:val="Tablecolumnheadingobjectivestables"/>
    <w:rsid w:val="007F28C0"/>
    <w:rPr>
      <w:rFonts w:ascii="Arial" w:eastAsia="Times New Roman" w:hAnsi="Arial" w:cs="Arial"/>
      <w:b w:val="0"/>
      <w:bCs/>
      <w:color w:val="FFFFFF"/>
      <w:sz w:val="16"/>
      <w:szCs w:val="16"/>
      <w:lang w:val="en-US"/>
    </w:rPr>
  </w:style>
  <w:style w:type="paragraph" w:styleId="HTMLAddress">
    <w:name w:val="HTML Address"/>
    <w:basedOn w:val="Normal"/>
    <w:link w:val="HTMLAddressChar"/>
    <w:uiPriority w:val="99"/>
    <w:semiHidden/>
    <w:unhideWhenUsed/>
    <w:rsid w:val="00776C24"/>
    <w:pPr>
      <w:spacing w:after="0" w:line="240" w:lineRule="auto"/>
    </w:pPr>
    <w:rPr>
      <w:i/>
      <w:iCs/>
    </w:rPr>
  </w:style>
  <w:style w:type="character" w:customStyle="1" w:styleId="HTMLAddressChar">
    <w:name w:val="HTML Address Char"/>
    <w:basedOn w:val="DefaultParagraphFont"/>
    <w:link w:val="HTMLAddress"/>
    <w:uiPriority w:val="99"/>
    <w:semiHidden/>
    <w:rsid w:val="00776C24"/>
    <w:rPr>
      <w:rFonts w:ascii="Arial" w:eastAsia="Times New Roman" w:hAnsi="Arial" w:cs="Times New Roman"/>
      <w:i/>
      <w:iCs/>
      <w:color w:val="000000" w:themeColor="text1"/>
      <w:sz w:val="19"/>
      <w:szCs w:val="24"/>
    </w:rPr>
  </w:style>
  <w:style w:type="paragraph" w:customStyle="1" w:styleId="TablerowheadingoutputtablesAchievementsEngagement">
    <w:name w:val="Table row heading output tables Achievements &amp; Engagement"/>
    <w:basedOn w:val="Tablerowheadingobjectivestables"/>
    <w:uiPriority w:val="99"/>
    <w:rsid w:val="007F28C0"/>
    <w:pPr>
      <w:spacing w:before="40" w:after="40"/>
    </w:pPr>
    <w:rPr>
      <w:rFonts w:cs="Times New Roman"/>
      <w:bCs/>
      <w:szCs w:val="20"/>
    </w:rPr>
  </w:style>
  <w:style w:type="paragraph" w:customStyle="1" w:styleId="DETTablerowheadingoutputstables">
    <w:name w:val="DET Table row heading outputs tables"/>
    <w:basedOn w:val="Tablecolumnheading"/>
    <w:link w:val="DETTablerowheadingoutputstablesChar"/>
    <w:qFormat/>
    <w:rsid w:val="0017233C"/>
    <w:rPr>
      <w:color w:val="FFFFFF" w:themeColor="background1"/>
      <w:sz w:val="16"/>
      <w:szCs w:val="15"/>
    </w:rPr>
  </w:style>
  <w:style w:type="character" w:customStyle="1" w:styleId="DETTablerowheadingoutputstablesChar">
    <w:name w:val="DET Table row heading outputs tables Char"/>
    <w:basedOn w:val="TablerowheadingChar"/>
    <w:link w:val="DETTablerowheadingoutputstables"/>
    <w:rsid w:val="0017233C"/>
    <w:rPr>
      <w:rFonts w:ascii="Arial" w:eastAsia="Times New Roman" w:hAnsi="Arial" w:cs="Arial"/>
      <w:b/>
      <w:bCs/>
      <w:color w:val="FFFFFF" w:themeColor="background1"/>
      <w:sz w:val="16"/>
      <w:szCs w:val="15"/>
    </w:rPr>
  </w:style>
  <w:style w:type="paragraph" w:customStyle="1" w:styleId="TablerowheadingobjectivestablesAchievements">
    <w:name w:val="Table row heading objectives tables Achievements"/>
    <w:basedOn w:val="Tablerowheadingobjectivestables"/>
    <w:uiPriority w:val="99"/>
    <w:rsid w:val="00C67CDF"/>
    <w:pPr>
      <w:spacing w:before="40" w:after="0"/>
    </w:pPr>
    <w:rPr>
      <w:rFonts w:cs="Times New Roman"/>
      <w:bCs/>
      <w:szCs w:val="20"/>
    </w:rPr>
  </w:style>
  <w:style w:type="paragraph" w:customStyle="1" w:styleId="Heading3aftertable">
    <w:name w:val="Heading 3 after table"/>
    <w:basedOn w:val="Heading3"/>
    <w:uiPriority w:val="99"/>
    <w:rsid w:val="007F28C0"/>
    <w:pPr>
      <w:spacing w:before="360"/>
    </w:pPr>
    <w:rPr>
      <w:rFonts w:cs="Times New Roman"/>
      <w:szCs w:val="20"/>
    </w:rPr>
  </w:style>
  <w:style w:type="paragraph" w:customStyle="1" w:styleId="Heading4aftertable">
    <w:name w:val="Heading 4 after table"/>
    <w:basedOn w:val="Heading4"/>
    <w:uiPriority w:val="99"/>
    <w:rsid w:val="007F28C0"/>
    <w:pPr>
      <w:spacing w:before="360"/>
    </w:pPr>
    <w:rPr>
      <w:iCs/>
      <w:szCs w:val="20"/>
    </w:rPr>
  </w:style>
  <w:style w:type="paragraph" w:styleId="Revision">
    <w:name w:val="Revision"/>
    <w:hidden/>
    <w:uiPriority w:val="99"/>
    <w:semiHidden/>
    <w:rsid w:val="00D73748"/>
    <w:pPr>
      <w:spacing w:after="0" w:line="240" w:lineRule="auto"/>
    </w:pPr>
    <w:rPr>
      <w:rFonts w:ascii="Arial" w:eastAsia="Times New Roman" w:hAnsi="Arial" w:cs="Times New Roman"/>
      <w:color w:val="747378"/>
      <w:sz w:val="19"/>
      <w:szCs w:val="24"/>
    </w:rPr>
  </w:style>
  <w:style w:type="paragraph" w:customStyle="1" w:styleId="Tablecolumnheadingfinancialmiddlerow">
    <w:name w:val="Table column heading financial middle row"/>
    <w:basedOn w:val="Tablecolumnheading"/>
    <w:next w:val="DETTablecolumnheading"/>
    <w:uiPriority w:val="99"/>
    <w:rsid w:val="007F28C0"/>
    <w:pPr>
      <w:spacing w:before="0" w:after="0"/>
      <w:jc w:val="center"/>
    </w:pPr>
    <w:rPr>
      <w:rFonts w:cs="Times New Roman"/>
      <w:szCs w:val="20"/>
    </w:rPr>
  </w:style>
  <w:style w:type="paragraph" w:customStyle="1" w:styleId="DETTablecolumnheading">
    <w:name w:val="DET Table column heading"/>
    <w:basedOn w:val="Tablecolumnheading"/>
    <w:link w:val="DETTablecolumnheadingChar"/>
    <w:qFormat/>
    <w:rsid w:val="004B1764"/>
    <w:pPr>
      <w:jc w:val="center"/>
    </w:pPr>
  </w:style>
  <w:style w:type="character" w:customStyle="1" w:styleId="DETTablecolumnheadingChar">
    <w:name w:val="DET Table column heading Char"/>
    <w:basedOn w:val="TablecolumnheadingChar"/>
    <w:link w:val="DETTablecolumnheading"/>
    <w:rsid w:val="004B1764"/>
    <w:rPr>
      <w:rFonts w:ascii="Arial" w:eastAsia="Times New Roman" w:hAnsi="Arial" w:cs="Arial"/>
      <w:b/>
      <w:bCs/>
      <w:color w:val="FFFFFF"/>
      <w:sz w:val="17"/>
      <w:szCs w:val="18"/>
    </w:rPr>
  </w:style>
  <w:style w:type="paragraph" w:customStyle="1" w:styleId="Captionaftertable">
    <w:name w:val="Caption after table"/>
    <w:basedOn w:val="Caption"/>
    <w:uiPriority w:val="99"/>
    <w:rsid w:val="007F28C0"/>
    <w:pPr>
      <w:spacing w:before="360"/>
    </w:pPr>
    <w:rPr>
      <w:iCs/>
      <w:szCs w:val="20"/>
    </w:rPr>
  </w:style>
  <w:style w:type="paragraph" w:customStyle="1" w:styleId="Captionbeforechart">
    <w:name w:val="Caption before chart"/>
    <w:basedOn w:val="Caption"/>
    <w:uiPriority w:val="99"/>
    <w:rsid w:val="007F28C0"/>
    <w:pPr>
      <w:spacing w:after="0"/>
    </w:pPr>
    <w:rPr>
      <w:iCs/>
      <w:szCs w:val="20"/>
    </w:rPr>
  </w:style>
  <w:style w:type="paragraph" w:customStyle="1" w:styleId="ListBulletbeforetable">
    <w:name w:val="List Bullet before table"/>
    <w:basedOn w:val="ListBullet"/>
    <w:uiPriority w:val="99"/>
    <w:rsid w:val="007F28C0"/>
    <w:pPr>
      <w:numPr>
        <w:numId w:val="0"/>
      </w:numPr>
      <w:spacing w:after="90"/>
    </w:pPr>
    <w:rPr>
      <w:szCs w:val="20"/>
    </w:rPr>
  </w:style>
  <w:style w:type="paragraph" w:styleId="Salutation">
    <w:name w:val="Salutation"/>
    <w:basedOn w:val="Normal"/>
    <w:next w:val="Normal"/>
    <w:link w:val="SalutationChar"/>
    <w:uiPriority w:val="99"/>
    <w:semiHidden/>
    <w:unhideWhenUsed/>
    <w:rsid w:val="00776C24"/>
  </w:style>
  <w:style w:type="character" w:customStyle="1" w:styleId="SalutationChar">
    <w:name w:val="Salutation Char"/>
    <w:basedOn w:val="DefaultParagraphFont"/>
    <w:link w:val="Salutation"/>
    <w:uiPriority w:val="99"/>
    <w:semiHidden/>
    <w:rsid w:val="00776C24"/>
    <w:rPr>
      <w:rFonts w:ascii="Arial" w:eastAsia="Times New Roman" w:hAnsi="Arial" w:cs="Times New Roman"/>
      <w:color w:val="000000" w:themeColor="text1"/>
      <w:sz w:val="19"/>
      <w:szCs w:val="24"/>
    </w:rPr>
  </w:style>
  <w:style w:type="paragraph" w:styleId="DocumentMap">
    <w:name w:val="Document Map"/>
    <w:basedOn w:val="Normal"/>
    <w:link w:val="DocumentMapChar"/>
    <w:hidden/>
    <w:uiPriority w:val="99"/>
    <w:semiHidden/>
    <w:rsid w:val="007F28C0"/>
    <w:pPr>
      <w:shd w:val="clear" w:color="auto" w:fill="000080"/>
      <w:spacing w:after="0" w:line="240" w:lineRule="auto"/>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7F28C0"/>
    <w:rPr>
      <w:rFonts w:ascii="Tahoma" w:eastAsia="Times New Roman" w:hAnsi="Tahoma" w:cs="Tahoma"/>
      <w:sz w:val="20"/>
      <w:szCs w:val="20"/>
      <w:shd w:val="clear" w:color="auto" w:fill="000080"/>
    </w:rPr>
  </w:style>
  <w:style w:type="paragraph" w:styleId="ListParagraph">
    <w:name w:val="List Paragraph"/>
    <w:basedOn w:val="Normal"/>
    <w:hidden/>
    <w:uiPriority w:val="34"/>
    <w:qFormat/>
    <w:rsid w:val="007F28C0"/>
    <w:pPr>
      <w:spacing w:after="0" w:line="240" w:lineRule="auto"/>
      <w:ind w:left="720"/>
      <w:contextualSpacing/>
    </w:pPr>
    <w:rPr>
      <w:rFonts w:ascii="Times New Roman" w:hAnsi="Times New Roman"/>
      <w:color w:val="auto"/>
      <w:sz w:val="24"/>
      <w:szCs w:val="20"/>
    </w:rPr>
  </w:style>
  <w:style w:type="paragraph" w:customStyle="1" w:styleId="Heading2financialstatements">
    <w:name w:val="Heading 2 financial statements"/>
    <w:basedOn w:val="Heading2"/>
    <w:link w:val="Heading2financialstatementsChar"/>
    <w:qFormat/>
    <w:rsid w:val="007F28C0"/>
  </w:style>
  <w:style w:type="character" w:customStyle="1" w:styleId="Heading2financialstatementsChar">
    <w:name w:val="Heading 2 financial statements Char"/>
    <w:basedOn w:val="Heading2Char"/>
    <w:link w:val="Heading2financialstatements"/>
    <w:rsid w:val="007F28C0"/>
    <w:rPr>
      <w:rFonts w:ascii="Arial" w:eastAsia="Times New Roman" w:hAnsi="Arial" w:cs="Arial"/>
      <w:bCs/>
      <w:iCs/>
      <w:color w:val="000000" w:themeColor="text1"/>
      <w:sz w:val="28"/>
      <w:szCs w:val="28"/>
    </w:rPr>
  </w:style>
  <w:style w:type="paragraph" w:customStyle="1" w:styleId="TOCheadingendmatter">
    <w:name w:val="TOC heading endmatter"/>
    <w:basedOn w:val="Heading2financialstatements"/>
    <w:link w:val="TOCheadingendmatterChar"/>
    <w:qFormat/>
    <w:rsid w:val="007F28C0"/>
    <w:pPr>
      <w:outlineLvl w:val="9"/>
    </w:pPr>
  </w:style>
  <w:style w:type="character" w:customStyle="1" w:styleId="TOCheadingendmatterChar">
    <w:name w:val="TOC heading endmatter Char"/>
    <w:basedOn w:val="Heading2financialstatementsChar"/>
    <w:link w:val="TOCheadingendmatter"/>
    <w:rsid w:val="007F28C0"/>
    <w:rPr>
      <w:rFonts w:ascii="Arial" w:eastAsia="Times New Roman" w:hAnsi="Arial" w:cs="Arial"/>
      <w:bCs/>
      <w:iCs/>
      <w:color w:val="000000" w:themeColor="text1"/>
      <w:sz w:val="28"/>
      <w:szCs w:val="28"/>
    </w:rPr>
  </w:style>
  <w:style w:type="paragraph" w:styleId="PlainText">
    <w:name w:val="Plain Text"/>
    <w:basedOn w:val="Normal"/>
    <w:link w:val="PlainTextChar"/>
    <w:hidden/>
    <w:uiPriority w:val="99"/>
    <w:semiHidden/>
    <w:unhideWhenUsed/>
    <w:rsid w:val="007F28C0"/>
    <w:pPr>
      <w:spacing w:after="0"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F28C0"/>
    <w:rPr>
      <w:rFonts w:ascii="Calibri" w:hAnsi="Calibri" w:cs="Consolas"/>
      <w:szCs w:val="21"/>
    </w:rPr>
  </w:style>
  <w:style w:type="paragraph" w:customStyle="1" w:styleId="TabletextVPSstafftable">
    <w:name w:val="Table text VPS staff table"/>
    <w:basedOn w:val="Tabletext"/>
    <w:uiPriority w:val="99"/>
    <w:rsid w:val="007F28C0"/>
    <w:rPr>
      <w:sz w:val="16"/>
    </w:rPr>
  </w:style>
  <w:style w:type="paragraph" w:customStyle="1" w:styleId="Heading2notes">
    <w:name w:val="Heading 2 notes"/>
    <w:basedOn w:val="Heading2financialstatements"/>
    <w:link w:val="Heading2notesChar"/>
    <w:uiPriority w:val="99"/>
    <w:qFormat/>
    <w:rsid w:val="0099731B"/>
    <w:pPr>
      <w:numPr>
        <w:numId w:val="10"/>
      </w:numPr>
      <w:tabs>
        <w:tab w:val="left" w:pos="1134"/>
      </w:tabs>
    </w:pPr>
  </w:style>
  <w:style w:type="character" w:customStyle="1" w:styleId="Heading2notesChar">
    <w:name w:val="Heading 2 notes Char"/>
    <w:basedOn w:val="Heading2financialstatementsChar"/>
    <w:link w:val="Heading2notes"/>
    <w:uiPriority w:val="99"/>
    <w:rsid w:val="0099731B"/>
    <w:rPr>
      <w:rFonts w:ascii="Arial" w:eastAsia="Times New Roman" w:hAnsi="Arial" w:cs="Arial"/>
      <w:bCs/>
      <w:iCs/>
      <w:color w:val="000000" w:themeColor="text1"/>
      <w:sz w:val="28"/>
      <w:szCs w:val="28"/>
    </w:rPr>
  </w:style>
  <w:style w:type="character" w:styleId="HTMLCite">
    <w:name w:val="HTML Cite"/>
    <w:basedOn w:val="DefaultParagraphFont"/>
    <w:uiPriority w:val="99"/>
    <w:semiHidden/>
    <w:unhideWhenUsed/>
    <w:rsid w:val="00776C24"/>
    <w:rPr>
      <w:i/>
      <w:iCs/>
    </w:rPr>
  </w:style>
  <w:style w:type="character" w:styleId="HTMLCode">
    <w:name w:val="HTML Code"/>
    <w:basedOn w:val="DefaultParagraphFont"/>
    <w:uiPriority w:val="99"/>
    <w:semiHidden/>
    <w:unhideWhenUsed/>
    <w:rsid w:val="00776C24"/>
    <w:rPr>
      <w:rFonts w:ascii="Consolas" w:hAnsi="Consolas" w:cs="Consolas"/>
      <w:sz w:val="20"/>
      <w:szCs w:val="20"/>
    </w:rPr>
  </w:style>
  <w:style w:type="paragraph" w:customStyle="1" w:styleId="Heading4notes">
    <w:name w:val="Heading 4 notes"/>
    <w:basedOn w:val="Heading4"/>
    <w:link w:val="Heading4notesChar"/>
    <w:qFormat/>
    <w:rsid w:val="007F28C0"/>
  </w:style>
  <w:style w:type="character" w:customStyle="1" w:styleId="Heading4notesChar">
    <w:name w:val="Heading 4 notes Char"/>
    <w:basedOn w:val="Heading4Char"/>
    <w:link w:val="Heading4notes"/>
    <w:rsid w:val="007F28C0"/>
    <w:rPr>
      <w:rFonts w:ascii="Arial" w:eastAsia="Times New Roman" w:hAnsi="Arial" w:cs="Times New Roman"/>
      <w:b/>
      <w:i/>
      <w:color w:val="000000" w:themeColor="text1"/>
      <w:sz w:val="19"/>
      <w:szCs w:val="24"/>
    </w:rPr>
  </w:style>
  <w:style w:type="paragraph" w:customStyle="1" w:styleId="DETNormalafterlist">
    <w:name w:val="DET Normal after list"/>
    <w:basedOn w:val="Normalaftertable"/>
    <w:next w:val="Normal"/>
    <w:link w:val="DETNormalafterlistChar"/>
    <w:qFormat/>
    <w:rsid w:val="00CD091A"/>
    <w:pPr>
      <w:spacing w:before="240"/>
    </w:pPr>
  </w:style>
  <w:style w:type="character" w:customStyle="1" w:styleId="DETNormalafterlistChar">
    <w:name w:val="DET Normal after list Char"/>
    <w:basedOn w:val="NormalaftertableChar"/>
    <w:link w:val="DETNormalafterlist"/>
    <w:rsid w:val="00CD091A"/>
    <w:rPr>
      <w:rFonts w:ascii="Arial" w:eastAsia="Times New Roman" w:hAnsi="Arial" w:cs="Times New Roman"/>
      <w:color w:val="000000" w:themeColor="text1"/>
      <w:sz w:val="19"/>
      <w:szCs w:val="24"/>
    </w:rPr>
  </w:style>
  <w:style w:type="paragraph" w:styleId="BalloonText">
    <w:name w:val="Balloon Text"/>
    <w:basedOn w:val="Normal"/>
    <w:link w:val="BalloonTextChar"/>
    <w:hidden/>
    <w:uiPriority w:val="99"/>
    <w:unhideWhenUsed/>
    <w:rsid w:val="007F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8C0"/>
    <w:rPr>
      <w:rFonts w:ascii="Tahoma" w:eastAsia="Times New Roman" w:hAnsi="Tahoma" w:cs="Tahoma"/>
      <w:color w:val="000000" w:themeColor="text1"/>
      <w:sz w:val="16"/>
      <w:szCs w:val="16"/>
    </w:rPr>
  </w:style>
  <w:style w:type="paragraph" w:customStyle="1" w:styleId="Tablecolumnheadingfinancialtoprow">
    <w:name w:val="Table column heading financial top row"/>
    <w:basedOn w:val="Tablecolumnheading"/>
    <w:link w:val="TablecolumnheadingfinancialtoprowChar"/>
    <w:rsid w:val="007F28C0"/>
    <w:pPr>
      <w:spacing w:after="0"/>
      <w:jc w:val="center"/>
    </w:pPr>
  </w:style>
  <w:style w:type="character" w:customStyle="1" w:styleId="TablecolumnheadingfinancialtoprowChar">
    <w:name w:val="Table column heading financial top row Char"/>
    <w:basedOn w:val="TabletextChar"/>
    <w:link w:val="Tablecolumnheadingfinancialtoprow"/>
    <w:rsid w:val="007F28C0"/>
    <w:rPr>
      <w:rFonts w:ascii="Arial" w:eastAsia="Times New Roman" w:hAnsi="Arial" w:cs="Arial"/>
      <w:b/>
      <w:bCs/>
      <w:color w:val="FFFFFF"/>
      <w:sz w:val="17"/>
      <w:szCs w:val="18"/>
    </w:rPr>
  </w:style>
  <w:style w:type="paragraph" w:customStyle="1" w:styleId="Tabletotal">
    <w:name w:val="Table total"/>
    <w:basedOn w:val="Normal"/>
    <w:link w:val="TabletotalChar"/>
    <w:qFormat/>
    <w:rsid w:val="007F28C0"/>
    <w:pPr>
      <w:widowControl w:val="0"/>
      <w:tabs>
        <w:tab w:val="left" w:pos="205"/>
      </w:tabs>
      <w:spacing w:before="40" w:after="200"/>
    </w:pPr>
    <w:rPr>
      <w:rFonts w:cs="Arial"/>
      <w:b/>
      <w:sz w:val="17"/>
    </w:rPr>
  </w:style>
  <w:style w:type="character" w:customStyle="1" w:styleId="TabletotalChar">
    <w:name w:val="Table total Char"/>
    <w:basedOn w:val="DefaultParagraphFont"/>
    <w:link w:val="Tabletotal"/>
    <w:rsid w:val="007F28C0"/>
    <w:rPr>
      <w:rFonts w:ascii="Arial" w:eastAsia="Times New Roman" w:hAnsi="Arial" w:cs="Arial"/>
      <w:b/>
      <w:color w:val="000000" w:themeColor="text1"/>
      <w:sz w:val="17"/>
      <w:szCs w:val="24"/>
    </w:rPr>
  </w:style>
  <w:style w:type="paragraph" w:customStyle="1" w:styleId="Tablesubheadingsubsequentrow">
    <w:name w:val="Table subheading subsequent row"/>
    <w:basedOn w:val="Tablesubheadingfirstrow"/>
    <w:link w:val="TablesubheadingsubsequentrowChar"/>
    <w:qFormat/>
    <w:rsid w:val="007F28C0"/>
    <w:pPr>
      <w:spacing w:before="0"/>
    </w:pPr>
  </w:style>
  <w:style w:type="character" w:customStyle="1" w:styleId="TablesubheadingsubsequentrowChar">
    <w:name w:val="Table subheading subsequent row Char"/>
    <w:basedOn w:val="TablesubheadingfirstrowChar"/>
    <w:link w:val="Tablesubheadingsubsequentrow"/>
    <w:rsid w:val="007F28C0"/>
    <w:rPr>
      <w:rFonts w:ascii="Arial" w:eastAsia="Times New Roman" w:hAnsi="Arial" w:cs="Arial"/>
      <w:b/>
      <w:snapToGrid w:val="0"/>
      <w:color w:val="000000" w:themeColor="text1"/>
      <w:sz w:val="17"/>
      <w:szCs w:val="18"/>
    </w:rPr>
  </w:style>
  <w:style w:type="paragraph" w:customStyle="1" w:styleId="Tablesubheadingitalic">
    <w:name w:val="Table subheading italic"/>
    <w:basedOn w:val="Tablesubheadingsubsequentrow"/>
    <w:link w:val="TablesubheadingitalicChar"/>
    <w:uiPriority w:val="99"/>
    <w:qFormat/>
    <w:rsid w:val="007F28C0"/>
    <w:rPr>
      <w:i/>
    </w:rPr>
  </w:style>
  <w:style w:type="character" w:customStyle="1" w:styleId="TablesubheadingitalicChar">
    <w:name w:val="Table subheading italic Char"/>
    <w:basedOn w:val="TablesubheadingsubsequentrowChar"/>
    <w:link w:val="Tablesubheadingitalic"/>
    <w:uiPriority w:val="99"/>
    <w:rsid w:val="007F28C0"/>
    <w:rPr>
      <w:rFonts w:ascii="Arial" w:eastAsia="Times New Roman" w:hAnsi="Arial" w:cs="Arial"/>
      <w:b/>
      <w:i/>
      <w:snapToGrid w:val="0"/>
      <w:color w:val="000000" w:themeColor="text1"/>
      <w:sz w:val="17"/>
      <w:szCs w:val="18"/>
    </w:rPr>
  </w:style>
  <w:style w:type="character" w:styleId="Hyperlink">
    <w:name w:val="Hyperlink"/>
    <w:basedOn w:val="DefaultParagraphFont"/>
    <w:uiPriority w:val="99"/>
    <w:unhideWhenUsed/>
    <w:rsid w:val="00F8284A"/>
    <w:rPr>
      <w:color w:val="auto"/>
    </w:rPr>
  </w:style>
  <w:style w:type="paragraph" w:styleId="Signature">
    <w:name w:val="Signature"/>
    <w:basedOn w:val="Normal"/>
    <w:link w:val="SignatureChar"/>
    <w:uiPriority w:val="99"/>
    <w:semiHidden/>
    <w:unhideWhenUsed/>
    <w:rsid w:val="00776C24"/>
    <w:pPr>
      <w:spacing w:after="0" w:line="240" w:lineRule="auto"/>
      <w:ind w:left="4252"/>
    </w:pPr>
  </w:style>
  <w:style w:type="paragraph" w:customStyle="1" w:styleId="Normalbeforeandafterlist">
    <w:name w:val="Normal before and after list"/>
    <w:basedOn w:val="DETNormalafterlist"/>
    <w:uiPriority w:val="99"/>
    <w:rsid w:val="007F28C0"/>
    <w:pPr>
      <w:spacing w:after="40"/>
    </w:pPr>
    <w:rPr>
      <w:szCs w:val="20"/>
    </w:rPr>
  </w:style>
  <w:style w:type="paragraph" w:customStyle="1" w:styleId="Tabletotalnarrow">
    <w:name w:val="Table total narrow"/>
    <w:basedOn w:val="Tabletotal"/>
    <w:link w:val="TabletotalnarrowChar"/>
    <w:qFormat/>
    <w:rsid w:val="007F28C0"/>
    <w:pPr>
      <w:spacing w:before="20" w:after="120"/>
    </w:pPr>
    <w:rPr>
      <w:rFonts w:ascii="Arial Narrow" w:hAnsi="Arial Narrow"/>
      <w:sz w:val="16"/>
    </w:rPr>
  </w:style>
  <w:style w:type="character" w:customStyle="1" w:styleId="TabletotalnarrowChar">
    <w:name w:val="Table total narrow Char"/>
    <w:basedOn w:val="TabletotalChar"/>
    <w:link w:val="Tabletotalnarrow"/>
    <w:rsid w:val="007F28C0"/>
    <w:rPr>
      <w:rFonts w:ascii="Arial Narrow" w:eastAsia="Times New Roman" w:hAnsi="Arial Narrow" w:cs="Arial"/>
      <w:b/>
      <w:color w:val="000000" w:themeColor="text1"/>
      <w:sz w:val="16"/>
      <w:szCs w:val="24"/>
    </w:rPr>
  </w:style>
  <w:style w:type="paragraph" w:styleId="BodyText">
    <w:name w:val="Body Text"/>
    <w:basedOn w:val="Normal"/>
    <w:link w:val="BodyTextChar"/>
    <w:hidden/>
    <w:uiPriority w:val="99"/>
    <w:rsid w:val="007F28C0"/>
    <w:pPr>
      <w:jc w:val="both"/>
    </w:pPr>
    <w:rPr>
      <w:sz w:val="18"/>
      <w:szCs w:val="18"/>
    </w:rPr>
  </w:style>
  <w:style w:type="character" w:customStyle="1" w:styleId="BodyTextChar">
    <w:name w:val="Body Text Char"/>
    <w:basedOn w:val="DefaultParagraphFont"/>
    <w:link w:val="BodyText"/>
    <w:uiPriority w:val="99"/>
    <w:rsid w:val="007F28C0"/>
    <w:rPr>
      <w:rFonts w:ascii="Arial" w:eastAsia="Times New Roman" w:hAnsi="Arial" w:cs="Times New Roman"/>
      <w:color w:val="000000" w:themeColor="text1"/>
      <w:sz w:val="18"/>
      <w:szCs w:val="18"/>
    </w:rPr>
  </w:style>
  <w:style w:type="paragraph" w:styleId="NormalWeb">
    <w:name w:val="Normal (Web)"/>
    <w:basedOn w:val="Normal"/>
    <w:hidden/>
    <w:uiPriority w:val="99"/>
    <w:rsid w:val="007F28C0"/>
    <w:pPr>
      <w:spacing w:before="96" w:after="240"/>
      <w:ind w:left="120"/>
    </w:pPr>
    <w:rPr>
      <w:lang w:eastAsia="en-AU"/>
    </w:rPr>
  </w:style>
  <w:style w:type="paragraph" w:styleId="EnvelopeAddress">
    <w:name w:val="envelope address"/>
    <w:basedOn w:val="Normal"/>
    <w:uiPriority w:val="99"/>
    <w:semiHidden/>
    <w:unhideWhenUsed/>
    <w:rsid w:val="00776C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table" w:styleId="TableList2">
    <w:name w:val="Table List 2"/>
    <w:basedOn w:val="TableNormal"/>
    <w:uiPriority w:val="99"/>
    <w:unhideWhenUsed/>
    <w:rsid w:val="00776C24"/>
    <w:pPr>
      <w:spacing w:after="9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6C24"/>
    <w:pPr>
      <w:spacing w:after="9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6C24"/>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esnumbered">
    <w:name w:val="Heading 3 notes numbered"/>
    <w:basedOn w:val="Normal"/>
    <w:next w:val="Normal"/>
    <w:link w:val="Heading3notesnumberedChar"/>
    <w:uiPriority w:val="99"/>
    <w:qFormat/>
    <w:rsid w:val="00711F35"/>
    <w:pPr>
      <w:keepNext/>
      <w:numPr>
        <w:numId w:val="1"/>
      </w:numPr>
      <w:tabs>
        <w:tab w:val="left" w:pos="567"/>
      </w:tabs>
      <w:spacing w:before="250" w:line="280" w:lineRule="atLeast"/>
      <w:outlineLvl w:val="2"/>
    </w:pPr>
    <w:rPr>
      <w:rFonts w:cs="Arial"/>
      <w:b/>
      <w:bCs/>
      <w:sz w:val="22"/>
      <w:szCs w:val="19"/>
      <w:lang w:eastAsia="en-AU"/>
    </w:rPr>
  </w:style>
  <w:style w:type="character" w:customStyle="1" w:styleId="Heading3notesnumberedChar">
    <w:name w:val="Heading 3 notes numbered Char"/>
    <w:basedOn w:val="DefaultParagraphFont"/>
    <w:link w:val="Heading3notesnumbered"/>
    <w:uiPriority w:val="99"/>
    <w:rsid w:val="00711F35"/>
    <w:rPr>
      <w:rFonts w:ascii="Arial" w:eastAsia="Times New Roman" w:hAnsi="Arial" w:cs="Arial"/>
      <w:b/>
      <w:bCs/>
      <w:color w:val="000000" w:themeColor="text1"/>
      <w:szCs w:val="19"/>
      <w:lang w:eastAsia="en-AU"/>
    </w:rPr>
  </w:style>
  <w:style w:type="paragraph" w:customStyle="1" w:styleId="Tablecolheadfintopnarrow">
    <w:name w:val="Table col head fin top narrow"/>
    <w:basedOn w:val="Tabletextobjectivestables"/>
    <w:link w:val="TablecolheadfintopnarrowChar"/>
    <w:qFormat/>
    <w:rsid w:val="007F28C0"/>
    <w:pPr>
      <w:keepNext/>
      <w:spacing w:before="60" w:after="0"/>
      <w:jc w:val="center"/>
    </w:pPr>
    <w:rPr>
      <w:color w:val="FFFFFF" w:themeColor="background1"/>
    </w:rPr>
  </w:style>
  <w:style w:type="character" w:customStyle="1" w:styleId="TablecolheadfintopnarrowChar">
    <w:name w:val="Table col head fin top narrow Char"/>
    <w:basedOn w:val="TablecolumnheadingfinancialtoprowChar"/>
    <w:link w:val="Tablecolheadfintopnarrow"/>
    <w:rsid w:val="007F28C0"/>
    <w:rPr>
      <w:rFonts w:ascii="Arial Narrow" w:eastAsia="Times New Roman" w:hAnsi="Arial Narrow" w:cs="Arial"/>
      <w:b w:val="0"/>
      <w:bCs w:val="0"/>
      <w:color w:val="FFFFFF" w:themeColor="background1"/>
      <w:sz w:val="16"/>
      <w:szCs w:val="16"/>
    </w:rPr>
  </w:style>
  <w:style w:type="paragraph" w:customStyle="1" w:styleId="Tablecolheadfinbottomnarrow">
    <w:name w:val="Table col head fin bottom narrow"/>
    <w:basedOn w:val="Tablecolheadfintopnarrow"/>
    <w:link w:val="TablecolheadfinbottomnarrowChar"/>
    <w:qFormat/>
    <w:rsid w:val="007F28C0"/>
    <w:pPr>
      <w:spacing w:before="0" w:after="60"/>
    </w:pPr>
  </w:style>
  <w:style w:type="character" w:customStyle="1" w:styleId="TablecolheadfinbottomnarrowChar">
    <w:name w:val="Table col head fin bottom narrow Char"/>
    <w:basedOn w:val="TablecolheadfintopnarrowChar"/>
    <w:link w:val="Tablecolheadfinbottomnarrow"/>
    <w:rsid w:val="007F28C0"/>
    <w:rPr>
      <w:rFonts w:ascii="Arial Narrow" w:eastAsia="Times New Roman" w:hAnsi="Arial Narrow" w:cs="Arial"/>
      <w:b w:val="0"/>
      <w:bCs w:val="0"/>
      <w:color w:val="FFFFFF" w:themeColor="background1"/>
      <w:sz w:val="16"/>
      <w:szCs w:val="16"/>
    </w:rPr>
  </w:style>
  <w:style w:type="paragraph" w:customStyle="1" w:styleId="Tablesubheadingfirstnarrow">
    <w:name w:val="Table subheading first narrow"/>
    <w:basedOn w:val="Tablesubheadingfirstrow"/>
    <w:link w:val="TablesubheadingfirstnarrowChar"/>
    <w:qFormat/>
    <w:rsid w:val="007F28C0"/>
    <w:rPr>
      <w:rFonts w:ascii="Arial Narrow" w:hAnsi="Arial Narrow"/>
      <w:sz w:val="16"/>
    </w:rPr>
  </w:style>
  <w:style w:type="character" w:customStyle="1" w:styleId="TablesubheadingfirstnarrowChar">
    <w:name w:val="Table subheading first narrow Char"/>
    <w:basedOn w:val="TablesubheadingfirstrowChar"/>
    <w:link w:val="Tablesubheadingfirstnarrow"/>
    <w:rsid w:val="007F28C0"/>
    <w:rPr>
      <w:rFonts w:ascii="Arial Narrow" w:eastAsia="Times New Roman" w:hAnsi="Arial Narrow" w:cs="Arial"/>
      <w:b/>
      <w:snapToGrid w:val="0"/>
      <w:color w:val="000000" w:themeColor="text1"/>
      <w:sz w:val="16"/>
      <w:szCs w:val="18"/>
    </w:rPr>
  </w:style>
  <w:style w:type="paragraph" w:customStyle="1" w:styleId="Tablesubheadingsubsequentnarrow">
    <w:name w:val="Table subheading subsequent narrow"/>
    <w:basedOn w:val="Tablesubheadingsubsequentrow"/>
    <w:link w:val="TablesubheadingsubsequentnarrowChar"/>
    <w:qFormat/>
    <w:rsid w:val="007F28C0"/>
    <w:rPr>
      <w:rFonts w:ascii="Arial Narrow" w:hAnsi="Arial Narrow"/>
      <w:sz w:val="16"/>
    </w:rPr>
  </w:style>
  <w:style w:type="character" w:customStyle="1" w:styleId="TablesubheadingsubsequentnarrowChar">
    <w:name w:val="Table subheading subsequent narrow Char"/>
    <w:basedOn w:val="TablesubheadingfirstnarrowChar"/>
    <w:link w:val="Tablesubheadingsubsequentnarrow"/>
    <w:rsid w:val="007F28C0"/>
    <w:rPr>
      <w:rFonts w:ascii="Arial Narrow" w:eastAsia="Times New Roman" w:hAnsi="Arial Narrow" w:cs="Arial"/>
      <w:b/>
      <w:snapToGrid w:val="0"/>
      <w:color w:val="000000" w:themeColor="text1"/>
      <w:sz w:val="16"/>
      <w:szCs w:val="18"/>
    </w:rPr>
  </w:style>
  <w:style w:type="paragraph" w:customStyle="1" w:styleId="Tablesubheadingfirstrownarrow">
    <w:name w:val="Table subheading first row narrow"/>
    <w:basedOn w:val="Tablesubheadingfirstrow"/>
    <w:uiPriority w:val="99"/>
    <w:rsid w:val="007F28C0"/>
    <w:rPr>
      <w:rFonts w:ascii="Arial Narrow" w:hAnsi="Arial Narrow"/>
      <w:bCs/>
      <w:sz w:val="16"/>
    </w:rPr>
  </w:style>
  <w:style w:type="paragraph" w:customStyle="1" w:styleId="TabletotalbeforeTablesubheadingitalic">
    <w:name w:val="Table total before Table subheading italic"/>
    <w:basedOn w:val="Tabletotal"/>
    <w:uiPriority w:val="99"/>
    <w:rsid w:val="007F28C0"/>
    <w:pPr>
      <w:spacing w:after="40"/>
    </w:pPr>
    <w:rPr>
      <w:rFonts w:cs="Times New Roman"/>
      <w:bCs/>
      <w:szCs w:val="20"/>
    </w:rPr>
  </w:style>
  <w:style w:type="paragraph" w:customStyle="1" w:styleId="ListBulletaftertable">
    <w:name w:val="List Bullet after table"/>
    <w:basedOn w:val="ListBullet"/>
    <w:uiPriority w:val="99"/>
    <w:rsid w:val="007F28C0"/>
    <w:pPr>
      <w:numPr>
        <w:numId w:val="0"/>
      </w:numPr>
      <w:spacing w:before="200"/>
    </w:pPr>
    <w:rPr>
      <w:szCs w:val="20"/>
    </w:rPr>
  </w:style>
  <w:style w:type="paragraph" w:styleId="TOC4">
    <w:name w:val="toc 4"/>
    <w:basedOn w:val="Normal"/>
    <w:next w:val="Normal"/>
    <w:autoRedefine/>
    <w:hidden/>
    <w:uiPriority w:val="39"/>
    <w:unhideWhenUsed/>
    <w:rsid w:val="007F28C0"/>
    <w:pPr>
      <w:spacing w:after="100" w:line="276" w:lineRule="auto"/>
      <w:ind w:left="660"/>
    </w:pPr>
    <w:rPr>
      <w:rFonts w:asciiTheme="minorHAnsi" w:eastAsiaTheme="minorEastAsia" w:hAnsiTheme="minorHAnsi" w:cstheme="minorBidi"/>
      <w:color w:val="auto"/>
      <w:sz w:val="22"/>
      <w:szCs w:val="22"/>
      <w:lang w:eastAsia="en-AU"/>
    </w:rPr>
  </w:style>
  <w:style w:type="paragraph" w:styleId="TOC5">
    <w:name w:val="toc 5"/>
    <w:basedOn w:val="Normal"/>
    <w:next w:val="Normal"/>
    <w:autoRedefine/>
    <w:hidden/>
    <w:uiPriority w:val="39"/>
    <w:unhideWhenUsed/>
    <w:rsid w:val="007F28C0"/>
    <w:pPr>
      <w:spacing w:after="100" w:line="276"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hidden/>
    <w:uiPriority w:val="39"/>
    <w:unhideWhenUsed/>
    <w:rsid w:val="007F28C0"/>
    <w:pPr>
      <w:spacing w:after="100" w:line="276"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hidden/>
    <w:uiPriority w:val="39"/>
    <w:unhideWhenUsed/>
    <w:rsid w:val="007F28C0"/>
    <w:pPr>
      <w:spacing w:after="100" w:line="276"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hidden/>
    <w:uiPriority w:val="39"/>
    <w:unhideWhenUsed/>
    <w:rsid w:val="007F28C0"/>
    <w:pPr>
      <w:spacing w:after="100" w:line="276"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hidden/>
    <w:uiPriority w:val="39"/>
    <w:unhideWhenUsed/>
    <w:rsid w:val="007F28C0"/>
    <w:pPr>
      <w:spacing w:after="100" w:line="276" w:lineRule="auto"/>
      <w:ind w:left="1760"/>
    </w:pPr>
    <w:rPr>
      <w:rFonts w:asciiTheme="minorHAnsi" w:eastAsiaTheme="minorEastAsia" w:hAnsiTheme="minorHAnsi" w:cstheme="minorBidi"/>
      <w:color w:val="auto"/>
      <w:sz w:val="22"/>
      <w:szCs w:val="22"/>
      <w:lang w:eastAsia="en-AU"/>
    </w:rPr>
  </w:style>
  <w:style w:type="paragraph" w:customStyle="1" w:styleId="Tablecolheadfinmiddlenarrow">
    <w:name w:val="Table col head fin middle narrow"/>
    <w:basedOn w:val="Tablecolheadfinbottomnarrow"/>
    <w:link w:val="TablecolheadfinmiddlenarrowChar"/>
    <w:qFormat/>
    <w:rsid w:val="007F28C0"/>
    <w:pPr>
      <w:spacing w:after="0"/>
    </w:pPr>
  </w:style>
  <w:style w:type="character" w:customStyle="1" w:styleId="TablecolheadfinmiddlenarrowChar">
    <w:name w:val="Table col head fin middle narrow Char"/>
    <w:basedOn w:val="TablecolheadfinbottomnarrowChar"/>
    <w:link w:val="Tablecolheadfinmiddlenarrow"/>
    <w:rsid w:val="007F28C0"/>
    <w:rPr>
      <w:rFonts w:ascii="Arial Narrow" w:eastAsia="Times New Roman" w:hAnsi="Arial Narrow" w:cs="Arial"/>
      <w:b w:val="0"/>
      <w:bCs w:val="0"/>
      <w:color w:val="FFFFFF" w:themeColor="background1"/>
      <w:sz w:val="16"/>
      <w:szCs w:val="16"/>
    </w:rPr>
  </w:style>
  <w:style w:type="paragraph" w:customStyle="1" w:styleId="Tablesubheadingitalicnarrow">
    <w:name w:val="Table subheading italic narrow"/>
    <w:basedOn w:val="Tablesubheadingitalic"/>
    <w:link w:val="TablesubheadingitalicnarrowChar"/>
    <w:qFormat/>
    <w:rsid w:val="007F28C0"/>
    <w:pPr>
      <w:spacing w:after="60"/>
    </w:pPr>
    <w:rPr>
      <w:rFonts w:ascii="Arial Narrow" w:hAnsi="Arial Narrow"/>
      <w:sz w:val="16"/>
      <w:szCs w:val="16"/>
    </w:rPr>
  </w:style>
  <w:style w:type="character" w:customStyle="1" w:styleId="TablesubheadingitalicnarrowChar">
    <w:name w:val="Table subheading italic narrow Char"/>
    <w:basedOn w:val="TablesubheadingitalicChar"/>
    <w:link w:val="Tablesubheadingitalicnarrow"/>
    <w:rsid w:val="007F28C0"/>
    <w:rPr>
      <w:rFonts w:ascii="Arial Narrow" w:eastAsia="Times New Roman" w:hAnsi="Arial Narrow" w:cs="Arial"/>
      <w:b/>
      <w:i/>
      <w:snapToGrid w:val="0"/>
      <w:color w:val="000000" w:themeColor="text1"/>
      <w:sz w:val="16"/>
      <w:szCs w:val="16"/>
    </w:rPr>
  </w:style>
  <w:style w:type="paragraph" w:customStyle="1" w:styleId="Tablesubheadingfirstnarrow75pt">
    <w:name w:val="Table subheading first narrow + 7.5 pt"/>
    <w:basedOn w:val="Tablesubheadingfirstnarrow"/>
    <w:uiPriority w:val="99"/>
    <w:rsid w:val="007F28C0"/>
    <w:pPr>
      <w:spacing w:before="120" w:after="60"/>
    </w:pPr>
    <w:rPr>
      <w:bCs/>
      <w:sz w:val="15"/>
    </w:rPr>
  </w:style>
  <w:style w:type="paragraph" w:customStyle="1" w:styleId="Tablesubheadingfirstrownarrow75pt">
    <w:name w:val="Table subheading first row narrow + 7.5 pt"/>
    <w:basedOn w:val="Tablesubheadingfirstrownarrow"/>
    <w:uiPriority w:val="99"/>
    <w:rsid w:val="007F28C0"/>
    <w:pPr>
      <w:spacing w:before="120" w:after="60"/>
    </w:pPr>
    <w:rPr>
      <w:sz w:val="15"/>
    </w:rPr>
  </w:style>
  <w:style w:type="paragraph" w:customStyle="1" w:styleId="Tablecolheadfinbottomnarrow75pt">
    <w:name w:val="Table col head fin bottom narrow + 7.5 pt"/>
    <w:basedOn w:val="Tablecolheadfinbottomnarrow"/>
    <w:uiPriority w:val="99"/>
    <w:rsid w:val="007F28C0"/>
    <w:rPr>
      <w:sz w:val="15"/>
    </w:rPr>
  </w:style>
  <w:style w:type="paragraph" w:customStyle="1" w:styleId="ListBullet20">
    <w:name w:val="List Bullet_2"/>
    <w:basedOn w:val="ListBullet"/>
    <w:uiPriority w:val="99"/>
    <w:qFormat/>
    <w:rsid w:val="002511E8"/>
    <w:pPr>
      <w:numPr>
        <w:numId w:val="22"/>
      </w:numPr>
      <w:tabs>
        <w:tab w:val="clear" w:pos="170"/>
        <w:tab w:val="left" w:pos="284"/>
      </w:tabs>
      <w:ind w:left="426" w:hanging="284"/>
    </w:pPr>
  </w:style>
  <w:style w:type="paragraph" w:customStyle="1" w:styleId="DETHeading2">
    <w:name w:val="DET Heading 2"/>
    <w:basedOn w:val="Heading2"/>
    <w:next w:val="Normal"/>
    <w:link w:val="DETHeading2Char"/>
    <w:qFormat/>
    <w:rsid w:val="00AD2C55"/>
  </w:style>
  <w:style w:type="character" w:customStyle="1" w:styleId="DETHeading2Char">
    <w:name w:val="DET Heading 2 Char"/>
    <w:basedOn w:val="Heading2Char"/>
    <w:link w:val="DETHeading2"/>
    <w:rsid w:val="007F28C0"/>
    <w:rPr>
      <w:rFonts w:ascii="Arial" w:eastAsia="Times New Roman" w:hAnsi="Arial" w:cs="Arial"/>
      <w:bCs/>
      <w:iCs/>
      <w:color w:val="000000" w:themeColor="text1"/>
      <w:sz w:val="28"/>
      <w:szCs w:val="28"/>
    </w:rPr>
  </w:style>
  <w:style w:type="paragraph" w:customStyle="1" w:styleId="Normalaftertabledeepspace">
    <w:name w:val="Normal after table deep space"/>
    <w:basedOn w:val="Normalaftertable"/>
    <w:uiPriority w:val="99"/>
    <w:rsid w:val="007F28C0"/>
    <w:pPr>
      <w:spacing w:before="360"/>
    </w:pPr>
    <w:rPr>
      <w:szCs w:val="20"/>
    </w:rPr>
  </w:style>
  <w:style w:type="paragraph" w:customStyle="1" w:styleId="Heading1notes">
    <w:name w:val="Heading 1 notes"/>
    <w:basedOn w:val="Heading1"/>
    <w:link w:val="Heading1notesChar"/>
    <w:qFormat/>
    <w:rsid w:val="007F28C0"/>
    <w:pPr>
      <w:ind w:left="-2041"/>
    </w:pPr>
  </w:style>
  <w:style w:type="character" w:customStyle="1" w:styleId="Heading1notesChar">
    <w:name w:val="Heading 1 notes Char"/>
    <w:basedOn w:val="Heading1Char"/>
    <w:link w:val="Heading1notes"/>
    <w:rsid w:val="007F28C0"/>
    <w:rPr>
      <w:rFonts w:ascii="Arial" w:eastAsia="Times New Roman" w:hAnsi="Arial" w:cs="Arial"/>
      <w:bCs/>
      <w:color w:val="000000" w:themeColor="text1"/>
      <w:kern w:val="32"/>
      <w:sz w:val="36"/>
      <w:szCs w:val="36"/>
    </w:rPr>
  </w:style>
  <w:style w:type="character" w:styleId="BookTitle">
    <w:name w:val="Book Title"/>
    <w:basedOn w:val="DefaultParagraphFont"/>
    <w:hidden/>
    <w:uiPriority w:val="33"/>
    <w:qFormat/>
    <w:rsid w:val="007F28C0"/>
    <w:rPr>
      <w:b/>
      <w:bCs/>
      <w:smallCaps/>
      <w:spacing w:val="5"/>
    </w:rPr>
  </w:style>
  <w:style w:type="character" w:styleId="PlaceholderText">
    <w:name w:val="Placeholder Text"/>
    <w:basedOn w:val="DefaultParagraphFont"/>
    <w:hidden/>
    <w:uiPriority w:val="99"/>
    <w:semiHidden/>
    <w:rsid w:val="007F28C0"/>
    <w:rPr>
      <w:color w:val="808080"/>
    </w:rPr>
  </w:style>
  <w:style w:type="paragraph" w:customStyle="1" w:styleId="TablecolumnheadingobjectivestablesAchievements">
    <w:name w:val="Table column heading objectives tables Achievements"/>
    <w:basedOn w:val="Tablecolumnheadingobjectivestables"/>
    <w:uiPriority w:val="99"/>
    <w:rsid w:val="007F28C0"/>
    <w:rPr>
      <w:rFonts w:ascii="Arial Narrow" w:hAnsi="Arial Narrow"/>
      <w:bCs w:val="0"/>
    </w:rPr>
  </w:style>
  <w:style w:type="character" w:styleId="Emphasis">
    <w:name w:val="Emphasis"/>
    <w:basedOn w:val="DefaultParagraphFont"/>
    <w:hidden/>
    <w:uiPriority w:val="20"/>
    <w:qFormat/>
    <w:rsid w:val="007F28C0"/>
    <w:rPr>
      <w:i/>
      <w:iCs/>
    </w:rPr>
  </w:style>
  <w:style w:type="character" w:styleId="Strong">
    <w:name w:val="Strong"/>
    <w:basedOn w:val="DefaultParagraphFont"/>
    <w:hidden/>
    <w:uiPriority w:val="22"/>
    <w:qFormat/>
    <w:rsid w:val="007F28C0"/>
    <w:rPr>
      <w:b/>
      <w:bCs/>
    </w:rPr>
  </w:style>
  <w:style w:type="table" w:styleId="TableSimple1">
    <w:name w:val="Table Simple 1"/>
    <w:basedOn w:val="TableNormal"/>
    <w:uiPriority w:val="99"/>
    <w:semiHidden/>
    <w:unhideWhenUsed/>
    <w:rsid w:val="00776C24"/>
    <w:pPr>
      <w:spacing w:after="9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semiHidden/>
    <w:unhideWhenUsed/>
    <w:rsid w:val="00776C24"/>
    <w:pPr>
      <w:spacing w:after="9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776C24"/>
    <w:pPr>
      <w:numPr>
        <w:numId w:val="12"/>
      </w:numPr>
    </w:pPr>
  </w:style>
  <w:style w:type="numbering" w:styleId="1ai">
    <w:name w:val="Outline List 1"/>
    <w:basedOn w:val="NoList"/>
    <w:uiPriority w:val="99"/>
    <w:semiHidden/>
    <w:unhideWhenUsed/>
    <w:rsid w:val="00776C24"/>
    <w:pPr>
      <w:numPr>
        <w:numId w:val="13"/>
      </w:numPr>
    </w:pPr>
  </w:style>
  <w:style w:type="character" w:customStyle="1" w:styleId="Heading7Char">
    <w:name w:val="Heading 7 Char"/>
    <w:basedOn w:val="DefaultParagraphFont"/>
    <w:link w:val="Heading7"/>
    <w:uiPriority w:val="9"/>
    <w:semiHidden/>
    <w:rsid w:val="00AD2C5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AD2C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C5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776C24"/>
    <w:pPr>
      <w:numPr>
        <w:numId w:val="14"/>
      </w:numPr>
    </w:pPr>
  </w:style>
  <w:style w:type="paragraph" w:styleId="Bibliography">
    <w:name w:val="Bibliography"/>
    <w:basedOn w:val="Normal"/>
    <w:next w:val="Normal"/>
    <w:uiPriority w:val="37"/>
    <w:semiHidden/>
    <w:unhideWhenUsed/>
    <w:rsid w:val="00776C24"/>
  </w:style>
  <w:style w:type="paragraph" w:styleId="BlockText">
    <w:name w:val="Block Text"/>
    <w:basedOn w:val="Normal"/>
    <w:uiPriority w:val="99"/>
    <w:semiHidden/>
    <w:unhideWhenUsed/>
    <w:rsid w:val="00776C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76C24"/>
    <w:pPr>
      <w:ind w:firstLine="360"/>
      <w:jc w:val="left"/>
    </w:pPr>
    <w:rPr>
      <w:sz w:val="19"/>
      <w:szCs w:val="24"/>
    </w:rPr>
  </w:style>
  <w:style w:type="character" w:customStyle="1" w:styleId="BodyTextFirstIndentChar">
    <w:name w:val="Body Text First Indent Char"/>
    <w:basedOn w:val="BodyTextChar"/>
    <w:link w:val="BodyTextFirstIndent"/>
    <w:uiPriority w:val="99"/>
    <w:semiHidden/>
    <w:rsid w:val="00776C24"/>
    <w:rPr>
      <w:rFonts w:ascii="Arial" w:eastAsia="Times New Roman" w:hAnsi="Arial" w:cs="Times New Roman"/>
      <w:color w:val="000000" w:themeColor="text1"/>
      <w:sz w:val="19"/>
      <w:szCs w:val="24"/>
    </w:rPr>
  </w:style>
  <w:style w:type="paragraph" w:styleId="BodyTextIndent">
    <w:name w:val="Body Text Indent"/>
    <w:basedOn w:val="Normal"/>
    <w:link w:val="BodyTextIndentChar"/>
    <w:hidden/>
    <w:uiPriority w:val="99"/>
    <w:semiHidden/>
    <w:unhideWhenUsed/>
    <w:rsid w:val="00776C24"/>
    <w:pPr>
      <w:spacing w:after="120"/>
      <w:ind w:left="283"/>
    </w:pPr>
  </w:style>
  <w:style w:type="character" w:customStyle="1" w:styleId="BodyTextIndentChar">
    <w:name w:val="Body Text Indent Char"/>
    <w:basedOn w:val="DefaultParagraphFont"/>
    <w:link w:val="BodyTextIndent"/>
    <w:uiPriority w:val="99"/>
    <w:semiHidden/>
    <w:rsid w:val="00776C24"/>
    <w:rPr>
      <w:rFonts w:ascii="Arial" w:eastAsia="Times New Roman" w:hAnsi="Arial" w:cs="Times New Roman"/>
      <w:color w:val="000000" w:themeColor="text1"/>
      <w:sz w:val="19"/>
      <w:szCs w:val="24"/>
    </w:rPr>
  </w:style>
  <w:style w:type="paragraph" w:styleId="Closing">
    <w:name w:val="Closing"/>
    <w:basedOn w:val="Normal"/>
    <w:link w:val="ClosingChar"/>
    <w:uiPriority w:val="99"/>
    <w:semiHidden/>
    <w:unhideWhenUsed/>
    <w:rsid w:val="00776C24"/>
    <w:pPr>
      <w:spacing w:after="0" w:line="240" w:lineRule="auto"/>
      <w:ind w:left="4252"/>
    </w:pPr>
  </w:style>
  <w:style w:type="character" w:customStyle="1" w:styleId="ClosingChar">
    <w:name w:val="Closing Char"/>
    <w:basedOn w:val="DefaultParagraphFont"/>
    <w:link w:val="Closing"/>
    <w:uiPriority w:val="99"/>
    <w:semiHidden/>
    <w:rsid w:val="00776C24"/>
    <w:rPr>
      <w:rFonts w:ascii="Arial" w:eastAsia="Times New Roman" w:hAnsi="Arial" w:cs="Times New Roman"/>
      <w:color w:val="000000" w:themeColor="text1"/>
      <w:sz w:val="19"/>
      <w:szCs w:val="24"/>
    </w:rPr>
  </w:style>
  <w:style w:type="table" w:styleId="ColorfulGrid">
    <w:name w:val="Colorful Grid"/>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76C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76C2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76C2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76C2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76C2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76C2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76C2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76C2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76C2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76C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76C2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76C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6C2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6C2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6C2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6C2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6C2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6C2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76C24"/>
  </w:style>
  <w:style w:type="character" w:customStyle="1" w:styleId="DateChar">
    <w:name w:val="Date Char"/>
    <w:basedOn w:val="DefaultParagraphFont"/>
    <w:link w:val="Date"/>
    <w:uiPriority w:val="99"/>
    <w:semiHidden/>
    <w:rsid w:val="00776C24"/>
    <w:rPr>
      <w:rFonts w:ascii="Arial" w:eastAsia="Times New Roman" w:hAnsi="Arial" w:cs="Times New Roman"/>
      <w:color w:val="000000" w:themeColor="text1"/>
      <w:sz w:val="19"/>
      <w:szCs w:val="24"/>
    </w:rPr>
  </w:style>
  <w:style w:type="paragraph" w:styleId="EnvelopeReturn">
    <w:name w:val="envelope return"/>
    <w:basedOn w:val="Normal"/>
    <w:uiPriority w:val="99"/>
    <w:semiHidden/>
    <w:unhideWhenUsed/>
    <w:rsid w:val="00776C2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8284A"/>
    <w:rPr>
      <w:color w:val="auto"/>
      <w:u w:val="none"/>
    </w:rPr>
  </w:style>
  <w:style w:type="character" w:styleId="HTMLDefinition">
    <w:name w:val="HTML Definition"/>
    <w:basedOn w:val="DefaultParagraphFont"/>
    <w:uiPriority w:val="99"/>
    <w:semiHidden/>
    <w:unhideWhenUsed/>
    <w:rsid w:val="00776C24"/>
    <w:rPr>
      <w:i/>
      <w:iCs/>
    </w:rPr>
  </w:style>
  <w:style w:type="character" w:styleId="HTMLKeyboard">
    <w:name w:val="HTML Keyboard"/>
    <w:basedOn w:val="DefaultParagraphFont"/>
    <w:uiPriority w:val="99"/>
    <w:semiHidden/>
    <w:unhideWhenUsed/>
    <w:rsid w:val="00776C24"/>
    <w:rPr>
      <w:rFonts w:ascii="Consolas" w:hAnsi="Consolas" w:cs="Consolas"/>
      <w:sz w:val="20"/>
      <w:szCs w:val="20"/>
    </w:rPr>
  </w:style>
  <w:style w:type="paragraph" w:styleId="HTMLPreformatted">
    <w:name w:val="HTML Preformatted"/>
    <w:basedOn w:val="Normal"/>
    <w:link w:val="HTMLPreformattedChar"/>
    <w:uiPriority w:val="99"/>
    <w:semiHidden/>
    <w:unhideWhenUsed/>
    <w:rsid w:val="00776C2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C24"/>
    <w:rPr>
      <w:rFonts w:ascii="Consolas" w:eastAsia="Times New Roman" w:hAnsi="Consolas" w:cs="Consolas"/>
      <w:color w:val="000000" w:themeColor="text1"/>
      <w:sz w:val="20"/>
      <w:szCs w:val="20"/>
    </w:rPr>
  </w:style>
  <w:style w:type="character" w:styleId="HTMLSample">
    <w:name w:val="HTML Sample"/>
    <w:basedOn w:val="DefaultParagraphFont"/>
    <w:uiPriority w:val="99"/>
    <w:semiHidden/>
    <w:unhideWhenUsed/>
    <w:rsid w:val="00776C24"/>
    <w:rPr>
      <w:rFonts w:ascii="Consolas" w:hAnsi="Consolas" w:cs="Consolas"/>
      <w:sz w:val="24"/>
      <w:szCs w:val="24"/>
    </w:rPr>
  </w:style>
  <w:style w:type="character" w:styleId="HTMLTypewriter">
    <w:name w:val="HTML Typewriter"/>
    <w:basedOn w:val="DefaultParagraphFont"/>
    <w:uiPriority w:val="99"/>
    <w:semiHidden/>
    <w:unhideWhenUsed/>
    <w:rsid w:val="00776C24"/>
    <w:rPr>
      <w:rFonts w:ascii="Consolas" w:hAnsi="Consolas" w:cs="Consolas"/>
      <w:sz w:val="20"/>
      <w:szCs w:val="20"/>
    </w:rPr>
  </w:style>
  <w:style w:type="character" w:styleId="HTMLVariable">
    <w:name w:val="HTML Variable"/>
    <w:basedOn w:val="DefaultParagraphFont"/>
    <w:uiPriority w:val="99"/>
    <w:semiHidden/>
    <w:unhideWhenUsed/>
    <w:rsid w:val="00776C24"/>
    <w:rPr>
      <w:i/>
      <w:iCs/>
    </w:rPr>
  </w:style>
  <w:style w:type="paragraph" w:styleId="Index1">
    <w:name w:val="index 1"/>
    <w:basedOn w:val="Normal"/>
    <w:next w:val="Normal"/>
    <w:autoRedefine/>
    <w:uiPriority w:val="99"/>
    <w:semiHidden/>
    <w:unhideWhenUsed/>
    <w:rsid w:val="00776C24"/>
    <w:pPr>
      <w:spacing w:after="0" w:line="240" w:lineRule="auto"/>
      <w:ind w:left="190" w:hanging="190"/>
    </w:pPr>
  </w:style>
  <w:style w:type="paragraph" w:styleId="Index2">
    <w:name w:val="index 2"/>
    <w:basedOn w:val="Normal"/>
    <w:next w:val="Normal"/>
    <w:autoRedefine/>
    <w:uiPriority w:val="99"/>
    <w:semiHidden/>
    <w:unhideWhenUsed/>
    <w:rsid w:val="00776C24"/>
    <w:pPr>
      <w:spacing w:after="0" w:line="240" w:lineRule="auto"/>
      <w:ind w:left="380" w:hanging="190"/>
    </w:pPr>
  </w:style>
  <w:style w:type="paragraph" w:styleId="Index3">
    <w:name w:val="index 3"/>
    <w:basedOn w:val="Normal"/>
    <w:next w:val="Normal"/>
    <w:autoRedefine/>
    <w:uiPriority w:val="99"/>
    <w:semiHidden/>
    <w:unhideWhenUsed/>
    <w:rsid w:val="00776C24"/>
    <w:pPr>
      <w:spacing w:after="0" w:line="240" w:lineRule="auto"/>
      <w:ind w:left="570" w:hanging="190"/>
    </w:pPr>
  </w:style>
  <w:style w:type="paragraph" w:styleId="Index4">
    <w:name w:val="index 4"/>
    <w:basedOn w:val="Normal"/>
    <w:next w:val="Normal"/>
    <w:autoRedefine/>
    <w:uiPriority w:val="99"/>
    <w:semiHidden/>
    <w:unhideWhenUsed/>
    <w:rsid w:val="00776C24"/>
    <w:pPr>
      <w:spacing w:after="0" w:line="240" w:lineRule="auto"/>
      <w:ind w:left="760" w:hanging="190"/>
    </w:pPr>
  </w:style>
  <w:style w:type="paragraph" w:styleId="Index5">
    <w:name w:val="index 5"/>
    <w:basedOn w:val="Normal"/>
    <w:next w:val="Normal"/>
    <w:autoRedefine/>
    <w:uiPriority w:val="99"/>
    <w:semiHidden/>
    <w:unhideWhenUsed/>
    <w:rsid w:val="00776C24"/>
    <w:pPr>
      <w:spacing w:after="0" w:line="240" w:lineRule="auto"/>
      <w:ind w:left="950" w:hanging="190"/>
    </w:pPr>
  </w:style>
  <w:style w:type="paragraph" w:styleId="Index6">
    <w:name w:val="index 6"/>
    <w:basedOn w:val="Normal"/>
    <w:next w:val="Normal"/>
    <w:autoRedefine/>
    <w:uiPriority w:val="99"/>
    <w:semiHidden/>
    <w:unhideWhenUsed/>
    <w:rsid w:val="00776C24"/>
    <w:pPr>
      <w:spacing w:after="0" w:line="240" w:lineRule="auto"/>
      <w:ind w:left="1140" w:hanging="190"/>
    </w:pPr>
  </w:style>
  <w:style w:type="paragraph" w:styleId="Index7">
    <w:name w:val="index 7"/>
    <w:basedOn w:val="Normal"/>
    <w:next w:val="Normal"/>
    <w:autoRedefine/>
    <w:uiPriority w:val="99"/>
    <w:semiHidden/>
    <w:unhideWhenUsed/>
    <w:rsid w:val="00776C24"/>
    <w:pPr>
      <w:spacing w:after="0" w:line="240" w:lineRule="auto"/>
      <w:ind w:left="1330" w:hanging="190"/>
    </w:pPr>
  </w:style>
  <w:style w:type="paragraph" w:styleId="Index8">
    <w:name w:val="index 8"/>
    <w:basedOn w:val="Normal"/>
    <w:next w:val="Normal"/>
    <w:autoRedefine/>
    <w:uiPriority w:val="99"/>
    <w:semiHidden/>
    <w:unhideWhenUsed/>
    <w:rsid w:val="00776C24"/>
    <w:pPr>
      <w:spacing w:after="0" w:line="240" w:lineRule="auto"/>
      <w:ind w:left="1520" w:hanging="190"/>
    </w:pPr>
  </w:style>
  <w:style w:type="paragraph" w:styleId="Index9">
    <w:name w:val="index 9"/>
    <w:basedOn w:val="Normal"/>
    <w:next w:val="Normal"/>
    <w:autoRedefine/>
    <w:uiPriority w:val="99"/>
    <w:semiHidden/>
    <w:unhideWhenUsed/>
    <w:rsid w:val="00776C24"/>
    <w:pPr>
      <w:spacing w:after="0" w:line="240" w:lineRule="auto"/>
      <w:ind w:left="1710" w:hanging="190"/>
    </w:pPr>
  </w:style>
  <w:style w:type="paragraph" w:styleId="IndexHeading">
    <w:name w:val="index heading"/>
    <w:basedOn w:val="Normal"/>
    <w:next w:val="Index1"/>
    <w:uiPriority w:val="99"/>
    <w:semiHidden/>
    <w:unhideWhenUsed/>
    <w:rsid w:val="00776C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C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6C24"/>
    <w:rPr>
      <w:rFonts w:ascii="Arial" w:eastAsia="Times New Roman" w:hAnsi="Arial" w:cs="Times New Roman"/>
      <w:b/>
      <w:bCs/>
      <w:i/>
      <w:iCs/>
      <w:color w:val="4F81BD" w:themeColor="accent1"/>
      <w:sz w:val="19"/>
      <w:szCs w:val="24"/>
    </w:rPr>
  </w:style>
  <w:style w:type="table" w:styleId="LightGrid">
    <w:name w:val="Light Grid"/>
    <w:basedOn w:val="TableNormal"/>
    <w:uiPriority w:val="62"/>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6C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6C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6C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6C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6C2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6C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6C2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76C24"/>
  </w:style>
  <w:style w:type="paragraph" w:styleId="List">
    <w:name w:val="List"/>
    <w:basedOn w:val="Normal"/>
    <w:uiPriority w:val="99"/>
    <w:unhideWhenUsed/>
    <w:rsid w:val="00776C24"/>
    <w:pPr>
      <w:ind w:left="283" w:hanging="283"/>
      <w:contextualSpacing/>
    </w:pPr>
  </w:style>
  <w:style w:type="paragraph" w:styleId="List2">
    <w:name w:val="List 2"/>
    <w:basedOn w:val="Normal"/>
    <w:uiPriority w:val="99"/>
    <w:semiHidden/>
    <w:unhideWhenUsed/>
    <w:rsid w:val="00776C24"/>
    <w:pPr>
      <w:ind w:left="566" w:hanging="283"/>
      <w:contextualSpacing/>
    </w:pPr>
  </w:style>
  <w:style w:type="paragraph" w:styleId="List3">
    <w:name w:val="List 3"/>
    <w:basedOn w:val="Normal"/>
    <w:uiPriority w:val="99"/>
    <w:semiHidden/>
    <w:unhideWhenUsed/>
    <w:rsid w:val="00776C24"/>
    <w:pPr>
      <w:ind w:left="849" w:hanging="283"/>
      <w:contextualSpacing/>
    </w:pPr>
  </w:style>
  <w:style w:type="paragraph" w:styleId="List4">
    <w:name w:val="List 4"/>
    <w:basedOn w:val="Normal"/>
    <w:uiPriority w:val="99"/>
    <w:semiHidden/>
    <w:unhideWhenUsed/>
    <w:rsid w:val="00776C24"/>
    <w:pPr>
      <w:ind w:left="1132" w:hanging="283"/>
      <w:contextualSpacing/>
    </w:pPr>
  </w:style>
  <w:style w:type="paragraph" w:styleId="List5">
    <w:name w:val="List 5"/>
    <w:basedOn w:val="Normal"/>
    <w:uiPriority w:val="99"/>
    <w:semiHidden/>
    <w:unhideWhenUsed/>
    <w:rsid w:val="00776C24"/>
    <w:pPr>
      <w:ind w:left="1415" w:hanging="283"/>
      <w:contextualSpacing/>
    </w:pPr>
  </w:style>
  <w:style w:type="paragraph" w:styleId="ListBullet3">
    <w:name w:val="List Bullet 3"/>
    <w:basedOn w:val="Normal"/>
    <w:uiPriority w:val="99"/>
    <w:semiHidden/>
    <w:unhideWhenUsed/>
    <w:rsid w:val="00776C24"/>
    <w:pPr>
      <w:numPr>
        <w:numId w:val="2"/>
      </w:numPr>
      <w:contextualSpacing/>
    </w:pPr>
  </w:style>
  <w:style w:type="paragraph" w:styleId="ListBullet4">
    <w:name w:val="List Bullet 4"/>
    <w:basedOn w:val="Normal"/>
    <w:uiPriority w:val="99"/>
    <w:semiHidden/>
    <w:unhideWhenUsed/>
    <w:rsid w:val="00776C24"/>
    <w:pPr>
      <w:numPr>
        <w:numId w:val="3"/>
      </w:numPr>
      <w:contextualSpacing/>
    </w:pPr>
  </w:style>
  <w:style w:type="paragraph" w:styleId="ListBullet5">
    <w:name w:val="List Bullet 5"/>
    <w:basedOn w:val="Normal"/>
    <w:uiPriority w:val="99"/>
    <w:semiHidden/>
    <w:unhideWhenUsed/>
    <w:rsid w:val="00776C24"/>
    <w:pPr>
      <w:numPr>
        <w:numId w:val="4"/>
      </w:numPr>
      <w:contextualSpacing/>
    </w:pPr>
  </w:style>
  <w:style w:type="paragraph" w:styleId="ListContinue">
    <w:name w:val="List Continue"/>
    <w:basedOn w:val="Normal"/>
    <w:uiPriority w:val="99"/>
    <w:unhideWhenUsed/>
    <w:rsid w:val="00776C24"/>
    <w:pPr>
      <w:spacing w:after="120"/>
      <w:ind w:left="283"/>
      <w:contextualSpacing/>
    </w:pPr>
  </w:style>
  <w:style w:type="paragraph" w:styleId="ListContinue2">
    <w:name w:val="List Continue 2"/>
    <w:basedOn w:val="Normal"/>
    <w:uiPriority w:val="99"/>
    <w:semiHidden/>
    <w:unhideWhenUsed/>
    <w:rsid w:val="00776C24"/>
    <w:pPr>
      <w:spacing w:after="120"/>
      <w:ind w:left="566"/>
      <w:contextualSpacing/>
    </w:pPr>
  </w:style>
  <w:style w:type="paragraph" w:styleId="ListContinue3">
    <w:name w:val="List Continue 3"/>
    <w:basedOn w:val="Normal"/>
    <w:uiPriority w:val="99"/>
    <w:semiHidden/>
    <w:unhideWhenUsed/>
    <w:rsid w:val="00776C24"/>
    <w:pPr>
      <w:spacing w:after="120"/>
      <w:ind w:left="849"/>
      <w:contextualSpacing/>
    </w:pPr>
  </w:style>
  <w:style w:type="paragraph" w:styleId="ListContinue4">
    <w:name w:val="List Continue 4"/>
    <w:basedOn w:val="Normal"/>
    <w:uiPriority w:val="99"/>
    <w:semiHidden/>
    <w:unhideWhenUsed/>
    <w:rsid w:val="00776C24"/>
    <w:pPr>
      <w:spacing w:after="120"/>
      <w:ind w:left="1132"/>
      <w:contextualSpacing/>
    </w:pPr>
  </w:style>
  <w:style w:type="paragraph" w:styleId="ListContinue5">
    <w:name w:val="List Continue 5"/>
    <w:basedOn w:val="Normal"/>
    <w:uiPriority w:val="99"/>
    <w:semiHidden/>
    <w:unhideWhenUsed/>
    <w:rsid w:val="00776C24"/>
    <w:pPr>
      <w:spacing w:after="120"/>
      <w:ind w:left="1415"/>
      <w:contextualSpacing/>
    </w:pPr>
  </w:style>
  <w:style w:type="paragraph" w:styleId="ListNumber">
    <w:name w:val="List Number"/>
    <w:basedOn w:val="Normal"/>
    <w:uiPriority w:val="99"/>
    <w:unhideWhenUsed/>
    <w:rsid w:val="00776C24"/>
    <w:pPr>
      <w:numPr>
        <w:numId w:val="5"/>
      </w:numPr>
      <w:contextualSpacing/>
    </w:pPr>
  </w:style>
  <w:style w:type="paragraph" w:styleId="ListNumber2">
    <w:name w:val="List Number 2"/>
    <w:basedOn w:val="Normal"/>
    <w:uiPriority w:val="99"/>
    <w:semiHidden/>
    <w:unhideWhenUsed/>
    <w:rsid w:val="00776C24"/>
    <w:pPr>
      <w:numPr>
        <w:numId w:val="6"/>
      </w:numPr>
      <w:contextualSpacing/>
    </w:pPr>
  </w:style>
  <w:style w:type="paragraph" w:styleId="ListNumber3">
    <w:name w:val="List Number 3"/>
    <w:basedOn w:val="Normal"/>
    <w:uiPriority w:val="99"/>
    <w:semiHidden/>
    <w:unhideWhenUsed/>
    <w:rsid w:val="00776C24"/>
    <w:pPr>
      <w:numPr>
        <w:numId w:val="7"/>
      </w:numPr>
      <w:contextualSpacing/>
    </w:pPr>
  </w:style>
  <w:style w:type="paragraph" w:styleId="ListNumber4">
    <w:name w:val="List Number 4"/>
    <w:basedOn w:val="Normal"/>
    <w:uiPriority w:val="99"/>
    <w:semiHidden/>
    <w:unhideWhenUsed/>
    <w:rsid w:val="00776C24"/>
    <w:pPr>
      <w:numPr>
        <w:numId w:val="8"/>
      </w:numPr>
      <w:contextualSpacing/>
    </w:pPr>
  </w:style>
  <w:style w:type="paragraph" w:styleId="ListNumber5">
    <w:name w:val="List Number 5"/>
    <w:basedOn w:val="Normal"/>
    <w:uiPriority w:val="99"/>
    <w:semiHidden/>
    <w:unhideWhenUsed/>
    <w:rsid w:val="00776C24"/>
    <w:pPr>
      <w:numPr>
        <w:numId w:val="9"/>
      </w:numPr>
      <w:contextualSpacing/>
    </w:pPr>
  </w:style>
  <w:style w:type="paragraph" w:styleId="MacroText">
    <w:name w:val="macro"/>
    <w:link w:val="MacroTextChar"/>
    <w:uiPriority w:val="99"/>
    <w:unhideWhenUsed/>
    <w:rsid w:val="00776C2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eastAsia="Times New Roman" w:hAnsi="Consolas" w:cs="Consolas"/>
      <w:color w:val="000000" w:themeColor="text1"/>
      <w:sz w:val="20"/>
      <w:szCs w:val="20"/>
    </w:rPr>
  </w:style>
  <w:style w:type="character" w:customStyle="1" w:styleId="MacroTextChar">
    <w:name w:val="Macro Text Char"/>
    <w:basedOn w:val="DefaultParagraphFont"/>
    <w:link w:val="MacroText"/>
    <w:uiPriority w:val="99"/>
    <w:rsid w:val="00776C24"/>
    <w:rPr>
      <w:rFonts w:ascii="Consolas" w:eastAsia="Times New Roman" w:hAnsi="Consolas" w:cs="Consolas"/>
      <w:color w:val="000000" w:themeColor="text1"/>
      <w:sz w:val="20"/>
      <w:szCs w:val="20"/>
    </w:rPr>
  </w:style>
  <w:style w:type="table" w:styleId="MediumGrid1">
    <w:name w:val="Medium Grid 1"/>
    <w:basedOn w:val="TableNormal"/>
    <w:uiPriority w:val="67"/>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6C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6C2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6C2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6C2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6C2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6C2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6C2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76C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6C2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unhideWhenUsed/>
    <w:rsid w:val="00776C24"/>
    <w:pPr>
      <w:ind w:left="720"/>
    </w:pPr>
  </w:style>
  <w:style w:type="paragraph" w:styleId="NoteHeading">
    <w:name w:val="Note Heading"/>
    <w:basedOn w:val="Normal"/>
    <w:next w:val="Normal"/>
    <w:link w:val="NoteHeadingChar"/>
    <w:uiPriority w:val="99"/>
    <w:semiHidden/>
    <w:unhideWhenUsed/>
    <w:rsid w:val="00776C24"/>
    <w:pPr>
      <w:spacing w:after="0" w:line="240" w:lineRule="auto"/>
    </w:pPr>
  </w:style>
  <w:style w:type="character" w:customStyle="1" w:styleId="NoteHeadingChar">
    <w:name w:val="Note Heading Char"/>
    <w:basedOn w:val="DefaultParagraphFont"/>
    <w:link w:val="NoteHeading"/>
    <w:uiPriority w:val="99"/>
    <w:semiHidden/>
    <w:rsid w:val="00776C24"/>
    <w:rPr>
      <w:rFonts w:ascii="Arial" w:eastAsia="Times New Roman" w:hAnsi="Arial" w:cs="Times New Roman"/>
      <w:color w:val="000000" w:themeColor="text1"/>
      <w:sz w:val="19"/>
      <w:szCs w:val="24"/>
    </w:rPr>
  </w:style>
  <w:style w:type="character" w:customStyle="1" w:styleId="SignatureChar">
    <w:name w:val="Signature Char"/>
    <w:basedOn w:val="DefaultParagraphFont"/>
    <w:link w:val="Signature"/>
    <w:uiPriority w:val="99"/>
    <w:semiHidden/>
    <w:rsid w:val="00776C24"/>
    <w:rPr>
      <w:rFonts w:ascii="Arial" w:eastAsia="Times New Roman" w:hAnsi="Arial" w:cs="Times New Roman"/>
      <w:color w:val="000000" w:themeColor="text1"/>
      <w:sz w:val="19"/>
      <w:szCs w:val="24"/>
    </w:rPr>
  </w:style>
  <w:style w:type="table" w:styleId="Table3Deffects1">
    <w:name w:val="Table 3D effects 1"/>
    <w:basedOn w:val="TableNormal"/>
    <w:uiPriority w:val="99"/>
    <w:semiHidden/>
    <w:unhideWhenUsed/>
    <w:rsid w:val="00776C24"/>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6C24"/>
    <w:pPr>
      <w:spacing w:after="9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6C24"/>
    <w:pPr>
      <w:spacing w:after="9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6C24"/>
    <w:pPr>
      <w:spacing w:after="9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6C24"/>
    <w:pPr>
      <w:spacing w:after="9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6C24"/>
    <w:pPr>
      <w:spacing w:after="9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6C24"/>
    <w:pPr>
      <w:spacing w:after="9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6C24"/>
    <w:pPr>
      <w:spacing w:after="9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776C24"/>
    <w:pPr>
      <w:spacing w:after="9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6C24"/>
    <w:pPr>
      <w:spacing w:after="9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6C24"/>
    <w:pPr>
      <w:spacing w:after="9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6C24"/>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6C24"/>
    <w:pPr>
      <w:spacing w:after="9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6C24"/>
    <w:pPr>
      <w:spacing w:after="9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6C24"/>
    <w:pPr>
      <w:spacing w:after="9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6C24"/>
    <w:pPr>
      <w:spacing w:after="9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6C24"/>
    <w:pPr>
      <w:spacing w:after="9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6C24"/>
    <w:pPr>
      <w:spacing w:after="9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6C24"/>
    <w:pPr>
      <w:spacing w:after="9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6C24"/>
    <w:pPr>
      <w:spacing w:after="9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6C24"/>
    <w:pPr>
      <w:spacing w:after="0"/>
      <w:ind w:left="190" w:hanging="190"/>
    </w:pPr>
  </w:style>
  <w:style w:type="paragraph" w:styleId="TableofFigures">
    <w:name w:val="table of figures"/>
    <w:basedOn w:val="Normal"/>
    <w:next w:val="Normal"/>
    <w:link w:val="TableofFiguresChar"/>
    <w:unhideWhenUsed/>
    <w:qFormat/>
    <w:rsid w:val="00776C24"/>
    <w:pPr>
      <w:spacing w:after="0"/>
    </w:pPr>
  </w:style>
  <w:style w:type="table" w:styleId="TableProfessional">
    <w:name w:val="Table Professional"/>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76C24"/>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6C24"/>
    <w:pPr>
      <w:spacing w:after="9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6C24"/>
    <w:pPr>
      <w:spacing w:after="9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6C24"/>
    <w:pPr>
      <w:spacing w:after="9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6C24"/>
    <w:pPr>
      <w:spacing w:after="9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76C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C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76C2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76C24"/>
    <w:pPr>
      <w:keepLines/>
      <w:pageBreakBefore w:val="0"/>
      <w:spacing w:before="480" w:after="0" w:line="220" w:lineRule="atLeast"/>
      <w:outlineLvl w:val="9"/>
    </w:pPr>
    <w:rPr>
      <w:rFonts w:asciiTheme="majorHAnsi" w:eastAsiaTheme="majorEastAsia" w:hAnsiTheme="majorHAnsi" w:cstheme="majorBidi"/>
      <w:b/>
      <w:color w:val="365F91" w:themeColor="accent1" w:themeShade="BF"/>
      <w:kern w:val="0"/>
      <w:sz w:val="28"/>
      <w:szCs w:val="28"/>
    </w:rPr>
  </w:style>
  <w:style w:type="paragraph" w:customStyle="1" w:styleId="Tablerowheadingtopoutputstables">
    <w:name w:val="Table row heading top outputs tables"/>
    <w:basedOn w:val="DETTablerowheadingoutputstables"/>
    <w:uiPriority w:val="99"/>
    <w:qFormat/>
    <w:rsid w:val="00903144"/>
    <w:pPr>
      <w:jc w:val="center"/>
    </w:pPr>
  </w:style>
  <w:style w:type="numbering" w:customStyle="1" w:styleId="1111111">
    <w:name w:val="1 / 1.1 / 1.1.11"/>
    <w:basedOn w:val="NoList"/>
    <w:next w:val="111111"/>
    <w:uiPriority w:val="99"/>
    <w:unhideWhenUsed/>
    <w:rsid w:val="00903144"/>
    <w:pPr>
      <w:numPr>
        <w:numId w:val="16"/>
      </w:numPr>
    </w:pPr>
  </w:style>
  <w:style w:type="numbering" w:customStyle="1" w:styleId="1ai1">
    <w:name w:val="1 / a / i1"/>
    <w:basedOn w:val="NoList"/>
    <w:next w:val="1ai"/>
    <w:uiPriority w:val="99"/>
    <w:unhideWhenUsed/>
    <w:rsid w:val="00903144"/>
    <w:pPr>
      <w:numPr>
        <w:numId w:val="17"/>
      </w:numPr>
    </w:pPr>
  </w:style>
  <w:style w:type="numbering" w:customStyle="1" w:styleId="ArticleSection1">
    <w:name w:val="Article / Section1"/>
    <w:basedOn w:val="NoList"/>
    <w:next w:val="ArticleSection"/>
    <w:uiPriority w:val="99"/>
    <w:unhideWhenUsed/>
    <w:rsid w:val="00903144"/>
    <w:pPr>
      <w:numPr>
        <w:numId w:val="18"/>
      </w:numPr>
    </w:pPr>
  </w:style>
  <w:style w:type="paragraph" w:customStyle="1" w:styleId="Tabletextnoindent">
    <w:name w:val="Table text no indent"/>
    <w:basedOn w:val="Tabletext"/>
    <w:uiPriority w:val="99"/>
    <w:qFormat/>
    <w:rsid w:val="00EE64D7"/>
    <w:rPr>
      <w:color w:val="auto"/>
    </w:rPr>
  </w:style>
  <w:style w:type="character" w:customStyle="1" w:styleId="TableofFiguresChar">
    <w:name w:val="Table of Figures Char"/>
    <w:link w:val="TableofFigures"/>
    <w:rsid w:val="005E77C8"/>
    <w:rPr>
      <w:rFonts w:ascii="Arial" w:eastAsia="Times New Roman" w:hAnsi="Arial" w:cs="Times New Roman"/>
      <w:color w:val="000000" w:themeColor="text1"/>
      <w:sz w:val="19"/>
      <w:szCs w:val="24"/>
    </w:rPr>
  </w:style>
  <w:style w:type="paragraph" w:customStyle="1" w:styleId="DETHeading2appendicesnumbered">
    <w:name w:val="DET Heading 2 appendices numbered"/>
    <w:basedOn w:val="Heading2notes"/>
    <w:qFormat/>
    <w:rsid w:val="00497F31"/>
    <w:pPr>
      <w:numPr>
        <w:numId w:val="19"/>
      </w:numPr>
      <w:tabs>
        <w:tab w:val="clear" w:pos="1134"/>
        <w:tab w:val="left" w:pos="1701"/>
      </w:tabs>
    </w:pPr>
  </w:style>
  <w:style w:type="paragraph" w:customStyle="1" w:styleId="Tablebullet">
    <w:name w:val="Table bullet"/>
    <w:basedOn w:val="Normal"/>
    <w:uiPriority w:val="9"/>
    <w:qFormat/>
    <w:rsid w:val="00B70B34"/>
    <w:pPr>
      <w:widowControl w:val="0"/>
      <w:numPr>
        <w:numId w:val="20"/>
      </w:numPr>
      <w:tabs>
        <w:tab w:val="left" w:pos="113"/>
        <w:tab w:val="left" w:pos="284"/>
      </w:tabs>
      <w:autoSpaceDE w:val="0"/>
      <w:autoSpaceDN w:val="0"/>
      <w:adjustRightInd w:val="0"/>
      <w:spacing w:before="80" w:after="80" w:line="240" w:lineRule="auto"/>
    </w:pPr>
    <w:rPr>
      <w:rFonts w:eastAsia="Arial" w:cs="Arial"/>
      <w:color w:val="auto"/>
      <w:sz w:val="17"/>
      <w:szCs w:val="18"/>
      <w:lang w:eastAsia="en-AU"/>
    </w:rPr>
  </w:style>
  <w:style w:type="paragraph" w:customStyle="1" w:styleId="ToCome">
    <w:name w:val="ToCome"/>
    <w:basedOn w:val="Normal"/>
    <w:uiPriority w:val="99"/>
    <w:qFormat/>
    <w:rsid w:val="006E11B2"/>
    <w:rPr>
      <w:b/>
      <w:color w:val="FF0000"/>
    </w:rPr>
  </w:style>
  <w:style w:type="paragraph" w:customStyle="1" w:styleId="Tabletextheadingleft">
    <w:name w:val="Table text heading left"/>
    <w:basedOn w:val="Normal"/>
    <w:uiPriority w:val="99"/>
    <w:rsid w:val="004E6984"/>
    <w:pPr>
      <w:spacing w:after="0" w:line="240" w:lineRule="auto"/>
    </w:pPr>
    <w:rPr>
      <w:rFonts w:ascii="Calibri" w:hAnsi="Calibri"/>
      <w:i/>
      <w:sz w:val="20"/>
      <w:szCs w:val="18"/>
    </w:rPr>
  </w:style>
  <w:style w:type="paragraph" w:customStyle="1" w:styleId="DETFootnoteTextforobjectivestablesOHStable">
    <w:name w:val="DET Footnote Text for objectives tables &amp; OHS table"/>
    <w:basedOn w:val="Normal"/>
    <w:next w:val="Normal"/>
    <w:link w:val="DETFootnoteTextforobjectivestablesOHStableChar"/>
    <w:qFormat/>
    <w:rsid w:val="00B51AB3"/>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DETFootnoteTextforobjectivestablesOHStableChar">
    <w:name w:val="DET Footnote Text for objectives tables &amp; OHS table Char"/>
    <w:basedOn w:val="DefaultParagraphFont"/>
    <w:link w:val="DETFootnoteTextforobjectivestablesOHStable"/>
    <w:rsid w:val="00063662"/>
    <w:rPr>
      <w:rFonts w:ascii="Arial Narrow" w:eastAsia="Times New Roman" w:hAnsi="Arial Narrow" w:cs="Arial"/>
      <w:color w:val="000000" w:themeColor="text1"/>
      <w:sz w:val="15"/>
      <w:szCs w:val="16"/>
    </w:rPr>
  </w:style>
  <w:style w:type="paragraph" w:customStyle="1" w:styleId="Heading3notes">
    <w:name w:val="Heading 3 notes"/>
    <w:basedOn w:val="Heading3"/>
    <w:link w:val="Heading3notesChar"/>
    <w:qFormat/>
    <w:rsid w:val="004E6984"/>
    <w:pPr>
      <w:ind w:left="340" w:hanging="340"/>
    </w:pPr>
    <w:rPr>
      <w:lang w:eastAsia="en-AU"/>
    </w:rPr>
  </w:style>
  <w:style w:type="character" w:customStyle="1" w:styleId="Heading3notesChar">
    <w:name w:val="Heading 3 notes Char"/>
    <w:basedOn w:val="Heading3Char"/>
    <w:link w:val="Heading3notes"/>
    <w:rsid w:val="004E6984"/>
    <w:rPr>
      <w:rFonts w:ascii="Arial" w:eastAsia="Times New Roman" w:hAnsi="Arial" w:cs="Arial"/>
      <w:bCs/>
      <w:color w:val="000000" w:themeColor="text1"/>
      <w:szCs w:val="19"/>
      <w:lang w:eastAsia="en-AU"/>
    </w:rPr>
  </w:style>
  <w:style w:type="paragraph" w:customStyle="1" w:styleId="StyleTablesubheadingsubsequentnarrow75pt">
    <w:name w:val="Style Table subheading subsequent narrow + 7.5 pt"/>
    <w:basedOn w:val="Tablesubheadingsubsequentnarrow"/>
    <w:uiPriority w:val="99"/>
    <w:rsid w:val="004E6984"/>
    <w:rPr>
      <w:bCs/>
      <w:sz w:val="15"/>
    </w:rPr>
  </w:style>
  <w:style w:type="paragraph" w:customStyle="1" w:styleId="TablecolumnheadingVPSstafftable">
    <w:name w:val="Table column heading VPS staff table"/>
    <w:basedOn w:val="Tablecolumnheading"/>
    <w:uiPriority w:val="99"/>
    <w:rsid w:val="004E6984"/>
    <w:rPr>
      <w:sz w:val="16"/>
    </w:rPr>
  </w:style>
  <w:style w:type="table" w:customStyle="1" w:styleId="TableGrid10">
    <w:name w:val="Table Grid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link w:val="TableheadingChar"/>
    <w:qFormat/>
    <w:rsid w:val="004E6984"/>
    <w:pPr>
      <w:spacing w:before="100" w:after="40"/>
      <w:ind w:left="1170" w:hanging="1170"/>
    </w:pPr>
    <w:rPr>
      <w:rFonts w:ascii="Calibri" w:eastAsia="Tahoma" w:hAnsi="Calibri" w:cs="Arial"/>
      <w:i w:val="0"/>
      <w:iCs/>
      <w:sz w:val="21"/>
      <w:szCs w:val="20"/>
      <w:lang w:eastAsia="en-AU"/>
    </w:rPr>
  </w:style>
  <w:style w:type="character" w:customStyle="1" w:styleId="TableheadingChar">
    <w:name w:val="Table heading Char"/>
    <w:link w:val="Tableheading"/>
    <w:rsid w:val="004E6984"/>
    <w:rPr>
      <w:rFonts w:ascii="Calibri" w:eastAsia="Tahoma" w:hAnsi="Calibri" w:cs="Arial"/>
      <w:iCs/>
      <w:color w:val="000000" w:themeColor="text1"/>
      <w:sz w:val="21"/>
      <w:szCs w:val="20"/>
      <w:lang w:eastAsia="en-AU"/>
    </w:rPr>
  </w:style>
  <w:style w:type="paragraph" w:customStyle="1" w:styleId="TOCTitle">
    <w:name w:val="TOC Title"/>
    <w:basedOn w:val="Header"/>
    <w:link w:val="TOCTitleChar"/>
    <w:rsid w:val="004E6984"/>
    <w:pPr>
      <w:ind w:left="-336"/>
    </w:pPr>
    <w:rPr>
      <w:sz w:val="36"/>
      <w:szCs w:val="36"/>
    </w:rPr>
  </w:style>
  <w:style w:type="character" w:customStyle="1" w:styleId="TOCTitleChar">
    <w:name w:val="TOC Title Char"/>
    <w:link w:val="TOCTitle"/>
    <w:rsid w:val="004E6984"/>
    <w:rPr>
      <w:rFonts w:ascii="Arial" w:eastAsia="Times New Roman" w:hAnsi="Arial" w:cs="Times New Roman"/>
      <w:color w:val="000000" w:themeColor="text1"/>
      <w:spacing w:val="-1"/>
      <w:sz w:val="36"/>
      <w:szCs w:val="36"/>
    </w:rPr>
  </w:style>
  <w:style w:type="table" w:customStyle="1" w:styleId="TableGrid11">
    <w:name w:val="Table Grid1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semiHidden/>
    <w:unhideWhenUsed/>
    <w:rsid w:val="0011351A"/>
  </w:style>
  <w:style w:type="numbering" w:customStyle="1" w:styleId="1ai11">
    <w:name w:val="1 / a / i11"/>
    <w:basedOn w:val="NoList"/>
    <w:next w:val="1ai"/>
    <w:uiPriority w:val="99"/>
    <w:semiHidden/>
    <w:unhideWhenUsed/>
    <w:rsid w:val="0011351A"/>
  </w:style>
  <w:style w:type="numbering" w:customStyle="1" w:styleId="ArticleSection11">
    <w:name w:val="Article / Section11"/>
    <w:basedOn w:val="NoList"/>
    <w:next w:val="ArticleSection"/>
    <w:uiPriority w:val="99"/>
    <w:semiHidden/>
    <w:unhideWhenUsed/>
    <w:rsid w:val="0011351A"/>
  </w:style>
  <w:style w:type="table" w:customStyle="1" w:styleId="TableGrid12">
    <w:name w:val="Table Grid12"/>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CD091A"/>
    <w:pPr>
      <w:spacing w:before="30" w:after="30" w:line="240" w:lineRule="auto"/>
    </w:pPr>
    <w:rPr>
      <w:rFonts w:cs="Arial"/>
      <w:color w:val="auto"/>
      <w:sz w:val="17"/>
      <w:szCs w:val="18"/>
      <w:lang w:eastAsia="en-AU"/>
    </w:rPr>
  </w:style>
  <w:style w:type="paragraph" w:customStyle="1" w:styleId="ReportTitle">
    <w:name w:val="Report Title"/>
    <w:basedOn w:val="Normal"/>
    <w:uiPriority w:val="99"/>
    <w:rsid w:val="009E5173"/>
    <w:pPr>
      <w:spacing w:after="35" w:line="480" w:lineRule="exact"/>
    </w:pPr>
    <w:rPr>
      <w:color w:val="D2000B"/>
      <w:spacing w:val="-12"/>
      <w:sz w:val="46"/>
      <w:szCs w:val="46"/>
    </w:rPr>
  </w:style>
  <w:style w:type="paragraph" w:customStyle="1" w:styleId="Tabletextobjectivestablesitalic">
    <w:name w:val="Table text objectives tables italic"/>
    <w:basedOn w:val="Tabletextobjectivestables"/>
    <w:uiPriority w:val="99"/>
    <w:qFormat/>
    <w:rsid w:val="007A55AC"/>
    <w:rPr>
      <w:rFonts w:ascii="Arial Narrow" w:hAnsi="Arial Narrow"/>
      <w:i/>
      <w:color w:val="auto"/>
    </w:rPr>
  </w:style>
  <w:style w:type="numbering" w:customStyle="1" w:styleId="MD2007111">
    <w:name w:val="MD2007111"/>
    <w:rsid w:val="00552289"/>
    <w:pPr>
      <w:numPr>
        <w:numId w:val="23"/>
      </w:numPr>
    </w:pPr>
  </w:style>
  <w:style w:type="paragraph" w:styleId="Quote">
    <w:name w:val="Quote"/>
    <w:basedOn w:val="Normal"/>
    <w:link w:val="QuoteChar"/>
    <w:uiPriority w:val="99"/>
    <w:qFormat/>
    <w:rsid w:val="008C2071"/>
    <w:rPr>
      <w:b/>
      <w:color w:val="auto"/>
      <w:szCs w:val="19"/>
    </w:rPr>
  </w:style>
  <w:style w:type="character" w:customStyle="1" w:styleId="QuoteChar">
    <w:name w:val="Quote Char"/>
    <w:basedOn w:val="DefaultParagraphFont"/>
    <w:link w:val="Quote"/>
    <w:uiPriority w:val="99"/>
    <w:rsid w:val="008C2071"/>
    <w:rPr>
      <w:rFonts w:ascii="Arial" w:eastAsia="Times New Roman" w:hAnsi="Arial" w:cs="Times New Roman"/>
      <w:b/>
      <w:sz w:val="19"/>
      <w:szCs w:val="19"/>
    </w:rPr>
  </w:style>
  <w:style w:type="paragraph" w:customStyle="1" w:styleId="TOC1fin">
    <w:name w:val="TOC 1 fin"/>
    <w:basedOn w:val="TOC1"/>
    <w:uiPriority w:val="99"/>
    <w:qFormat/>
    <w:rsid w:val="008149C6"/>
    <w:pPr>
      <w:tabs>
        <w:tab w:val="clear" w:pos="851"/>
        <w:tab w:val="left" w:pos="1134"/>
      </w:tabs>
      <w:ind w:left="1134" w:hanging="1134"/>
    </w:pPr>
  </w:style>
  <w:style w:type="paragraph" w:customStyle="1" w:styleId="Tabletextoutputs">
    <w:name w:val="Table text outputs"/>
    <w:basedOn w:val="Tabletextnoindent"/>
    <w:uiPriority w:val="99"/>
    <w:qFormat/>
    <w:rsid w:val="008C2071"/>
    <w:rPr>
      <w:rFonts w:ascii="Arial Narrow" w:hAnsi="Arial Narrow"/>
      <w:sz w:val="16"/>
      <w:szCs w:val="16"/>
      <w:lang w:eastAsia="en-AU"/>
    </w:rPr>
  </w:style>
  <w:style w:type="paragraph" w:customStyle="1" w:styleId="Tabletextoutputtablesnotes">
    <w:name w:val="Table text output tables notes"/>
    <w:basedOn w:val="Normal"/>
    <w:link w:val="TabletextoutputtablesnotesChar"/>
    <w:rsid w:val="008C2071"/>
    <w:pPr>
      <w:spacing w:after="0" w:line="240" w:lineRule="auto"/>
      <w:ind w:left="170"/>
    </w:pPr>
    <w:rPr>
      <w:rFonts w:ascii="Calibri" w:hAnsi="Calibri"/>
      <w:i/>
      <w:color w:val="auto"/>
      <w:sz w:val="15"/>
      <w:szCs w:val="20"/>
      <w:lang w:eastAsia="en-AU"/>
    </w:rPr>
  </w:style>
  <w:style w:type="character" w:customStyle="1" w:styleId="TabletextoutputtablesnotesChar">
    <w:name w:val="Table text output tables notes Char"/>
    <w:link w:val="Tabletextoutputtablesnotes"/>
    <w:rsid w:val="008C2071"/>
    <w:rPr>
      <w:rFonts w:ascii="Calibri" w:eastAsia="Times New Roman" w:hAnsi="Calibri" w:cs="Times New Roman"/>
      <w:i/>
      <w:sz w:val="15"/>
      <w:szCs w:val="20"/>
      <w:lang w:eastAsia="en-AU"/>
    </w:rPr>
  </w:style>
  <w:style w:type="paragraph" w:customStyle="1" w:styleId="Reference">
    <w:name w:val="Reference"/>
    <w:basedOn w:val="Normal"/>
    <w:link w:val="ReferenceChar"/>
    <w:rsid w:val="008C2071"/>
    <w:pPr>
      <w:spacing w:after="0" w:line="240" w:lineRule="auto"/>
    </w:pPr>
    <w:rPr>
      <w:rFonts w:ascii="Times New Roman" w:hAnsi="Times New Roman"/>
      <w:color w:val="auto"/>
      <w:sz w:val="14"/>
      <w:szCs w:val="14"/>
      <w:lang w:val="en-GB"/>
    </w:rPr>
  </w:style>
  <w:style w:type="character" w:customStyle="1" w:styleId="ReferenceChar">
    <w:name w:val="Reference Char"/>
    <w:link w:val="Reference"/>
    <w:rsid w:val="008C2071"/>
    <w:rPr>
      <w:rFonts w:ascii="Times New Roman" w:eastAsia="Times New Roman" w:hAnsi="Times New Roman" w:cs="Times New Roman"/>
      <w:sz w:val="14"/>
      <w:szCs w:val="14"/>
      <w:lang w:val="en-GB"/>
    </w:rPr>
  </w:style>
  <w:style w:type="paragraph" w:customStyle="1" w:styleId="TableBullet0">
    <w:name w:val="Table Bullet"/>
    <w:basedOn w:val="Normal"/>
    <w:uiPriority w:val="10"/>
    <w:qFormat/>
    <w:rsid w:val="008C2071"/>
    <w:pPr>
      <w:tabs>
        <w:tab w:val="num" w:pos="227"/>
      </w:tabs>
      <w:spacing w:after="0"/>
      <w:ind w:left="227" w:hanging="227"/>
    </w:pPr>
    <w:rPr>
      <w:rFonts w:ascii="Calibri" w:hAnsi="Calibri" w:cs="Calibri"/>
      <w:color w:val="auto"/>
      <w:sz w:val="20"/>
      <w:szCs w:val="22"/>
    </w:rPr>
  </w:style>
  <w:style w:type="paragraph" w:customStyle="1" w:styleId="Normalgrey">
    <w:name w:val="Normal grey"/>
    <w:basedOn w:val="Normal"/>
    <w:uiPriority w:val="99"/>
    <w:qFormat/>
    <w:rsid w:val="008C2071"/>
    <w:pPr>
      <w:spacing w:before="60" w:after="60" w:line="240" w:lineRule="auto"/>
    </w:pPr>
    <w:rPr>
      <w:rFonts w:ascii="Calibri" w:eastAsia="Calibri" w:hAnsi="Calibri"/>
      <w:color w:val="6E6E64"/>
      <w:sz w:val="22"/>
      <w:szCs w:val="21"/>
    </w:rPr>
  </w:style>
  <w:style w:type="paragraph" w:customStyle="1" w:styleId="NoParagraphStyle">
    <w:name w:val="[No Paragraph Style]"/>
    <w:basedOn w:val="Normal"/>
    <w:uiPriority w:val="99"/>
    <w:rsid w:val="008C2071"/>
    <w:pPr>
      <w:spacing w:after="0" w:line="288" w:lineRule="auto"/>
    </w:pPr>
    <w:rPr>
      <w:rFonts w:ascii="Times-Roman" w:eastAsiaTheme="minorHAnsi" w:hAnsi="Times-Roman"/>
      <w:color w:val="000000"/>
      <w:sz w:val="24"/>
    </w:rPr>
  </w:style>
  <w:style w:type="paragraph" w:customStyle="1" w:styleId="Captionafterlist">
    <w:name w:val="Caption after list"/>
    <w:basedOn w:val="Caption"/>
    <w:uiPriority w:val="99"/>
    <w:rsid w:val="008C2071"/>
    <w:rPr>
      <w:bCs/>
      <w:iCs/>
      <w:color w:val="auto"/>
      <w:szCs w:val="20"/>
    </w:rPr>
  </w:style>
  <w:style w:type="paragraph" w:customStyle="1" w:styleId="Heading1RoO">
    <w:name w:val="Heading 1 RoO"/>
    <w:basedOn w:val="Heading2"/>
    <w:link w:val="Heading1RoOChar"/>
    <w:qFormat/>
    <w:rsid w:val="008C2071"/>
  </w:style>
  <w:style w:type="character" w:customStyle="1" w:styleId="Heading1RoOChar">
    <w:name w:val="Heading 1 RoO Char"/>
    <w:basedOn w:val="Heading2Char"/>
    <w:link w:val="Heading1RoO"/>
    <w:rsid w:val="008C2071"/>
    <w:rPr>
      <w:rFonts w:ascii="Arial" w:eastAsia="Times New Roman" w:hAnsi="Arial" w:cs="Arial"/>
      <w:bCs/>
      <w:iCs/>
      <w:color w:val="000000" w:themeColor="text1"/>
      <w:sz w:val="28"/>
      <w:szCs w:val="28"/>
    </w:rPr>
  </w:style>
  <w:style w:type="paragraph" w:customStyle="1" w:styleId="Heading2Notes0">
    <w:name w:val="Heading 2 Notes"/>
    <w:basedOn w:val="Heading2"/>
    <w:link w:val="Heading2NotesChar0"/>
    <w:uiPriority w:val="99"/>
    <w:rsid w:val="008C2071"/>
    <w:pPr>
      <w:numPr>
        <w:numId w:val="24"/>
      </w:numPr>
      <w:tabs>
        <w:tab w:val="left" w:pos="1260"/>
      </w:tabs>
      <w:spacing w:after="120"/>
      <w:ind w:left="1276" w:hanging="1276"/>
    </w:pPr>
  </w:style>
  <w:style w:type="character" w:customStyle="1" w:styleId="Heading2NotesChar0">
    <w:name w:val="Heading 2 Notes Char"/>
    <w:basedOn w:val="Heading2Char"/>
    <w:link w:val="Heading2Notes0"/>
    <w:uiPriority w:val="99"/>
    <w:locked/>
    <w:rsid w:val="008C2071"/>
    <w:rPr>
      <w:rFonts w:ascii="Arial" w:eastAsia="Times New Roman" w:hAnsi="Arial" w:cs="Arial"/>
      <w:bCs/>
      <w:iCs/>
      <w:color w:val="000000" w:themeColor="text1"/>
      <w:sz w:val="28"/>
      <w:szCs w:val="28"/>
    </w:rPr>
  </w:style>
  <w:style w:type="paragraph" w:customStyle="1" w:styleId="Heading3Numbering">
    <w:name w:val="Heading 3 Numbering"/>
    <w:basedOn w:val="Heading3"/>
    <w:link w:val="Heading3NumberingChar"/>
    <w:rsid w:val="008C2071"/>
    <w:pPr>
      <w:tabs>
        <w:tab w:val="num" w:pos="720"/>
      </w:tabs>
      <w:spacing w:before="160"/>
      <w:ind w:left="720" w:hanging="720"/>
    </w:pPr>
    <w:rPr>
      <w:color w:val="auto"/>
    </w:rPr>
  </w:style>
  <w:style w:type="character" w:customStyle="1" w:styleId="Heading3NumberingChar">
    <w:name w:val="Heading 3 Numbering Char"/>
    <w:link w:val="Heading3Numbering"/>
    <w:rsid w:val="008C2071"/>
    <w:rPr>
      <w:rFonts w:ascii="Arial" w:eastAsia="Times New Roman" w:hAnsi="Arial" w:cs="Arial"/>
      <w:bCs/>
      <w:szCs w:val="19"/>
    </w:rPr>
  </w:style>
  <w:style w:type="paragraph" w:customStyle="1" w:styleId="HeadingforNotescont">
    <w:name w:val="Heading for Notes (cont)"/>
    <w:basedOn w:val="Normal"/>
    <w:link w:val="HeadingforNotescontChar"/>
    <w:rsid w:val="008C2071"/>
    <w:pPr>
      <w:keepNext/>
      <w:tabs>
        <w:tab w:val="left" w:pos="1170"/>
      </w:tabs>
      <w:spacing w:before="240"/>
      <w:ind w:left="1170" w:hanging="1170"/>
      <w:outlineLvl w:val="2"/>
    </w:pPr>
    <w:rPr>
      <w:rFonts w:cs="Arial"/>
      <w:b/>
      <w:bCs/>
      <w:color w:val="auto"/>
      <w:kern w:val="28"/>
      <w:sz w:val="24"/>
      <w:lang w:eastAsia="en-AU"/>
    </w:rPr>
  </w:style>
  <w:style w:type="character" w:customStyle="1" w:styleId="HeadingforNotescontChar">
    <w:name w:val="Heading for Notes (cont) Char"/>
    <w:link w:val="HeadingforNotescont"/>
    <w:locked/>
    <w:rsid w:val="008C2071"/>
    <w:rPr>
      <w:rFonts w:ascii="Arial" w:eastAsia="Times New Roman" w:hAnsi="Arial" w:cs="Arial"/>
      <w:b/>
      <w:bCs/>
      <w:kern w:val="28"/>
      <w:sz w:val="24"/>
      <w:szCs w:val="24"/>
      <w:lang w:eastAsia="en-AU"/>
    </w:rPr>
  </w:style>
  <w:style w:type="paragraph" w:customStyle="1" w:styleId="Imprintbullet">
    <w:name w:val="Imprint bullet"/>
    <w:basedOn w:val="Imprintinformation"/>
    <w:uiPriority w:val="99"/>
    <w:qFormat/>
    <w:rsid w:val="006016B9"/>
    <w:pPr>
      <w:numPr>
        <w:numId w:val="25"/>
      </w:numPr>
      <w:tabs>
        <w:tab w:val="left" w:pos="170"/>
      </w:tabs>
    </w:pPr>
    <w:rPr>
      <w:color w:val="auto"/>
      <w:sz w:val="16"/>
    </w:rPr>
  </w:style>
  <w:style w:type="paragraph" w:customStyle="1" w:styleId="Imprintinformation0">
    <w:name w:val="Imprint information"/>
    <w:basedOn w:val="Normal"/>
    <w:uiPriority w:val="99"/>
    <w:rsid w:val="008C2071"/>
    <w:rPr>
      <w:color w:val="auto"/>
      <w:sz w:val="16"/>
    </w:rPr>
  </w:style>
  <w:style w:type="numbering" w:customStyle="1" w:styleId="Listnumber10">
    <w:name w:val="List number 1"/>
    <w:basedOn w:val="NoList"/>
    <w:rsid w:val="008C2071"/>
    <w:pPr>
      <w:numPr>
        <w:numId w:val="26"/>
      </w:numPr>
    </w:pPr>
  </w:style>
  <w:style w:type="numbering" w:customStyle="1" w:styleId="ListNumber1">
    <w:name w:val="List Number1"/>
    <w:basedOn w:val="NoList"/>
    <w:rsid w:val="008C2071"/>
    <w:pPr>
      <w:numPr>
        <w:numId w:val="27"/>
      </w:numPr>
    </w:pPr>
  </w:style>
  <w:style w:type="paragraph" w:customStyle="1" w:styleId="Normalaftertableandbeforelist">
    <w:name w:val="Normal after table and before list"/>
    <w:basedOn w:val="Normalaftertable"/>
    <w:uiPriority w:val="99"/>
    <w:rsid w:val="008C2071"/>
    <w:pPr>
      <w:spacing w:after="40"/>
    </w:pPr>
    <w:rPr>
      <w:color w:val="auto"/>
      <w:szCs w:val="20"/>
    </w:rPr>
  </w:style>
  <w:style w:type="paragraph" w:customStyle="1" w:styleId="NormalIndent2">
    <w:name w:val="Normal Indent 2"/>
    <w:basedOn w:val="Normal"/>
    <w:uiPriority w:val="99"/>
    <w:rsid w:val="008C2071"/>
    <w:pPr>
      <w:ind w:left="450"/>
    </w:pPr>
    <w:rPr>
      <w:rFonts w:ascii="Garamond" w:hAnsi="Garamond"/>
      <w:color w:val="auto"/>
    </w:rPr>
  </w:style>
  <w:style w:type="numbering" w:customStyle="1" w:styleId="Normalnumberedlist">
    <w:name w:val="Normal numbered list"/>
    <w:basedOn w:val="NoList"/>
    <w:rsid w:val="008C2071"/>
    <w:pPr>
      <w:numPr>
        <w:numId w:val="28"/>
      </w:numPr>
    </w:pPr>
  </w:style>
  <w:style w:type="paragraph" w:customStyle="1" w:styleId="Normalspaceabove">
    <w:name w:val="Normal spaceabove"/>
    <w:basedOn w:val="Normal"/>
    <w:uiPriority w:val="99"/>
    <w:qFormat/>
    <w:rsid w:val="008C2071"/>
    <w:pPr>
      <w:spacing w:before="960"/>
    </w:pPr>
    <w:rPr>
      <w:rFonts w:cs="Arial"/>
      <w:b/>
      <w:color w:val="auto"/>
      <w:szCs w:val="19"/>
    </w:rPr>
  </w:style>
  <w:style w:type="paragraph" w:customStyle="1" w:styleId="NoteHeading0">
    <w:name w:val="NoteHeading"/>
    <w:basedOn w:val="Normal"/>
    <w:link w:val="NoteHeadingChar0"/>
    <w:rsid w:val="008C2071"/>
    <w:pPr>
      <w:tabs>
        <w:tab w:val="left" w:pos="1224"/>
      </w:tabs>
      <w:spacing w:after="120"/>
    </w:pPr>
    <w:rPr>
      <w:rFonts w:cs="Arial"/>
      <w:b/>
      <w:bCs/>
      <w:color w:val="auto"/>
      <w:sz w:val="28"/>
      <w:szCs w:val="28"/>
      <w:lang w:val="en-GB"/>
    </w:rPr>
  </w:style>
  <w:style w:type="character" w:customStyle="1" w:styleId="NoteHeadingChar0">
    <w:name w:val="NoteHeading Char"/>
    <w:link w:val="NoteHeading0"/>
    <w:locked/>
    <w:rsid w:val="008C2071"/>
    <w:rPr>
      <w:rFonts w:ascii="Arial" w:eastAsia="Times New Roman" w:hAnsi="Arial" w:cs="Arial"/>
      <w:b/>
      <w:bCs/>
      <w:sz w:val="28"/>
      <w:szCs w:val="28"/>
      <w:lang w:val="en-GB"/>
    </w:rPr>
  </w:style>
  <w:style w:type="paragraph" w:customStyle="1" w:styleId="NoteHeadingcontinued">
    <w:name w:val="NoteHeading continued"/>
    <w:basedOn w:val="NoteHeading0"/>
    <w:link w:val="NoteHeadingcontinuedChar"/>
    <w:rsid w:val="008C2071"/>
  </w:style>
  <w:style w:type="character" w:customStyle="1" w:styleId="NoteHeadingcontinuedChar">
    <w:name w:val="NoteHeading continued Char"/>
    <w:basedOn w:val="NoteHeadingChar0"/>
    <w:link w:val="NoteHeadingcontinued"/>
    <w:locked/>
    <w:rsid w:val="008C2071"/>
    <w:rPr>
      <w:rFonts w:ascii="Arial" w:eastAsia="Times New Roman" w:hAnsi="Arial" w:cs="Arial"/>
      <w:b/>
      <w:bCs/>
      <w:sz w:val="28"/>
      <w:szCs w:val="28"/>
      <w:lang w:val="en-GB"/>
    </w:rPr>
  </w:style>
  <w:style w:type="paragraph" w:customStyle="1" w:styleId="Notes">
    <w:name w:val="Notes"/>
    <w:basedOn w:val="Normal"/>
    <w:link w:val="NotesChar"/>
    <w:qFormat/>
    <w:rsid w:val="008C2071"/>
    <w:pPr>
      <w:tabs>
        <w:tab w:val="left" w:pos="454"/>
      </w:tabs>
      <w:spacing w:after="0"/>
      <w:ind w:left="459" w:hanging="459"/>
    </w:pPr>
    <w:rPr>
      <w:rFonts w:ascii="Calibri" w:eastAsia="Tahoma" w:hAnsi="Calibri" w:cs="Tahoma"/>
      <w:i/>
      <w:iCs/>
      <w:color w:val="auto"/>
      <w:sz w:val="16"/>
    </w:rPr>
  </w:style>
  <w:style w:type="character" w:customStyle="1" w:styleId="NotesChar">
    <w:name w:val="Notes Char"/>
    <w:link w:val="Notes"/>
    <w:locked/>
    <w:rsid w:val="008C2071"/>
    <w:rPr>
      <w:rFonts w:ascii="Calibri" w:eastAsia="Tahoma" w:hAnsi="Calibri" w:cs="Tahoma"/>
      <w:i/>
      <w:iCs/>
      <w:sz w:val="16"/>
      <w:szCs w:val="24"/>
    </w:rPr>
  </w:style>
  <w:style w:type="numbering" w:customStyle="1" w:styleId="Numberedlist">
    <w:name w:val="Numbered list"/>
    <w:basedOn w:val="NoList"/>
    <w:rsid w:val="008C2071"/>
    <w:pPr>
      <w:numPr>
        <w:numId w:val="29"/>
      </w:numPr>
    </w:pPr>
  </w:style>
  <w:style w:type="paragraph" w:customStyle="1" w:styleId="SmallLine">
    <w:name w:val="Small Line"/>
    <w:basedOn w:val="Normal"/>
    <w:link w:val="SmallLineChar"/>
    <w:rsid w:val="008C2071"/>
    <w:pPr>
      <w:spacing w:after="0"/>
    </w:pPr>
    <w:rPr>
      <w:rFonts w:ascii="Garamond" w:eastAsia="Tahoma" w:hAnsi="Garamond" w:cs="Tahoma"/>
      <w:color w:val="auto"/>
      <w:sz w:val="4"/>
      <w:szCs w:val="4"/>
    </w:rPr>
  </w:style>
  <w:style w:type="character" w:customStyle="1" w:styleId="SmallLineChar">
    <w:name w:val="Small Line Char"/>
    <w:link w:val="SmallLine"/>
    <w:locked/>
    <w:rsid w:val="008C2071"/>
    <w:rPr>
      <w:rFonts w:ascii="Garamond" w:eastAsia="Tahoma" w:hAnsi="Garamond" w:cs="Tahoma"/>
      <w:sz w:val="4"/>
      <w:szCs w:val="4"/>
    </w:rPr>
  </w:style>
  <w:style w:type="paragraph" w:customStyle="1" w:styleId="TableBulletDash">
    <w:name w:val="Table Bullet Dash"/>
    <w:basedOn w:val="Normal"/>
    <w:uiPriority w:val="10"/>
    <w:semiHidden/>
    <w:rsid w:val="008C2071"/>
    <w:pPr>
      <w:tabs>
        <w:tab w:val="num" w:pos="454"/>
      </w:tabs>
      <w:spacing w:after="0" w:line="260" w:lineRule="atLeast"/>
      <w:ind w:left="454" w:hanging="227"/>
    </w:pPr>
    <w:rPr>
      <w:rFonts w:ascii="Calibri" w:hAnsi="Calibri" w:cs="Calibri"/>
      <w:color w:val="auto"/>
      <w:sz w:val="22"/>
      <w:szCs w:val="22"/>
    </w:rPr>
  </w:style>
  <w:style w:type="paragraph" w:customStyle="1" w:styleId="Tablecolumnsubheading">
    <w:name w:val="Table column subheading"/>
    <w:basedOn w:val="Tablerowheading"/>
    <w:link w:val="TablecolumnsubheadingChar"/>
    <w:qFormat/>
    <w:rsid w:val="008C2071"/>
    <w:pPr>
      <w:keepNext/>
      <w:spacing w:before="360"/>
    </w:pPr>
    <w:rPr>
      <w:snapToGrid w:val="0"/>
    </w:rPr>
  </w:style>
  <w:style w:type="character" w:customStyle="1" w:styleId="TablecolumnsubheadingChar">
    <w:name w:val="Table column subheading Char"/>
    <w:basedOn w:val="TablerowheadingChar"/>
    <w:link w:val="Tablecolumnsubheading"/>
    <w:rsid w:val="008C2071"/>
    <w:rPr>
      <w:rFonts w:ascii="Arial" w:eastAsia="Times New Roman" w:hAnsi="Arial" w:cs="Arial"/>
      <w:b/>
      <w:snapToGrid w:val="0"/>
      <w:color w:val="000000" w:themeColor="text1"/>
      <w:sz w:val="17"/>
      <w:szCs w:val="18"/>
    </w:rPr>
  </w:style>
  <w:style w:type="paragraph" w:customStyle="1" w:styleId="Tablecolumnsubheadingitalic">
    <w:name w:val="Table column subheading italic"/>
    <w:basedOn w:val="Tablecolumnsubheading"/>
    <w:next w:val="Tabletext"/>
    <w:link w:val="TablecolumnsubheadingitalicChar"/>
    <w:qFormat/>
    <w:rsid w:val="008C2071"/>
    <w:pPr>
      <w:spacing w:before="40"/>
    </w:pPr>
    <w:rPr>
      <w:i/>
    </w:rPr>
  </w:style>
  <w:style w:type="character" w:customStyle="1" w:styleId="TablecolumnsubheadingitalicChar">
    <w:name w:val="Table column subheading italic Char"/>
    <w:basedOn w:val="TabletextChar"/>
    <w:link w:val="Tablecolumnsubheadingitalic"/>
    <w:rsid w:val="008C2071"/>
    <w:rPr>
      <w:rFonts w:ascii="Arial" w:eastAsia="Times New Roman" w:hAnsi="Arial" w:cs="Arial"/>
      <w:b/>
      <w:i/>
      <w:snapToGrid w:val="0"/>
      <w:color w:val="000000" w:themeColor="text1"/>
      <w:sz w:val="17"/>
      <w:szCs w:val="18"/>
    </w:rPr>
  </w:style>
  <w:style w:type="paragraph" w:customStyle="1" w:styleId="Tablecolumnsuperheading">
    <w:name w:val="Table column superheading"/>
    <w:basedOn w:val="Tablecolumnheading"/>
    <w:link w:val="TablecolumnsuperheadingChar"/>
    <w:qFormat/>
    <w:rsid w:val="008C2071"/>
    <w:pPr>
      <w:spacing w:before="360"/>
    </w:pPr>
  </w:style>
  <w:style w:type="character" w:customStyle="1" w:styleId="TablecolumnsuperheadingChar">
    <w:name w:val="Table column superheading Char"/>
    <w:basedOn w:val="TablecolumnheadingChar"/>
    <w:link w:val="Tablecolumnsuperheading"/>
    <w:rsid w:val="008C2071"/>
    <w:rPr>
      <w:rFonts w:ascii="Arial" w:eastAsia="Times New Roman" w:hAnsi="Arial" w:cs="Arial"/>
      <w:b/>
      <w:bCs/>
      <w:color w:val="FFFFFF"/>
      <w:sz w:val="17"/>
      <w:szCs w:val="18"/>
    </w:rPr>
  </w:style>
  <w:style w:type="paragraph" w:customStyle="1" w:styleId="TableEntry">
    <w:name w:val="Table Entry"/>
    <w:basedOn w:val="Normal"/>
    <w:uiPriority w:val="99"/>
    <w:rsid w:val="008C2071"/>
    <w:pPr>
      <w:spacing w:before="60" w:after="60"/>
    </w:pPr>
    <w:rPr>
      <w:rFonts w:ascii="Times New Roman" w:hAnsi="Times New Roman"/>
      <w:color w:val="auto"/>
      <w:sz w:val="20"/>
      <w:szCs w:val="22"/>
    </w:rPr>
  </w:style>
  <w:style w:type="paragraph" w:customStyle="1" w:styleId="Tablegrandtotal">
    <w:name w:val="Table grand total"/>
    <w:basedOn w:val="Tabletext"/>
    <w:next w:val="Tabletext"/>
    <w:uiPriority w:val="99"/>
    <w:qFormat/>
    <w:rsid w:val="008C2071"/>
    <w:pPr>
      <w:spacing w:before="240" w:after="240"/>
    </w:pPr>
    <w:rPr>
      <w:b/>
      <w:color w:val="auto"/>
    </w:rPr>
  </w:style>
  <w:style w:type="paragraph" w:customStyle="1" w:styleId="Tablerowheading18before">
    <w:name w:val="Table row heading_18before"/>
    <w:basedOn w:val="Tablerowheading"/>
    <w:uiPriority w:val="99"/>
    <w:qFormat/>
    <w:rsid w:val="008C2071"/>
    <w:pPr>
      <w:spacing w:before="360"/>
    </w:pPr>
    <w:rPr>
      <w:color w:val="auto"/>
    </w:rPr>
  </w:style>
  <w:style w:type="paragraph" w:customStyle="1" w:styleId="Tablesubheadingitalic18before">
    <w:name w:val="Table subheading italic_18before"/>
    <w:basedOn w:val="Tablesubheadingitalic"/>
    <w:uiPriority w:val="99"/>
    <w:qFormat/>
    <w:rsid w:val="008C2071"/>
    <w:pPr>
      <w:spacing w:before="360"/>
    </w:pPr>
    <w:rPr>
      <w:color w:val="auto"/>
    </w:rPr>
  </w:style>
  <w:style w:type="paragraph" w:customStyle="1" w:styleId="Tablesubtotal">
    <w:name w:val="Table subtotal"/>
    <w:basedOn w:val="Tabletext"/>
    <w:uiPriority w:val="99"/>
    <w:qFormat/>
    <w:rsid w:val="008C2071"/>
    <w:pPr>
      <w:spacing w:after="0"/>
    </w:pPr>
    <w:rPr>
      <w:b/>
      <w:bCs/>
      <w:color w:val="auto"/>
    </w:rPr>
  </w:style>
  <w:style w:type="paragraph" w:customStyle="1" w:styleId="TablesubtotalbeforeTabletotalcolumnsubheadingitalic">
    <w:name w:val="Table subtotal before Table total/column subheading italic"/>
    <w:basedOn w:val="Tabletext"/>
    <w:next w:val="Tabletext"/>
    <w:uiPriority w:val="99"/>
    <w:rsid w:val="008C2071"/>
    <w:pPr>
      <w:spacing w:after="360"/>
    </w:pPr>
    <w:rPr>
      <w:b/>
      <w:color w:val="auto"/>
    </w:rPr>
  </w:style>
  <w:style w:type="paragraph" w:customStyle="1" w:styleId="Tabletextbullet">
    <w:name w:val="Table text bullet"/>
    <w:basedOn w:val="Tabletextnoindent"/>
    <w:uiPriority w:val="99"/>
    <w:qFormat/>
    <w:rsid w:val="008C2071"/>
    <w:pPr>
      <w:numPr>
        <w:numId w:val="30"/>
      </w:numPr>
      <w:tabs>
        <w:tab w:val="clear" w:pos="205"/>
        <w:tab w:val="left" w:pos="170"/>
      </w:tabs>
    </w:pPr>
    <w:rPr>
      <w:lang w:eastAsia="en-AU"/>
    </w:rPr>
  </w:style>
  <w:style w:type="paragraph" w:customStyle="1" w:styleId="Tabletextheading">
    <w:name w:val="Table text heading"/>
    <w:basedOn w:val="Normal"/>
    <w:link w:val="TabletextheadingChar"/>
    <w:qFormat/>
    <w:rsid w:val="008C2071"/>
    <w:pPr>
      <w:spacing w:before="30" w:after="30"/>
      <w:jc w:val="right"/>
    </w:pPr>
    <w:rPr>
      <w:rFonts w:cs="Arial"/>
      <w:i/>
      <w:iCs/>
      <w:noProof/>
      <w:color w:val="auto"/>
    </w:rPr>
  </w:style>
  <w:style w:type="character" w:customStyle="1" w:styleId="TabletextheadingChar">
    <w:name w:val="Table text heading Char"/>
    <w:link w:val="Tabletextheading"/>
    <w:rsid w:val="008C2071"/>
    <w:rPr>
      <w:rFonts w:ascii="Arial" w:eastAsia="Times New Roman" w:hAnsi="Arial" w:cs="Arial"/>
      <w:i/>
      <w:iCs/>
      <w:noProof/>
      <w:sz w:val="19"/>
      <w:szCs w:val="24"/>
    </w:rPr>
  </w:style>
  <w:style w:type="paragraph" w:customStyle="1" w:styleId="TabletextheadingCentred">
    <w:name w:val="Table text heading Centred"/>
    <w:basedOn w:val="Tabletextheading"/>
    <w:link w:val="TabletextheadingCentredChar"/>
    <w:rsid w:val="008C2071"/>
    <w:pPr>
      <w:jc w:val="center"/>
    </w:pPr>
    <w:rPr>
      <w:rFonts w:ascii="Calibri" w:eastAsia="Tahoma" w:hAnsi="Calibri"/>
      <w:noProof w:val="0"/>
      <w:szCs w:val="20"/>
      <w:lang w:eastAsia="en-AU"/>
    </w:rPr>
  </w:style>
  <w:style w:type="character" w:customStyle="1" w:styleId="TabletextheadingCentredChar">
    <w:name w:val="Table text heading Centred Char"/>
    <w:link w:val="TabletextheadingCentred"/>
    <w:locked/>
    <w:rsid w:val="008C2071"/>
    <w:rPr>
      <w:rFonts w:ascii="Calibri" w:eastAsia="Tahoma" w:hAnsi="Calibri" w:cs="Arial"/>
      <w:i/>
      <w:iCs/>
      <w:sz w:val="19"/>
      <w:szCs w:val="20"/>
      <w:lang w:eastAsia="en-AU"/>
    </w:rPr>
  </w:style>
  <w:style w:type="paragraph" w:customStyle="1" w:styleId="TabletotalbeforeTablecolumnsubheading">
    <w:name w:val="Table total before Table column subheading"/>
    <w:basedOn w:val="Tabletotal"/>
    <w:link w:val="TabletotalbeforeTablecolumnsubheadingChar"/>
    <w:qFormat/>
    <w:rsid w:val="008C2071"/>
    <w:pPr>
      <w:tabs>
        <w:tab w:val="clear" w:pos="205"/>
      </w:tabs>
      <w:autoSpaceDE w:val="0"/>
      <w:autoSpaceDN w:val="0"/>
      <w:adjustRightInd w:val="0"/>
      <w:spacing w:before="120" w:after="40" w:line="240" w:lineRule="auto"/>
    </w:pPr>
    <w:rPr>
      <w:bCs/>
      <w:szCs w:val="18"/>
    </w:rPr>
  </w:style>
  <w:style w:type="character" w:customStyle="1" w:styleId="TabletotalbeforeTablecolumnsubheadingChar">
    <w:name w:val="Table total before Table column subheading Char"/>
    <w:basedOn w:val="TabletotalChar"/>
    <w:link w:val="TabletotalbeforeTablecolumnsubheading"/>
    <w:rsid w:val="008C2071"/>
    <w:rPr>
      <w:rFonts w:ascii="Arial" w:eastAsia="Times New Roman" w:hAnsi="Arial" w:cs="Arial"/>
      <w:b/>
      <w:bCs/>
      <w:color w:val="000000" w:themeColor="text1"/>
      <w:sz w:val="17"/>
      <w:szCs w:val="18"/>
    </w:rPr>
  </w:style>
  <w:style w:type="paragraph" w:customStyle="1" w:styleId="TOCTitleNotestotheFinancialStatements">
    <w:name w:val="TOC Title Notes to the Financial Statements"/>
    <w:basedOn w:val="TOCTitle"/>
    <w:next w:val="Normal"/>
    <w:link w:val="TOCTitleNotestotheFinancialStatementsChar"/>
    <w:qFormat/>
    <w:rsid w:val="008C2071"/>
    <w:pPr>
      <w:tabs>
        <w:tab w:val="clear" w:pos="8640"/>
        <w:tab w:val="right" w:pos="7371"/>
      </w:tabs>
      <w:spacing w:after="720" w:line="220" w:lineRule="atLeast"/>
      <w:ind w:left="-335"/>
      <w:outlineLvl w:val="0"/>
    </w:pPr>
    <w:rPr>
      <w:rFonts w:cs="Arial"/>
      <w:kern w:val="32"/>
    </w:rPr>
  </w:style>
  <w:style w:type="character" w:customStyle="1" w:styleId="TOCTitleNotestotheFinancialStatementsChar">
    <w:name w:val="TOC Title Notes to the Financial Statements Char"/>
    <w:basedOn w:val="Heading1Char"/>
    <w:link w:val="TOCTitleNotestotheFinancialStatements"/>
    <w:rsid w:val="008C2071"/>
    <w:rPr>
      <w:rFonts w:ascii="Arial" w:eastAsia="Times New Roman" w:hAnsi="Arial" w:cs="Arial"/>
      <w:bCs w:val="0"/>
      <w:color w:val="000000" w:themeColor="text1"/>
      <w:spacing w:val="-1"/>
      <w:kern w:val="32"/>
      <w:sz w:val="36"/>
      <w:szCs w:val="36"/>
    </w:rPr>
  </w:style>
  <w:style w:type="paragraph" w:customStyle="1" w:styleId="Tablerowheading12before">
    <w:name w:val="Table row heading_12before"/>
    <w:basedOn w:val="Tablerowheading18before"/>
    <w:uiPriority w:val="99"/>
    <w:qFormat/>
    <w:rsid w:val="008C2071"/>
    <w:pPr>
      <w:spacing w:before="240"/>
    </w:pPr>
  </w:style>
  <w:style w:type="paragraph" w:customStyle="1" w:styleId="Tabletextnoindenttight">
    <w:name w:val="Table text no indent_tight"/>
    <w:basedOn w:val="Tabletextnoindent"/>
    <w:uiPriority w:val="99"/>
    <w:qFormat/>
    <w:rsid w:val="008C2071"/>
    <w:pPr>
      <w:spacing w:before="40" w:after="40"/>
    </w:pPr>
    <w:rPr>
      <w:lang w:eastAsia="en-AU"/>
    </w:rPr>
  </w:style>
  <w:style w:type="paragraph" w:customStyle="1" w:styleId="Tabletextnoindent18before">
    <w:name w:val="Table text no indent_18before"/>
    <w:basedOn w:val="Tabletextnoindent"/>
    <w:uiPriority w:val="99"/>
    <w:qFormat/>
    <w:rsid w:val="008C2071"/>
    <w:pPr>
      <w:spacing w:before="360"/>
    </w:pPr>
    <w:rPr>
      <w:lang w:eastAsia="en-AU"/>
    </w:rPr>
  </w:style>
  <w:style w:type="paragraph" w:customStyle="1" w:styleId="Tabletextnoindentindent">
    <w:name w:val="Table text no indent_indent"/>
    <w:basedOn w:val="Tabletextnoindent"/>
    <w:uiPriority w:val="99"/>
    <w:qFormat/>
    <w:rsid w:val="008C2071"/>
    <w:pPr>
      <w:ind w:left="170"/>
    </w:pPr>
    <w:rPr>
      <w:lang w:eastAsia="en-AU"/>
    </w:rPr>
  </w:style>
  <w:style w:type="paragraph" w:customStyle="1" w:styleId="Tabletextoutputstight">
    <w:name w:val="Table text outputs_tight"/>
    <w:basedOn w:val="Tabletextoutputs"/>
    <w:uiPriority w:val="99"/>
    <w:qFormat/>
    <w:rsid w:val="008C2071"/>
    <w:pPr>
      <w:spacing w:before="40" w:after="40"/>
    </w:pPr>
  </w:style>
  <w:style w:type="paragraph" w:customStyle="1" w:styleId="Heading3Notesbold">
    <w:name w:val="Heading 3 Notes bold"/>
    <w:basedOn w:val="Heading3notesnumbered"/>
    <w:uiPriority w:val="99"/>
    <w:qFormat/>
    <w:rsid w:val="008C2071"/>
    <w:pPr>
      <w:numPr>
        <w:numId w:val="0"/>
      </w:numPr>
    </w:pPr>
    <w:rPr>
      <w:color w:val="auto"/>
    </w:rPr>
  </w:style>
  <w:style w:type="paragraph" w:styleId="ListBullet2">
    <w:name w:val="List Bullet 2"/>
    <w:basedOn w:val="Normal"/>
    <w:uiPriority w:val="99"/>
    <w:unhideWhenUsed/>
    <w:qFormat/>
    <w:rsid w:val="004453B1"/>
    <w:pPr>
      <w:numPr>
        <w:numId w:val="21"/>
      </w:numPr>
      <w:contextualSpacing/>
    </w:pPr>
  </w:style>
  <w:style w:type="paragraph" w:styleId="FootnoteText">
    <w:name w:val="footnote text"/>
    <w:basedOn w:val="Normal"/>
    <w:link w:val="FootnoteTextChar"/>
    <w:uiPriority w:val="99"/>
    <w:rsid w:val="00DF1B63"/>
    <w:pPr>
      <w:spacing w:after="0" w:line="240" w:lineRule="auto"/>
    </w:pPr>
    <w:rPr>
      <w:sz w:val="17"/>
      <w:szCs w:val="20"/>
    </w:rPr>
  </w:style>
  <w:style w:type="character" w:customStyle="1" w:styleId="FootnoteTextChar">
    <w:name w:val="Footnote Text Char"/>
    <w:basedOn w:val="DefaultParagraphFont"/>
    <w:link w:val="FootnoteText"/>
    <w:uiPriority w:val="99"/>
    <w:rsid w:val="00DF1B63"/>
    <w:rPr>
      <w:rFonts w:ascii="Arial" w:eastAsia="Times New Roman" w:hAnsi="Arial" w:cs="Times New Roman"/>
      <w:color w:val="000000" w:themeColor="text1"/>
      <w:sz w:val="17"/>
      <w:szCs w:val="20"/>
    </w:rPr>
  </w:style>
  <w:style w:type="table" w:customStyle="1" w:styleId="TableGrid20">
    <w:name w:val="Table Grid2"/>
    <w:basedOn w:val="TableNormal"/>
    <w:next w:val="TableGrid"/>
    <w:uiPriority w:val="59"/>
    <w:rsid w:val="0024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
    <w:name w:val="AR Body"/>
    <w:link w:val="ARBodyChar"/>
    <w:autoRedefine/>
    <w:qFormat/>
    <w:rsid w:val="00C12F58"/>
    <w:pPr>
      <w:pBdr>
        <w:top w:val="nil"/>
        <w:left w:val="nil"/>
        <w:bottom w:val="nil"/>
        <w:right w:val="nil"/>
        <w:between w:val="nil"/>
        <w:bar w:val="nil"/>
      </w:pBdr>
      <w:tabs>
        <w:tab w:val="left" w:pos="851"/>
      </w:tabs>
      <w:spacing w:after="80"/>
    </w:pPr>
    <w:rPr>
      <w:snapToGrid w:val="0"/>
      <w:sz w:val="18"/>
      <w:bdr w:val="nil"/>
    </w:rPr>
  </w:style>
  <w:style w:type="character" w:customStyle="1" w:styleId="ARBodyChar">
    <w:name w:val="AR Body Char"/>
    <w:basedOn w:val="DefaultParagraphFont"/>
    <w:link w:val="ARBody"/>
    <w:rsid w:val="00C12F58"/>
    <w:rPr>
      <w:snapToGrid w:val="0"/>
      <w:sz w:val="18"/>
      <w:bdr w:val="nil"/>
    </w:rPr>
  </w:style>
  <w:style w:type="paragraph" w:customStyle="1" w:styleId="DETNormallistbullet">
    <w:name w:val="DET Normal list bullet"/>
    <w:basedOn w:val="Normal"/>
    <w:next w:val="DETNormalafterlist"/>
    <w:link w:val="DETNormallistbulletChar"/>
    <w:qFormat/>
    <w:rsid w:val="005B7590"/>
    <w:pPr>
      <w:numPr>
        <w:numId w:val="31"/>
      </w:numPr>
    </w:pPr>
  </w:style>
  <w:style w:type="paragraph" w:customStyle="1" w:styleId="ARDotpoints">
    <w:name w:val="AR Dot points"/>
    <w:basedOn w:val="Normal"/>
    <w:link w:val="ARDotpointsChar"/>
    <w:autoRedefine/>
    <w:uiPriority w:val="99"/>
    <w:qFormat/>
    <w:rsid w:val="00FE7049"/>
    <w:pPr>
      <w:numPr>
        <w:numId w:val="32"/>
      </w:numPr>
      <w:spacing w:after="120" w:line="276" w:lineRule="auto"/>
    </w:pPr>
    <w:rPr>
      <w:rFonts w:asciiTheme="minorHAnsi" w:hAnsiTheme="minorHAnsi"/>
      <w:color w:val="auto"/>
      <w:sz w:val="18"/>
      <w:szCs w:val="22"/>
      <w:lang w:eastAsia="en-AU"/>
    </w:rPr>
  </w:style>
  <w:style w:type="character" w:customStyle="1" w:styleId="DETNormallistbulletChar">
    <w:name w:val="DET Normal list bullet Char"/>
    <w:basedOn w:val="DefaultParagraphFont"/>
    <w:link w:val="DETNormallistbullet"/>
    <w:rsid w:val="005B7590"/>
    <w:rPr>
      <w:rFonts w:ascii="Arial" w:eastAsia="Times New Roman" w:hAnsi="Arial" w:cs="Times New Roman"/>
      <w:color w:val="000000" w:themeColor="text1"/>
      <w:sz w:val="19"/>
      <w:szCs w:val="24"/>
    </w:rPr>
  </w:style>
  <w:style w:type="character" w:customStyle="1" w:styleId="ARDotpointsChar">
    <w:name w:val="AR Dot points Char"/>
    <w:link w:val="ARDotpoints"/>
    <w:uiPriority w:val="99"/>
    <w:rsid w:val="00FE7049"/>
    <w:rPr>
      <w:rFonts w:eastAsia="Times New Roman" w:cs="Times New Roman"/>
      <w:sz w:val="18"/>
      <w:lang w:eastAsia="en-AU"/>
    </w:rPr>
  </w:style>
  <w:style w:type="paragraph" w:customStyle="1" w:styleId="DETTablebulletlist">
    <w:name w:val="DET Table bullet list"/>
    <w:basedOn w:val="ListBullet"/>
    <w:qFormat/>
    <w:rsid w:val="00CD091A"/>
    <w:pPr>
      <w:tabs>
        <w:tab w:val="clear" w:pos="170"/>
        <w:tab w:val="left" w:pos="11"/>
        <w:tab w:val="num" w:pos="360"/>
      </w:tabs>
      <w:spacing w:before="80" w:after="80" w:line="240" w:lineRule="auto"/>
      <w:ind w:left="360" w:hanging="360"/>
    </w:pPr>
    <w:rPr>
      <w:rFonts w:eastAsiaTheme="minorHAnsi" w:cstheme="minorBidi"/>
      <w:color w:val="auto"/>
      <w:sz w:val="17"/>
      <w:szCs w:val="16"/>
      <w:lang w:val="en-US"/>
    </w:rPr>
  </w:style>
  <w:style w:type="character" w:customStyle="1" w:styleId="DETTableheadingChar">
    <w:name w:val="DET Table heading Char"/>
    <w:basedOn w:val="ARBodyChar"/>
    <w:link w:val="DETTableheading"/>
    <w:locked/>
    <w:rsid w:val="007540CD"/>
    <w:rPr>
      <w:rFonts w:ascii="Arial" w:hAnsi="Arial"/>
      <w:b/>
      <w:i/>
      <w:snapToGrid/>
      <w:color w:val="000000"/>
      <w:sz w:val="17"/>
      <w:bdr w:val="none" w:sz="0" w:space="0" w:color="auto" w:frame="1"/>
    </w:rPr>
  </w:style>
  <w:style w:type="paragraph" w:customStyle="1" w:styleId="DETTableheading">
    <w:name w:val="DET Table heading"/>
    <w:basedOn w:val="ARBody"/>
    <w:next w:val="ARBody"/>
    <w:link w:val="DETTableheadingChar"/>
    <w:autoRedefine/>
    <w:qFormat/>
    <w:rsid w:val="007540CD"/>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b/>
      <w:i/>
      <w:snapToGrid/>
      <w:color w:val="000000"/>
      <w:sz w:val="17"/>
      <w:bdr w:val="none" w:sz="0" w:space="0" w:color="auto" w:frame="1"/>
    </w:rPr>
  </w:style>
  <w:style w:type="character" w:customStyle="1" w:styleId="ARHeading4Char">
    <w:name w:val="AR Heading 4 Char"/>
    <w:basedOn w:val="DefaultParagraphFont"/>
    <w:link w:val="ARHeading4"/>
    <w:locked/>
    <w:rsid w:val="001C288E"/>
    <w:rPr>
      <w:b/>
      <w:color w:val="709FDB" w:themeColor="text2" w:themeTint="80"/>
      <w:sz w:val="18"/>
      <w:bdr w:val="none" w:sz="0" w:space="0" w:color="auto" w:frame="1"/>
    </w:rPr>
  </w:style>
  <w:style w:type="paragraph" w:customStyle="1" w:styleId="ARHeading4">
    <w:name w:val="AR Heading 4"/>
    <w:basedOn w:val="Heading4"/>
    <w:link w:val="ARHeading4Char"/>
    <w:qFormat/>
    <w:rsid w:val="001C288E"/>
    <w:pPr>
      <w:keepLines/>
      <w:tabs>
        <w:tab w:val="clear" w:pos="397"/>
        <w:tab w:val="left" w:pos="851"/>
      </w:tabs>
      <w:snapToGrid w:val="0"/>
      <w:spacing w:before="120" w:after="120" w:line="240" w:lineRule="auto"/>
    </w:pPr>
    <w:rPr>
      <w:rFonts w:asciiTheme="minorHAnsi" w:eastAsiaTheme="minorHAnsi" w:hAnsiTheme="minorHAnsi" w:cstheme="minorBidi"/>
      <w:i w:val="0"/>
      <w:color w:val="709FDB" w:themeColor="text2" w:themeTint="80"/>
      <w:sz w:val="18"/>
      <w:szCs w:val="22"/>
      <w:bdr w:val="none" w:sz="0" w:space="0" w:color="auto" w:frame="1"/>
    </w:rPr>
  </w:style>
  <w:style w:type="paragraph" w:customStyle="1" w:styleId="FootnoteTextforobjectivestablesOHStable1">
    <w:name w:val="Footnote Text for objectives tables &amp; OHS table1"/>
    <w:basedOn w:val="Normal"/>
    <w:next w:val="Normal"/>
    <w:uiPriority w:val="99"/>
    <w:qFormat/>
    <w:rsid w:val="00BB285D"/>
    <w:pPr>
      <w:widowControl w:val="0"/>
      <w:tabs>
        <w:tab w:val="left" w:pos="170"/>
      </w:tabs>
      <w:autoSpaceDE w:val="0"/>
      <w:autoSpaceDN w:val="0"/>
      <w:adjustRightInd w:val="0"/>
      <w:spacing w:after="0" w:line="150" w:lineRule="exact"/>
      <w:ind w:left="170" w:hanging="170"/>
    </w:pPr>
    <w:rPr>
      <w:rFonts w:ascii="Arial Narrow" w:hAnsi="Arial Narrow"/>
      <w:sz w:val="15"/>
      <w:szCs w:val="20"/>
    </w:rPr>
  </w:style>
  <w:style w:type="paragraph" w:customStyle="1" w:styleId="ARFootnote">
    <w:name w:val="AR Footnote"/>
    <w:basedOn w:val="FootnoteText"/>
    <w:autoRedefine/>
    <w:uiPriority w:val="99"/>
    <w:qFormat/>
    <w:rsid w:val="005F1A89"/>
    <w:pPr>
      <w:spacing w:before="60"/>
    </w:pPr>
    <w:rPr>
      <w:rFonts w:eastAsia="Calibri"/>
      <w:color w:val="auto"/>
      <w:sz w:val="14"/>
      <w:vertAlign w:val="superscript"/>
      <w:lang w:val="en-US"/>
    </w:rPr>
  </w:style>
  <w:style w:type="paragraph" w:customStyle="1" w:styleId="ARHeading5">
    <w:name w:val="AR Heading 5"/>
    <w:basedOn w:val="ARBody"/>
    <w:next w:val="ARBody"/>
    <w:uiPriority w:val="99"/>
    <w:qFormat/>
    <w:rsid w:val="00E829BC"/>
    <w:pPr>
      <w:tabs>
        <w:tab w:val="clear" w:pos="851"/>
      </w:tabs>
      <w:spacing w:before="120"/>
    </w:pPr>
    <w:rPr>
      <w:snapToGrid/>
      <w:color w:val="709FDB" w:themeColor="text2" w:themeTint="80"/>
      <w:u w:val="single"/>
    </w:rPr>
  </w:style>
  <w:style w:type="paragraph" w:customStyle="1" w:styleId="SectionHeading-White">
    <w:name w:val="Section Heading-White"/>
    <w:basedOn w:val="Normal"/>
    <w:next w:val="Normal"/>
    <w:uiPriority w:val="99"/>
    <w:qFormat/>
    <w:rsid w:val="00A008F8"/>
    <w:pPr>
      <w:pBdr>
        <w:bottom w:val="single" w:sz="12" w:space="6" w:color="EEECE1" w:themeColor="background2"/>
      </w:pBdr>
      <w:spacing w:after="160" w:line="216" w:lineRule="auto"/>
      <w:ind w:right="2268"/>
    </w:pPr>
    <w:rPr>
      <w:rFonts w:asciiTheme="majorHAnsi" w:eastAsiaTheme="majorEastAsia" w:hAnsiTheme="majorHAnsi" w:cstheme="majorHAnsi"/>
      <w:b/>
      <w:caps/>
      <w:color w:val="EEECE1" w:themeColor="background2"/>
      <w:sz w:val="24"/>
      <w:szCs w:val="32"/>
    </w:rPr>
  </w:style>
  <w:style w:type="paragraph" w:customStyle="1" w:styleId="TableHeadingWhite">
    <w:name w:val="Table Heading White"/>
    <w:basedOn w:val="Normal"/>
    <w:autoRedefine/>
    <w:uiPriority w:val="99"/>
    <w:qFormat/>
    <w:rsid w:val="001F5EA1"/>
    <w:pPr>
      <w:spacing w:before="60" w:after="60" w:line="240" w:lineRule="auto"/>
      <w:jc w:val="center"/>
    </w:pPr>
    <w:rPr>
      <w:rFonts w:asciiTheme="minorHAnsi" w:eastAsiaTheme="minorHAnsi" w:hAnsiTheme="minorHAnsi" w:cstheme="minorBidi"/>
      <w:b/>
      <w:color w:val="EEECE1" w:themeColor="background2"/>
      <w:sz w:val="14"/>
      <w:szCs w:val="16"/>
      <w:lang w:val="en-US" w:eastAsia="en-AU"/>
    </w:rPr>
  </w:style>
  <w:style w:type="paragraph" w:customStyle="1" w:styleId="DETTableTextFinancial">
    <w:name w:val="DET Table Text Financial"/>
    <w:basedOn w:val="TableText0"/>
    <w:qFormat/>
    <w:rsid w:val="00BE753C"/>
    <w:pPr>
      <w:spacing w:before="60" w:after="60"/>
    </w:pPr>
    <w:rPr>
      <w:rFonts w:eastAsiaTheme="minorHAnsi"/>
      <w:bCs/>
      <w:sz w:val="16"/>
      <w:szCs w:val="52"/>
      <w:lang w:eastAsia="en-US"/>
    </w:rPr>
  </w:style>
  <w:style w:type="paragraph" w:customStyle="1" w:styleId="ARHeading2">
    <w:name w:val="AR Heading 2"/>
    <w:basedOn w:val="Normal"/>
    <w:next w:val="Heading1"/>
    <w:autoRedefine/>
    <w:uiPriority w:val="99"/>
    <w:qFormat/>
    <w:rsid w:val="0045134B"/>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character" w:styleId="SubtleEmphasis">
    <w:name w:val="Subtle Emphasis"/>
    <w:basedOn w:val="DefaultParagraphFont"/>
    <w:uiPriority w:val="19"/>
    <w:qFormat/>
    <w:rsid w:val="00837349"/>
    <w:rPr>
      <w:i/>
      <w:iCs/>
      <w:color w:val="404040" w:themeColor="text1" w:themeTint="BF"/>
    </w:rPr>
  </w:style>
  <w:style w:type="character" w:styleId="SubtleReference">
    <w:name w:val="Subtle Reference"/>
    <w:basedOn w:val="DefaultParagraphFont"/>
    <w:uiPriority w:val="31"/>
    <w:qFormat/>
    <w:rsid w:val="0056397F"/>
    <w:rPr>
      <w:smallCaps/>
      <w:color w:val="5A5A5A" w:themeColor="text1" w:themeTint="A5"/>
    </w:rPr>
  </w:style>
  <w:style w:type="paragraph" w:customStyle="1" w:styleId="Pa9">
    <w:name w:val="Pa9"/>
    <w:basedOn w:val="Normal"/>
    <w:next w:val="Normal"/>
    <w:uiPriority w:val="99"/>
    <w:rsid w:val="00170E98"/>
    <w:pPr>
      <w:autoSpaceDE w:val="0"/>
      <w:autoSpaceDN w:val="0"/>
      <w:adjustRightInd w:val="0"/>
      <w:spacing w:after="0" w:line="201" w:lineRule="atLeast"/>
    </w:pPr>
    <w:rPr>
      <w:rFonts w:ascii="Tiempos Text Regular" w:eastAsiaTheme="minorHAnsi" w:hAnsi="Tiempos Text Regular" w:cstheme="minorBidi"/>
      <w:color w:val="auto"/>
      <w:sz w:val="24"/>
    </w:rPr>
  </w:style>
  <w:style w:type="character" w:customStyle="1" w:styleId="Heading1Char1">
    <w:name w:val="Heading 1 Char1"/>
    <w:aliases w:val="Heading 1 Section Heading Char1"/>
    <w:basedOn w:val="DefaultParagraphFont"/>
    <w:uiPriority w:val="9"/>
    <w:rsid w:val="00FE7F8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Reset numbering Char1,Reset numbering1 Char1"/>
    <w:basedOn w:val="DefaultParagraphFont"/>
    <w:uiPriority w:val="9"/>
    <w:semiHidden/>
    <w:rsid w:val="00FE7F8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Level 1 - 1 Char1"/>
    <w:basedOn w:val="DefaultParagraphFont"/>
    <w:uiPriority w:val="9"/>
    <w:semiHidden/>
    <w:rsid w:val="00FE7F8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FE7F8B"/>
    <w:pPr>
      <w:spacing w:before="96" w:after="240"/>
      <w:ind w:left="120"/>
    </w:pPr>
    <w:rPr>
      <w:lang w:eastAsia="en-AU"/>
    </w:rPr>
  </w:style>
  <w:style w:type="character" w:customStyle="1" w:styleId="NormalafterlistChar">
    <w:name w:val="Normal after list Char"/>
    <w:basedOn w:val="NormalaftertableChar"/>
    <w:link w:val="Normalafterlist"/>
    <w:locked/>
    <w:rsid w:val="00FE7F8B"/>
    <w:rPr>
      <w:rFonts w:ascii="Arial" w:eastAsia="Times New Roman" w:hAnsi="Arial" w:cs="Times New Roman"/>
      <w:color w:val="000000" w:themeColor="text1"/>
      <w:sz w:val="19"/>
      <w:szCs w:val="24"/>
    </w:rPr>
  </w:style>
  <w:style w:type="paragraph" w:customStyle="1" w:styleId="Normalafterlist">
    <w:name w:val="Normal after list"/>
    <w:basedOn w:val="Normalaftertable"/>
    <w:next w:val="Normal"/>
    <w:link w:val="NormalafterlistChar"/>
    <w:qFormat/>
    <w:rsid w:val="00FE7F8B"/>
    <w:pPr>
      <w:spacing w:before="90"/>
    </w:pPr>
  </w:style>
  <w:style w:type="character" w:customStyle="1" w:styleId="Heading2appendicesChar">
    <w:name w:val="Heading 2 appendices Char"/>
    <w:basedOn w:val="Heading2Char"/>
    <w:link w:val="Heading2appendices"/>
    <w:locked/>
    <w:rsid w:val="00FE7F8B"/>
    <w:rPr>
      <w:rFonts w:ascii="Arial" w:eastAsia="Times New Roman" w:hAnsi="Arial" w:cs="Arial"/>
      <w:bCs w:val="0"/>
      <w:iCs w:val="0"/>
      <w:color w:val="000000" w:themeColor="text1"/>
      <w:sz w:val="28"/>
      <w:szCs w:val="28"/>
    </w:rPr>
  </w:style>
  <w:style w:type="paragraph" w:customStyle="1" w:styleId="Heading2appendices">
    <w:name w:val="Heading 2 appendices"/>
    <w:basedOn w:val="Heading2"/>
    <w:next w:val="Normal"/>
    <w:link w:val="Heading2appendicesChar"/>
    <w:qFormat/>
    <w:rsid w:val="00FE7F8B"/>
    <w:rPr>
      <w:bCs w:val="0"/>
      <w:iCs w:val="0"/>
    </w:rPr>
  </w:style>
  <w:style w:type="paragraph" w:customStyle="1" w:styleId="Heading2appendicesnumbered">
    <w:name w:val="Heading 2 appendices numbered"/>
    <w:basedOn w:val="Heading2notes"/>
    <w:uiPriority w:val="99"/>
    <w:qFormat/>
    <w:rsid w:val="00FE7F8B"/>
    <w:pPr>
      <w:numPr>
        <w:numId w:val="0"/>
      </w:numPr>
      <w:tabs>
        <w:tab w:val="clear" w:pos="1134"/>
        <w:tab w:val="left" w:pos="1701"/>
      </w:tabs>
      <w:ind w:left="360" w:hanging="360"/>
    </w:pPr>
    <w:rPr>
      <w:bCs w:val="0"/>
      <w:iCs w:val="0"/>
    </w:rPr>
  </w:style>
  <w:style w:type="character" w:customStyle="1" w:styleId="FootnoteTextforobjectivestablesOHStableChar">
    <w:name w:val="Footnote Text for objectives tables &amp; OHS table Char"/>
    <w:basedOn w:val="DefaultParagraphFont"/>
    <w:link w:val="FootnoteTextforobjectivestablesOHStable"/>
    <w:locked/>
    <w:rsid w:val="00FE7F8B"/>
    <w:rPr>
      <w:rFonts w:ascii="Arial Narrow" w:eastAsia="Times New Roman" w:hAnsi="Arial Narrow" w:cs="Arial"/>
      <w:color w:val="000000" w:themeColor="text1"/>
      <w:sz w:val="15"/>
      <w:szCs w:val="16"/>
    </w:rPr>
  </w:style>
  <w:style w:type="paragraph" w:customStyle="1" w:styleId="FootnoteTextforobjectivestablesOHStable">
    <w:name w:val="Footnote Text for objectives tables &amp; OHS table"/>
    <w:basedOn w:val="Normal"/>
    <w:next w:val="Normal"/>
    <w:link w:val="FootnoteTextforobjectivestablesOHStableChar"/>
    <w:qFormat/>
    <w:rsid w:val="00FE7F8B"/>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Heading2AppendicesChar0">
    <w:name w:val="Heading 2 Appendices Char"/>
    <w:basedOn w:val="Heading2Char"/>
    <w:link w:val="Heading2Appendices0"/>
    <w:locked/>
    <w:rsid w:val="00FE7F8B"/>
    <w:rPr>
      <w:rFonts w:ascii="Arial" w:eastAsia="Times New Roman" w:hAnsi="Arial" w:cs="Arial"/>
      <w:bCs w:val="0"/>
      <w:iCs w:val="0"/>
      <w:color w:val="000000" w:themeColor="text1"/>
      <w:sz w:val="28"/>
      <w:szCs w:val="28"/>
    </w:rPr>
  </w:style>
  <w:style w:type="paragraph" w:customStyle="1" w:styleId="Heading2Appendices0">
    <w:name w:val="Heading 2 Appendices"/>
    <w:basedOn w:val="Heading2"/>
    <w:link w:val="Heading2AppendicesChar0"/>
    <w:qFormat/>
    <w:rsid w:val="00FE7F8B"/>
    <w:rPr>
      <w:bCs w:val="0"/>
      <w:iCs w:val="0"/>
    </w:rPr>
  </w:style>
  <w:style w:type="character" w:customStyle="1" w:styleId="NormallistbulletChar">
    <w:name w:val="Normal list bullet Char"/>
    <w:basedOn w:val="DefaultParagraphFont"/>
    <w:link w:val="Normallistbullet"/>
    <w:uiPriority w:val="99"/>
    <w:locked/>
    <w:rsid w:val="00FE7F8B"/>
    <w:rPr>
      <w:rFonts w:ascii="Arial" w:eastAsia="Times New Roman" w:hAnsi="Arial" w:cs="Times New Roman"/>
      <w:color w:val="000000" w:themeColor="text1"/>
      <w:sz w:val="19"/>
      <w:szCs w:val="24"/>
    </w:rPr>
  </w:style>
  <w:style w:type="paragraph" w:customStyle="1" w:styleId="Normallistbullet">
    <w:name w:val="Normal list bullet"/>
    <w:basedOn w:val="Normal"/>
    <w:next w:val="Normalafterlist"/>
    <w:link w:val="NormallistbulletChar"/>
    <w:uiPriority w:val="99"/>
    <w:qFormat/>
    <w:rsid w:val="00FE7F8B"/>
    <w:pPr>
      <w:ind w:left="717" w:hanging="360"/>
    </w:pPr>
  </w:style>
  <w:style w:type="paragraph" w:customStyle="1" w:styleId="Tablebulletlist">
    <w:name w:val="Table bullet list"/>
    <w:basedOn w:val="ListBullet"/>
    <w:uiPriority w:val="99"/>
    <w:qFormat/>
    <w:rsid w:val="00FE7F8B"/>
    <w:pPr>
      <w:numPr>
        <w:numId w:val="0"/>
      </w:numPr>
      <w:tabs>
        <w:tab w:val="clear" w:pos="170"/>
      </w:tabs>
      <w:spacing w:before="100" w:after="100" w:line="240" w:lineRule="auto"/>
      <w:ind w:left="501" w:right="122" w:hanging="360"/>
    </w:pPr>
    <w:rPr>
      <w:rFonts w:asciiTheme="minorHAnsi" w:eastAsiaTheme="minorHAnsi" w:hAnsiTheme="minorHAnsi" w:cstheme="minorBidi"/>
      <w:color w:val="343741"/>
      <w:sz w:val="16"/>
      <w:szCs w:val="16"/>
      <w:lang w:val="en-US"/>
    </w:rPr>
  </w:style>
  <w:style w:type="character" w:customStyle="1" w:styleId="ARTableheadingChar">
    <w:name w:val="AR Table heading Char"/>
    <w:basedOn w:val="ARBodyChar"/>
    <w:link w:val="ARTableheading"/>
    <w:locked/>
    <w:rsid w:val="00FE7F8B"/>
    <w:rPr>
      <w:rFonts w:ascii="Arial" w:hAnsi="Arial" w:cs="Arial"/>
      <w:b/>
      <w:i/>
      <w:snapToGrid w:val="0"/>
      <w:color w:val="000000"/>
      <w:sz w:val="17"/>
      <w:bdr w:val="none" w:sz="0" w:space="0" w:color="auto" w:frame="1"/>
    </w:rPr>
  </w:style>
  <w:style w:type="paragraph" w:customStyle="1" w:styleId="ARTableheading">
    <w:name w:val="AR Table heading"/>
    <w:basedOn w:val="ARBody"/>
    <w:next w:val="ARBody"/>
    <w:link w:val="ARTableheadingChar"/>
    <w:autoRedefine/>
    <w:qFormat/>
    <w:rsid w:val="00FE7F8B"/>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cs="Arial"/>
      <w:b/>
      <w:i/>
      <w:color w:val="000000"/>
      <w:sz w:val="17"/>
      <w:bdr w:val="none" w:sz="0" w:space="0" w:color="auto" w:frame="1"/>
    </w:rPr>
  </w:style>
  <w:style w:type="paragraph" w:customStyle="1" w:styleId="TableTextFinancial">
    <w:name w:val="Table Text Financial"/>
    <w:basedOn w:val="TableText0"/>
    <w:uiPriority w:val="99"/>
    <w:qFormat/>
    <w:rsid w:val="00FE7F8B"/>
    <w:pPr>
      <w:spacing w:before="0" w:after="60"/>
    </w:pPr>
    <w:rPr>
      <w:rFonts w:eastAsiaTheme="minorHAnsi"/>
      <w:bCs/>
      <w:sz w:val="16"/>
      <w:szCs w:val="52"/>
      <w:lang w:eastAsia="en-US"/>
    </w:rPr>
  </w:style>
  <w:style w:type="paragraph" w:customStyle="1" w:styleId="Tabledash">
    <w:name w:val="Table dash"/>
    <w:basedOn w:val="Tablebullet"/>
    <w:uiPriority w:val="9"/>
    <w:rsid w:val="00FE7F8B"/>
    <w:pPr>
      <w:widowControl/>
      <w:numPr>
        <w:numId w:val="0"/>
      </w:numPr>
      <w:tabs>
        <w:tab w:val="clear" w:pos="113"/>
        <w:tab w:val="clear" w:pos="284"/>
      </w:tabs>
      <w:autoSpaceDE/>
      <w:autoSpaceDN/>
      <w:adjustRightInd/>
      <w:spacing w:before="50" w:after="50" w:line="264" w:lineRule="auto"/>
      <w:ind w:left="576" w:hanging="288"/>
    </w:pPr>
    <w:rPr>
      <w:rFonts w:asciiTheme="minorHAnsi" w:eastAsiaTheme="minorEastAsia" w:hAnsiTheme="minorHAnsi" w:cstheme="minorBidi"/>
      <w:spacing w:val="2"/>
      <w:szCs w:val="20"/>
    </w:rPr>
  </w:style>
  <w:style w:type="paragraph" w:customStyle="1" w:styleId="Tablerowheadingoutputstables">
    <w:name w:val="Table row heading outputs tables"/>
    <w:basedOn w:val="Normal"/>
    <w:link w:val="TablerowheadingoutputstablesChar"/>
    <w:rsid w:val="00FE7F8B"/>
  </w:style>
  <w:style w:type="character" w:customStyle="1" w:styleId="TablerowheadingoutputstablesChar">
    <w:name w:val="Table row heading outputs tables Char"/>
    <w:basedOn w:val="TablerowheadingChar"/>
    <w:link w:val="Tablerowheadingoutputstables"/>
    <w:locked/>
    <w:rsid w:val="00FE7F8B"/>
    <w:rPr>
      <w:rFonts w:ascii="Arial" w:eastAsia="Times New Roman" w:hAnsi="Arial" w:cs="Times New Roman"/>
      <w:b w:val="0"/>
      <w:color w:val="000000" w:themeColor="text1"/>
      <w:sz w:val="19"/>
      <w:szCs w:val="24"/>
    </w:rPr>
  </w:style>
  <w:style w:type="paragraph" w:customStyle="1" w:styleId="Tablecolumnheadingfinancialbottomrow">
    <w:name w:val="Table column heading financial bottom row"/>
    <w:basedOn w:val="Normal"/>
    <w:link w:val="TablecolumnheadingfinancialbottomrowChar"/>
    <w:rsid w:val="00FE7F8B"/>
  </w:style>
  <w:style w:type="character" w:customStyle="1" w:styleId="TablecolumnheadingfinancialbottomrowChar">
    <w:name w:val="Table column heading financial bottom row Char"/>
    <w:basedOn w:val="TablecolumnheadingChar"/>
    <w:link w:val="Tablecolumnheadingfinancialbottomrow"/>
    <w:locked/>
    <w:rsid w:val="00FE7F8B"/>
    <w:rPr>
      <w:rFonts w:ascii="Arial" w:eastAsia="Times New Roman" w:hAnsi="Arial" w:cs="Times New Roman"/>
      <w:b w:val="0"/>
      <w:bCs w:val="0"/>
      <w:color w:val="000000" w:themeColor="text1"/>
      <w:sz w:val="19"/>
      <w:szCs w:val="24"/>
    </w:rPr>
  </w:style>
  <w:style w:type="paragraph" w:customStyle="1" w:styleId="ARHead2">
    <w:name w:val="AR Head 2"/>
    <w:basedOn w:val="Normal"/>
    <w:next w:val="Heading1"/>
    <w:autoRedefine/>
    <w:qFormat/>
    <w:rsid w:val="00201A69"/>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paragraph" w:customStyle="1" w:styleId="Body">
    <w:name w:val="Body"/>
    <w:autoRedefine/>
    <w:rsid w:val="00201A69"/>
    <w:pPr>
      <w:pBdr>
        <w:top w:val="nil"/>
        <w:left w:val="nil"/>
        <w:bottom w:val="nil"/>
        <w:right w:val="nil"/>
        <w:between w:val="nil"/>
        <w:bar w:val="nil"/>
      </w:pBdr>
      <w:spacing w:after="80"/>
    </w:pPr>
    <w:rPr>
      <w:rFonts w:eastAsia="Calibri" w:cs="Calibri"/>
      <w:color w:val="343741"/>
      <w:sz w:val="18"/>
      <w:u w:color="000000"/>
      <w:bdr w:val="nil"/>
    </w:rPr>
  </w:style>
  <w:style w:type="character" w:customStyle="1" w:styleId="CharStyle6">
    <w:name w:val="Char Style 6"/>
    <w:link w:val="Style5"/>
    <w:uiPriority w:val="99"/>
    <w:rsid w:val="00EF1327"/>
    <w:rPr>
      <w:rFonts w:ascii="Arial" w:hAnsi="Arial" w:cs="Arial"/>
      <w:i/>
      <w:iCs/>
      <w:shd w:val="clear" w:color="auto" w:fill="FFFFFF"/>
    </w:rPr>
  </w:style>
  <w:style w:type="character" w:customStyle="1" w:styleId="CharStyle7">
    <w:name w:val="Char Style 7"/>
    <w:uiPriority w:val="99"/>
    <w:rsid w:val="00EF1327"/>
    <w:rPr>
      <w:rFonts w:ascii="Arial" w:hAnsi="Arial" w:cs="Arial"/>
      <w:i/>
      <w:iCs/>
      <w:color w:val="2C2C2C"/>
      <w:spacing w:val="0"/>
      <w:sz w:val="22"/>
      <w:szCs w:val="22"/>
    </w:rPr>
  </w:style>
  <w:style w:type="character" w:customStyle="1" w:styleId="CharStyle9">
    <w:name w:val="Char Style 9"/>
    <w:link w:val="Style8"/>
    <w:uiPriority w:val="99"/>
    <w:rsid w:val="00EF1327"/>
    <w:rPr>
      <w:rFonts w:ascii="Arial" w:hAnsi="Arial" w:cs="Arial"/>
      <w:shd w:val="clear" w:color="auto" w:fill="FFFFFF"/>
    </w:rPr>
  </w:style>
  <w:style w:type="character" w:customStyle="1" w:styleId="CharStyle10">
    <w:name w:val="Char Style 10"/>
    <w:uiPriority w:val="99"/>
    <w:rsid w:val="00EF1327"/>
    <w:rPr>
      <w:rFonts w:ascii="Arial" w:hAnsi="Arial" w:cs="Arial"/>
      <w:color w:val="2C2C2C"/>
      <w:spacing w:val="0"/>
      <w:sz w:val="22"/>
      <w:szCs w:val="22"/>
    </w:rPr>
  </w:style>
  <w:style w:type="character" w:customStyle="1" w:styleId="CharStyle11">
    <w:name w:val="Char Style 11"/>
    <w:uiPriority w:val="99"/>
    <w:rsid w:val="00EF1327"/>
    <w:rPr>
      <w:rFonts w:ascii="Arial" w:hAnsi="Arial" w:cs="Arial"/>
      <w:i w:val="0"/>
      <w:iCs w:val="0"/>
      <w:color w:val="2C2C2C"/>
      <w:spacing w:val="0"/>
      <w:sz w:val="22"/>
      <w:szCs w:val="22"/>
    </w:rPr>
  </w:style>
  <w:style w:type="character" w:customStyle="1" w:styleId="CharStyle12">
    <w:name w:val="Char Style 12"/>
    <w:uiPriority w:val="99"/>
    <w:rsid w:val="00EF1327"/>
    <w:rPr>
      <w:rFonts w:ascii="Arial" w:hAnsi="Arial" w:cs="Arial"/>
      <w:i/>
      <w:iCs/>
      <w:color w:val="2C2C2C"/>
      <w:spacing w:val="0"/>
      <w:sz w:val="22"/>
      <w:szCs w:val="22"/>
    </w:rPr>
  </w:style>
  <w:style w:type="paragraph" w:customStyle="1" w:styleId="Style5">
    <w:name w:val="Style 5"/>
    <w:basedOn w:val="Normal"/>
    <w:link w:val="CharStyle6"/>
    <w:uiPriority w:val="99"/>
    <w:rsid w:val="00EF1327"/>
    <w:pPr>
      <w:widowControl w:val="0"/>
      <w:shd w:val="clear" w:color="auto" w:fill="FFFFFF"/>
      <w:spacing w:before="720" w:after="60" w:line="240" w:lineRule="atLeast"/>
      <w:jc w:val="both"/>
    </w:pPr>
    <w:rPr>
      <w:rFonts w:eastAsiaTheme="minorHAnsi" w:cs="Arial"/>
      <w:i/>
      <w:iCs/>
      <w:color w:val="auto"/>
      <w:sz w:val="22"/>
      <w:szCs w:val="22"/>
    </w:rPr>
  </w:style>
  <w:style w:type="paragraph" w:customStyle="1" w:styleId="Style8">
    <w:name w:val="Style 8"/>
    <w:basedOn w:val="Normal"/>
    <w:link w:val="CharStyle9"/>
    <w:uiPriority w:val="99"/>
    <w:rsid w:val="00EF1327"/>
    <w:pPr>
      <w:widowControl w:val="0"/>
      <w:shd w:val="clear" w:color="auto" w:fill="FFFFFF"/>
      <w:spacing w:before="60" w:after="180" w:line="274" w:lineRule="exact"/>
      <w:jc w:val="both"/>
    </w:pPr>
    <w:rPr>
      <w:rFonts w:eastAsiaTheme="minorHAnsi" w:cs="Arial"/>
      <w:color w:val="auto"/>
      <w:sz w:val="22"/>
      <w:szCs w:val="22"/>
    </w:rPr>
  </w:style>
  <w:style w:type="paragraph" w:customStyle="1" w:styleId="xFiguretext">
    <w:name w:val="x: Figure text"/>
    <w:basedOn w:val="Normal"/>
    <w:rsid w:val="00EE610D"/>
    <w:pPr>
      <w:spacing w:after="120" w:line="360" w:lineRule="auto"/>
    </w:pPr>
    <w:rPr>
      <w:rFonts w:ascii="Times New Roman" w:hAnsi="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022">
      <w:bodyDiv w:val="1"/>
      <w:marLeft w:val="0"/>
      <w:marRight w:val="0"/>
      <w:marTop w:val="0"/>
      <w:marBottom w:val="0"/>
      <w:divBdr>
        <w:top w:val="none" w:sz="0" w:space="0" w:color="auto"/>
        <w:left w:val="none" w:sz="0" w:space="0" w:color="auto"/>
        <w:bottom w:val="none" w:sz="0" w:space="0" w:color="auto"/>
        <w:right w:val="none" w:sz="0" w:space="0" w:color="auto"/>
      </w:divBdr>
    </w:div>
    <w:div w:id="142966574">
      <w:bodyDiv w:val="1"/>
      <w:marLeft w:val="0"/>
      <w:marRight w:val="0"/>
      <w:marTop w:val="0"/>
      <w:marBottom w:val="0"/>
      <w:divBdr>
        <w:top w:val="none" w:sz="0" w:space="0" w:color="auto"/>
        <w:left w:val="none" w:sz="0" w:space="0" w:color="auto"/>
        <w:bottom w:val="none" w:sz="0" w:space="0" w:color="auto"/>
        <w:right w:val="none" w:sz="0" w:space="0" w:color="auto"/>
      </w:divBdr>
    </w:div>
    <w:div w:id="157698158">
      <w:bodyDiv w:val="1"/>
      <w:marLeft w:val="0"/>
      <w:marRight w:val="0"/>
      <w:marTop w:val="0"/>
      <w:marBottom w:val="0"/>
      <w:divBdr>
        <w:top w:val="none" w:sz="0" w:space="0" w:color="auto"/>
        <w:left w:val="none" w:sz="0" w:space="0" w:color="auto"/>
        <w:bottom w:val="none" w:sz="0" w:space="0" w:color="auto"/>
        <w:right w:val="none" w:sz="0" w:space="0" w:color="auto"/>
      </w:divBdr>
    </w:div>
    <w:div w:id="253320618">
      <w:bodyDiv w:val="1"/>
      <w:marLeft w:val="0"/>
      <w:marRight w:val="0"/>
      <w:marTop w:val="0"/>
      <w:marBottom w:val="0"/>
      <w:divBdr>
        <w:top w:val="none" w:sz="0" w:space="0" w:color="auto"/>
        <w:left w:val="none" w:sz="0" w:space="0" w:color="auto"/>
        <w:bottom w:val="none" w:sz="0" w:space="0" w:color="auto"/>
        <w:right w:val="none" w:sz="0" w:space="0" w:color="auto"/>
      </w:divBdr>
    </w:div>
    <w:div w:id="373697199">
      <w:bodyDiv w:val="1"/>
      <w:marLeft w:val="0"/>
      <w:marRight w:val="0"/>
      <w:marTop w:val="0"/>
      <w:marBottom w:val="0"/>
      <w:divBdr>
        <w:top w:val="none" w:sz="0" w:space="0" w:color="auto"/>
        <w:left w:val="none" w:sz="0" w:space="0" w:color="auto"/>
        <w:bottom w:val="none" w:sz="0" w:space="0" w:color="auto"/>
        <w:right w:val="none" w:sz="0" w:space="0" w:color="auto"/>
      </w:divBdr>
    </w:div>
    <w:div w:id="378744653">
      <w:bodyDiv w:val="1"/>
      <w:marLeft w:val="0"/>
      <w:marRight w:val="0"/>
      <w:marTop w:val="0"/>
      <w:marBottom w:val="0"/>
      <w:divBdr>
        <w:top w:val="none" w:sz="0" w:space="0" w:color="auto"/>
        <w:left w:val="none" w:sz="0" w:space="0" w:color="auto"/>
        <w:bottom w:val="none" w:sz="0" w:space="0" w:color="auto"/>
        <w:right w:val="none" w:sz="0" w:space="0" w:color="auto"/>
      </w:divBdr>
    </w:div>
    <w:div w:id="390277899">
      <w:bodyDiv w:val="1"/>
      <w:marLeft w:val="0"/>
      <w:marRight w:val="0"/>
      <w:marTop w:val="0"/>
      <w:marBottom w:val="0"/>
      <w:divBdr>
        <w:top w:val="none" w:sz="0" w:space="0" w:color="auto"/>
        <w:left w:val="none" w:sz="0" w:space="0" w:color="auto"/>
        <w:bottom w:val="none" w:sz="0" w:space="0" w:color="auto"/>
        <w:right w:val="none" w:sz="0" w:space="0" w:color="auto"/>
      </w:divBdr>
    </w:div>
    <w:div w:id="491335857">
      <w:bodyDiv w:val="1"/>
      <w:marLeft w:val="0"/>
      <w:marRight w:val="0"/>
      <w:marTop w:val="0"/>
      <w:marBottom w:val="0"/>
      <w:divBdr>
        <w:top w:val="none" w:sz="0" w:space="0" w:color="auto"/>
        <w:left w:val="none" w:sz="0" w:space="0" w:color="auto"/>
        <w:bottom w:val="none" w:sz="0" w:space="0" w:color="auto"/>
        <w:right w:val="none" w:sz="0" w:space="0" w:color="auto"/>
      </w:divBdr>
    </w:div>
    <w:div w:id="506679641">
      <w:bodyDiv w:val="1"/>
      <w:marLeft w:val="0"/>
      <w:marRight w:val="0"/>
      <w:marTop w:val="0"/>
      <w:marBottom w:val="0"/>
      <w:divBdr>
        <w:top w:val="none" w:sz="0" w:space="0" w:color="auto"/>
        <w:left w:val="none" w:sz="0" w:space="0" w:color="auto"/>
        <w:bottom w:val="none" w:sz="0" w:space="0" w:color="auto"/>
        <w:right w:val="none" w:sz="0" w:space="0" w:color="auto"/>
      </w:divBdr>
    </w:div>
    <w:div w:id="643001484">
      <w:bodyDiv w:val="1"/>
      <w:marLeft w:val="0"/>
      <w:marRight w:val="0"/>
      <w:marTop w:val="0"/>
      <w:marBottom w:val="0"/>
      <w:divBdr>
        <w:top w:val="none" w:sz="0" w:space="0" w:color="auto"/>
        <w:left w:val="none" w:sz="0" w:space="0" w:color="auto"/>
        <w:bottom w:val="none" w:sz="0" w:space="0" w:color="auto"/>
        <w:right w:val="none" w:sz="0" w:space="0" w:color="auto"/>
      </w:divBdr>
    </w:div>
    <w:div w:id="644822869">
      <w:bodyDiv w:val="1"/>
      <w:marLeft w:val="0"/>
      <w:marRight w:val="0"/>
      <w:marTop w:val="0"/>
      <w:marBottom w:val="0"/>
      <w:divBdr>
        <w:top w:val="none" w:sz="0" w:space="0" w:color="auto"/>
        <w:left w:val="none" w:sz="0" w:space="0" w:color="auto"/>
        <w:bottom w:val="none" w:sz="0" w:space="0" w:color="auto"/>
        <w:right w:val="none" w:sz="0" w:space="0" w:color="auto"/>
      </w:divBdr>
    </w:div>
    <w:div w:id="646205076">
      <w:bodyDiv w:val="1"/>
      <w:marLeft w:val="0"/>
      <w:marRight w:val="0"/>
      <w:marTop w:val="0"/>
      <w:marBottom w:val="0"/>
      <w:divBdr>
        <w:top w:val="none" w:sz="0" w:space="0" w:color="auto"/>
        <w:left w:val="none" w:sz="0" w:space="0" w:color="auto"/>
        <w:bottom w:val="none" w:sz="0" w:space="0" w:color="auto"/>
        <w:right w:val="none" w:sz="0" w:space="0" w:color="auto"/>
      </w:divBdr>
    </w:div>
    <w:div w:id="720594342">
      <w:bodyDiv w:val="1"/>
      <w:marLeft w:val="0"/>
      <w:marRight w:val="0"/>
      <w:marTop w:val="0"/>
      <w:marBottom w:val="0"/>
      <w:divBdr>
        <w:top w:val="none" w:sz="0" w:space="0" w:color="auto"/>
        <w:left w:val="none" w:sz="0" w:space="0" w:color="auto"/>
        <w:bottom w:val="none" w:sz="0" w:space="0" w:color="auto"/>
        <w:right w:val="none" w:sz="0" w:space="0" w:color="auto"/>
      </w:divBdr>
    </w:div>
    <w:div w:id="809204967">
      <w:bodyDiv w:val="1"/>
      <w:marLeft w:val="0"/>
      <w:marRight w:val="0"/>
      <w:marTop w:val="0"/>
      <w:marBottom w:val="0"/>
      <w:divBdr>
        <w:top w:val="none" w:sz="0" w:space="0" w:color="auto"/>
        <w:left w:val="none" w:sz="0" w:space="0" w:color="auto"/>
        <w:bottom w:val="none" w:sz="0" w:space="0" w:color="auto"/>
        <w:right w:val="none" w:sz="0" w:space="0" w:color="auto"/>
      </w:divBdr>
    </w:div>
    <w:div w:id="835995304">
      <w:bodyDiv w:val="1"/>
      <w:marLeft w:val="0"/>
      <w:marRight w:val="0"/>
      <w:marTop w:val="0"/>
      <w:marBottom w:val="0"/>
      <w:divBdr>
        <w:top w:val="none" w:sz="0" w:space="0" w:color="auto"/>
        <w:left w:val="none" w:sz="0" w:space="0" w:color="auto"/>
        <w:bottom w:val="none" w:sz="0" w:space="0" w:color="auto"/>
        <w:right w:val="none" w:sz="0" w:space="0" w:color="auto"/>
      </w:divBdr>
    </w:div>
    <w:div w:id="1002200722">
      <w:bodyDiv w:val="1"/>
      <w:marLeft w:val="0"/>
      <w:marRight w:val="0"/>
      <w:marTop w:val="0"/>
      <w:marBottom w:val="0"/>
      <w:divBdr>
        <w:top w:val="none" w:sz="0" w:space="0" w:color="auto"/>
        <w:left w:val="none" w:sz="0" w:space="0" w:color="auto"/>
        <w:bottom w:val="none" w:sz="0" w:space="0" w:color="auto"/>
        <w:right w:val="none" w:sz="0" w:space="0" w:color="auto"/>
      </w:divBdr>
    </w:div>
    <w:div w:id="1025524108">
      <w:bodyDiv w:val="1"/>
      <w:marLeft w:val="0"/>
      <w:marRight w:val="0"/>
      <w:marTop w:val="0"/>
      <w:marBottom w:val="0"/>
      <w:divBdr>
        <w:top w:val="none" w:sz="0" w:space="0" w:color="auto"/>
        <w:left w:val="none" w:sz="0" w:space="0" w:color="auto"/>
        <w:bottom w:val="none" w:sz="0" w:space="0" w:color="auto"/>
        <w:right w:val="none" w:sz="0" w:space="0" w:color="auto"/>
      </w:divBdr>
    </w:div>
    <w:div w:id="1076049726">
      <w:bodyDiv w:val="1"/>
      <w:marLeft w:val="0"/>
      <w:marRight w:val="0"/>
      <w:marTop w:val="0"/>
      <w:marBottom w:val="0"/>
      <w:divBdr>
        <w:top w:val="none" w:sz="0" w:space="0" w:color="auto"/>
        <w:left w:val="none" w:sz="0" w:space="0" w:color="auto"/>
        <w:bottom w:val="none" w:sz="0" w:space="0" w:color="auto"/>
        <w:right w:val="none" w:sz="0" w:space="0" w:color="auto"/>
      </w:divBdr>
    </w:div>
    <w:div w:id="1254633525">
      <w:bodyDiv w:val="1"/>
      <w:marLeft w:val="0"/>
      <w:marRight w:val="0"/>
      <w:marTop w:val="0"/>
      <w:marBottom w:val="0"/>
      <w:divBdr>
        <w:top w:val="none" w:sz="0" w:space="0" w:color="auto"/>
        <w:left w:val="none" w:sz="0" w:space="0" w:color="auto"/>
        <w:bottom w:val="none" w:sz="0" w:space="0" w:color="auto"/>
        <w:right w:val="none" w:sz="0" w:space="0" w:color="auto"/>
      </w:divBdr>
    </w:div>
    <w:div w:id="1271473399">
      <w:bodyDiv w:val="1"/>
      <w:marLeft w:val="0"/>
      <w:marRight w:val="0"/>
      <w:marTop w:val="0"/>
      <w:marBottom w:val="0"/>
      <w:divBdr>
        <w:top w:val="none" w:sz="0" w:space="0" w:color="auto"/>
        <w:left w:val="none" w:sz="0" w:space="0" w:color="auto"/>
        <w:bottom w:val="none" w:sz="0" w:space="0" w:color="auto"/>
        <w:right w:val="none" w:sz="0" w:space="0" w:color="auto"/>
      </w:divBdr>
    </w:div>
    <w:div w:id="1333333916">
      <w:bodyDiv w:val="1"/>
      <w:marLeft w:val="0"/>
      <w:marRight w:val="0"/>
      <w:marTop w:val="0"/>
      <w:marBottom w:val="0"/>
      <w:divBdr>
        <w:top w:val="none" w:sz="0" w:space="0" w:color="auto"/>
        <w:left w:val="none" w:sz="0" w:space="0" w:color="auto"/>
        <w:bottom w:val="none" w:sz="0" w:space="0" w:color="auto"/>
        <w:right w:val="none" w:sz="0" w:space="0" w:color="auto"/>
      </w:divBdr>
    </w:div>
    <w:div w:id="1338118520">
      <w:bodyDiv w:val="1"/>
      <w:marLeft w:val="0"/>
      <w:marRight w:val="0"/>
      <w:marTop w:val="0"/>
      <w:marBottom w:val="0"/>
      <w:divBdr>
        <w:top w:val="none" w:sz="0" w:space="0" w:color="auto"/>
        <w:left w:val="none" w:sz="0" w:space="0" w:color="auto"/>
        <w:bottom w:val="none" w:sz="0" w:space="0" w:color="auto"/>
        <w:right w:val="none" w:sz="0" w:space="0" w:color="auto"/>
      </w:divBdr>
    </w:div>
    <w:div w:id="1500347572">
      <w:bodyDiv w:val="1"/>
      <w:marLeft w:val="0"/>
      <w:marRight w:val="0"/>
      <w:marTop w:val="0"/>
      <w:marBottom w:val="0"/>
      <w:divBdr>
        <w:top w:val="none" w:sz="0" w:space="0" w:color="auto"/>
        <w:left w:val="none" w:sz="0" w:space="0" w:color="auto"/>
        <w:bottom w:val="none" w:sz="0" w:space="0" w:color="auto"/>
        <w:right w:val="none" w:sz="0" w:space="0" w:color="auto"/>
      </w:divBdr>
    </w:div>
    <w:div w:id="1585798109">
      <w:bodyDiv w:val="1"/>
      <w:marLeft w:val="0"/>
      <w:marRight w:val="0"/>
      <w:marTop w:val="0"/>
      <w:marBottom w:val="0"/>
      <w:divBdr>
        <w:top w:val="none" w:sz="0" w:space="0" w:color="auto"/>
        <w:left w:val="none" w:sz="0" w:space="0" w:color="auto"/>
        <w:bottom w:val="none" w:sz="0" w:space="0" w:color="auto"/>
        <w:right w:val="none" w:sz="0" w:space="0" w:color="auto"/>
      </w:divBdr>
    </w:div>
    <w:div w:id="1623147264">
      <w:bodyDiv w:val="1"/>
      <w:marLeft w:val="0"/>
      <w:marRight w:val="0"/>
      <w:marTop w:val="0"/>
      <w:marBottom w:val="0"/>
      <w:divBdr>
        <w:top w:val="none" w:sz="0" w:space="0" w:color="auto"/>
        <w:left w:val="none" w:sz="0" w:space="0" w:color="auto"/>
        <w:bottom w:val="none" w:sz="0" w:space="0" w:color="auto"/>
        <w:right w:val="none" w:sz="0" w:space="0" w:color="auto"/>
      </w:divBdr>
    </w:div>
    <w:div w:id="1629505918">
      <w:bodyDiv w:val="1"/>
      <w:marLeft w:val="0"/>
      <w:marRight w:val="0"/>
      <w:marTop w:val="0"/>
      <w:marBottom w:val="0"/>
      <w:divBdr>
        <w:top w:val="none" w:sz="0" w:space="0" w:color="auto"/>
        <w:left w:val="none" w:sz="0" w:space="0" w:color="auto"/>
        <w:bottom w:val="none" w:sz="0" w:space="0" w:color="auto"/>
        <w:right w:val="none" w:sz="0" w:space="0" w:color="auto"/>
      </w:divBdr>
    </w:div>
    <w:div w:id="1652979442">
      <w:bodyDiv w:val="1"/>
      <w:marLeft w:val="0"/>
      <w:marRight w:val="0"/>
      <w:marTop w:val="0"/>
      <w:marBottom w:val="0"/>
      <w:divBdr>
        <w:top w:val="none" w:sz="0" w:space="0" w:color="auto"/>
        <w:left w:val="none" w:sz="0" w:space="0" w:color="auto"/>
        <w:bottom w:val="none" w:sz="0" w:space="0" w:color="auto"/>
        <w:right w:val="none" w:sz="0" w:space="0" w:color="auto"/>
      </w:divBdr>
    </w:div>
    <w:div w:id="1681005305">
      <w:bodyDiv w:val="1"/>
      <w:marLeft w:val="0"/>
      <w:marRight w:val="0"/>
      <w:marTop w:val="0"/>
      <w:marBottom w:val="0"/>
      <w:divBdr>
        <w:top w:val="none" w:sz="0" w:space="0" w:color="auto"/>
        <w:left w:val="none" w:sz="0" w:space="0" w:color="auto"/>
        <w:bottom w:val="none" w:sz="0" w:space="0" w:color="auto"/>
        <w:right w:val="none" w:sz="0" w:space="0" w:color="auto"/>
      </w:divBdr>
    </w:div>
    <w:div w:id="1930382710">
      <w:bodyDiv w:val="1"/>
      <w:marLeft w:val="0"/>
      <w:marRight w:val="0"/>
      <w:marTop w:val="0"/>
      <w:marBottom w:val="0"/>
      <w:divBdr>
        <w:top w:val="none" w:sz="0" w:space="0" w:color="auto"/>
        <w:left w:val="none" w:sz="0" w:space="0" w:color="auto"/>
        <w:bottom w:val="none" w:sz="0" w:space="0" w:color="auto"/>
        <w:right w:val="none" w:sz="0" w:space="0" w:color="auto"/>
      </w:divBdr>
    </w:div>
    <w:div w:id="2014600832">
      <w:bodyDiv w:val="1"/>
      <w:marLeft w:val="0"/>
      <w:marRight w:val="0"/>
      <w:marTop w:val="0"/>
      <w:marBottom w:val="0"/>
      <w:divBdr>
        <w:top w:val="none" w:sz="0" w:space="0" w:color="auto"/>
        <w:left w:val="none" w:sz="0" w:space="0" w:color="auto"/>
        <w:bottom w:val="none" w:sz="0" w:space="0" w:color="auto"/>
        <w:right w:val="none" w:sz="0" w:space="0" w:color="auto"/>
      </w:divBdr>
    </w:div>
    <w:div w:id="2060519757">
      <w:bodyDiv w:val="1"/>
      <w:marLeft w:val="0"/>
      <w:marRight w:val="0"/>
      <w:marTop w:val="0"/>
      <w:marBottom w:val="0"/>
      <w:divBdr>
        <w:top w:val="none" w:sz="0" w:space="0" w:color="auto"/>
        <w:left w:val="none" w:sz="0" w:space="0" w:color="auto"/>
        <w:bottom w:val="none" w:sz="0" w:space="0" w:color="auto"/>
        <w:right w:val="none" w:sz="0" w:space="0" w:color="auto"/>
      </w:divBdr>
    </w:div>
    <w:div w:id="2069455252">
      <w:bodyDiv w:val="1"/>
      <w:marLeft w:val="0"/>
      <w:marRight w:val="0"/>
      <w:marTop w:val="0"/>
      <w:marBottom w:val="0"/>
      <w:divBdr>
        <w:top w:val="none" w:sz="0" w:space="0" w:color="auto"/>
        <w:left w:val="none" w:sz="0" w:space="0" w:color="auto"/>
        <w:bottom w:val="none" w:sz="0" w:space="0" w:color="auto"/>
        <w:right w:val="none" w:sz="0" w:space="0" w:color="auto"/>
      </w:divBdr>
    </w:div>
    <w:div w:id="21213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www.procurement.vic.gov.au" TargetMode="External"/><Relationship Id="rId39" Type="http://schemas.openxmlformats.org/officeDocument/2006/relationships/hyperlink" Target="http://www.education.vic.gov.au/about/contact/Pages/protecteddisclosure.aspx" TargetMode="External"/><Relationship Id="rId21" Type="http://schemas.openxmlformats.org/officeDocument/2006/relationships/chart" Target="charts/chart2.xml"/><Relationship Id="rId34" Type="http://schemas.openxmlformats.org/officeDocument/2006/relationships/hyperlink" Target="http://www.foi.vic.gov.au/" TargetMode="External"/><Relationship Id="rId42" Type="http://schemas.openxmlformats.org/officeDocument/2006/relationships/hyperlink" Target="http://www.education.vic.gov.au/" TargetMode="External"/><Relationship Id="rId47"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tf.vic.gov.au/State-Budget/2015&#8211;16-State-Budget/State-Capital-Program" TargetMode="External"/><Relationship Id="rId29" Type="http://schemas.openxmlformats.org/officeDocument/2006/relationships/hyperlink" Target="mailto:vcaa.foi@edumail.vic.gov.au" TargetMode="External"/><Relationship Id="rId11" Type="http://schemas.openxmlformats.org/officeDocument/2006/relationships/endnotes" Target="endnotes.xml"/><Relationship Id="rId24" Type="http://schemas.openxmlformats.org/officeDocument/2006/relationships/chart" Target="charts/chart5.xml"/><Relationship Id="rId32" Type="http://schemas.openxmlformats.org/officeDocument/2006/relationships/hyperlink" Target="mailto:vit@vit.vic.edu.au" TargetMode="External"/><Relationship Id="rId37" Type="http://schemas.openxmlformats.org/officeDocument/2006/relationships/hyperlink" Target="mailto:dwyer.melissa.j@edumail.vic.gov.au" TargetMode="External"/><Relationship Id="rId40" Type="http://schemas.openxmlformats.org/officeDocument/2006/relationships/hyperlink" Target="http://www.education.vic.gov.au" TargetMode="External"/><Relationship Id="rId45" Type="http://schemas.openxmlformats.org/officeDocument/2006/relationships/hyperlink" Target="http://www.education.vic.gov.au/about/department/Pages/annual-reports-2014&#8211;15.aspx" TargetMode="Externa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chart" Target="charts/chart4.xml"/><Relationship Id="rId28" Type="http://schemas.openxmlformats.org/officeDocument/2006/relationships/hyperlink" Target="mailto:foi@edumail.vic.gov.au" TargetMode="External"/><Relationship Id="rId36" Type="http://schemas.openxmlformats.org/officeDocument/2006/relationships/hyperlink" Target="http://www.data.vic.gov.au"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hyperlink" Target="mailto:meritboards@edumail.vic.gov.au" TargetMode="External"/><Relationship Id="rId44" Type="http://schemas.openxmlformats.org/officeDocument/2006/relationships/hyperlink" Target="http://www.education.vic.gov.au/about/department/Pages/stratpla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hyperlink" Target="http://www.education.vic.gov.au/about/contact/Pages/foi.aspx" TargetMode="External"/><Relationship Id="rId30" Type="http://schemas.openxmlformats.org/officeDocument/2006/relationships/hyperlink" Target="mailto:vrqa@edumail.vic.gov.au" TargetMode="External"/><Relationship Id="rId35" Type="http://schemas.openxmlformats.org/officeDocument/2006/relationships/hyperlink" Target="http://www.foi.vic.gov.au/" TargetMode="External"/><Relationship Id="rId43" Type="http://schemas.openxmlformats.org/officeDocument/2006/relationships/image" Target="media/image4.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www.education.vic.gov.au" TargetMode="External"/><Relationship Id="rId33" Type="http://schemas.openxmlformats.org/officeDocument/2006/relationships/hyperlink" Target="mailto:meritboards@edumail.vic.gov.au" TargetMode="External"/><Relationship Id="rId38" Type="http://schemas.openxmlformats.org/officeDocument/2006/relationships/hyperlink" Target="http://www.ibac.vic.gov.au" TargetMode="External"/><Relationship Id="rId46" Type="http://schemas.openxmlformats.org/officeDocument/2006/relationships/footer" Target="footer4.xml"/><Relationship Id="rId20" Type="http://schemas.openxmlformats.org/officeDocument/2006/relationships/chart" Target="charts/chart1.xml"/><Relationship Id="rId41" Type="http://schemas.openxmlformats.org/officeDocument/2006/relationships/hyperlink" Target="http://www.foi.vic.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ucation.vic.gov.au\SHARE\HRD\Workers%20Compensation\2016\Annual%20Report\2015%202016\Annual%20Report%20Chart%20EOF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cation.vic.gov.au\SHARE\HRD\Workers%20Compensation\2016\Annual%20Report\2015%202016\Annual%20Report%20Chart%20EO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ucation.vic.gov.au\SHARE\HRD\Workers%20Compensation\2016\Annual%20Report\2015%202016\Annual%20Report%20Chart%20EO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ucation.vic.gov.au\SHARE\HRD\Workers%20Compensation\2016\Annual%20Report\2015%202016\Annual%20Report%20Chart%20EOF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ucation.vic.gov.au\SHARE\HRD\Workers%20Compensation\2016\Annual%20Report\2015%202016\Annual%20Report%20Chart%20EOF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46215733783545"/>
          <c:y val="0.1302960762701145"/>
          <c:w val="0.7173948712095406"/>
          <c:h val="0.62989701755385763"/>
        </c:manualLayout>
      </c:layout>
      <c:lineChart>
        <c:grouping val="standard"/>
        <c:varyColors val="0"/>
        <c:ser>
          <c:idx val="0"/>
          <c:order val="0"/>
          <c:tx>
            <c:v> Incidents</c:v>
          </c:tx>
          <c:spPr>
            <a:ln w="25400">
              <a:solidFill>
                <a:schemeClr val="tx1">
                  <a:lumMod val="95000"/>
                  <a:lumOff val="5000"/>
                </a:schemeClr>
              </a:solidFill>
              <a:prstDash val="solid"/>
            </a:ln>
          </c:spPr>
          <c:marker>
            <c:symbol val="diamond"/>
            <c:size val="7"/>
            <c:spPr>
              <a:solidFill>
                <a:schemeClr val="tx1">
                  <a:lumMod val="95000"/>
                  <a:lumOff val="5000"/>
                </a:schemeClr>
              </a:solidFill>
              <a:ln>
                <a:solidFill>
                  <a:schemeClr val="tx1">
                    <a:lumMod val="95000"/>
                    <a:lumOff val="5000"/>
                  </a:schemeClr>
                </a:solidFill>
                <a:prstDash val="solid"/>
              </a:ln>
            </c:spPr>
          </c:marker>
          <c:cat>
            <c:strRef>
              <c:f>Sheet1!$E$3:$G$3</c:f>
              <c:strCache>
                <c:ptCount val="3"/>
                <c:pt idx="0">
                  <c:v>2013-14</c:v>
                </c:pt>
                <c:pt idx="1">
                  <c:v>2014-15</c:v>
                </c:pt>
                <c:pt idx="2">
                  <c:v>2015-16</c:v>
                </c:pt>
              </c:strCache>
            </c:strRef>
          </c:cat>
          <c:val>
            <c:numRef>
              <c:f>Sheet1!$E$4:$G$4</c:f>
              <c:numCache>
                <c:formatCode>_-* #,##0_-;\-* #,##0_-;_-* "-"??_-;_-@_-</c:formatCode>
                <c:ptCount val="3"/>
                <c:pt idx="0">
                  <c:v>8266</c:v>
                </c:pt>
                <c:pt idx="1">
                  <c:v>10320</c:v>
                </c:pt>
                <c:pt idx="2">
                  <c:v>11092</c:v>
                </c:pt>
              </c:numCache>
            </c:numRef>
          </c:val>
          <c:smooth val="0"/>
          <c:extLst>
            <c:ext xmlns:c16="http://schemas.microsoft.com/office/drawing/2014/chart" uri="{C3380CC4-5D6E-409C-BE32-E72D297353CC}">
              <c16:uniqueId val="{00000000-B6EE-4E25-BF6C-F4A722DC118D}"/>
            </c:ext>
          </c:extLst>
        </c:ser>
        <c:ser>
          <c:idx val="1"/>
          <c:order val="1"/>
          <c:tx>
            <c:strRef>
              <c:f>Sheet1!$B$5</c:f>
              <c:strCache>
                <c:ptCount val="1"/>
                <c:pt idx="0">
                  <c:v>Rate per 100 FTE</c:v>
                </c:pt>
              </c:strCache>
            </c:strRef>
          </c:tx>
          <c:spPr>
            <a:ln w="25400">
              <a:solidFill>
                <a:schemeClr val="bg1">
                  <a:lumMod val="50000"/>
                </a:schemeClr>
              </a:solidFill>
              <a:prstDash val="solid"/>
            </a:ln>
          </c:spPr>
          <c:marker>
            <c:symbol val="square"/>
            <c:size val="7"/>
            <c:spPr>
              <a:solidFill>
                <a:schemeClr val="bg1">
                  <a:lumMod val="50000"/>
                </a:schemeClr>
              </a:solidFill>
              <a:ln>
                <a:solidFill>
                  <a:schemeClr val="bg1">
                    <a:lumMod val="50000"/>
                  </a:schemeClr>
                </a:solidFill>
                <a:prstDash val="solid"/>
              </a:ln>
            </c:spPr>
          </c:marker>
          <c:cat>
            <c:strRef>
              <c:f>Sheet1!$E$3:$G$3</c:f>
              <c:strCache>
                <c:ptCount val="3"/>
                <c:pt idx="0">
                  <c:v>2013-14</c:v>
                </c:pt>
                <c:pt idx="1">
                  <c:v>2014-15</c:v>
                </c:pt>
                <c:pt idx="2">
                  <c:v>2015-16</c:v>
                </c:pt>
              </c:strCache>
            </c:strRef>
          </c:cat>
          <c:val>
            <c:numRef>
              <c:f>Sheet1!$E$5:$G$5</c:f>
              <c:numCache>
                <c:formatCode>_(* #,##0.00_);_(* \(#,##0.00\);_(* "-"??_);_(@_)</c:formatCode>
                <c:ptCount val="3"/>
                <c:pt idx="0">
                  <c:v>14.294855166450496</c:v>
                </c:pt>
                <c:pt idx="1">
                  <c:v>17.593508131883119</c:v>
                </c:pt>
                <c:pt idx="2">
                  <c:v>18.251225853160889</c:v>
                </c:pt>
              </c:numCache>
            </c:numRef>
          </c:val>
          <c:smooth val="0"/>
          <c:extLst>
            <c:ext xmlns:c16="http://schemas.microsoft.com/office/drawing/2014/chart" uri="{C3380CC4-5D6E-409C-BE32-E72D297353CC}">
              <c16:uniqueId val="{00000001-B6EE-4E25-BF6C-F4A722DC118D}"/>
            </c:ext>
          </c:extLst>
        </c:ser>
        <c:dLbls>
          <c:showLegendKey val="0"/>
          <c:showVal val="0"/>
          <c:showCatName val="0"/>
          <c:showSerName val="0"/>
          <c:showPercent val="0"/>
          <c:showBubbleSize val="0"/>
        </c:dLbls>
        <c:marker val="1"/>
        <c:smooth val="0"/>
        <c:axId val="35784576"/>
        <c:axId val="35786752"/>
      </c:lineChart>
      <c:catAx>
        <c:axId val="35784576"/>
        <c:scaling>
          <c:orientation val="minMax"/>
        </c:scaling>
        <c:delete val="0"/>
        <c:axPos val="b"/>
        <c:numFmt formatCode="General" sourceLinked="1"/>
        <c:majorTickMark val="out"/>
        <c:minorTickMark val="none"/>
        <c:tickLblPos val="nextTo"/>
        <c:spPr>
          <a:ln w="3175">
            <a:solidFill>
              <a:srgbClr val="969696"/>
            </a:solidFill>
            <a:prstDash val="solid"/>
          </a:ln>
        </c:spPr>
        <c:txPr>
          <a:bodyPr rot="0" vert="horz"/>
          <a:lstStyle/>
          <a:p>
            <a:pPr>
              <a:defRPr/>
            </a:pPr>
            <a:endParaRPr lang="en-US"/>
          </a:p>
        </c:txPr>
        <c:crossAx val="35786752"/>
        <c:crosses val="autoZero"/>
        <c:auto val="1"/>
        <c:lblAlgn val="ctr"/>
        <c:lblOffset val="100"/>
        <c:tickMarkSkip val="1"/>
        <c:noMultiLvlLbl val="0"/>
      </c:catAx>
      <c:valAx>
        <c:axId val="35786752"/>
        <c:scaling>
          <c:logBase val="10"/>
          <c:orientation val="minMax"/>
        </c:scaling>
        <c:delete val="0"/>
        <c:axPos val="l"/>
        <c:majorGridlines>
          <c:spPr>
            <a:ln w="3175">
              <a:solidFill>
                <a:srgbClr val="969696"/>
              </a:solidFill>
              <a:prstDash val="sysDash"/>
            </a:ln>
          </c:spPr>
        </c:majorGridlines>
        <c:numFmt formatCode="_-* #\ ##0_-;\-* #\ ##0_-;_-* &quot;-&quot;??_-;_-@_-" sourceLinked="0"/>
        <c:majorTickMark val="out"/>
        <c:minorTickMark val="none"/>
        <c:tickLblPos val="nextTo"/>
        <c:spPr>
          <a:ln w="3175">
            <a:solidFill>
              <a:srgbClr val="969696"/>
            </a:solidFill>
            <a:prstDash val="solid"/>
          </a:ln>
        </c:spPr>
        <c:txPr>
          <a:bodyPr rot="0" vert="horz"/>
          <a:lstStyle/>
          <a:p>
            <a:pPr>
              <a:defRPr sz="800" baseline="0">
                <a:latin typeface="Arial" panose="020B0604020202020204" pitchFamily="34" charset="0"/>
              </a:defRPr>
            </a:pPr>
            <a:endParaRPr lang="en-US"/>
          </a:p>
        </c:txPr>
        <c:crossAx val="35784576"/>
        <c:crosses val="autoZero"/>
        <c:crossBetween val="between"/>
      </c:valAx>
      <c:dTable>
        <c:showHorzBorder val="1"/>
        <c:showVertBorder val="1"/>
        <c:showOutline val="0"/>
        <c:showKeys val="1"/>
        <c:spPr>
          <a:ln w="3175">
            <a:solidFill>
              <a:srgbClr val="969696"/>
            </a:solidFill>
            <a:prstDash val="solid"/>
          </a:ln>
        </c:spPr>
        <c:txPr>
          <a:bodyPr/>
          <a:lstStyle/>
          <a:p>
            <a:pPr rtl="0">
              <a:defRPr sz="800">
                <a:latin typeface="Arial" panose="020B0604020202020204" pitchFamily="34" charset="0"/>
                <a:cs typeface="Arial" panose="020B0604020202020204" pitchFamily="34" charset="0"/>
              </a:defRPr>
            </a:pPr>
            <a:endParaRPr lang="en-US"/>
          </a:p>
        </c:txPr>
      </c:dTable>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62835048497439"/>
          <c:y val="0.15351560109386422"/>
          <c:w val="0.65561848549902579"/>
          <c:h val="0.60195033804785825"/>
        </c:manualLayout>
      </c:layout>
      <c:lineChart>
        <c:grouping val="standard"/>
        <c:varyColors val="0"/>
        <c:ser>
          <c:idx val="0"/>
          <c:order val="0"/>
          <c:tx>
            <c:v>Standard claims</c:v>
          </c:tx>
          <c:spPr>
            <a:ln w="25400">
              <a:solidFill>
                <a:schemeClr val="tx1">
                  <a:lumMod val="95000"/>
                  <a:lumOff val="5000"/>
                </a:schemeClr>
              </a:solidFill>
              <a:prstDash val="solid"/>
            </a:ln>
          </c:spPr>
          <c:marker>
            <c:symbol val="diamond"/>
            <c:size val="7"/>
            <c:spPr>
              <a:solidFill>
                <a:schemeClr val="tx1">
                  <a:lumMod val="95000"/>
                  <a:lumOff val="5000"/>
                </a:schemeClr>
              </a:solidFill>
              <a:ln>
                <a:solidFill>
                  <a:schemeClr val="tx1">
                    <a:lumMod val="95000"/>
                    <a:lumOff val="5000"/>
                  </a:schemeClr>
                </a:solidFill>
                <a:prstDash val="solid"/>
              </a:ln>
            </c:spPr>
          </c:marker>
          <c:cat>
            <c:strRef>
              <c:f>Sheet1!$E$27:$G$27</c:f>
              <c:strCache>
                <c:ptCount val="3"/>
                <c:pt idx="0">
                  <c:v>2013-14</c:v>
                </c:pt>
                <c:pt idx="1">
                  <c:v>2014-15</c:v>
                </c:pt>
                <c:pt idx="2">
                  <c:v>2015-16</c:v>
                </c:pt>
              </c:strCache>
            </c:strRef>
          </c:cat>
          <c:val>
            <c:numRef>
              <c:f>Sheet1!$E$6:$G$6</c:f>
              <c:numCache>
                <c:formatCode>_-* #,##0_-;\-* #,##0_-;_-* "-"??_-;_-@_-</c:formatCode>
                <c:ptCount val="3"/>
                <c:pt idx="0">
                  <c:v>848</c:v>
                </c:pt>
                <c:pt idx="1">
                  <c:v>884</c:v>
                </c:pt>
                <c:pt idx="2" formatCode="General">
                  <c:v>796</c:v>
                </c:pt>
              </c:numCache>
            </c:numRef>
          </c:val>
          <c:smooth val="0"/>
          <c:extLst>
            <c:ext xmlns:c16="http://schemas.microsoft.com/office/drawing/2014/chart" uri="{C3380CC4-5D6E-409C-BE32-E72D297353CC}">
              <c16:uniqueId val="{00000000-3CBA-4B0D-B9C0-A207E6210F20}"/>
            </c:ext>
          </c:extLst>
        </c:ser>
        <c:ser>
          <c:idx val="1"/>
          <c:order val="1"/>
          <c:tx>
            <c:strRef>
              <c:f>Sheet1!$B$7</c:f>
              <c:strCache>
                <c:ptCount val="1"/>
                <c:pt idx="0">
                  <c:v>Rate per 100 FTE</c:v>
                </c:pt>
              </c:strCache>
            </c:strRef>
          </c:tx>
          <c:spPr>
            <a:ln w="25400">
              <a:solidFill>
                <a:schemeClr val="bg1">
                  <a:lumMod val="50000"/>
                </a:schemeClr>
              </a:solidFill>
              <a:prstDash val="solid"/>
            </a:ln>
          </c:spPr>
          <c:marker>
            <c:symbol val="square"/>
            <c:size val="7"/>
            <c:spPr>
              <a:solidFill>
                <a:schemeClr val="bg1">
                  <a:lumMod val="50000"/>
                </a:schemeClr>
              </a:solidFill>
              <a:ln>
                <a:solidFill>
                  <a:schemeClr val="bg1">
                    <a:lumMod val="50000"/>
                  </a:schemeClr>
                </a:solidFill>
                <a:prstDash val="solid"/>
              </a:ln>
            </c:spPr>
          </c:marker>
          <c:cat>
            <c:strRef>
              <c:f>Sheet1!$E$27:$G$27</c:f>
              <c:strCache>
                <c:ptCount val="3"/>
                <c:pt idx="0">
                  <c:v>2013-14</c:v>
                </c:pt>
                <c:pt idx="1">
                  <c:v>2014-15</c:v>
                </c:pt>
                <c:pt idx="2">
                  <c:v>2015-16</c:v>
                </c:pt>
              </c:strCache>
            </c:strRef>
          </c:cat>
          <c:val>
            <c:numRef>
              <c:f>Sheet1!$E$7:$G$7</c:f>
              <c:numCache>
                <c:formatCode>_(* #,##0.00_);_(* \(#,##0.00\);_(* "-"??_);_(@_)</c:formatCode>
                <c:ptCount val="3"/>
                <c:pt idx="0">
                  <c:v>1.4664937310851709</c:v>
                </c:pt>
                <c:pt idx="1">
                  <c:v>1.5070408128473525</c:v>
                </c:pt>
                <c:pt idx="2">
                  <c:v>1.3097706255964723</c:v>
                </c:pt>
              </c:numCache>
            </c:numRef>
          </c:val>
          <c:smooth val="0"/>
          <c:extLst>
            <c:ext xmlns:c16="http://schemas.microsoft.com/office/drawing/2014/chart" uri="{C3380CC4-5D6E-409C-BE32-E72D297353CC}">
              <c16:uniqueId val="{00000001-3CBA-4B0D-B9C0-A207E6210F20}"/>
            </c:ext>
          </c:extLst>
        </c:ser>
        <c:dLbls>
          <c:showLegendKey val="0"/>
          <c:showVal val="0"/>
          <c:showCatName val="0"/>
          <c:showSerName val="0"/>
          <c:showPercent val="0"/>
          <c:showBubbleSize val="0"/>
        </c:dLbls>
        <c:marker val="1"/>
        <c:smooth val="0"/>
        <c:axId val="35817344"/>
        <c:axId val="35819520"/>
      </c:lineChart>
      <c:catAx>
        <c:axId val="35817344"/>
        <c:scaling>
          <c:orientation val="minMax"/>
        </c:scaling>
        <c:delete val="0"/>
        <c:axPos val="b"/>
        <c:numFmt formatCode="General" sourceLinked="1"/>
        <c:majorTickMark val="out"/>
        <c:minorTickMark val="none"/>
        <c:tickLblPos val="nextTo"/>
        <c:spPr>
          <a:ln w="3175">
            <a:solidFill>
              <a:srgbClr val="969696"/>
            </a:solidFill>
            <a:prstDash val="solid"/>
          </a:ln>
        </c:spPr>
        <c:txPr>
          <a:bodyPr rot="0" vert="horz"/>
          <a:lstStyle/>
          <a:p>
            <a:pPr>
              <a:defRPr/>
            </a:pPr>
            <a:endParaRPr lang="en-US"/>
          </a:p>
        </c:txPr>
        <c:crossAx val="35819520"/>
        <c:crosses val="autoZero"/>
        <c:auto val="1"/>
        <c:lblAlgn val="ctr"/>
        <c:lblOffset val="100"/>
        <c:tickMarkSkip val="1"/>
        <c:noMultiLvlLbl val="0"/>
      </c:catAx>
      <c:valAx>
        <c:axId val="35819520"/>
        <c:scaling>
          <c:logBase val="10"/>
          <c:orientation val="minMax"/>
          <c:max val="2000"/>
        </c:scaling>
        <c:delete val="0"/>
        <c:axPos val="l"/>
        <c:majorGridlines>
          <c:spPr>
            <a:ln w="3175">
              <a:solidFill>
                <a:srgbClr val="969696"/>
              </a:solidFill>
              <a:prstDash val="sysDash"/>
            </a:ln>
          </c:spPr>
        </c:majorGridlines>
        <c:numFmt formatCode="_-* #\ ##0_-;\-* #\ ##0_-;_-* &quot;-&quot;??_-;_-@_-" sourceLinked="0"/>
        <c:majorTickMark val="out"/>
        <c:minorTickMark val="none"/>
        <c:tickLblPos val="nextTo"/>
        <c:spPr>
          <a:ln w="3175">
            <a:solidFill>
              <a:srgbClr val="969696"/>
            </a:solidFill>
            <a:prstDash val="solid"/>
          </a:ln>
        </c:spPr>
        <c:txPr>
          <a:bodyPr rot="0" vert="horz"/>
          <a:lstStyle/>
          <a:p>
            <a:pPr>
              <a:defRPr/>
            </a:pPr>
            <a:endParaRPr lang="en-US"/>
          </a:p>
        </c:txPr>
        <c:crossAx val="35817344"/>
        <c:crosses val="autoZero"/>
        <c:crossBetween val="between"/>
      </c:valAx>
      <c:dTable>
        <c:showHorzBorder val="1"/>
        <c:showVertBorder val="1"/>
        <c:showOutline val="0"/>
        <c:showKeys val="1"/>
        <c:spPr>
          <a:ln w="3175">
            <a:solidFill>
              <a:srgbClr val="969696"/>
            </a:solidFill>
            <a:prstDash val="solid"/>
          </a:ln>
        </c:spPr>
      </c:dTable>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38304033679386"/>
          <c:y val="0.20269410787595635"/>
          <c:w val="0.67592665807997787"/>
          <c:h val="0.50403713032206265"/>
        </c:manualLayout>
      </c:layout>
      <c:lineChart>
        <c:grouping val="standard"/>
        <c:varyColors val="0"/>
        <c:ser>
          <c:idx val="0"/>
          <c:order val="0"/>
          <c:tx>
            <c:v>Claims exceeding 13 weeks</c:v>
          </c:tx>
          <c:spPr>
            <a:ln w="25400">
              <a:solidFill>
                <a:schemeClr val="tx1">
                  <a:lumMod val="95000"/>
                  <a:lumOff val="5000"/>
                </a:schemeClr>
              </a:solidFill>
              <a:prstDash val="solid"/>
            </a:ln>
          </c:spPr>
          <c:marker>
            <c:symbol val="diamond"/>
            <c:size val="7"/>
            <c:spPr>
              <a:solidFill>
                <a:schemeClr val="tx1">
                  <a:lumMod val="95000"/>
                  <a:lumOff val="5000"/>
                </a:schemeClr>
              </a:solidFill>
              <a:ln>
                <a:solidFill>
                  <a:schemeClr val="tx1">
                    <a:lumMod val="95000"/>
                    <a:lumOff val="5000"/>
                  </a:schemeClr>
                </a:solidFill>
                <a:prstDash val="solid"/>
              </a:ln>
            </c:spPr>
          </c:marker>
          <c:cat>
            <c:strRef>
              <c:f>Sheet1!$E$3:$G$3</c:f>
              <c:strCache>
                <c:ptCount val="3"/>
                <c:pt idx="0">
                  <c:v>2013-14</c:v>
                </c:pt>
                <c:pt idx="1">
                  <c:v>2014-15</c:v>
                </c:pt>
                <c:pt idx="2">
                  <c:v>2015-16</c:v>
                </c:pt>
              </c:strCache>
            </c:strRef>
          </c:cat>
          <c:val>
            <c:numRef>
              <c:f>Sheet1!$E$10:$G$10</c:f>
              <c:numCache>
                <c:formatCode>_-* #,##0_-;\-* #,##0_-;_-* "-"??_-;_-@_-</c:formatCode>
                <c:ptCount val="3"/>
                <c:pt idx="0">
                  <c:v>114</c:v>
                </c:pt>
                <c:pt idx="1">
                  <c:v>103</c:v>
                </c:pt>
                <c:pt idx="2" formatCode="General">
                  <c:v>178</c:v>
                </c:pt>
              </c:numCache>
            </c:numRef>
          </c:val>
          <c:smooth val="0"/>
          <c:extLst>
            <c:ext xmlns:c16="http://schemas.microsoft.com/office/drawing/2014/chart" uri="{C3380CC4-5D6E-409C-BE32-E72D297353CC}">
              <c16:uniqueId val="{00000000-DB16-41F9-AABF-027932B8432D}"/>
            </c:ext>
          </c:extLst>
        </c:ser>
        <c:ser>
          <c:idx val="1"/>
          <c:order val="1"/>
          <c:tx>
            <c:strRef>
              <c:f>Sheet1!$B$11</c:f>
              <c:strCache>
                <c:ptCount val="1"/>
                <c:pt idx="0">
                  <c:v>Rate per 100 FTE</c:v>
                </c:pt>
              </c:strCache>
            </c:strRef>
          </c:tx>
          <c:spPr>
            <a:ln w="25400">
              <a:solidFill>
                <a:schemeClr val="bg1">
                  <a:lumMod val="50000"/>
                </a:schemeClr>
              </a:solidFill>
              <a:prstDash val="solid"/>
            </a:ln>
          </c:spPr>
          <c:marker>
            <c:symbol val="square"/>
            <c:size val="7"/>
            <c:spPr>
              <a:solidFill>
                <a:schemeClr val="bg1">
                  <a:lumMod val="50000"/>
                </a:schemeClr>
              </a:solidFill>
              <a:ln>
                <a:solidFill>
                  <a:schemeClr val="bg1">
                    <a:lumMod val="50000"/>
                  </a:schemeClr>
                </a:solidFill>
                <a:prstDash val="solid"/>
              </a:ln>
            </c:spPr>
          </c:marker>
          <c:cat>
            <c:strRef>
              <c:f>Sheet1!$E$3:$G$3</c:f>
              <c:strCache>
                <c:ptCount val="3"/>
                <c:pt idx="0">
                  <c:v>2013-14</c:v>
                </c:pt>
                <c:pt idx="1">
                  <c:v>2014-15</c:v>
                </c:pt>
                <c:pt idx="2">
                  <c:v>2015-16</c:v>
                </c:pt>
              </c:strCache>
            </c:strRef>
          </c:cat>
          <c:val>
            <c:numRef>
              <c:f>Sheet1!$E$11:$G$11</c:f>
              <c:numCache>
                <c:formatCode>#,##0.000_ ;\-#,##0.000\ </c:formatCode>
                <c:ptCount val="3"/>
                <c:pt idx="0">
                  <c:v>0.19714656290531776</c:v>
                </c:pt>
                <c:pt idx="1">
                  <c:v>0.17559412185891096</c:v>
                </c:pt>
                <c:pt idx="2">
                  <c:v>0.29288840622634676</c:v>
                </c:pt>
              </c:numCache>
            </c:numRef>
          </c:val>
          <c:smooth val="0"/>
          <c:extLst>
            <c:ext xmlns:c16="http://schemas.microsoft.com/office/drawing/2014/chart" uri="{C3380CC4-5D6E-409C-BE32-E72D297353CC}">
              <c16:uniqueId val="{00000001-DB16-41F9-AABF-027932B8432D}"/>
            </c:ext>
          </c:extLst>
        </c:ser>
        <c:dLbls>
          <c:showLegendKey val="0"/>
          <c:showVal val="0"/>
          <c:showCatName val="0"/>
          <c:showSerName val="0"/>
          <c:showPercent val="0"/>
          <c:showBubbleSize val="0"/>
        </c:dLbls>
        <c:marker val="1"/>
        <c:smooth val="0"/>
        <c:axId val="222910336"/>
        <c:axId val="222924800"/>
      </c:lineChart>
      <c:catAx>
        <c:axId val="222910336"/>
        <c:scaling>
          <c:orientation val="minMax"/>
        </c:scaling>
        <c:delete val="0"/>
        <c:axPos val="b"/>
        <c:numFmt formatCode="General" sourceLinked="1"/>
        <c:majorTickMark val="out"/>
        <c:minorTickMark val="none"/>
        <c:tickLblPos val="nextTo"/>
        <c:spPr>
          <a:ln w="3175">
            <a:solidFill>
              <a:srgbClr val="969696"/>
            </a:solidFill>
            <a:prstDash val="solid"/>
          </a:ln>
        </c:spPr>
        <c:txPr>
          <a:bodyPr rot="0" vert="horz"/>
          <a:lstStyle/>
          <a:p>
            <a:pPr>
              <a:defRPr/>
            </a:pPr>
            <a:endParaRPr lang="en-US"/>
          </a:p>
        </c:txPr>
        <c:crossAx val="222924800"/>
        <c:crosses val="autoZero"/>
        <c:auto val="1"/>
        <c:lblAlgn val="ctr"/>
        <c:lblOffset val="100"/>
        <c:tickMarkSkip val="1"/>
        <c:noMultiLvlLbl val="0"/>
      </c:catAx>
      <c:valAx>
        <c:axId val="222924800"/>
        <c:scaling>
          <c:logBase val="10"/>
          <c:orientation val="minMax"/>
        </c:scaling>
        <c:delete val="0"/>
        <c:axPos val="l"/>
        <c:majorGridlines>
          <c:spPr>
            <a:ln w="3175">
              <a:solidFill>
                <a:srgbClr val="969696"/>
              </a:solidFill>
              <a:prstDash val="sysDash"/>
            </a:ln>
          </c:spPr>
        </c:majorGridlines>
        <c:numFmt formatCode="_-* #,##0_-;\-* #,##0_-;_-* &quot;-&quot;??_-;_-@_-" sourceLinked="1"/>
        <c:majorTickMark val="out"/>
        <c:minorTickMark val="none"/>
        <c:tickLblPos val="nextTo"/>
        <c:spPr>
          <a:ln w="3175">
            <a:solidFill>
              <a:srgbClr val="969696"/>
            </a:solidFill>
            <a:prstDash val="solid"/>
          </a:ln>
        </c:spPr>
        <c:txPr>
          <a:bodyPr rot="0" vert="horz"/>
          <a:lstStyle/>
          <a:p>
            <a:pPr>
              <a:defRPr/>
            </a:pPr>
            <a:endParaRPr lang="en-US"/>
          </a:p>
        </c:txPr>
        <c:crossAx val="222910336"/>
        <c:crosses val="autoZero"/>
        <c:crossBetween val="between"/>
      </c:valAx>
      <c:dTable>
        <c:showHorzBorder val="1"/>
        <c:showVertBorder val="1"/>
        <c:showOutline val="0"/>
        <c:showKeys val="1"/>
        <c:spPr>
          <a:ln w="3175">
            <a:solidFill>
              <a:srgbClr val="969696"/>
            </a:solidFill>
            <a:prstDash val="solid"/>
          </a:ln>
        </c:spPr>
      </c:dTable>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9385206710427"/>
          <c:y val="0.18545910137732655"/>
          <c:w val="0.74730018352687522"/>
          <c:h val="0.66325760800408629"/>
        </c:manualLayout>
      </c:layout>
      <c:lineChart>
        <c:grouping val="standard"/>
        <c:varyColors val="0"/>
        <c:ser>
          <c:idx val="0"/>
          <c:order val="0"/>
          <c:tx>
            <c:v>Premium rate</c:v>
          </c:tx>
          <c:spPr>
            <a:ln w="25400">
              <a:solidFill>
                <a:schemeClr val="tx1">
                  <a:lumMod val="95000"/>
                  <a:lumOff val="5000"/>
                </a:schemeClr>
              </a:solidFill>
              <a:prstDash val="solid"/>
            </a:ln>
          </c:spPr>
          <c:marker>
            <c:symbol val="diamond"/>
            <c:size val="7"/>
            <c:spPr>
              <a:solidFill>
                <a:schemeClr val="tx1">
                  <a:lumMod val="95000"/>
                  <a:lumOff val="5000"/>
                </a:schemeClr>
              </a:solidFill>
              <a:ln>
                <a:solidFill>
                  <a:schemeClr val="tx1">
                    <a:lumMod val="95000"/>
                    <a:lumOff val="5000"/>
                  </a:schemeClr>
                </a:solidFill>
                <a:prstDash val="solid"/>
              </a:ln>
            </c:spPr>
          </c:marker>
          <c:cat>
            <c:strRef>
              <c:f>Sheet1!$A$45:$A$47</c:f>
              <c:strCache>
                <c:ptCount val="3"/>
                <c:pt idx="0">
                  <c:v>13/14</c:v>
                </c:pt>
                <c:pt idx="1">
                  <c:v>14/15</c:v>
                </c:pt>
                <c:pt idx="2">
                  <c:v>15/16</c:v>
                </c:pt>
              </c:strCache>
            </c:strRef>
          </c:cat>
          <c:val>
            <c:numRef>
              <c:f>Sheet1!$B$35:$B$37</c:f>
              <c:numCache>
                <c:formatCode>0.00%</c:formatCode>
                <c:ptCount val="3"/>
                <c:pt idx="0">
                  <c:v>1.2702E-2</c:v>
                </c:pt>
                <c:pt idx="1">
                  <c:v>1.0918000000000001E-2</c:v>
                </c:pt>
                <c:pt idx="2">
                  <c:v>1.1102000000000001E-2</c:v>
                </c:pt>
              </c:numCache>
            </c:numRef>
          </c:val>
          <c:smooth val="0"/>
          <c:extLst>
            <c:ext xmlns:c16="http://schemas.microsoft.com/office/drawing/2014/chart" uri="{C3380CC4-5D6E-409C-BE32-E72D297353CC}">
              <c16:uniqueId val="{00000000-6CE7-41A6-851C-9B4881A9B6C9}"/>
            </c:ext>
          </c:extLst>
        </c:ser>
        <c:dLbls>
          <c:showLegendKey val="0"/>
          <c:showVal val="0"/>
          <c:showCatName val="0"/>
          <c:showSerName val="0"/>
          <c:showPercent val="0"/>
          <c:showBubbleSize val="0"/>
        </c:dLbls>
        <c:marker val="1"/>
        <c:smooth val="0"/>
        <c:axId val="35984128"/>
        <c:axId val="35986048"/>
      </c:lineChart>
      <c:catAx>
        <c:axId val="35984128"/>
        <c:scaling>
          <c:orientation val="minMax"/>
        </c:scaling>
        <c:delete val="0"/>
        <c:axPos val="b"/>
        <c:numFmt formatCode="General" sourceLinked="1"/>
        <c:majorTickMark val="out"/>
        <c:minorTickMark val="none"/>
        <c:tickLblPos val="nextTo"/>
        <c:spPr>
          <a:ln w="3175">
            <a:solidFill>
              <a:srgbClr val="969696"/>
            </a:solidFill>
            <a:prstDash val="solid"/>
          </a:ln>
        </c:spPr>
        <c:txPr>
          <a:bodyPr rot="-5400000" vert="horz"/>
          <a:lstStyle/>
          <a:p>
            <a:pPr>
              <a:defRPr/>
            </a:pPr>
            <a:endParaRPr lang="en-US"/>
          </a:p>
        </c:txPr>
        <c:crossAx val="35986048"/>
        <c:crosses val="autoZero"/>
        <c:auto val="1"/>
        <c:lblAlgn val="ctr"/>
        <c:lblOffset val="100"/>
        <c:tickMarkSkip val="1"/>
        <c:noMultiLvlLbl val="0"/>
      </c:catAx>
      <c:valAx>
        <c:axId val="35986048"/>
        <c:scaling>
          <c:orientation val="minMax"/>
        </c:scaling>
        <c:delete val="0"/>
        <c:axPos val="l"/>
        <c:majorGridlines>
          <c:spPr>
            <a:ln w="3175">
              <a:solidFill>
                <a:srgbClr val="969696"/>
              </a:solidFill>
              <a:prstDash val="sysDash"/>
            </a:ln>
          </c:spPr>
        </c:majorGridlines>
        <c:numFmt formatCode="0.00%" sourceLinked="1"/>
        <c:majorTickMark val="out"/>
        <c:minorTickMark val="none"/>
        <c:tickLblPos val="nextTo"/>
        <c:spPr>
          <a:ln w="3175">
            <a:solidFill>
              <a:srgbClr val="969696"/>
            </a:solidFill>
            <a:prstDash val="solid"/>
          </a:ln>
        </c:spPr>
        <c:txPr>
          <a:bodyPr rot="0" vert="horz"/>
          <a:lstStyle/>
          <a:p>
            <a:pPr>
              <a:defRPr/>
            </a:pPr>
            <a:endParaRPr lang="en-US"/>
          </a:p>
        </c:txPr>
        <c:crossAx val="35984128"/>
        <c:crosses val="autoZero"/>
        <c:crossBetween val="between"/>
      </c:valAx>
      <c:dTable>
        <c:showHorzBorder val="0"/>
        <c:showVertBorder val="1"/>
        <c:showOutline val="0"/>
        <c:showKeys val="1"/>
        <c:spPr>
          <a:ln w="3175">
            <a:solidFill>
              <a:srgbClr val="969696"/>
            </a:solidFill>
            <a:prstDash val="solid"/>
          </a:ln>
        </c:spPr>
      </c:dTable>
      <c:spPr>
        <a:solidFill>
          <a:srgbClr val="FFFFFF"/>
        </a:solidFill>
        <a:ln w="12700">
          <a:solidFill>
            <a:srgbClr val="FFFFFF"/>
          </a:solidFill>
          <a:prstDash val="solid"/>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9385206710427"/>
          <c:y val="0.18545910137732655"/>
          <c:w val="0.74730018352687522"/>
          <c:h val="0.66325760800408629"/>
        </c:manualLayout>
      </c:layout>
      <c:lineChart>
        <c:grouping val="standard"/>
        <c:varyColors val="0"/>
        <c:ser>
          <c:idx val="0"/>
          <c:order val="0"/>
          <c:tx>
            <c:strRef>
              <c:f>Sheet1!$A$51</c:f>
              <c:strCache>
                <c:ptCount val="1"/>
                <c:pt idx="0">
                  <c:v>Employer performance</c:v>
                </c:pt>
              </c:strCache>
            </c:strRef>
          </c:tx>
          <c:spPr>
            <a:ln w="25400">
              <a:solidFill>
                <a:schemeClr val="tx1">
                  <a:lumMod val="95000"/>
                  <a:lumOff val="5000"/>
                </a:schemeClr>
              </a:solidFill>
              <a:prstDash val="solid"/>
            </a:ln>
          </c:spPr>
          <c:marker>
            <c:symbol val="diamond"/>
            <c:size val="7"/>
            <c:spPr>
              <a:solidFill>
                <a:schemeClr val="tx1">
                  <a:lumMod val="95000"/>
                  <a:lumOff val="5000"/>
                </a:schemeClr>
              </a:solidFill>
              <a:ln>
                <a:solidFill>
                  <a:schemeClr val="tx1">
                    <a:lumMod val="95000"/>
                    <a:lumOff val="5000"/>
                  </a:schemeClr>
                </a:solidFill>
                <a:prstDash val="solid"/>
              </a:ln>
            </c:spPr>
          </c:marker>
          <c:cat>
            <c:strRef>
              <c:f>Sheet1!$A$52:$A$54</c:f>
              <c:strCache>
                <c:ptCount val="3"/>
                <c:pt idx="0">
                  <c:v>13/14</c:v>
                </c:pt>
                <c:pt idx="1">
                  <c:v>14/15</c:v>
                </c:pt>
                <c:pt idx="2">
                  <c:v>15/16</c:v>
                </c:pt>
              </c:strCache>
            </c:strRef>
          </c:cat>
          <c:val>
            <c:numRef>
              <c:f>Sheet1!$B$52:$B$54</c:f>
              <c:numCache>
                <c:formatCode>0.000%</c:formatCode>
                <c:ptCount val="3"/>
                <c:pt idx="0">
                  <c:v>1.0861040000000001E-2</c:v>
                </c:pt>
                <c:pt idx="1">
                  <c:v>1.059161E-2</c:v>
                </c:pt>
                <c:pt idx="2">
                  <c:v>1.0355670000000001E-2</c:v>
                </c:pt>
              </c:numCache>
            </c:numRef>
          </c:val>
          <c:smooth val="0"/>
          <c:extLst>
            <c:ext xmlns:c16="http://schemas.microsoft.com/office/drawing/2014/chart" uri="{C3380CC4-5D6E-409C-BE32-E72D297353CC}">
              <c16:uniqueId val="{00000000-BFFA-4DF0-8997-9F4FF9B50E32}"/>
            </c:ext>
          </c:extLst>
        </c:ser>
        <c:dLbls>
          <c:showLegendKey val="0"/>
          <c:showVal val="0"/>
          <c:showCatName val="0"/>
          <c:showSerName val="0"/>
          <c:showPercent val="0"/>
          <c:showBubbleSize val="0"/>
        </c:dLbls>
        <c:marker val="1"/>
        <c:smooth val="0"/>
        <c:axId val="35994240"/>
        <c:axId val="177308416"/>
      </c:lineChart>
      <c:catAx>
        <c:axId val="35994240"/>
        <c:scaling>
          <c:orientation val="minMax"/>
        </c:scaling>
        <c:delete val="0"/>
        <c:axPos val="b"/>
        <c:numFmt formatCode="General" sourceLinked="1"/>
        <c:majorTickMark val="out"/>
        <c:minorTickMark val="none"/>
        <c:tickLblPos val="nextTo"/>
        <c:spPr>
          <a:ln w="3175">
            <a:solidFill>
              <a:srgbClr val="969696"/>
            </a:solidFill>
            <a:prstDash val="solid"/>
          </a:ln>
        </c:spPr>
        <c:txPr>
          <a:bodyPr rot="-5400000" vert="horz"/>
          <a:lstStyle/>
          <a:p>
            <a:pPr>
              <a:defRPr/>
            </a:pPr>
            <a:endParaRPr lang="en-US"/>
          </a:p>
        </c:txPr>
        <c:crossAx val="177308416"/>
        <c:crosses val="autoZero"/>
        <c:auto val="1"/>
        <c:lblAlgn val="ctr"/>
        <c:lblOffset val="100"/>
        <c:tickMarkSkip val="1"/>
        <c:noMultiLvlLbl val="0"/>
      </c:catAx>
      <c:valAx>
        <c:axId val="177308416"/>
        <c:scaling>
          <c:orientation val="minMax"/>
        </c:scaling>
        <c:delete val="0"/>
        <c:axPos val="l"/>
        <c:majorGridlines>
          <c:spPr>
            <a:ln w="3175">
              <a:solidFill>
                <a:srgbClr val="969696"/>
              </a:solidFill>
              <a:prstDash val="sysDash"/>
            </a:ln>
          </c:spPr>
        </c:majorGridlines>
        <c:numFmt formatCode="0.000%" sourceLinked="1"/>
        <c:majorTickMark val="out"/>
        <c:minorTickMark val="none"/>
        <c:tickLblPos val="nextTo"/>
        <c:spPr>
          <a:ln w="3175">
            <a:solidFill>
              <a:srgbClr val="969696"/>
            </a:solidFill>
            <a:prstDash val="solid"/>
          </a:ln>
        </c:spPr>
        <c:txPr>
          <a:bodyPr rot="0" vert="horz"/>
          <a:lstStyle/>
          <a:p>
            <a:pPr>
              <a:defRPr/>
            </a:pPr>
            <a:endParaRPr lang="en-US"/>
          </a:p>
        </c:txPr>
        <c:crossAx val="35994240"/>
        <c:crosses val="autoZero"/>
        <c:crossBetween val="between"/>
      </c:valAx>
      <c:dTable>
        <c:showHorzBorder val="0"/>
        <c:showVertBorder val="1"/>
        <c:showOutline val="0"/>
        <c:showKeys val="1"/>
        <c:spPr>
          <a:ln w="3175">
            <a:solidFill>
              <a:srgbClr val="969696"/>
            </a:solidFill>
            <a:prstDash val="solid"/>
          </a:ln>
        </c:spPr>
      </c:dTable>
      <c:spPr>
        <a:solidFill>
          <a:srgbClr val="FFFFFF"/>
        </a:solidFill>
        <a:ln w="12700">
          <a:solidFill>
            <a:srgbClr val="FFFFFF"/>
          </a:solidFill>
          <a:prstDash val="solid"/>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Financial Statement for Department of Education and Training  Annual Report 2015-16, report of Operations</DEECD_Keywords>
    <PublishingExpirationDate xmlns="http://schemas.microsoft.com/sharepoint/v3" xsi:nil="true"/>
    <DEECD_Description xmlns="http://schemas.microsoft.com/sharepoint/v3">Financial Statement for Department of Education and Training  Annual Report 2015-16 Report of Operations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EF18741F-F262-4485-BDFC-C7E06D16E334}">
  <ds:schemaRefs>
    <ds:schemaRef ds:uri="http://schemas.microsoft.com/sharepoint/v3/contenttype/forms"/>
  </ds:schemaRefs>
</ds:datastoreItem>
</file>

<file path=customXml/itemProps2.xml><?xml version="1.0" encoding="utf-8"?>
<ds:datastoreItem xmlns:ds="http://schemas.openxmlformats.org/officeDocument/2006/customXml" ds:itemID="{A1B48D8E-2B3E-4A9E-A213-35BF9C81C53E}"/>
</file>

<file path=customXml/itemProps3.xml><?xml version="1.0" encoding="utf-8"?>
<ds:datastoreItem xmlns:ds="http://schemas.openxmlformats.org/officeDocument/2006/customXml" ds:itemID="{5E287C91-0044-4EF7-ABA4-52C9965F60AC}"/>
</file>

<file path=customXml/itemProps4.xml><?xml version="1.0" encoding="utf-8"?>
<ds:datastoreItem xmlns:ds="http://schemas.openxmlformats.org/officeDocument/2006/customXml" ds:itemID="{EF18741F-F262-4485-BDFC-C7E06D16E334}"/>
</file>

<file path=customXml/itemProps5.xml><?xml version="1.0" encoding="utf-8"?>
<ds:datastoreItem xmlns:ds="http://schemas.openxmlformats.org/officeDocument/2006/customXml" ds:itemID="{270CC773-C135-4175-B98C-A7AAA2A067E4}"/>
</file>

<file path=docProps/app.xml><?xml version="1.0" encoding="utf-8"?>
<Properties xmlns="http://schemas.openxmlformats.org/officeDocument/2006/extended-properties" xmlns:vt="http://schemas.openxmlformats.org/officeDocument/2006/docPropsVTypes">
  <Template>Normal</Template>
  <TotalTime>1</TotalTime>
  <Pages>92</Pages>
  <Words>28010</Words>
  <Characters>159662</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Annual Report 2014-15</vt:lpstr>
    </vt:vector>
  </TitlesOfParts>
  <Company>Department of Education and Training</Company>
  <LinksUpToDate>false</LinksUpToDate>
  <CharactersWithSpaces>187298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2014-15</dc:title>
  <dc:creator>Department of Education and Training</dc:creator>
  <cp:lastModifiedBy>Milan, Susan K</cp:lastModifiedBy>
  <cp:revision>2</cp:revision>
  <cp:lastPrinted>2016-10-13T01:35:00Z</cp:lastPrinted>
  <dcterms:created xsi:type="dcterms:W3CDTF">2017-01-16T22:56:00Z</dcterms:created>
  <dcterms:modified xsi:type="dcterms:W3CDTF">2017-01-16T22:56:00Z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rder">
    <vt:r8>2844800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