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244CC" w14:textId="77777777" w:rsidR="00FE7F8B" w:rsidRPr="00155353" w:rsidRDefault="00FE7F8B" w:rsidP="00155353">
      <w:pPr>
        <w:pStyle w:val="Heading1"/>
      </w:pPr>
      <w:bookmarkStart w:id="0" w:name="_Toc400358559"/>
      <w:bookmarkStart w:id="1" w:name="_Toc434833174"/>
      <w:bookmarkStart w:id="2" w:name="_Ref400467530"/>
      <w:bookmarkStart w:id="3" w:name="_Ref399422590"/>
      <w:bookmarkStart w:id="4" w:name="_Toc399491058"/>
      <w:bookmarkStart w:id="5" w:name="_Toc462405163"/>
      <w:bookmarkStart w:id="6" w:name="_Toc458072409"/>
      <w:bookmarkStart w:id="7" w:name="_Toc458088591"/>
      <w:bookmarkStart w:id="8" w:name="_Toc461025868"/>
      <w:r w:rsidRPr="00155353">
        <w:t>F</w:t>
      </w:r>
      <w:bookmarkStart w:id="9" w:name="Financialstatements"/>
      <w:bookmarkEnd w:id="9"/>
      <w:r w:rsidRPr="00155353">
        <w:t>inancial statements</w:t>
      </w:r>
      <w:bookmarkEnd w:id="5"/>
    </w:p>
    <w:p w14:paraId="12F6292B" w14:textId="77777777" w:rsidR="00FE7F8B" w:rsidRDefault="00FE7F8B" w:rsidP="00FE7F8B">
      <w:r>
        <w:t>These financial statements cover the Department of Education and Training as an individual entity.</w:t>
      </w:r>
    </w:p>
    <w:p w14:paraId="08960F0C" w14:textId="77777777" w:rsidR="00FE7F8B" w:rsidRDefault="00FE7F8B" w:rsidP="00FE7F8B">
      <w:r>
        <w:t>The Department of Education and Training is a government department of the State of Victoria.</w:t>
      </w:r>
    </w:p>
    <w:p w14:paraId="7FCBEA37" w14:textId="1348498A" w:rsidR="00FE7F8B" w:rsidRDefault="00FE7F8B" w:rsidP="00FE7F8B">
      <w:r>
        <w:t>A description of the nature of the Department’s operations and its principal activitie</w:t>
      </w:r>
      <w:r w:rsidR="00095D69">
        <w:t>s is included in the Report of O</w:t>
      </w:r>
      <w:r>
        <w:t xml:space="preserve">perations. </w:t>
      </w:r>
    </w:p>
    <w:p w14:paraId="4CE53C49" w14:textId="77777777" w:rsidR="00FE7F8B" w:rsidRPr="00FE7F8B" w:rsidRDefault="00FE7F8B" w:rsidP="00FE7F8B">
      <w:pPr>
        <w:pStyle w:val="TOCheadingendmatter"/>
      </w:pPr>
      <w:r w:rsidRPr="00FE7F8B">
        <w:t>Contents</w:t>
      </w:r>
    </w:p>
    <w:p w14:paraId="54EF90B1" w14:textId="77777777" w:rsidR="00494AF4" w:rsidRDefault="00FE7F8B">
      <w:pPr>
        <w:pStyle w:val="TOC1"/>
        <w:rPr>
          <w:rFonts w:asciiTheme="minorHAnsi" w:eastAsiaTheme="minorEastAsia" w:hAnsiTheme="minorHAnsi" w:cstheme="minorBidi"/>
          <w:b w:val="0"/>
          <w:color w:val="auto"/>
          <w:sz w:val="22"/>
          <w:szCs w:val="22"/>
        </w:rPr>
      </w:pPr>
      <w:r w:rsidRPr="00EF11A2">
        <w:fldChar w:fldCharType="begin"/>
      </w:r>
      <w:r w:rsidRPr="00EF11A2">
        <w:rPr>
          <w:noProof w:val="0"/>
        </w:rPr>
        <w:instrText xml:space="preserve"> TOC \h \z \t "Heading 2 financial statements,1,TOC Title Notes to the Financial Statements,1" </w:instrText>
      </w:r>
      <w:r w:rsidRPr="00EF11A2">
        <w:fldChar w:fldCharType="separate"/>
      </w:r>
      <w:hyperlink w:anchor="_Toc463620814" w:history="1">
        <w:r w:rsidR="00494AF4" w:rsidRPr="00E609A7">
          <w:rPr>
            <w:rStyle w:val="Hyperlink"/>
          </w:rPr>
          <w:t>Accountable Officer's and Chief Finance and Accounting Officer's declaration</w:t>
        </w:r>
        <w:r w:rsidR="00494AF4">
          <w:rPr>
            <w:webHidden/>
          </w:rPr>
          <w:tab/>
        </w:r>
        <w:r w:rsidR="00494AF4">
          <w:rPr>
            <w:webHidden/>
          </w:rPr>
          <w:fldChar w:fldCharType="begin"/>
        </w:r>
        <w:r w:rsidR="00494AF4">
          <w:rPr>
            <w:webHidden/>
          </w:rPr>
          <w:instrText xml:space="preserve"> PAGEREF _Toc463620814 \h </w:instrText>
        </w:r>
        <w:r w:rsidR="00494AF4">
          <w:rPr>
            <w:webHidden/>
          </w:rPr>
        </w:r>
        <w:r w:rsidR="00494AF4">
          <w:rPr>
            <w:webHidden/>
          </w:rPr>
          <w:fldChar w:fldCharType="separate"/>
        </w:r>
        <w:r w:rsidR="00B60957">
          <w:rPr>
            <w:webHidden/>
          </w:rPr>
          <w:t>2</w:t>
        </w:r>
        <w:r w:rsidR="00494AF4">
          <w:rPr>
            <w:webHidden/>
          </w:rPr>
          <w:fldChar w:fldCharType="end"/>
        </w:r>
      </w:hyperlink>
    </w:p>
    <w:p w14:paraId="058EAAC0" w14:textId="77777777" w:rsidR="00494AF4" w:rsidRDefault="00210167">
      <w:pPr>
        <w:pStyle w:val="TOC1"/>
        <w:rPr>
          <w:rFonts w:asciiTheme="minorHAnsi" w:eastAsiaTheme="minorEastAsia" w:hAnsiTheme="minorHAnsi" w:cstheme="minorBidi"/>
          <w:b w:val="0"/>
          <w:color w:val="auto"/>
          <w:sz w:val="22"/>
          <w:szCs w:val="22"/>
        </w:rPr>
      </w:pPr>
      <w:hyperlink w:anchor="_Toc463620815" w:history="1">
        <w:r w:rsidR="00494AF4" w:rsidRPr="00E609A7">
          <w:rPr>
            <w:rStyle w:val="Hyperlink"/>
          </w:rPr>
          <w:t>Auditor-General’s independent auditor’s report</w:t>
        </w:r>
        <w:r w:rsidR="00494AF4">
          <w:rPr>
            <w:webHidden/>
          </w:rPr>
          <w:tab/>
        </w:r>
        <w:r w:rsidR="00494AF4">
          <w:rPr>
            <w:webHidden/>
          </w:rPr>
          <w:fldChar w:fldCharType="begin"/>
        </w:r>
        <w:r w:rsidR="00494AF4">
          <w:rPr>
            <w:webHidden/>
          </w:rPr>
          <w:instrText xml:space="preserve"> PAGEREF _Toc463620815 \h </w:instrText>
        </w:r>
        <w:r w:rsidR="00494AF4">
          <w:rPr>
            <w:webHidden/>
          </w:rPr>
        </w:r>
        <w:r w:rsidR="00494AF4">
          <w:rPr>
            <w:webHidden/>
          </w:rPr>
          <w:fldChar w:fldCharType="separate"/>
        </w:r>
        <w:r w:rsidR="00B60957">
          <w:rPr>
            <w:webHidden/>
          </w:rPr>
          <w:t>3</w:t>
        </w:r>
        <w:r w:rsidR="00494AF4">
          <w:rPr>
            <w:webHidden/>
          </w:rPr>
          <w:fldChar w:fldCharType="end"/>
        </w:r>
      </w:hyperlink>
    </w:p>
    <w:p w14:paraId="4D393010" w14:textId="77777777" w:rsidR="00494AF4" w:rsidRDefault="00210167">
      <w:pPr>
        <w:pStyle w:val="TOC1"/>
        <w:rPr>
          <w:rFonts w:asciiTheme="minorHAnsi" w:eastAsiaTheme="minorEastAsia" w:hAnsiTheme="minorHAnsi" w:cstheme="minorBidi"/>
          <w:b w:val="0"/>
          <w:color w:val="auto"/>
          <w:sz w:val="22"/>
          <w:szCs w:val="22"/>
        </w:rPr>
      </w:pPr>
      <w:hyperlink w:anchor="_Toc463620816" w:history="1">
        <w:r w:rsidR="00494AF4" w:rsidRPr="00E609A7">
          <w:rPr>
            <w:rStyle w:val="Hyperlink"/>
          </w:rPr>
          <w:t>Comprehensive operating statement for the financial year ended 30 June 2016</w:t>
        </w:r>
        <w:r w:rsidR="00494AF4">
          <w:rPr>
            <w:webHidden/>
          </w:rPr>
          <w:tab/>
        </w:r>
        <w:r w:rsidR="00494AF4">
          <w:rPr>
            <w:webHidden/>
          </w:rPr>
          <w:fldChar w:fldCharType="begin"/>
        </w:r>
        <w:r w:rsidR="00494AF4">
          <w:rPr>
            <w:webHidden/>
          </w:rPr>
          <w:instrText xml:space="preserve"> PAGEREF _Toc463620816 \h </w:instrText>
        </w:r>
        <w:r w:rsidR="00494AF4">
          <w:rPr>
            <w:webHidden/>
          </w:rPr>
        </w:r>
        <w:r w:rsidR="00494AF4">
          <w:rPr>
            <w:webHidden/>
          </w:rPr>
          <w:fldChar w:fldCharType="separate"/>
        </w:r>
        <w:r w:rsidR="00B60957">
          <w:rPr>
            <w:webHidden/>
          </w:rPr>
          <w:t>5</w:t>
        </w:r>
        <w:r w:rsidR="00494AF4">
          <w:rPr>
            <w:webHidden/>
          </w:rPr>
          <w:fldChar w:fldCharType="end"/>
        </w:r>
      </w:hyperlink>
    </w:p>
    <w:p w14:paraId="25F5A503" w14:textId="77777777" w:rsidR="00494AF4" w:rsidRDefault="00210167">
      <w:pPr>
        <w:pStyle w:val="TOC1"/>
        <w:rPr>
          <w:rFonts w:asciiTheme="minorHAnsi" w:eastAsiaTheme="minorEastAsia" w:hAnsiTheme="minorHAnsi" w:cstheme="minorBidi"/>
          <w:b w:val="0"/>
          <w:color w:val="auto"/>
          <w:sz w:val="22"/>
          <w:szCs w:val="22"/>
        </w:rPr>
      </w:pPr>
      <w:hyperlink w:anchor="_Toc463620817" w:history="1">
        <w:r w:rsidR="00494AF4" w:rsidRPr="00E609A7">
          <w:rPr>
            <w:rStyle w:val="Hyperlink"/>
          </w:rPr>
          <w:t>Balance sheet as at 30 June 2016</w:t>
        </w:r>
        <w:r w:rsidR="00494AF4">
          <w:rPr>
            <w:webHidden/>
          </w:rPr>
          <w:tab/>
        </w:r>
        <w:r w:rsidR="00494AF4">
          <w:rPr>
            <w:webHidden/>
          </w:rPr>
          <w:fldChar w:fldCharType="begin"/>
        </w:r>
        <w:r w:rsidR="00494AF4">
          <w:rPr>
            <w:webHidden/>
          </w:rPr>
          <w:instrText xml:space="preserve"> PAGEREF _Toc463620817 \h </w:instrText>
        </w:r>
        <w:r w:rsidR="00494AF4">
          <w:rPr>
            <w:webHidden/>
          </w:rPr>
        </w:r>
        <w:r w:rsidR="00494AF4">
          <w:rPr>
            <w:webHidden/>
          </w:rPr>
          <w:fldChar w:fldCharType="separate"/>
        </w:r>
        <w:r w:rsidR="00B60957">
          <w:rPr>
            <w:webHidden/>
          </w:rPr>
          <w:t>6</w:t>
        </w:r>
        <w:r w:rsidR="00494AF4">
          <w:rPr>
            <w:webHidden/>
          </w:rPr>
          <w:fldChar w:fldCharType="end"/>
        </w:r>
      </w:hyperlink>
    </w:p>
    <w:p w14:paraId="5BC83DB4" w14:textId="77777777" w:rsidR="00494AF4" w:rsidRDefault="00210167">
      <w:pPr>
        <w:pStyle w:val="TOC1"/>
        <w:rPr>
          <w:rFonts w:asciiTheme="minorHAnsi" w:eastAsiaTheme="minorEastAsia" w:hAnsiTheme="minorHAnsi" w:cstheme="minorBidi"/>
          <w:b w:val="0"/>
          <w:color w:val="auto"/>
          <w:sz w:val="22"/>
          <w:szCs w:val="22"/>
        </w:rPr>
      </w:pPr>
      <w:hyperlink w:anchor="_Toc463620818" w:history="1">
        <w:r w:rsidR="00494AF4" w:rsidRPr="00E609A7">
          <w:rPr>
            <w:rStyle w:val="Hyperlink"/>
          </w:rPr>
          <w:t>Statement of changes in equity for the financial year ended 30 June 2016</w:t>
        </w:r>
        <w:r w:rsidR="00494AF4">
          <w:rPr>
            <w:webHidden/>
          </w:rPr>
          <w:tab/>
        </w:r>
        <w:r w:rsidR="00494AF4">
          <w:rPr>
            <w:webHidden/>
          </w:rPr>
          <w:fldChar w:fldCharType="begin"/>
        </w:r>
        <w:r w:rsidR="00494AF4">
          <w:rPr>
            <w:webHidden/>
          </w:rPr>
          <w:instrText xml:space="preserve"> PAGEREF _Toc463620818 \h </w:instrText>
        </w:r>
        <w:r w:rsidR="00494AF4">
          <w:rPr>
            <w:webHidden/>
          </w:rPr>
        </w:r>
        <w:r w:rsidR="00494AF4">
          <w:rPr>
            <w:webHidden/>
          </w:rPr>
          <w:fldChar w:fldCharType="separate"/>
        </w:r>
        <w:r w:rsidR="00B60957">
          <w:rPr>
            <w:webHidden/>
          </w:rPr>
          <w:t>7</w:t>
        </w:r>
        <w:r w:rsidR="00494AF4">
          <w:rPr>
            <w:webHidden/>
          </w:rPr>
          <w:fldChar w:fldCharType="end"/>
        </w:r>
      </w:hyperlink>
    </w:p>
    <w:p w14:paraId="2BF40586" w14:textId="77777777" w:rsidR="00494AF4" w:rsidRDefault="00210167">
      <w:pPr>
        <w:pStyle w:val="TOC1"/>
        <w:rPr>
          <w:rFonts w:asciiTheme="minorHAnsi" w:eastAsiaTheme="minorEastAsia" w:hAnsiTheme="minorHAnsi" w:cstheme="minorBidi"/>
          <w:b w:val="0"/>
          <w:color w:val="auto"/>
          <w:sz w:val="22"/>
          <w:szCs w:val="22"/>
        </w:rPr>
      </w:pPr>
      <w:hyperlink w:anchor="_Toc463620819" w:history="1">
        <w:r w:rsidR="00494AF4" w:rsidRPr="00E609A7">
          <w:rPr>
            <w:rStyle w:val="Hyperlink"/>
          </w:rPr>
          <w:t>Cash flow statement for the financial year ended 30 June 2016</w:t>
        </w:r>
        <w:r w:rsidR="00494AF4">
          <w:rPr>
            <w:webHidden/>
          </w:rPr>
          <w:tab/>
        </w:r>
        <w:r w:rsidR="00494AF4">
          <w:rPr>
            <w:webHidden/>
          </w:rPr>
          <w:fldChar w:fldCharType="begin"/>
        </w:r>
        <w:r w:rsidR="00494AF4">
          <w:rPr>
            <w:webHidden/>
          </w:rPr>
          <w:instrText xml:space="preserve"> PAGEREF _Toc463620819 \h </w:instrText>
        </w:r>
        <w:r w:rsidR="00494AF4">
          <w:rPr>
            <w:webHidden/>
          </w:rPr>
        </w:r>
        <w:r w:rsidR="00494AF4">
          <w:rPr>
            <w:webHidden/>
          </w:rPr>
          <w:fldChar w:fldCharType="separate"/>
        </w:r>
        <w:r w:rsidR="00B60957">
          <w:rPr>
            <w:webHidden/>
          </w:rPr>
          <w:t>8</w:t>
        </w:r>
        <w:r w:rsidR="00494AF4">
          <w:rPr>
            <w:webHidden/>
          </w:rPr>
          <w:fldChar w:fldCharType="end"/>
        </w:r>
      </w:hyperlink>
    </w:p>
    <w:p w14:paraId="4B84A512" w14:textId="77777777" w:rsidR="00494AF4" w:rsidRDefault="00210167">
      <w:pPr>
        <w:pStyle w:val="TOC1"/>
        <w:rPr>
          <w:rFonts w:asciiTheme="minorHAnsi" w:eastAsiaTheme="minorEastAsia" w:hAnsiTheme="minorHAnsi" w:cstheme="minorBidi"/>
          <w:b w:val="0"/>
          <w:color w:val="auto"/>
          <w:sz w:val="22"/>
          <w:szCs w:val="22"/>
        </w:rPr>
      </w:pPr>
      <w:hyperlink w:anchor="_Toc463620820" w:history="1">
        <w:r w:rsidR="00494AF4" w:rsidRPr="00E609A7">
          <w:rPr>
            <w:rStyle w:val="Hyperlink"/>
          </w:rPr>
          <w:t>Notes to the financial statements</w:t>
        </w:r>
        <w:r w:rsidR="00494AF4">
          <w:rPr>
            <w:webHidden/>
          </w:rPr>
          <w:tab/>
        </w:r>
        <w:r w:rsidR="00494AF4">
          <w:rPr>
            <w:webHidden/>
          </w:rPr>
          <w:fldChar w:fldCharType="begin"/>
        </w:r>
        <w:r w:rsidR="00494AF4">
          <w:rPr>
            <w:webHidden/>
          </w:rPr>
          <w:instrText xml:space="preserve"> PAGEREF _Toc463620820 \h </w:instrText>
        </w:r>
        <w:r w:rsidR="00494AF4">
          <w:rPr>
            <w:webHidden/>
          </w:rPr>
        </w:r>
        <w:r w:rsidR="00494AF4">
          <w:rPr>
            <w:webHidden/>
          </w:rPr>
          <w:fldChar w:fldCharType="separate"/>
        </w:r>
        <w:r w:rsidR="00B60957">
          <w:rPr>
            <w:webHidden/>
          </w:rPr>
          <w:t>9</w:t>
        </w:r>
        <w:r w:rsidR="00494AF4">
          <w:rPr>
            <w:webHidden/>
          </w:rPr>
          <w:fldChar w:fldCharType="end"/>
        </w:r>
      </w:hyperlink>
    </w:p>
    <w:p w14:paraId="41F2926A" w14:textId="77777777" w:rsidR="00FE7F8B" w:rsidRDefault="00FE7F8B" w:rsidP="00FE7F8B">
      <w:pPr>
        <w:pStyle w:val="TOC1"/>
        <w:rPr>
          <w:noProof w:val="0"/>
        </w:rPr>
      </w:pPr>
      <w:r w:rsidRPr="00EF11A2">
        <w:fldChar w:fldCharType="end"/>
      </w:r>
    </w:p>
    <w:p w14:paraId="11E7C96C" w14:textId="77777777" w:rsidR="00FE7F8B" w:rsidRDefault="00FE7F8B" w:rsidP="00FE7F8B">
      <w:pPr>
        <w:spacing w:after="0" w:line="240" w:lineRule="auto"/>
        <w:rPr>
          <w:b/>
          <w:lang w:eastAsia="en-AU"/>
        </w:rPr>
        <w:sectPr w:rsidR="00FE7F8B">
          <w:footerReference w:type="first" r:id="rId13"/>
          <w:footnotePr>
            <w:numRestart w:val="eachPage"/>
          </w:footnotePr>
          <w:pgSz w:w="11909" w:h="16834"/>
          <w:pgMar w:top="1814" w:right="1701" w:bottom="1418" w:left="2835" w:header="992" w:footer="454" w:gutter="0"/>
          <w:cols w:space="720"/>
        </w:sectPr>
      </w:pPr>
    </w:p>
    <w:p w14:paraId="0AE955E0" w14:textId="4332DA06" w:rsidR="00C96EEF" w:rsidRPr="0070699B" w:rsidRDefault="00201A69" w:rsidP="0038379A">
      <w:pPr>
        <w:pStyle w:val="Heading2financialstatements"/>
      </w:pPr>
      <w:bookmarkStart w:id="10" w:name="_Toc399491084"/>
      <w:bookmarkStart w:id="11" w:name="_Toc400358562"/>
      <w:bookmarkStart w:id="12" w:name="_Toc456015074"/>
      <w:bookmarkStart w:id="13" w:name="_Toc463620814"/>
      <w:bookmarkEnd w:id="10"/>
      <w:bookmarkEnd w:id="11"/>
      <w:r w:rsidRPr="0070699B">
        <w:lastRenderedPageBreak/>
        <w:t>Accountable Officer's and Chief Finance</w:t>
      </w:r>
      <w:r w:rsidR="007F4691">
        <w:t xml:space="preserve"> and Accounting</w:t>
      </w:r>
      <w:r w:rsidRPr="0070699B">
        <w:t xml:space="preserve"> Officer's declaration</w:t>
      </w:r>
      <w:bookmarkEnd w:id="12"/>
      <w:bookmarkEnd w:id="13"/>
    </w:p>
    <w:p w14:paraId="10E2EEBA" w14:textId="77777777" w:rsidR="007F4691" w:rsidRDefault="007F4691" w:rsidP="00201A69">
      <w:pPr>
        <w:pStyle w:val="Body"/>
        <w:rPr>
          <w:rFonts w:ascii="Arial" w:hAnsi="Arial" w:cs="Arial"/>
          <w:color w:val="auto"/>
          <w:sz w:val="19"/>
          <w:szCs w:val="19"/>
        </w:rPr>
      </w:pPr>
    </w:p>
    <w:p w14:paraId="0768992E" w14:textId="480C2E6F" w:rsidR="00732C68" w:rsidRDefault="00732C68" w:rsidP="00201A69">
      <w:pPr>
        <w:pStyle w:val="Body"/>
        <w:rPr>
          <w:rFonts w:ascii="Arial" w:hAnsi="Arial" w:cs="Arial"/>
          <w:color w:val="auto"/>
          <w:sz w:val="19"/>
          <w:szCs w:val="19"/>
        </w:rPr>
      </w:pPr>
    </w:p>
    <w:p w14:paraId="3F02822D" w14:textId="1A0F7037" w:rsidR="00201A69" w:rsidRDefault="00D42A58" w:rsidP="00201A69">
      <w:pPr>
        <w:pStyle w:val="Body"/>
        <w:rPr>
          <w:color w:val="auto"/>
        </w:rPr>
      </w:pPr>
      <w:r>
        <w:rPr>
          <w:noProof/>
          <w:color w:val="auto"/>
          <w:lang w:eastAsia="en-AU"/>
        </w:rPr>
        <w:drawing>
          <wp:inline distT="0" distB="0" distL="0" distR="0" wp14:anchorId="47CDA3A5" wp14:editId="01B283F9">
            <wp:extent cx="4441900" cy="3785191"/>
            <wp:effectExtent l="19050" t="19050" r="15875"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2949" cy="3786085"/>
                    </a:xfrm>
                    <a:prstGeom prst="rect">
                      <a:avLst/>
                    </a:prstGeom>
                    <a:noFill/>
                    <a:ln w="3175">
                      <a:solidFill>
                        <a:schemeClr val="tx1"/>
                      </a:solidFill>
                    </a:ln>
                  </pic:spPr>
                </pic:pic>
              </a:graphicData>
            </a:graphic>
          </wp:inline>
        </w:drawing>
      </w:r>
    </w:p>
    <w:p w14:paraId="4A05D08A" w14:textId="45D2266A" w:rsidR="00732C68" w:rsidRDefault="00732C68" w:rsidP="00201A69">
      <w:pPr>
        <w:pStyle w:val="Body"/>
        <w:rPr>
          <w:color w:val="auto"/>
        </w:rPr>
      </w:pPr>
    </w:p>
    <w:p w14:paraId="63C98A79" w14:textId="77777777" w:rsidR="00732C68" w:rsidRPr="0042553D" w:rsidRDefault="00732C68" w:rsidP="00201A69">
      <w:pPr>
        <w:pStyle w:val="Body"/>
        <w:rPr>
          <w:color w:val="auto"/>
        </w:rPr>
      </w:pPr>
    </w:p>
    <w:p w14:paraId="0426F0B5" w14:textId="42C1C02D" w:rsidR="00FE7F8B" w:rsidRDefault="00FE7F8B" w:rsidP="00FE7F8B">
      <w:pPr>
        <w:jc w:val="center"/>
        <w:rPr>
          <w:b/>
          <w:lang w:eastAsia="en-AU"/>
        </w:rPr>
      </w:pPr>
    </w:p>
    <w:p w14:paraId="62FB682E" w14:textId="1FE23E5C" w:rsidR="00FE7F8B" w:rsidRDefault="00FE7F8B" w:rsidP="00FE7F8B">
      <w:pPr>
        <w:spacing w:after="0" w:line="240" w:lineRule="auto"/>
        <w:rPr>
          <w:rFonts w:cs="Arial"/>
          <w:bCs/>
          <w:iCs/>
          <w:sz w:val="28"/>
          <w:szCs w:val="28"/>
          <w:lang w:eastAsia="en-AU"/>
        </w:rPr>
        <w:sectPr w:rsidR="00FE7F8B">
          <w:footnotePr>
            <w:numRestart w:val="eachPage"/>
          </w:footnotePr>
          <w:pgSz w:w="11909" w:h="16834"/>
          <w:pgMar w:top="1814" w:right="1701" w:bottom="1418" w:left="2835" w:header="992" w:footer="454" w:gutter="0"/>
          <w:cols w:space="720"/>
        </w:sectPr>
      </w:pPr>
    </w:p>
    <w:p w14:paraId="61D8A57E" w14:textId="77777777" w:rsidR="00FE7F8B" w:rsidRDefault="00FE7F8B" w:rsidP="00FE7F8B">
      <w:pPr>
        <w:pStyle w:val="Heading2financialstatements"/>
        <w:rPr>
          <w:lang w:eastAsia="en-AU"/>
        </w:rPr>
      </w:pPr>
      <w:bookmarkStart w:id="14" w:name="_Toc400358563"/>
      <w:bookmarkStart w:id="15" w:name="_Toc463620815"/>
      <w:r>
        <w:rPr>
          <w:lang w:eastAsia="en-AU"/>
        </w:rPr>
        <w:t xml:space="preserve">Auditor-General’s independent auditor’s </w:t>
      </w:r>
      <w:bookmarkEnd w:id="14"/>
      <w:r>
        <w:rPr>
          <w:lang w:eastAsia="en-AU"/>
        </w:rPr>
        <w:t>report</w:t>
      </w:r>
      <w:bookmarkEnd w:id="15"/>
    </w:p>
    <w:p w14:paraId="4F51CB7B" w14:textId="77777777" w:rsidR="00FE7F8B" w:rsidRDefault="00FE7F8B" w:rsidP="00FE7F8B">
      <w:pPr>
        <w:jc w:val="center"/>
      </w:pPr>
    </w:p>
    <w:p w14:paraId="0FF81F6E" w14:textId="29BDC0BF" w:rsidR="00FE7F8B" w:rsidRDefault="002127C3" w:rsidP="00FE7F8B">
      <w:r>
        <w:rPr>
          <w:noProof/>
          <w:lang w:eastAsia="en-AU"/>
        </w:rPr>
        <w:drawing>
          <wp:inline distT="0" distB="0" distL="0" distR="0" wp14:anchorId="6F98278A" wp14:editId="275CD01E">
            <wp:extent cx="4681855" cy="6637901"/>
            <wp:effectExtent l="19050" t="19050" r="23495" b="1079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81855" cy="6637901"/>
                    </a:xfrm>
                    <a:prstGeom prst="rect">
                      <a:avLst/>
                    </a:prstGeom>
                    <a:ln>
                      <a:solidFill>
                        <a:schemeClr val="tx1"/>
                      </a:solidFill>
                    </a:ln>
                  </pic:spPr>
                </pic:pic>
              </a:graphicData>
            </a:graphic>
          </wp:inline>
        </w:drawing>
      </w:r>
      <w:r w:rsidR="00FE7F8B">
        <w:br w:type="page"/>
      </w:r>
    </w:p>
    <w:p w14:paraId="3CDA6819" w14:textId="1ED1E421" w:rsidR="00FE7F8B" w:rsidRDefault="002127C3" w:rsidP="00FE7F8B">
      <w:pPr>
        <w:spacing w:after="200" w:line="276" w:lineRule="auto"/>
        <w:rPr>
          <w:lang w:eastAsia="en-AU"/>
        </w:rPr>
      </w:pPr>
      <w:r>
        <w:rPr>
          <w:noProof/>
          <w:lang w:eastAsia="en-AU"/>
        </w:rPr>
        <w:drawing>
          <wp:inline distT="0" distB="0" distL="0" distR="0" wp14:anchorId="75297C29" wp14:editId="349E476A">
            <wp:extent cx="4681855" cy="6210486"/>
            <wp:effectExtent l="19050" t="19050" r="23495" b="190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81855" cy="6210486"/>
                    </a:xfrm>
                    <a:prstGeom prst="rect">
                      <a:avLst/>
                    </a:prstGeom>
                    <a:ln>
                      <a:solidFill>
                        <a:schemeClr val="tx1"/>
                      </a:solidFill>
                    </a:ln>
                  </pic:spPr>
                </pic:pic>
              </a:graphicData>
            </a:graphic>
          </wp:inline>
        </w:drawing>
      </w:r>
      <w:r w:rsidR="00FE7F8B">
        <w:rPr>
          <w:lang w:eastAsia="en-AU"/>
        </w:rPr>
        <w:br w:type="page"/>
      </w:r>
    </w:p>
    <w:p w14:paraId="21D85635" w14:textId="77777777" w:rsidR="00FE7F8B" w:rsidRDefault="00FE7F8B" w:rsidP="00FE7F8B">
      <w:pPr>
        <w:pStyle w:val="Heading2financialstatements"/>
      </w:pPr>
      <w:bookmarkStart w:id="16" w:name="_Toc400358564"/>
      <w:bookmarkStart w:id="17" w:name="_Toc463620816"/>
      <w:r>
        <w:t>Comprehensive operating statement for the financial year ended 30 June 201</w:t>
      </w:r>
      <w:bookmarkEnd w:id="16"/>
      <w:r>
        <w:t>6</w:t>
      </w:r>
      <w:bookmarkEnd w:id="17"/>
    </w:p>
    <w:tbl>
      <w:tblPr>
        <w:tblW w:w="5000" w:type="pct"/>
        <w:tblInd w:w="108" w:type="dxa"/>
        <w:tblLook w:val="04A0" w:firstRow="1" w:lastRow="0" w:firstColumn="1" w:lastColumn="0" w:noHBand="0" w:noVBand="1"/>
      </w:tblPr>
      <w:tblGrid>
        <w:gridCol w:w="4554"/>
        <w:gridCol w:w="759"/>
        <w:gridCol w:w="1138"/>
        <w:gridCol w:w="1138"/>
      </w:tblGrid>
      <w:tr w:rsidR="00FE7F8B" w14:paraId="75267FBC" w14:textId="77777777" w:rsidTr="00FE7F8B">
        <w:trPr>
          <w:trHeight w:val="510"/>
        </w:trPr>
        <w:tc>
          <w:tcPr>
            <w:tcW w:w="3000" w:type="pct"/>
            <w:shd w:val="clear" w:color="auto" w:fill="7F7F7F" w:themeFill="text1" w:themeFillTint="80"/>
            <w:vAlign w:val="bottom"/>
            <w:hideMark/>
          </w:tcPr>
          <w:p w14:paraId="037001E7" w14:textId="77777777" w:rsidR="00FE7F8B" w:rsidRDefault="00FE7F8B"/>
        </w:tc>
        <w:tc>
          <w:tcPr>
            <w:tcW w:w="500" w:type="pct"/>
            <w:shd w:val="clear" w:color="auto" w:fill="7F7F7F" w:themeFill="text1" w:themeFillTint="80"/>
            <w:vAlign w:val="bottom"/>
            <w:hideMark/>
          </w:tcPr>
          <w:p w14:paraId="7B05BBCD" w14:textId="77777777" w:rsidR="00FE7F8B" w:rsidRDefault="00FE7F8B">
            <w:pPr>
              <w:pStyle w:val="Tablecolumnheading"/>
              <w:jc w:val="center"/>
              <w:rPr>
                <w:lang w:eastAsia="en-AU"/>
              </w:rPr>
            </w:pPr>
            <w:r>
              <w:rPr>
                <w:lang w:eastAsia="en-AU"/>
              </w:rPr>
              <w:t>Note</w:t>
            </w:r>
          </w:p>
        </w:tc>
        <w:tc>
          <w:tcPr>
            <w:tcW w:w="750" w:type="pct"/>
            <w:shd w:val="clear" w:color="auto" w:fill="7F7F7F" w:themeFill="text1" w:themeFillTint="80"/>
            <w:vAlign w:val="bottom"/>
            <w:hideMark/>
          </w:tcPr>
          <w:p w14:paraId="2602B337" w14:textId="77777777" w:rsidR="00FE7F8B" w:rsidRDefault="00FE7F8B">
            <w:pPr>
              <w:pStyle w:val="Tablecolumnheading"/>
              <w:jc w:val="center"/>
              <w:rPr>
                <w:lang w:eastAsia="en-AU"/>
              </w:rPr>
            </w:pPr>
            <w:r>
              <w:rPr>
                <w:lang w:eastAsia="en-AU"/>
              </w:rPr>
              <w:t>2016</w:t>
            </w:r>
            <w:r>
              <w:rPr>
                <w:lang w:eastAsia="en-AU"/>
              </w:rPr>
              <w:br/>
              <w:t>$m</w:t>
            </w:r>
          </w:p>
        </w:tc>
        <w:tc>
          <w:tcPr>
            <w:tcW w:w="750" w:type="pct"/>
            <w:shd w:val="clear" w:color="auto" w:fill="7F7F7F" w:themeFill="text1" w:themeFillTint="80"/>
            <w:vAlign w:val="bottom"/>
            <w:hideMark/>
          </w:tcPr>
          <w:p w14:paraId="50A215AD" w14:textId="77777777" w:rsidR="00FE7F8B" w:rsidRDefault="00FE7F8B">
            <w:pPr>
              <w:pStyle w:val="Tablecolumnheading"/>
              <w:jc w:val="center"/>
              <w:rPr>
                <w:lang w:eastAsia="en-AU"/>
              </w:rPr>
            </w:pPr>
            <w:r>
              <w:rPr>
                <w:lang w:eastAsia="en-AU"/>
              </w:rPr>
              <w:t>2015</w:t>
            </w:r>
            <w:r>
              <w:rPr>
                <w:lang w:eastAsia="en-AU"/>
              </w:rPr>
              <w:br/>
              <w:t>$m</w:t>
            </w:r>
          </w:p>
        </w:tc>
      </w:tr>
      <w:tr w:rsidR="00FE7F8B" w14:paraId="7B35682F" w14:textId="77777777" w:rsidTr="00FE7F8B">
        <w:tc>
          <w:tcPr>
            <w:tcW w:w="3000" w:type="pct"/>
            <w:shd w:val="clear" w:color="auto" w:fill="FFFFFF"/>
            <w:vAlign w:val="center"/>
            <w:hideMark/>
          </w:tcPr>
          <w:p w14:paraId="60FF5318" w14:textId="77777777" w:rsidR="00FE7F8B" w:rsidRDefault="00FE7F8B">
            <w:pPr>
              <w:pStyle w:val="Tablerowheading"/>
            </w:pPr>
            <w:r>
              <w:t>Income from transactions</w:t>
            </w:r>
          </w:p>
        </w:tc>
        <w:tc>
          <w:tcPr>
            <w:tcW w:w="500" w:type="pct"/>
            <w:shd w:val="clear" w:color="auto" w:fill="FFFFFF"/>
          </w:tcPr>
          <w:p w14:paraId="3E23AD0A" w14:textId="77777777" w:rsidR="00FE7F8B" w:rsidRDefault="00FE7F8B">
            <w:pPr>
              <w:pStyle w:val="Tablerowheading"/>
              <w:jc w:val="center"/>
            </w:pPr>
          </w:p>
        </w:tc>
        <w:tc>
          <w:tcPr>
            <w:tcW w:w="750" w:type="pct"/>
            <w:shd w:val="clear" w:color="auto" w:fill="F2F2F2" w:themeFill="background1" w:themeFillShade="F2"/>
          </w:tcPr>
          <w:p w14:paraId="79B232FE" w14:textId="77777777" w:rsidR="00FE7F8B" w:rsidRDefault="00FE7F8B">
            <w:pPr>
              <w:pStyle w:val="Tablerowheading"/>
              <w:jc w:val="right"/>
            </w:pPr>
          </w:p>
        </w:tc>
        <w:tc>
          <w:tcPr>
            <w:tcW w:w="750" w:type="pct"/>
            <w:shd w:val="clear" w:color="auto" w:fill="FFFFFF"/>
          </w:tcPr>
          <w:p w14:paraId="445B3CB9" w14:textId="77777777" w:rsidR="00FE7F8B" w:rsidRDefault="00FE7F8B">
            <w:pPr>
              <w:pStyle w:val="Tablerowheading"/>
              <w:jc w:val="right"/>
            </w:pPr>
          </w:p>
        </w:tc>
      </w:tr>
      <w:tr w:rsidR="00FE7F8B" w14:paraId="4675A5B3" w14:textId="77777777" w:rsidTr="00FE7F8B">
        <w:tc>
          <w:tcPr>
            <w:tcW w:w="3000" w:type="pct"/>
            <w:shd w:val="clear" w:color="auto" w:fill="FFFFFF"/>
            <w:vAlign w:val="center"/>
            <w:hideMark/>
          </w:tcPr>
          <w:p w14:paraId="4AEAD141" w14:textId="77777777" w:rsidR="00FE7F8B" w:rsidRDefault="00FE7F8B">
            <w:pPr>
              <w:pStyle w:val="Tabletextnoindenttight"/>
              <w:rPr>
                <w:lang w:eastAsia="en-US"/>
              </w:rPr>
            </w:pPr>
            <w:r>
              <w:rPr>
                <w:lang w:eastAsia="en-US"/>
              </w:rPr>
              <w:t>Output appropriations</w:t>
            </w:r>
          </w:p>
        </w:tc>
        <w:tc>
          <w:tcPr>
            <w:tcW w:w="500" w:type="pct"/>
            <w:shd w:val="clear" w:color="auto" w:fill="FFFFFF"/>
            <w:vAlign w:val="bottom"/>
            <w:hideMark/>
          </w:tcPr>
          <w:p w14:paraId="2D6A7FF5" w14:textId="77777777" w:rsidR="00FE7F8B" w:rsidRDefault="00FE7F8B">
            <w:pPr>
              <w:pStyle w:val="Tabletextnoindenttight"/>
              <w:jc w:val="center"/>
              <w:rPr>
                <w:lang w:eastAsia="en-US"/>
              </w:rPr>
            </w:pPr>
            <w:r>
              <w:rPr>
                <w:lang w:eastAsia="en-US"/>
              </w:rPr>
              <w:t>6(a)</w:t>
            </w:r>
          </w:p>
        </w:tc>
        <w:tc>
          <w:tcPr>
            <w:tcW w:w="750" w:type="pct"/>
            <w:shd w:val="clear" w:color="auto" w:fill="F2F2F2" w:themeFill="background1" w:themeFillShade="F2"/>
            <w:noWrap/>
            <w:vAlign w:val="bottom"/>
            <w:hideMark/>
          </w:tcPr>
          <w:p w14:paraId="69BBAF92" w14:textId="77777777" w:rsidR="00FE7F8B" w:rsidRDefault="00FE7F8B">
            <w:pPr>
              <w:pStyle w:val="Tabletextnoindenttight"/>
              <w:jc w:val="right"/>
              <w:rPr>
                <w:lang w:eastAsia="en-US"/>
              </w:rPr>
            </w:pPr>
            <w:r>
              <w:rPr>
                <w:b/>
                <w:lang w:eastAsia="en-US"/>
              </w:rPr>
              <w:t>11,172.0</w:t>
            </w:r>
          </w:p>
        </w:tc>
        <w:tc>
          <w:tcPr>
            <w:tcW w:w="750" w:type="pct"/>
            <w:shd w:val="clear" w:color="auto" w:fill="FFFFFF"/>
            <w:noWrap/>
            <w:vAlign w:val="bottom"/>
            <w:hideMark/>
          </w:tcPr>
          <w:p w14:paraId="604B5E83" w14:textId="77777777" w:rsidR="00FE7F8B" w:rsidRDefault="00FE7F8B">
            <w:pPr>
              <w:pStyle w:val="Tabletextnoindenttight"/>
              <w:jc w:val="right"/>
              <w:rPr>
                <w:lang w:eastAsia="en-US"/>
              </w:rPr>
            </w:pPr>
            <w:r>
              <w:rPr>
                <w:lang w:eastAsia="en-US"/>
              </w:rPr>
              <w:t>10,683.3</w:t>
            </w:r>
          </w:p>
        </w:tc>
      </w:tr>
      <w:tr w:rsidR="00FE7F8B" w14:paraId="40581582" w14:textId="77777777" w:rsidTr="00FE7F8B">
        <w:tc>
          <w:tcPr>
            <w:tcW w:w="3000" w:type="pct"/>
            <w:shd w:val="clear" w:color="auto" w:fill="FFFFFF"/>
            <w:vAlign w:val="center"/>
            <w:hideMark/>
          </w:tcPr>
          <w:p w14:paraId="2A62A343" w14:textId="77777777" w:rsidR="00FE7F8B" w:rsidRDefault="00FE7F8B">
            <w:pPr>
              <w:pStyle w:val="Tabletextnoindenttight"/>
              <w:rPr>
                <w:lang w:eastAsia="en-US"/>
              </w:rPr>
            </w:pPr>
            <w:r>
              <w:rPr>
                <w:lang w:eastAsia="en-US"/>
              </w:rPr>
              <w:t>Special appropriations</w:t>
            </w:r>
          </w:p>
        </w:tc>
        <w:tc>
          <w:tcPr>
            <w:tcW w:w="500" w:type="pct"/>
            <w:shd w:val="clear" w:color="auto" w:fill="FFFFFF"/>
            <w:vAlign w:val="bottom"/>
            <w:hideMark/>
          </w:tcPr>
          <w:p w14:paraId="251E1603" w14:textId="77777777" w:rsidR="00FE7F8B" w:rsidRDefault="00FE7F8B">
            <w:pPr>
              <w:pStyle w:val="Tabletextnoindenttight"/>
              <w:jc w:val="center"/>
              <w:rPr>
                <w:lang w:eastAsia="en-US"/>
              </w:rPr>
            </w:pPr>
            <w:r>
              <w:rPr>
                <w:lang w:eastAsia="en-US"/>
              </w:rPr>
              <w:t>6(b)</w:t>
            </w:r>
          </w:p>
        </w:tc>
        <w:tc>
          <w:tcPr>
            <w:tcW w:w="750" w:type="pct"/>
            <w:shd w:val="clear" w:color="auto" w:fill="F2F2F2" w:themeFill="background1" w:themeFillShade="F2"/>
            <w:noWrap/>
            <w:vAlign w:val="bottom"/>
            <w:hideMark/>
          </w:tcPr>
          <w:p w14:paraId="0E3F2E4F" w14:textId="77777777" w:rsidR="00FE7F8B" w:rsidRDefault="00FE7F8B">
            <w:pPr>
              <w:pStyle w:val="Tabletextnoindenttight"/>
              <w:jc w:val="right"/>
              <w:rPr>
                <w:lang w:eastAsia="en-US"/>
              </w:rPr>
            </w:pPr>
            <w:r>
              <w:rPr>
                <w:b/>
                <w:lang w:eastAsia="en-US"/>
              </w:rPr>
              <w:t>22.0</w:t>
            </w:r>
          </w:p>
        </w:tc>
        <w:tc>
          <w:tcPr>
            <w:tcW w:w="750" w:type="pct"/>
            <w:shd w:val="clear" w:color="auto" w:fill="FFFFFF"/>
            <w:noWrap/>
            <w:vAlign w:val="bottom"/>
            <w:hideMark/>
          </w:tcPr>
          <w:p w14:paraId="28E04F89" w14:textId="77777777" w:rsidR="00FE7F8B" w:rsidRDefault="00FE7F8B">
            <w:pPr>
              <w:pStyle w:val="Tabletextnoindenttight"/>
              <w:jc w:val="right"/>
              <w:rPr>
                <w:lang w:eastAsia="en-US"/>
              </w:rPr>
            </w:pPr>
            <w:r>
              <w:rPr>
                <w:lang w:eastAsia="en-US"/>
              </w:rPr>
              <w:t>0.2</w:t>
            </w:r>
          </w:p>
        </w:tc>
      </w:tr>
      <w:tr w:rsidR="00FE7F8B" w14:paraId="20DCBC4E" w14:textId="77777777" w:rsidTr="00FE7F8B">
        <w:tc>
          <w:tcPr>
            <w:tcW w:w="3000" w:type="pct"/>
            <w:shd w:val="clear" w:color="auto" w:fill="FFFFFF"/>
            <w:noWrap/>
            <w:vAlign w:val="bottom"/>
            <w:hideMark/>
          </w:tcPr>
          <w:p w14:paraId="0E3DF4CC" w14:textId="77777777" w:rsidR="00FE7F8B" w:rsidRDefault="00FE7F8B">
            <w:pPr>
              <w:pStyle w:val="Tabletextnoindenttight"/>
              <w:rPr>
                <w:lang w:eastAsia="en-US"/>
              </w:rPr>
            </w:pPr>
            <w:r>
              <w:rPr>
                <w:lang w:eastAsia="en-US"/>
              </w:rPr>
              <w:t xml:space="preserve">Interest </w:t>
            </w:r>
          </w:p>
        </w:tc>
        <w:tc>
          <w:tcPr>
            <w:tcW w:w="500" w:type="pct"/>
            <w:shd w:val="clear" w:color="auto" w:fill="FFFFFF"/>
            <w:vAlign w:val="bottom"/>
            <w:hideMark/>
          </w:tcPr>
          <w:p w14:paraId="79E4DE0B" w14:textId="77777777" w:rsidR="00FE7F8B" w:rsidRDefault="00FE7F8B"/>
        </w:tc>
        <w:tc>
          <w:tcPr>
            <w:tcW w:w="750" w:type="pct"/>
            <w:shd w:val="clear" w:color="auto" w:fill="F2F2F2" w:themeFill="background1" w:themeFillShade="F2"/>
            <w:vAlign w:val="bottom"/>
            <w:hideMark/>
          </w:tcPr>
          <w:p w14:paraId="5C274514" w14:textId="77777777" w:rsidR="00FE7F8B" w:rsidRDefault="00FE7F8B">
            <w:pPr>
              <w:pStyle w:val="Tabletextnoindenttight"/>
              <w:jc w:val="right"/>
              <w:rPr>
                <w:lang w:eastAsia="en-US"/>
              </w:rPr>
            </w:pPr>
            <w:r>
              <w:rPr>
                <w:b/>
                <w:lang w:eastAsia="en-US"/>
              </w:rPr>
              <w:t>17.2</w:t>
            </w:r>
          </w:p>
        </w:tc>
        <w:tc>
          <w:tcPr>
            <w:tcW w:w="750" w:type="pct"/>
            <w:shd w:val="clear" w:color="auto" w:fill="FFFFFF"/>
            <w:vAlign w:val="bottom"/>
            <w:hideMark/>
          </w:tcPr>
          <w:p w14:paraId="6991FE7C" w14:textId="77777777" w:rsidR="00FE7F8B" w:rsidRDefault="00FE7F8B">
            <w:pPr>
              <w:pStyle w:val="Tabletextnoindenttight"/>
              <w:jc w:val="right"/>
              <w:rPr>
                <w:lang w:eastAsia="en-US"/>
              </w:rPr>
            </w:pPr>
            <w:r>
              <w:rPr>
                <w:lang w:eastAsia="en-US"/>
              </w:rPr>
              <w:t>19.9</w:t>
            </w:r>
          </w:p>
        </w:tc>
      </w:tr>
      <w:tr w:rsidR="00FE7F8B" w14:paraId="735BFEE4" w14:textId="77777777" w:rsidTr="00FE7F8B">
        <w:tc>
          <w:tcPr>
            <w:tcW w:w="3000" w:type="pct"/>
            <w:shd w:val="clear" w:color="auto" w:fill="FFFFFF"/>
            <w:noWrap/>
            <w:vAlign w:val="bottom"/>
            <w:hideMark/>
          </w:tcPr>
          <w:p w14:paraId="4F30CD55" w14:textId="77777777" w:rsidR="00FE7F8B" w:rsidRDefault="00FE7F8B">
            <w:pPr>
              <w:pStyle w:val="Tabletextnoindenttight"/>
              <w:rPr>
                <w:lang w:eastAsia="en-US"/>
              </w:rPr>
            </w:pPr>
            <w:r>
              <w:rPr>
                <w:lang w:eastAsia="en-US"/>
              </w:rPr>
              <w:t>Grants</w:t>
            </w:r>
          </w:p>
        </w:tc>
        <w:tc>
          <w:tcPr>
            <w:tcW w:w="500" w:type="pct"/>
            <w:shd w:val="clear" w:color="auto" w:fill="FFFFFF"/>
            <w:vAlign w:val="bottom"/>
            <w:hideMark/>
          </w:tcPr>
          <w:p w14:paraId="1E421D48" w14:textId="77777777" w:rsidR="00FE7F8B" w:rsidRDefault="00FE7F8B">
            <w:pPr>
              <w:pStyle w:val="Tabletextnoindenttight"/>
              <w:jc w:val="center"/>
              <w:rPr>
                <w:lang w:eastAsia="en-US"/>
              </w:rPr>
            </w:pPr>
            <w:r>
              <w:rPr>
                <w:lang w:eastAsia="en-US"/>
              </w:rPr>
              <w:t>4(a)</w:t>
            </w:r>
          </w:p>
        </w:tc>
        <w:tc>
          <w:tcPr>
            <w:tcW w:w="750" w:type="pct"/>
            <w:shd w:val="clear" w:color="auto" w:fill="F2F2F2" w:themeFill="background1" w:themeFillShade="F2"/>
            <w:vAlign w:val="bottom"/>
            <w:hideMark/>
          </w:tcPr>
          <w:p w14:paraId="696A201B" w14:textId="77777777" w:rsidR="00FE7F8B" w:rsidRDefault="00FE7F8B">
            <w:pPr>
              <w:pStyle w:val="Tabletextnoindenttight"/>
              <w:jc w:val="right"/>
              <w:rPr>
                <w:lang w:eastAsia="en-US"/>
              </w:rPr>
            </w:pPr>
            <w:r>
              <w:rPr>
                <w:b/>
                <w:lang w:eastAsia="en-US"/>
              </w:rPr>
              <w:t>23.4</w:t>
            </w:r>
          </w:p>
        </w:tc>
        <w:tc>
          <w:tcPr>
            <w:tcW w:w="750" w:type="pct"/>
            <w:shd w:val="clear" w:color="auto" w:fill="FFFFFF"/>
            <w:vAlign w:val="bottom"/>
            <w:hideMark/>
          </w:tcPr>
          <w:p w14:paraId="275E9A8E" w14:textId="77777777" w:rsidR="00FE7F8B" w:rsidRDefault="00FE7F8B">
            <w:pPr>
              <w:pStyle w:val="Tabletextnoindenttight"/>
              <w:jc w:val="right"/>
              <w:rPr>
                <w:lang w:eastAsia="en-US"/>
              </w:rPr>
            </w:pPr>
            <w:r>
              <w:rPr>
                <w:lang w:eastAsia="en-US"/>
              </w:rPr>
              <w:t>19.7</w:t>
            </w:r>
          </w:p>
        </w:tc>
      </w:tr>
      <w:tr w:rsidR="00FE7F8B" w14:paraId="2B86204B" w14:textId="77777777" w:rsidTr="00FE7F8B">
        <w:tc>
          <w:tcPr>
            <w:tcW w:w="3000" w:type="pct"/>
            <w:shd w:val="clear" w:color="auto" w:fill="FFFFFF"/>
            <w:noWrap/>
            <w:vAlign w:val="bottom"/>
            <w:hideMark/>
          </w:tcPr>
          <w:p w14:paraId="2B4E71B5" w14:textId="77777777" w:rsidR="00FE7F8B" w:rsidRDefault="00FE7F8B">
            <w:pPr>
              <w:pStyle w:val="Tabletextnoindenttight"/>
              <w:rPr>
                <w:lang w:eastAsia="en-US"/>
              </w:rPr>
            </w:pPr>
            <w:r>
              <w:rPr>
                <w:lang w:eastAsia="en-US"/>
              </w:rPr>
              <w:t>Sales of goods and services</w:t>
            </w:r>
          </w:p>
        </w:tc>
        <w:tc>
          <w:tcPr>
            <w:tcW w:w="500" w:type="pct"/>
            <w:shd w:val="clear" w:color="auto" w:fill="FFFFFF"/>
            <w:vAlign w:val="bottom"/>
            <w:hideMark/>
          </w:tcPr>
          <w:p w14:paraId="7B6CF069" w14:textId="77777777" w:rsidR="00FE7F8B" w:rsidRDefault="00FE7F8B">
            <w:pPr>
              <w:pStyle w:val="Tabletextnoindenttight"/>
              <w:jc w:val="center"/>
              <w:rPr>
                <w:lang w:eastAsia="en-US"/>
              </w:rPr>
            </w:pPr>
            <w:r>
              <w:rPr>
                <w:lang w:eastAsia="en-US"/>
              </w:rPr>
              <w:t>4(b)</w:t>
            </w:r>
          </w:p>
        </w:tc>
        <w:tc>
          <w:tcPr>
            <w:tcW w:w="750" w:type="pct"/>
            <w:shd w:val="clear" w:color="auto" w:fill="F2F2F2" w:themeFill="background1" w:themeFillShade="F2"/>
            <w:vAlign w:val="bottom"/>
            <w:hideMark/>
          </w:tcPr>
          <w:p w14:paraId="1D4FED2C" w14:textId="77777777" w:rsidR="00FE7F8B" w:rsidRDefault="00FE7F8B">
            <w:pPr>
              <w:pStyle w:val="Tabletextnoindenttight"/>
              <w:jc w:val="right"/>
              <w:rPr>
                <w:lang w:eastAsia="en-US"/>
              </w:rPr>
            </w:pPr>
            <w:r>
              <w:rPr>
                <w:b/>
                <w:lang w:eastAsia="en-US"/>
              </w:rPr>
              <w:t>209.6</w:t>
            </w:r>
          </w:p>
        </w:tc>
        <w:tc>
          <w:tcPr>
            <w:tcW w:w="750" w:type="pct"/>
            <w:shd w:val="clear" w:color="auto" w:fill="FFFFFF"/>
            <w:vAlign w:val="bottom"/>
            <w:hideMark/>
          </w:tcPr>
          <w:p w14:paraId="1E4A82BC" w14:textId="77777777" w:rsidR="00FE7F8B" w:rsidRDefault="00FE7F8B">
            <w:pPr>
              <w:pStyle w:val="Tabletextnoindenttight"/>
              <w:jc w:val="right"/>
              <w:rPr>
                <w:lang w:eastAsia="en-US"/>
              </w:rPr>
            </w:pPr>
            <w:r>
              <w:rPr>
                <w:lang w:eastAsia="en-US"/>
              </w:rPr>
              <w:t>214.4</w:t>
            </w:r>
          </w:p>
        </w:tc>
      </w:tr>
      <w:tr w:rsidR="00FE7F8B" w14:paraId="08C3F62C" w14:textId="77777777" w:rsidTr="00FE7F8B">
        <w:tc>
          <w:tcPr>
            <w:tcW w:w="3000" w:type="pct"/>
            <w:tcBorders>
              <w:top w:val="nil"/>
              <w:left w:val="nil"/>
              <w:bottom w:val="single" w:sz="4" w:space="0" w:color="auto"/>
              <w:right w:val="nil"/>
            </w:tcBorders>
            <w:shd w:val="clear" w:color="auto" w:fill="FFFFFF"/>
            <w:noWrap/>
            <w:vAlign w:val="bottom"/>
            <w:hideMark/>
          </w:tcPr>
          <w:p w14:paraId="5391A759" w14:textId="77777777" w:rsidR="00FE7F8B" w:rsidRDefault="00FE7F8B">
            <w:pPr>
              <w:pStyle w:val="Tabletextnoindenttight"/>
              <w:rPr>
                <w:lang w:eastAsia="en-US"/>
              </w:rPr>
            </w:pPr>
            <w:r>
              <w:rPr>
                <w:lang w:eastAsia="en-US"/>
              </w:rPr>
              <w:t xml:space="preserve">Other </w:t>
            </w:r>
          </w:p>
        </w:tc>
        <w:tc>
          <w:tcPr>
            <w:tcW w:w="500" w:type="pct"/>
            <w:tcBorders>
              <w:top w:val="nil"/>
              <w:left w:val="nil"/>
              <w:bottom w:val="single" w:sz="4" w:space="0" w:color="auto"/>
              <w:right w:val="nil"/>
            </w:tcBorders>
            <w:shd w:val="clear" w:color="auto" w:fill="FFFFFF"/>
            <w:vAlign w:val="bottom"/>
            <w:hideMark/>
          </w:tcPr>
          <w:p w14:paraId="15CDF3D3" w14:textId="77777777" w:rsidR="00FE7F8B" w:rsidRDefault="00FE7F8B">
            <w:pPr>
              <w:pStyle w:val="Tabletextnoindenttight"/>
              <w:jc w:val="center"/>
              <w:rPr>
                <w:lang w:eastAsia="en-US"/>
              </w:rPr>
            </w:pPr>
            <w:r>
              <w:rPr>
                <w:lang w:eastAsia="en-US"/>
              </w:rPr>
              <w:t>4(c)</w:t>
            </w:r>
          </w:p>
        </w:tc>
        <w:tc>
          <w:tcPr>
            <w:tcW w:w="750" w:type="pct"/>
            <w:tcBorders>
              <w:top w:val="nil"/>
              <w:left w:val="nil"/>
              <w:bottom w:val="single" w:sz="4" w:space="0" w:color="auto"/>
              <w:right w:val="nil"/>
            </w:tcBorders>
            <w:shd w:val="clear" w:color="auto" w:fill="F2F2F2" w:themeFill="background1" w:themeFillShade="F2"/>
            <w:vAlign w:val="bottom"/>
            <w:hideMark/>
          </w:tcPr>
          <w:p w14:paraId="190FAE1C" w14:textId="77777777" w:rsidR="00FE7F8B" w:rsidRDefault="00FE7F8B">
            <w:pPr>
              <w:pStyle w:val="Tabletextnoindenttight"/>
              <w:jc w:val="right"/>
              <w:rPr>
                <w:lang w:eastAsia="en-US"/>
              </w:rPr>
            </w:pPr>
            <w:r>
              <w:rPr>
                <w:b/>
                <w:lang w:eastAsia="en-US"/>
              </w:rPr>
              <w:t>526.7</w:t>
            </w:r>
          </w:p>
        </w:tc>
        <w:tc>
          <w:tcPr>
            <w:tcW w:w="750" w:type="pct"/>
            <w:tcBorders>
              <w:top w:val="nil"/>
              <w:left w:val="nil"/>
              <w:bottom w:val="single" w:sz="4" w:space="0" w:color="auto"/>
              <w:right w:val="nil"/>
            </w:tcBorders>
            <w:vAlign w:val="bottom"/>
            <w:hideMark/>
          </w:tcPr>
          <w:p w14:paraId="09973474" w14:textId="77777777" w:rsidR="00FE7F8B" w:rsidRDefault="00FE7F8B">
            <w:pPr>
              <w:pStyle w:val="Tabletextnoindenttight"/>
              <w:jc w:val="right"/>
              <w:rPr>
                <w:lang w:eastAsia="en-US"/>
              </w:rPr>
            </w:pPr>
            <w:r>
              <w:rPr>
                <w:lang w:eastAsia="en-US"/>
              </w:rPr>
              <w:t>523.3</w:t>
            </w:r>
          </w:p>
        </w:tc>
      </w:tr>
      <w:tr w:rsidR="00FE7F8B" w14:paraId="2B1E0E95" w14:textId="77777777" w:rsidTr="00FE7F8B">
        <w:tc>
          <w:tcPr>
            <w:tcW w:w="3000" w:type="pct"/>
            <w:tcBorders>
              <w:top w:val="single" w:sz="4" w:space="0" w:color="auto"/>
              <w:left w:val="nil"/>
              <w:bottom w:val="single" w:sz="4" w:space="0" w:color="auto"/>
              <w:right w:val="nil"/>
            </w:tcBorders>
            <w:shd w:val="clear" w:color="auto" w:fill="FFFFFF"/>
            <w:vAlign w:val="center"/>
            <w:hideMark/>
          </w:tcPr>
          <w:p w14:paraId="60C7BA05" w14:textId="77777777" w:rsidR="00FE7F8B" w:rsidRDefault="00FE7F8B">
            <w:pPr>
              <w:pStyle w:val="Tabletotal"/>
            </w:pPr>
            <w:r>
              <w:t>Total income from transactions</w:t>
            </w:r>
          </w:p>
        </w:tc>
        <w:tc>
          <w:tcPr>
            <w:tcW w:w="500" w:type="pct"/>
            <w:tcBorders>
              <w:top w:val="single" w:sz="4" w:space="0" w:color="auto"/>
              <w:left w:val="nil"/>
              <w:bottom w:val="single" w:sz="4" w:space="0" w:color="auto"/>
              <w:right w:val="nil"/>
            </w:tcBorders>
            <w:shd w:val="clear" w:color="auto" w:fill="FFFFFF"/>
            <w:vAlign w:val="center"/>
          </w:tcPr>
          <w:p w14:paraId="693828F5" w14:textId="77777777" w:rsidR="00FE7F8B" w:rsidRDefault="00FE7F8B">
            <w:pPr>
              <w:pStyle w:val="Tabletotal"/>
              <w:jc w:val="center"/>
            </w:pPr>
          </w:p>
        </w:tc>
        <w:tc>
          <w:tcPr>
            <w:tcW w:w="750" w:type="pct"/>
            <w:tcBorders>
              <w:top w:val="single" w:sz="4" w:space="0" w:color="auto"/>
              <w:left w:val="nil"/>
              <w:bottom w:val="single" w:sz="4" w:space="0" w:color="auto"/>
              <w:right w:val="nil"/>
            </w:tcBorders>
            <w:shd w:val="clear" w:color="auto" w:fill="F2F2F2" w:themeFill="background1" w:themeFillShade="F2"/>
            <w:vAlign w:val="center"/>
            <w:hideMark/>
          </w:tcPr>
          <w:p w14:paraId="2A88225C" w14:textId="77777777" w:rsidR="00FE7F8B" w:rsidRDefault="00FE7F8B">
            <w:pPr>
              <w:pStyle w:val="Tabletotal"/>
              <w:jc w:val="right"/>
            </w:pPr>
            <w:r>
              <w:t>11,970.9</w:t>
            </w:r>
          </w:p>
        </w:tc>
        <w:tc>
          <w:tcPr>
            <w:tcW w:w="750" w:type="pct"/>
            <w:tcBorders>
              <w:top w:val="single" w:sz="4" w:space="0" w:color="auto"/>
              <w:left w:val="nil"/>
              <w:bottom w:val="single" w:sz="4" w:space="0" w:color="auto"/>
              <w:right w:val="nil"/>
            </w:tcBorders>
            <w:vAlign w:val="center"/>
            <w:hideMark/>
          </w:tcPr>
          <w:p w14:paraId="439AF7B7" w14:textId="77777777" w:rsidR="00FE7F8B" w:rsidRDefault="00FE7F8B">
            <w:pPr>
              <w:pStyle w:val="Tabletotal"/>
              <w:jc w:val="right"/>
              <w:rPr>
                <w:b w:val="0"/>
              </w:rPr>
            </w:pPr>
            <w:r>
              <w:rPr>
                <w:b w:val="0"/>
              </w:rPr>
              <w:t>11,460.7</w:t>
            </w:r>
          </w:p>
        </w:tc>
      </w:tr>
      <w:tr w:rsidR="00FE7F8B" w14:paraId="178BA85D" w14:textId="77777777" w:rsidTr="00FE7F8B">
        <w:tc>
          <w:tcPr>
            <w:tcW w:w="3000" w:type="pct"/>
            <w:tcBorders>
              <w:top w:val="single" w:sz="4" w:space="0" w:color="auto"/>
              <w:left w:val="nil"/>
              <w:bottom w:val="nil"/>
              <w:right w:val="nil"/>
            </w:tcBorders>
            <w:shd w:val="clear" w:color="auto" w:fill="FFFFFF"/>
            <w:vAlign w:val="center"/>
            <w:hideMark/>
          </w:tcPr>
          <w:p w14:paraId="3B224192" w14:textId="77777777" w:rsidR="00FE7F8B" w:rsidRDefault="00FE7F8B">
            <w:pPr>
              <w:pStyle w:val="Tablerowheading"/>
            </w:pPr>
            <w:r>
              <w:t>Expenses from transactions</w:t>
            </w:r>
          </w:p>
        </w:tc>
        <w:tc>
          <w:tcPr>
            <w:tcW w:w="500" w:type="pct"/>
            <w:tcBorders>
              <w:top w:val="single" w:sz="4" w:space="0" w:color="auto"/>
              <w:left w:val="nil"/>
              <w:bottom w:val="nil"/>
              <w:right w:val="nil"/>
            </w:tcBorders>
            <w:shd w:val="clear" w:color="auto" w:fill="FFFFFF"/>
            <w:vAlign w:val="center"/>
          </w:tcPr>
          <w:p w14:paraId="2C3A56E8" w14:textId="77777777" w:rsidR="00FE7F8B" w:rsidRDefault="00FE7F8B">
            <w:pPr>
              <w:pStyle w:val="Tablerowheading"/>
            </w:pPr>
          </w:p>
        </w:tc>
        <w:tc>
          <w:tcPr>
            <w:tcW w:w="750" w:type="pct"/>
            <w:tcBorders>
              <w:top w:val="single" w:sz="4" w:space="0" w:color="auto"/>
              <w:left w:val="nil"/>
              <w:bottom w:val="nil"/>
              <w:right w:val="nil"/>
            </w:tcBorders>
            <w:shd w:val="clear" w:color="auto" w:fill="F2F2F2" w:themeFill="background1" w:themeFillShade="F2"/>
            <w:vAlign w:val="center"/>
            <w:hideMark/>
          </w:tcPr>
          <w:p w14:paraId="5524C617" w14:textId="77777777" w:rsidR="00FE7F8B" w:rsidRDefault="00FE7F8B"/>
        </w:tc>
        <w:tc>
          <w:tcPr>
            <w:tcW w:w="750" w:type="pct"/>
            <w:tcBorders>
              <w:top w:val="single" w:sz="4" w:space="0" w:color="auto"/>
              <w:left w:val="nil"/>
              <w:bottom w:val="nil"/>
              <w:right w:val="nil"/>
            </w:tcBorders>
            <w:vAlign w:val="center"/>
            <w:hideMark/>
          </w:tcPr>
          <w:p w14:paraId="7ED048F4"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0F040CEE" w14:textId="77777777" w:rsidTr="00FE7F8B">
        <w:tc>
          <w:tcPr>
            <w:tcW w:w="3000" w:type="pct"/>
            <w:shd w:val="clear" w:color="auto" w:fill="FFFFFF"/>
            <w:vAlign w:val="center"/>
            <w:hideMark/>
          </w:tcPr>
          <w:p w14:paraId="63C6A4AA" w14:textId="77777777" w:rsidR="00FE7F8B" w:rsidRDefault="00FE7F8B">
            <w:pPr>
              <w:pStyle w:val="Tabletextnoindenttight"/>
              <w:rPr>
                <w:lang w:eastAsia="en-US"/>
              </w:rPr>
            </w:pPr>
            <w:r>
              <w:rPr>
                <w:lang w:eastAsia="en-US"/>
              </w:rPr>
              <w:t>Employee expenses</w:t>
            </w:r>
          </w:p>
        </w:tc>
        <w:tc>
          <w:tcPr>
            <w:tcW w:w="500" w:type="pct"/>
            <w:shd w:val="clear" w:color="auto" w:fill="FFFFFF"/>
            <w:vAlign w:val="bottom"/>
            <w:hideMark/>
          </w:tcPr>
          <w:p w14:paraId="56A80664" w14:textId="77777777" w:rsidR="00FE7F8B" w:rsidRDefault="00FE7F8B">
            <w:pPr>
              <w:pStyle w:val="Tabletextnoindenttight"/>
              <w:jc w:val="center"/>
              <w:rPr>
                <w:lang w:eastAsia="en-US"/>
              </w:rPr>
            </w:pPr>
            <w:r>
              <w:rPr>
                <w:lang w:eastAsia="en-US"/>
              </w:rPr>
              <w:t>4(d)</w:t>
            </w:r>
          </w:p>
        </w:tc>
        <w:tc>
          <w:tcPr>
            <w:tcW w:w="750" w:type="pct"/>
            <w:shd w:val="clear" w:color="auto" w:fill="F2F2F2" w:themeFill="background1" w:themeFillShade="F2"/>
            <w:vAlign w:val="bottom"/>
            <w:hideMark/>
          </w:tcPr>
          <w:p w14:paraId="070A151B" w14:textId="77777777" w:rsidR="00FE7F8B" w:rsidRDefault="00FE7F8B">
            <w:pPr>
              <w:pStyle w:val="Tabletextnoindenttight"/>
              <w:jc w:val="right"/>
              <w:rPr>
                <w:lang w:eastAsia="en-US"/>
              </w:rPr>
            </w:pPr>
            <w:r>
              <w:rPr>
                <w:b/>
                <w:bCs/>
                <w:sz w:val="18"/>
                <w:lang w:val="en-US" w:eastAsia="en-US"/>
              </w:rPr>
              <w:t>(5,817.9)</w:t>
            </w:r>
          </w:p>
        </w:tc>
        <w:tc>
          <w:tcPr>
            <w:tcW w:w="750" w:type="pct"/>
            <w:vAlign w:val="bottom"/>
            <w:hideMark/>
          </w:tcPr>
          <w:p w14:paraId="28D85A11" w14:textId="77777777" w:rsidR="00FE7F8B" w:rsidRDefault="00FE7F8B">
            <w:pPr>
              <w:pStyle w:val="Tabletextnoindenttight"/>
              <w:jc w:val="right"/>
              <w:rPr>
                <w:lang w:eastAsia="en-US"/>
              </w:rPr>
            </w:pPr>
            <w:r>
              <w:rPr>
                <w:lang w:eastAsia="en-US"/>
              </w:rPr>
              <w:t>(5,477.5)</w:t>
            </w:r>
          </w:p>
        </w:tc>
      </w:tr>
      <w:tr w:rsidR="00FE7F8B" w14:paraId="4162728E" w14:textId="77777777" w:rsidTr="00FE7F8B">
        <w:tc>
          <w:tcPr>
            <w:tcW w:w="3000" w:type="pct"/>
            <w:shd w:val="clear" w:color="auto" w:fill="FFFFFF"/>
            <w:vAlign w:val="center"/>
            <w:hideMark/>
          </w:tcPr>
          <w:p w14:paraId="2970B644" w14:textId="77777777" w:rsidR="00FE7F8B" w:rsidRDefault="00FE7F8B">
            <w:pPr>
              <w:pStyle w:val="Tabletextnoindenttight"/>
              <w:rPr>
                <w:lang w:eastAsia="en-US"/>
              </w:rPr>
            </w:pPr>
            <w:r>
              <w:rPr>
                <w:lang w:eastAsia="en-US"/>
              </w:rPr>
              <w:t>Depreciation and amortisation</w:t>
            </w:r>
          </w:p>
        </w:tc>
        <w:tc>
          <w:tcPr>
            <w:tcW w:w="500" w:type="pct"/>
            <w:shd w:val="clear" w:color="auto" w:fill="FFFFFF"/>
            <w:vAlign w:val="bottom"/>
            <w:hideMark/>
          </w:tcPr>
          <w:p w14:paraId="640D2432" w14:textId="77777777" w:rsidR="00FE7F8B" w:rsidRDefault="00FE7F8B">
            <w:pPr>
              <w:pStyle w:val="Tabletextnoindenttight"/>
              <w:jc w:val="center"/>
              <w:rPr>
                <w:lang w:eastAsia="en-US"/>
              </w:rPr>
            </w:pPr>
            <w:r>
              <w:rPr>
                <w:lang w:eastAsia="en-US"/>
              </w:rPr>
              <w:t>4(e)</w:t>
            </w:r>
          </w:p>
        </w:tc>
        <w:tc>
          <w:tcPr>
            <w:tcW w:w="750" w:type="pct"/>
            <w:shd w:val="clear" w:color="auto" w:fill="F2F2F2" w:themeFill="background1" w:themeFillShade="F2"/>
            <w:vAlign w:val="bottom"/>
            <w:hideMark/>
          </w:tcPr>
          <w:p w14:paraId="673275AB" w14:textId="77777777" w:rsidR="00FE7F8B" w:rsidRDefault="00FE7F8B">
            <w:pPr>
              <w:pStyle w:val="Tabletextnoindenttight"/>
              <w:jc w:val="right"/>
              <w:rPr>
                <w:lang w:eastAsia="en-US"/>
              </w:rPr>
            </w:pPr>
            <w:r>
              <w:rPr>
                <w:b/>
                <w:bCs/>
                <w:sz w:val="18"/>
                <w:lang w:val="en-US" w:eastAsia="en-US"/>
              </w:rPr>
              <w:t>(310.5)</w:t>
            </w:r>
          </w:p>
        </w:tc>
        <w:tc>
          <w:tcPr>
            <w:tcW w:w="750" w:type="pct"/>
            <w:vAlign w:val="bottom"/>
            <w:hideMark/>
          </w:tcPr>
          <w:p w14:paraId="15D9035B" w14:textId="77777777" w:rsidR="00FE7F8B" w:rsidRDefault="00FE7F8B">
            <w:pPr>
              <w:pStyle w:val="Tabletextnoindenttight"/>
              <w:jc w:val="right"/>
              <w:rPr>
                <w:lang w:eastAsia="en-US"/>
              </w:rPr>
            </w:pPr>
            <w:r>
              <w:rPr>
                <w:lang w:eastAsia="en-US"/>
              </w:rPr>
              <w:t>(316.7)</w:t>
            </w:r>
          </w:p>
        </w:tc>
      </w:tr>
      <w:tr w:rsidR="00FE7F8B" w14:paraId="5CCD7B91" w14:textId="77777777" w:rsidTr="00FE7F8B">
        <w:tc>
          <w:tcPr>
            <w:tcW w:w="3000" w:type="pct"/>
            <w:shd w:val="clear" w:color="auto" w:fill="FFFFFF"/>
            <w:vAlign w:val="center"/>
            <w:hideMark/>
          </w:tcPr>
          <w:p w14:paraId="78D189C6" w14:textId="77777777" w:rsidR="00FE7F8B" w:rsidRDefault="00FE7F8B">
            <w:pPr>
              <w:pStyle w:val="Tabletextnoindenttight"/>
              <w:rPr>
                <w:lang w:eastAsia="en-US"/>
              </w:rPr>
            </w:pPr>
            <w:r>
              <w:rPr>
                <w:lang w:eastAsia="en-US"/>
              </w:rPr>
              <w:t>Interest expenses</w:t>
            </w:r>
          </w:p>
        </w:tc>
        <w:tc>
          <w:tcPr>
            <w:tcW w:w="500" w:type="pct"/>
            <w:shd w:val="clear" w:color="auto" w:fill="FFFFFF"/>
            <w:vAlign w:val="bottom"/>
            <w:hideMark/>
          </w:tcPr>
          <w:p w14:paraId="199F691E" w14:textId="77777777" w:rsidR="00FE7F8B" w:rsidRDefault="00FE7F8B"/>
        </w:tc>
        <w:tc>
          <w:tcPr>
            <w:tcW w:w="750" w:type="pct"/>
            <w:shd w:val="clear" w:color="auto" w:fill="F2F2F2" w:themeFill="background1" w:themeFillShade="F2"/>
            <w:vAlign w:val="bottom"/>
            <w:hideMark/>
          </w:tcPr>
          <w:p w14:paraId="139064DD" w14:textId="77777777" w:rsidR="00FE7F8B" w:rsidRDefault="00FE7F8B">
            <w:pPr>
              <w:pStyle w:val="Tabletextnoindenttight"/>
              <w:jc w:val="right"/>
              <w:rPr>
                <w:lang w:eastAsia="en-US"/>
              </w:rPr>
            </w:pPr>
            <w:r>
              <w:rPr>
                <w:b/>
                <w:bCs/>
                <w:sz w:val="18"/>
                <w:lang w:val="en-US" w:eastAsia="en-US"/>
              </w:rPr>
              <w:t>(14.3)</w:t>
            </w:r>
          </w:p>
        </w:tc>
        <w:tc>
          <w:tcPr>
            <w:tcW w:w="750" w:type="pct"/>
            <w:vAlign w:val="bottom"/>
            <w:hideMark/>
          </w:tcPr>
          <w:p w14:paraId="257A3845" w14:textId="77777777" w:rsidR="00FE7F8B" w:rsidRDefault="00FE7F8B">
            <w:pPr>
              <w:pStyle w:val="Tabletextnoindenttight"/>
              <w:jc w:val="right"/>
              <w:rPr>
                <w:lang w:eastAsia="en-US"/>
              </w:rPr>
            </w:pPr>
            <w:r>
              <w:rPr>
                <w:lang w:eastAsia="en-US"/>
              </w:rPr>
              <w:t>(14.2)</w:t>
            </w:r>
          </w:p>
        </w:tc>
      </w:tr>
      <w:tr w:rsidR="00FE7F8B" w14:paraId="56C94E2E" w14:textId="77777777" w:rsidTr="00FE7F8B">
        <w:tc>
          <w:tcPr>
            <w:tcW w:w="3000" w:type="pct"/>
            <w:shd w:val="clear" w:color="auto" w:fill="FFFFFF"/>
            <w:vAlign w:val="center"/>
            <w:hideMark/>
          </w:tcPr>
          <w:p w14:paraId="520A54F9" w14:textId="77777777" w:rsidR="00FE7F8B" w:rsidRDefault="00FE7F8B">
            <w:pPr>
              <w:pStyle w:val="Tabletextnoindenttight"/>
              <w:rPr>
                <w:lang w:eastAsia="en-US"/>
              </w:rPr>
            </w:pPr>
            <w:r>
              <w:rPr>
                <w:lang w:eastAsia="en-US"/>
              </w:rPr>
              <w:t>Grants and other expense transfers</w:t>
            </w:r>
          </w:p>
        </w:tc>
        <w:tc>
          <w:tcPr>
            <w:tcW w:w="500" w:type="pct"/>
            <w:shd w:val="clear" w:color="auto" w:fill="FFFFFF"/>
            <w:vAlign w:val="bottom"/>
            <w:hideMark/>
          </w:tcPr>
          <w:p w14:paraId="716AB27D" w14:textId="77777777" w:rsidR="00FE7F8B" w:rsidRDefault="00FE7F8B">
            <w:pPr>
              <w:pStyle w:val="Tabletextnoindenttight"/>
              <w:jc w:val="center"/>
              <w:rPr>
                <w:lang w:eastAsia="en-US"/>
              </w:rPr>
            </w:pPr>
            <w:r>
              <w:rPr>
                <w:lang w:eastAsia="en-US"/>
              </w:rPr>
              <w:t>4(f)</w:t>
            </w:r>
          </w:p>
        </w:tc>
        <w:tc>
          <w:tcPr>
            <w:tcW w:w="750" w:type="pct"/>
            <w:shd w:val="clear" w:color="auto" w:fill="F2F2F2" w:themeFill="background1" w:themeFillShade="F2"/>
            <w:vAlign w:val="bottom"/>
            <w:hideMark/>
          </w:tcPr>
          <w:p w14:paraId="254E640A" w14:textId="77777777" w:rsidR="00FE7F8B" w:rsidRDefault="00FE7F8B">
            <w:pPr>
              <w:pStyle w:val="Tabletextnoindenttight"/>
              <w:jc w:val="right"/>
              <w:rPr>
                <w:lang w:eastAsia="en-US"/>
              </w:rPr>
            </w:pPr>
            <w:r>
              <w:rPr>
                <w:b/>
                <w:bCs/>
                <w:sz w:val="18"/>
                <w:lang w:val="en-US" w:eastAsia="en-US"/>
              </w:rPr>
              <w:t>(1,466.4)</w:t>
            </w:r>
          </w:p>
        </w:tc>
        <w:tc>
          <w:tcPr>
            <w:tcW w:w="750" w:type="pct"/>
            <w:vAlign w:val="bottom"/>
            <w:hideMark/>
          </w:tcPr>
          <w:p w14:paraId="4B60AC93" w14:textId="77777777" w:rsidR="00FE7F8B" w:rsidRDefault="00FE7F8B">
            <w:pPr>
              <w:pStyle w:val="Tabletextnoindenttight"/>
              <w:jc w:val="right"/>
              <w:rPr>
                <w:lang w:eastAsia="en-US"/>
              </w:rPr>
            </w:pPr>
            <w:r>
              <w:rPr>
                <w:lang w:eastAsia="en-US"/>
              </w:rPr>
              <w:t>(1,374.2)</w:t>
            </w:r>
          </w:p>
        </w:tc>
      </w:tr>
      <w:tr w:rsidR="00FE7F8B" w14:paraId="5C1A4735" w14:textId="77777777" w:rsidTr="00FE7F8B">
        <w:tc>
          <w:tcPr>
            <w:tcW w:w="3000" w:type="pct"/>
            <w:shd w:val="clear" w:color="auto" w:fill="FFFFFF"/>
            <w:vAlign w:val="center"/>
            <w:hideMark/>
          </w:tcPr>
          <w:p w14:paraId="03C91F32" w14:textId="77777777" w:rsidR="00FE7F8B" w:rsidRDefault="00FE7F8B">
            <w:pPr>
              <w:pStyle w:val="Tabletextnoindenttight"/>
              <w:rPr>
                <w:lang w:eastAsia="en-US"/>
              </w:rPr>
            </w:pPr>
            <w:r>
              <w:rPr>
                <w:lang w:eastAsia="en-US"/>
              </w:rPr>
              <w:t>Capital asset charge</w:t>
            </w:r>
          </w:p>
        </w:tc>
        <w:tc>
          <w:tcPr>
            <w:tcW w:w="500" w:type="pct"/>
            <w:shd w:val="clear" w:color="auto" w:fill="FFFFFF"/>
            <w:vAlign w:val="bottom"/>
            <w:hideMark/>
          </w:tcPr>
          <w:p w14:paraId="55BE6487" w14:textId="77777777" w:rsidR="00FE7F8B" w:rsidRDefault="00FE7F8B"/>
        </w:tc>
        <w:tc>
          <w:tcPr>
            <w:tcW w:w="750" w:type="pct"/>
            <w:shd w:val="clear" w:color="auto" w:fill="F2F2F2" w:themeFill="background1" w:themeFillShade="F2"/>
            <w:vAlign w:val="bottom"/>
            <w:hideMark/>
          </w:tcPr>
          <w:p w14:paraId="0423850F" w14:textId="77777777" w:rsidR="00FE7F8B" w:rsidRDefault="00FE7F8B">
            <w:pPr>
              <w:pStyle w:val="Tabletextnoindenttight"/>
              <w:jc w:val="right"/>
              <w:rPr>
                <w:lang w:eastAsia="en-US"/>
              </w:rPr>
            </w:pPr>
            <w:r>
              <w:rPr>
                <w:b/>
                <w:bCs/>
                <w:sz w:val="18"/>
                <w:lang w:val="en-US" w:eastAsia="en-US"/>
              </w:rPr>
              <w:t>(1,291.7)</w:t>
            </w:r>
          </w:p>
        </w:tc>
        <w:tc>
          <w:tcPr>
            <w:tcW w:w="750" w:type="pct"/>
            <w:vAlign w:val="bottom"/>
            <w:hideMark/>
          </w:tcPr>
          <w:p w14:paraId="61B44725" w14:textId="77777777" w:rsidR="00FE7F8B" w:rsidRDefault="00FE7F8B">
            <w:pPr>
              <w:pStyle w:val="Tabletextnoindenttight"/>
              <w:jc w:val="right"/>
              <w:rPr>
                <w:lang w:eastAsia="en-US"/>
              </w:rPr>
            </w:pPr>
            <w:r>
              <w:rPr>
                <w:lang w:eastAsia="en-US"/>
              </w:rPr>
              <w:t>(1,287.1)</w:t>
            </w:r>
          </w:p>
        </w:tc>
      </w:tr>
      <w:tr w:rsidR="00FE7F8B" w14:paraId="6E81EAEB" w14:textId="77777777" w:rsidTr="00FE7F8B">
        <w:tc>
          <w:tcPr>
            <w:tcW w:w="3000" w:type="pct"/>
            <w:shd w:val="clear" w:color="auto" w:fill="FFFFFF"/>
            <w:vAlign w:val="center"/>
            <w:hideMark/>
          </w:tcPr>
          <w:p w14:paraId="772AA440" w14:textId="77777777" w:rsidR="00FE7F8B" w:rsidRDefault="00FE7F8B">
            <w:pPr>
              <w:pStyle w:val="Tabletextnoindenttight"/>
              <w:rPr>
                <w:lang w:eastAsia="en-US"/>
              </w:rPr>
            </w:pPr>
            <w:r>
              <w:rPr>
                <w:lang w:eastAsia="en-US"/>
              </w:rPr>
              <w:t>Supplies and services</w:t>
            </w:r>
          </w:p>
        </w:tc>
        <w:tc>
          <w:tcPr>
            <w:tcW w:w="500" w:type="pct"/>
            <w:shd w:val="clear" w:color="auto" w:fill="FFFFFF"/>
            <w:vAlign w:val="bottom"/>
            <w:hideMark/>
          </w:tcPr>
          <w:p w14:paraId="39EC2FF3" w14:textId="77777777" w:rsidR="00FE7F8B" w:rsidRDefault="00FE7F8B">
            <w:pPr>
              <w:pStyle w:val="Tabletextnoindenttight"/>
              <w:jc w:val="center"/>
              <w:rPr>
                <w:lang w:eastAsia="en-US"/>
              </w:rPr>
            </w:pPr>
            <w:r>
              <w:rPr>
                <w:lang w:eastAsia="en-US"/>
              </w:rPr>
              <w:t>4(g)</w:t>
            </w:r>
          </w:p>
        </w:tc>
        <w:tc>
          <w:tcPr>
            <w:tcW w:w="750" w:type="pct"/>
            <w:shd w:val="clear" w:color="auto" w:fill="F2F2F2" w:themeFill="background1" w:themeFillShade="F2"/>
            <w:vAlign w:val="bottom"/>
            <w:hideMark/>
          </w:tcPr>
          <w:p w14:paraId="34F84B21" w14:textId="77777777" w:rsidR="00FE7F8B" w:rsidRDefault="00FE7F8B">
            <w:pPr>
              <w:pStyle w:val="Tabletextnoindenttight"/>
              <w:jc w:val="right"/>
              <w:rPr>
                <w:lang w:eastAsia="en-US"/>
              </w:rPr>
            </w:pPr>
            <w:r>
              <w:rPr>
                <w:b/>
                <w:bCs/>
                <w:sz w:val="18"/>
                <w:lang w:val="en-US" w:eastAsia="en-US"/>
              </w:rPr>
              <w:t>(2,677.3)</w:t>
            </w:r>
          </w:p>
        </w:tc>
        <w:tc>
          <w:tcPr>
            <w:tcW w:w="750" w:type="pct"/>
            <w:vAlign w:val="bottom"/>
            <w:hideMark/>
          </w:tcPr>
          <w:p w14:paraId="34670043" w14:textId="77777777" w:rsidR="00FE7F8B" w:rsidRDefault="00FE7F8B">
            <w:pPr>
              <w:pStyle w:val="Tabletextnoindenttight"/>
              <w:jc w:val="right"/>
              <w:rPr>
                <w:lang w:eastAsia="en-US"/>
              </w:rPr>
            </w:pPr>
            <w:r>
              <w:rPr>
                <w:lang w:eastAsia="en-US"/>
              </w:rPr>
              <w:t>(2,687.9)</w:t>
            </w:r>
          </w:p>
        </w:tc>
      </w:tr>
      <w:tr w:rsidR="00FE7F8B" w14:paraId="4865812C" w14:textId="77777777" w:rsidTr="00FE7F8B">
        <w:tc>
          <w:tcPr>
            <w:tcW w:w="3000" w:type="pct"/>
            <w:tcBorders>
              <w:top w:val="nil"/>
              <w:left w:val="nil"/>
              <w:bottom w:val="single" w:sz="4" w:space="0" w:color="auto"/>
              <w:right w:val="nil"/>
            </w:tcBorders>
            <w:shd w:val="clear" w:color="auto" w:fill="FFFFFF"/>
            <w:vAlign w:val="center"/>
            <w:hideMark/>
          </w:tcPr>
          <w:p w14:paraId="091E3EBF" w14:textId="77777777" w:rsidR="00FE7F8B" w:rsidRDefault="00FE7F8B">
            <w:pPr>
              <w:pStyle w:val="Tabletextnoindenttight"/>
              <w:rPr>
                <w:lang w:eastAsia="en-US"/>
              </w:rPr>
            </w:pPr>
            <w:r>
              <w:rPr>
                <w:lang w:eastAsia="en-US"/>
              </w:rPr>
              <w:t>Other operating expenses</w:t>
            </w:r>
          </w:p>
        </w:tc>
        <w:tc>
          <w:tcPr>
            <w:tcW w:w="500" w:type="pct"/>
            <w:tcBorders>
              <w:top w:val="nil"/>
              <w:left w:val="nil"/>
              <w:bottom w:val="single" w:sz="4" w:space="0" w:color="auto"/>
              <w:right w:val="nil"/>
            </w:tcBorders>
            <w:shd w:val="clear" w:color="auto" w:fill="FFFFFF"/>
            <w:vAlign w:val="bottom"/>
            <w:hideMark/>
          </w:tcPr>
          <w:p w14:paraId="6859E526" w14:textId="77777777" w:rsidR="00FE7F8B" w:rsidRDefault="00FE7F8B">
            <w:pPr>
              <w:pStyle w:val="Tabletextnoindenttight"/>
              <w:jc w:val="center"/>
              <w:rPr>
                <w:lang w:eastAsia="en-US"/>
              </w:rPr>
            </w:pPr>
            <w:r>
              <w:rPr>
                <w:lang w:eastAsia="en-US"/>
              </w:rPr>
              <w:t>4(h)</w:t>
            </w:r>
          </w:p>
        </w:tc>
        <w:tc>
          <w:tcPr>
            <w:tcW w:w="750" w:type="pct"/>
            <w:tcBorders>
              <w:top w:val="nil"/>
              <w:left w:val="nil"/>
              <w:bottom w:val="single" w:sz="4" w:space="0" w:color="auto"/>
              <w:right w:val="nil"/>
            </w:tcBorders>
            <w:shd w:val="clear" w:color="auto" w:fill="F2F2F2" w:themeFill="background1" w:themeFillShade="F2"/>
            <w:vAlign w:val="bottom"/>
            <w:hideMark/>
          </w:tcPr>
          <w:p w14:paraId="5BB8D2BF" w14:textId="77777777" w:rsidR="00FE7F8B" w:rsidRDefault="00FE7F8B">
            <w:pPr>
              <w:pStyle w:val="Tabletextnoindenttight"/>
              <w:jc w:val="right"/>
              <w:rPr>
                <w:lang w:eastAsia="en-US"/>
              </w:rPr>
            </w:pPr>
            <w:r>
              <w:rPr>
                <w:b/>
                <w:bCs/>
                <w:sz w:val="18"/>
                <w:lang w:val="en-US" w:eastAsia="en-US"/>
              </w:rPr>
              <w:t>(162.0)</w:t>
            </w:r>
          </w:p>
        </w:tc>
        <w:tc>
          <w:tcPr>
            <w:tcW w:w="750" w:type="pct"/>
            <w:tcBorders>
              <w:top w:val="nil"/>
              <w:left w:val="nil"/>
              <w:bottom w:val="single" w:sz="4" w:space="0" w:color="auto"/>
              <w:right w:val="nil"/>
            </w:tcBorders>
            <w:vAlign w:val="bottom"/>
            <w:hideMark/>
          </w:tcPr>
          <w:p w14:paraId="5C79D176" w14:textId="77777777" w:rsidR="00FE7F8B" w:rsidRDefault="00FE7F8B">
            <w:pPr>
              <w:pStyle w:val="Tabletextnoindenttight"/>
              <w:jc w:val="right"/>
              <w:rPr>
                <w:lang w:eastAsia="en-US"/>
              </w:rPr>
            </w:pPr>
            <w:r>
              <w:rPr>
                <w:lang w:eastAsia="en-US"/>
              </w:rPr>
              <w:t>(122.6)</w:t>
            </w:r>
          </w:p>
        </w:tc>
      </w:tr>
      <w:tr w:rsidR="00FE7F8B" w14:paraId="7D6BAA2F" w14:textId="77777777" w:rsidTr="00FE7F8B">
        <w:tc>
          <w:tcPr>
            <w:tcW w:w="3000" w:type="pct"/>
            <w:tcBorders>
              <w:top w:val="single" w:sz="4" w:space="0" w:color="auto"/>
              <w:left w:val="nil"/>
              <w:bottom w:val="single" w:sz="6" w:space="0" w:color="auto"/>
              <w:right w:val="nil"/>
            </w:tcBorders>
            <w:shd w:val="clear" w:color="auto" w:fill="FFFFFF"/>
            <w:vAlign w:val="center"/>
            <w:hideMark/>
          </w:tcPr>
          <w:p w14:paraId="79193EA3" w14:textId="77777777" w:rsidR="00FE7F8B" w:rsidRDefault="00FE7F8B">
            <w:pPr>
              <w:pStyle w:val="Tabletotal"/>
            </w:pPr>
            <w:r>
              <w:t>Total expenses from transactions</w:t>
            </w:r>
          </w:p>
        </w:tc>
        <w:tc>
          <w:tcPr>
            <w:tcW w:w="500" w:type="pct"/>
            <w:tcBorders>
              <w:top w:val="single" w:sz="4" w:space="0" w:color="auto"/>
              <w:left w:val="nil"/>
              <w:bottom w:val="single" w:sz="6" w:space="0" w:color="auto"/>
              <w:right w:val="nil"/>
            </w:tcBorders>
            <w:shd w:val="clear" w:color="auto" w:fill="FFFFFF"/>
            <w:vAlign w:val="bottom"/>
          </w:tcPr>
          <w:p w14:paraId="5884E242" w14:textId="77777777" w:rsidR="00FE7F8B" w:rsidRDefault="00FE7F8B">
            <w:pPr>
              <w:pStyle w:val="Tabletotal"/>
              <w:jc w:val="right"/>
            </w:pPr>
          </w:p>
        </w:tc>
        <w:tc>
          <w:tcPr>
            <w:tcW w:w="750" w:type="pct"/>
            <w:tcBorders>
              <w:top w:val="single" w:sz="4" w:space="0" w:color="auto"/>
              <w:left w:val="nil"/>
              <w:bottom w:val="single" w:sz="6" w:space="0" w:color="auto"/>
              <w:right w:val="nil"/>
            </w:tcBorders>
            <w:shd w:val="clear" w:color="auto" w:fill="F2F2F2" w:themeFill="background1" w:themeFillShade="F2"/>
            <w:vAlign w:val="bottom"/>
            <w:hideMark/>
          </w:tcPr>
          <w:p w14:paraId="7CE8DF4E" w14:textId="77777777" w:rsidR="00FE7F8B" w:rsidRDefault="00FE7F8B">
            <w:pPr>
              <w:pStyle w:val="Tabletotal"/>
              <w:jc w:val="right"/>
            </w:pPr>
            <w:r>
              <w:rPr>
                <w:bCs/>
                <w:sz w:val="18"/>
                <w:szCs w:val="18"/>
                <w:lang w:val="en-US"/>
              </w:rPr>
              <w:t>(11,740.0)</w:t>
            </w:r>
          </w:p>
        </w:tc>
        <w:tc>
          <w:tcPr>
            <w:tcW w:w="750" w:type="pct"/>
            <w:tcBorders>
              <w:top w:val="single" w:sz="4" w:space="0" w:color="auto"/>
              <w:left w:val="nil"/>
              <w:bottom w:val="single" w:sz="6" w:space="0" w:color="auto"/>
              <w:right w:val="nil"/>
            </w:tcBorders>
            <w:vAlign w:val="bottom"/>
            <w:hideMark/>
          </w:tcPr>
          <w:p w14:paraId="0CCBB1AB" w14:textId="77777777" w:rsidR="00FE7F8B" w:rsidRDefault="00FE7F8B">
            <w:pPr>
              <w:pStyle w:val="Tabletotal"/>
              <w:jc w:val="right"/>
              <w:rPr>
                <w:b w:val="0"/>
              </w:rPr>
            </w:pPr>
            <w:r>
              <w:rPr>
                <w:b w:val="0"/>
              </w:rPr>
              <w:t>(11,280.3)</w:t>
            </w:r>
          </w:p>
        </w:tc>
      </w:tr>
      <w:tr w:rsidR="00FE7F8B" w14:paraId="3EA81314" w14:textId="77777777" w:rsidTr="00FE7F8B">
        <w:tc>
          <w:tcPr>
            <w:tcW w:w="3000" w:type="pct"/>
            <w:tcBorders>
              <w:top w:val="single" w:sz="6" w:space="0" w:color="auto"/>
              <w:left w:val="nil"/>
              <w:bottom w:val="nil"/>
              <w:right w:val="nil"/>
            </w:tcBorders>
            <w:shd w:val="clear" w:color="auto" w:fill="FFFFFF"/>
            <w:vAlign w:val="center"/>
            <w:hideMark/>
          </w:tcPr>
          <w:p w14:paraId="266CCEB4" w14:textId="77777777" w:rsidR="00FE7F8B" w:rsidRDefault="00FE7F8B">
            <w:pPr>
              <w:pStyle w:val="Tablerowheading"/>
            </w:pPr>
            <w:r>
              <w:t>Net result from transactions (net operating balance)</w:t>
            </w:r>
          </w:p>
        </w:tc>
        <w:tc>
          <w:tcPr>
            <w:tcW w:w="500" w:type="pct"/>
            <w:tcBorders>
              <w:top w:val="single" w:sz="6" w:space="0" w:color="auto"/>
              <w:left w:val="nil"/>
              <w:bottom w:val="nil"/>
              <w:right w:val="nil"/>
            </w:tcBorders>
            <w:shd w:val="clear" w:color="auto" w:fill="FFFFFF"/>
            <w:vAlign w:val="center"/>
          </w:tcPr>
          <w:p w14:paraId="37428C29" w14:textId="77777777" w:rsidR="00FE7F8B" w:rsidRDefault="00FE7F8B">
            <w:pPr>
              <w:pStyle w:val="Tablerowheading"/>
              <w:jc w:val="center"/>
            </w:pPr>
          </w:p>
        </w:tc>
        <w:tc>
          <w:tcPr>
            <w:tcW w:w="750" w:type="pct"/>
            <w:tcBorders>
              <w:top w:val="single" w:sz="6" w:space="0" w:color="auto"/>
              <w:left w:val="nil"/>
              <w:bottom w:val="nil"/>
              <w:right w:val="nil"/>
            </w:tcBorders>
            <w:shd w:val="clear" w:color="auto" w:fill="F2F2F2" w:themeFill="background1" w:themeFillShade="F2"/>
            <w:vAlign w:val="bottom"/>
            <w:hideMark/>
          </w:tcPr>
          <w:p w14:paraId="0F07C04A" w14:textId="77777777" w:rsidR="00FE7F8B" w:rsidRDefault="00FE7F8B">
            <w:pPr>
              <w:pStyle w:val="Tablerowheading"/>
              <w:jc w:val="right"/>
            </w:pPr>
            <w:r>
              <w:t>230.9</w:t>
            </w:r>
          </w:p>
        </w:tc>
        <w:tc>
          <w:tcPr>
            <w:tcW w:w="750" w:type="pct"/>
            <w:tcBorders>
              <w:top w:val="single" w:sz="6" w:space="0" w:color="auto"/>
              <w:left w:val="nil"/>
              <w:bottom w:val="nil"/>
              <w:right w:val="nil"/>
            </w:tcBorders>
            <w:vAlign w:val="bottom"/>
            <w:hideMark/>
          </w:tcPr>
          <w:p w14:paraId="37687D9F" w14:textId="77777777" w:rsidR="00FE7F8B" w:rsidRDefault="00FE7F8B">
            <w:pPr>
              <w:pStyle w:val="Tablerowheading"/>
              <w:jc w:val="right"/>
              <w:rPr>
                <w:b w:val="0"/>
              </w:rPr>
            </w:pPr>
            <w:r>
              <w:rPr>
                <w:b w:val="0"/>
              </w:rPr>
              <w:t>180.5</w:t>
            </w:r>
          </w:p>
        </w:tc>
      </w:tr>
      <w:tr w:rsidR="00FE7F8B" w14:paraId="7B77B0F8" w14:textId="77777777" w:rsidTr="00FE7F8B">
        <w:tc>
          <w:tcPr>
            <w:tcW w:w="3000" w:type="pct"/>
            <w:shd w:val="clear" w:color="auto" w:fill="FFFFFF"/>
            <w:vAlign w:val="center"/>
            <w:hideMark/>
          </w:tcPr>
          <w:p w14:paraId="50F0C9B2" w14:textId="77777777" w:rsidR="00FE7F8B" w:rsidRDefault="00FE7F8B">
            <w:pPr>
              <w:pStyle w:val="Tablerowheading"/>
            </w:pPr>
            <w:r>
              <w:t>Other economic flows included in net result</w:t>
            </w:r>
          </w:p>
        </w:tc>
        <w:tc>
          <w:tcPr>
            <w:tcW w:w="500" w:type="pct"/>
            <w:shd w:val="clear" w:color="auto" w:fill="FFFFFF"/>
            <w:noWrap/>
            <w:vAlign w:val="bottom"/>
          </w:tcPr>
          <w:p w14:paraId="40768CED" w14:textId="77777777" w:rsidR="00FE7F8B" w:rsidRDefault="00FE7F8B">
            <w:pPr>
              <w:pStyle w:val="Tablerowheading"/>
              <w:jc w:val="center"/>
            </w:pPr>
          </w:p>
        </w:tc>
        <w:tc>
          <w:tcPr>
            <w:tcW w:w="750" w:type="pct"/>
            <w:shd w:val="clear" w:color="auto" w:fill="F2F2F2" w:themeFill="background1" w:themeFillShade="F2"/>
            <w:noWrap/>
            <w:vAlign w:val="bottom"/>
            <w:hideMark/>
          </w:tcPr>
          <w:p w14:paraId="1F094315" w14:textId="77777777" w:rsidR="00FE7F8B" w:rsidRDefault="00FE7F8B"/>
        </w:tc>
        <w:tc>
          <w:tcPr>
            <w:tcW w:w="750" w:type="pct"/>
            <w:vAlign w:val="center"/>
            <w:hideMark/>
          </w:tcPr>
          <w:p w14:paraId="415F2E15"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72A4071D" w14:textId="77777777" w:rsidTr="00FE7F8B">
        <w:tc>
          <w:tcPr>
            <w:tcW w:w="3000" w:type="pct"/>
            <w:shd w:val="clear" w:color="auto" w:fill="FFFFFF"/>
            <w:noWrap/>
            <w:vAlign w:val="bottom"/>
            <w:hideMark/>
          </w:tcPr>
          <w:p w14:paraId="39CD1607" w14:textId="77777777" w:rsidR="00FE7F8B" w:rsidRDefault="00FE7F8B">
            <w:pPr>
              <w:pStyle w:val="Tabletextnoindenttight"/>
              <w:rPr>
                <w:lang w:eastAsia="en-US"/>
              </w:rPr>
            </w:pPr>
            <w:r>
              <w:rPr>
                <w:lang w:eastAsia="en-US"/>
              </w:rPr>
              <w:t>Net gain/(loss) on non-financial assets</w:t>
            </w:r>
          </w:p>
        </w:tc>
        <w:tc>
          <w:tcPr>
            <w:tcW w:w="500" w:type="pct"/>
            <w:shd w:val="clear" w:color="auto" w:fill="FFFFFF"/>
            <w:vAlign w:val="bottom"/>
            <w:hideMark/>
          </w:tcPr>
          <w:p w14:paraId="0BD2CECE" w14:textId="77777777" w:rsidR="00FE7F8B" w:rsidRDefault="00FE7F8B">
            <w:pPr>
              <w:pStyle w:val="Tabletextnoindenttight"/>
              <w:jc w:val="center"/>
              <w:rPr>
                <w:lang w:eastAsia="en-US"/>
              </w:rPr>
            </w:pPr>
            <w:r>
              <w:rPr>
                <w:lang w:eastAsia="en-US"/>
              </w:rPr>
              <w:t>5(a)</w:t>
            </w:r>
          </w:p>
        </w:tc>
        <w:tc>
          <w:tcPr>
            <w:tcW w:w="750" w:type="pct"/>
            <w:shd w:val="clear" w:color="auto" w:fill="F2F2F2" w:themeFill="background1" w:themeFillShade="F2"/>
            <w:vAlign w:val="bottom"/>
            <w:hideMark/>
          </w:tcPr>
          <w:p w14:paraId="31547A85" w14:textId="77777777" w:rsidR="00FE7F8B" w:rsidRDefault="00FE7F8B">
            <w:pPr>
              <w:pStyle w:val="Tabletextnoindenttight"/>
              <w:jc w:val="right"/>
              <w:rPr>
                <w:lang w:eastAsia="en-US"/>
              </w:rPr>
            </w:pPr>
            <w:r>
              <w:rPr>
                <w:b/>
                <w:lang w:eastAsia="en-US"/>
              </w:rPr>
              <w:t>0.1</w:t>
            </w:r>
          </w:p>
        </w:tc>
        <w:tc>
          <w:tcPr>
            <w:tcW w:w="750" w:type="pct"/>
            <w:vAlign w:val="bottom"/>
            <w:hideMark/>
          </w:tcPr>
          <w:p w14:paraId="10ED1750" w14:textId="77777777" w:rsidR="00FE7F8B" w:rsidRDefault="00FE7F8B">
            <w:pPr>
              <w:pStyle w:val="Tabletextnoindenttight"/>
              <w:jc w:val="right"/>
              <w:rPr>
                <w:lang w:eastAsia="en-US"/>
              </w:rPr>
            </w:pPr>
            <w:r>
              <w:rPr>
                <w:lang w:eastAsia="en-US"/>
              </w:rPr>
              <w:t>20.3</w:t>
            </w:r>
          </w:p>
        </w:tc>
      </w:tr>
      <w:tr w:rsidR="00FE7F8B" w14:paraId="2D3AE090" w14:textId="77777777" w:rsidTr="00FE7F8B">
        <w:tc>
          <w:tcPr>
            <w:tcW w:w="3000" w:type="pct"/>
            <w:shd w:val="clear" w:color="auto" w:fill="FFFFFF"/>
            <w:vAlign w:val="center"/>
            <w:hideMark/>
          </w:tcPr>
          <w:p w14:paraId="19B1E670" w14:textId="77777777" w:rsidR="00FE7F8B" w:rsidRDefault="00FE7F8B">
            <w:pPr>
              <w:pStyle w:val="Tabletextnoindenttight"/>
              <w:rPr>
                <w:lang w:eastAsia="en-US"/>
              </w:rPr>
            </w:pPr>
            <w:r>
              <w:rPr>
                <w:lang w:eastAsia="en-US"/>
              </w:rPr>
              <w:t>Net gain/(loss) on financial instruments</w:t>
            </w:r>
          </w:p>
        </w:tc>
        <w:tc>
          <w:tcPr>
            <w:tcW w:w="500" w:type="pct"/>
            <w:shd w:val="clear" w:color="auto" w:fill="FFFFFF"/>
            <w:vAlign w:val="bottom"/>
            <w:hideMark/>
          </w:tcPr>
          <w:p w14:paraId="58E216C0" w14:textId="77777777" w:rsidR="00FE7F8B" w:rsidRDefault="00FE7F8B">
            <w:pPr>
              <w:pStyle w:val="Tabletextnoindenttight"/>
              <w:jc w:val="center"/>
              <w:rPr>
                <w:lang w:eastAsia="en-US"/>
              </w:rPr>
            </w:pPr>
            <w:r>
              <w:rPr>
                <w:lang w:eastAsia="en-US"/>
              </w:rPr>
              <w:t>5(b)</w:t>
            </w:r>
          </w:p>
        </w:tc>
        <w:tc>
          <w:tcPr>
            <w:tcW w:w="750" w:type="pct"/>
            <w:shd w:val="clear" w:color="auto" w:fill="F2F2F2" w:themeFill="background1" w:themeFillShade="F2"/>
            <w:vAlign w:val="bottom"/>
            <w:hideMark/>
          </w:tcPr>
          <w:p w14:paraId="748FA933" w14:textId="77777777" w:rsidR="00FE7F8B" w:rsidRDefault="00FE7F8B">
            <w:pPr>
              <w:pStyle w:val="Tabletextnoindenttight"/>
              <w:jc w:val="right"/>
              <w:rPr>
                <w:lang w:eastAsia="en-US"/>
              </w:rPr>
            </w:pPr>
            <w:r>
              <w:rPr>
                <w:b/>
                <w:lang w:eastAsia="en-US"/>
              </w:rPr>
              <w:t>(17.4)</w:t>
            </w:r>
          </w:p>
        </w:tc>
        <w:tc>
          <w:tcPr>
            <w:tcW w:w="750" w:type="pct"/>
            <w:vAlign w:val="bottom"/>
            <w:hideMark/>
          </w:tcPr>
          <w:p w14:paraId="465B077B" w14:textId="77777777" w:rsidR="00FE7F8B" w:rsidRDefault="00FE7F8B">
            <w:pPr>
              <w:pStyle w:val="Tabletextnoindenttight"/>
              <w:jc w:val="right"/>
              <w:rPr>
                <w:lang w:eastAsia="en-US"/>
              </w:rPr>
            </w:pPr>
            <w:r>
              <w:rPr>
                <w:lang w:eastAsia="en-US"/>
              </w:rPr>
              <w:t>(7.7)</w:t>
            </w:r>
          </w:p>
        </w:tc>
      </w:tr>
      <w:tr w:rsidR="00FE7F8B" w14:paraId="70BDA9C7" w14:textId="77777777" w:rsidTr="00FE7F8B">
        <w:tc>
          <w:tcPr>
            <w:tcW w:w="3000" w:type="pct"/>
            <w:tcBorders>
              <w:top w:val="nil"/>
              <w:left w:val="nil"/>
              <w:bottom w:val="single" w:sz="4" w:space="0" w:color="auto"/>
              <w:right w:val="nil"/>
            </w:tcBorders>
            <w:shd w:val="clear" w:color="auto" w:fill="FFFFFF"/>
            <w:noWrap/>
            <w:vAlign w:val="bottom"/>
            <w:hideMark/>
          </w:tcPr>
          <w:p w14:paraId="46C5B6D9" w14:textId="77777777" w:rsidR="00FE7F8B" w:rsidRDefault="00FE7F8B">
            <w:pPr>
              <w:pStyle w:val="Tabletextnoindenttight"/>
              <w:rPr>
                <w:lang w:eastAsia="en-US"/>
              </w:rPr>
            </w:pPr>
            <w:r>
              <w:rPr>
                <w:lang w:eastAsia="en-US"/>
              </w:rPr>
              <w:t>Other gains/(losses) from other economic flows</w:t>
            </w:r>
          </w:p>
        </w:tc>
        <w:tc>
          <w:tcPr>
            <w:tcW w:w="500" w:type="pct"/>
            <w:tcBorders>
              <w:top w:val="nil"/>
              <w:left w:val="nil"/>
              <w:bottom w:val="single" w:sz="4" w:space="0" w:color="auto"/>
              <w:right w:val="nil"/>
            </w:tcBorders>
            <w:shd w:val="clear" w:color="auto" w:fill="FFFFFF"/>
            <w:vAlign w:val="bottom"/>
            <w:hideMark/>
          </w:tcPr>
          <w:p w14:paraId="2A048810" w14:textId="77777777" w:rsidR="00FE7F8B" w:rsidRDefault="00FE7F8B">
            <w:pPr>
              <w:pStyle w:val="Tabletextnoindenttight"/>
              <w:jc w:val="center"/>
              <w:rPr>
                <w:lang w:eastAsia="en-US"/>
              </w:rPr>
            </w:pPr>
            <w:r>
              <w:rPr>
                <w:lang w:eastAsia="en-US"/>
              </w:rPr>
              <w:t>5(c)</w:t>
            </w:r>
          </w:p>
        </w:tc>
        <w:tc>
          <w:tcPr>
            <w:tcW w:w="750" w:type="pct"/>
            <w:tcBorders>
              <w:top w:val="nil"/>
              <w:left w:val="nil"/>
              <w:bottom w:val="single" w:sz="4" w:space="0" w:color="auto"/>
              <w:right w:val="nil"/>
            </w:tcBorders>
            <w:shd w:val="clear" w:color="auto" w:fill="F2F2F2" w:themeFill="background1" w:themeFillShade="F2"/>
            <w:vAlign w:val="bottom"/>
            <w:hideMark/>
          </w:tcPr>
          <w:p w14:paraId="0AE49081" w14:textId="77777777" w:rsidR="00FE7F8B" w:rsidRDefault="00FE7F8B">
            <w:pPr>
              <w:pStyle w:val="Tabletextnoindenttight"/>
              <w:jc w:val="right"/>
              <w:rPr>
                <w:lang w:eastAsia="en-US"/>
              </w:rPr>
            </w:pPr>
            <w:r>
              <w:rPr>
                <w:b/>
                <w:lang w:eastAsia="en-US"/>
              </w:rPr>
              <w:t>(31.1)</w:t>
            </w:r>
          </w:p>
        </w:tc>
        <w:tc>
          <w:tcPr>
            <w:tcW w:w="750" w:type="pct"/>
            <w:tcBorders>
              <w:top w:val="nil"/>
              <w:left w:val="nil"/>
              <w:bottom w:val="single" w:sz="4" w:space="0" w:color="auto"/>
              <w:right w:val="nil"/>
            </w:tcBorders>
            <w:vAlign w:val="bottom"/>
            <w:hideMark/>
          </w:tcPr>
          <w:p w14:paraId="7D884B4C" w14:textId="77777777" w:rsidR="00FE7F8B" w:rsidRDefault="00FE7F8B">
            <w:pPr>
              <w:pStyle w:val="Tabletextnoindenttight"/>
              <w:jc w:val="right"/>
              <w:rPr>
                <w:lang w:eastAsia="en-US"/>
              </w:rPr>
            </w:pPr>
            <w:r>
              <w:rPr>
                <w:lang w:eastAsia="en-US"/>
              </w:rPr>
              <w:t>(34.2)</w:t>
            </w:r>
          </w:p>
        </w:tc>
      </w:tr>
      <w:tr w:rsidR="00FE7F8B" w14:paraId="4A54CDCF" w14:textId="77777777" w:rsidTr="00FE7F8B">
        <w:tc>
          <w:tcPr>
            <w:tcW w:w="3000" w:type="pct"/>
            <w:tcBorders>
              <w:top w:val="single" w:sz="4" w:space="0" w:color="auto"/>
              <w:left w:val="nil"/>
              <w:bottom w:val="single" w:sz="6" w:space="0" w:color="auto"/>
              <w:right w:val="nil"/>
            </w:tcBorders>
            <w:shd w:val="clear" w:color="auto" w:fill="FFFFFF"/>
            <w:vAlign w:val="center"/>
            <w:hideMark/>
          </w:tcPr>
          <w:p w14:paraId="37272B35" w14:textId="77777777" w:rsidR="00FE7F8B" w:rsidRDefault="00FE7F8B">
            <w:pPr>
              <w:pStyle w:val="Tabletotal"/>
            </w:pPr>
            <w:r>
              <w:t>Total other economic flows included in net result</w:t>
            </w:r>
          </w:p>
        </w:tc>
        <w:tc>
          <w:tcPr>
            <w:tcW w:w="500" w:type="pct"/>
            <w:tcBorders>
              <w:top w:val="single" w:sz="4" w:space="0" w:color="auto"/>
              <w:left w:val="nil"/>
              <w:bottom w:val="single" w:sz="6" w:space="0" w:color="auto"/>
              <w:right w:val="nil"/>
            </w:tcBorders>
            <w:shd w:val="clear" w:color="auto" w:fill="FFFFFF"/>
            <w:noWrap/>
            <w:vAlign w:val="bottom"/>
          </w:tcPr>
          <w:p w14:paraId="74B16A17" w14:textId="77777777" w:rsidR="00FE7F8B" w:rsidRDefault="00FE7F8B">
            <w:pPr>
              <w:pStyle w:val="Tabletotal"/>
              <w:jc w:val="center"/>
            </w:pPr>
          </w:p>
        </w:tc>
        <w:tc>
          <w:tcPr>
            <w:tcW w:w="750" w:type="pct"/>
            <w:tcBorders>
              <w:top w:val="single" w:sz="4" w:space="0" w:color="auto"/>
              <w:left w:val="nil"/>
              <w:bottom w:val="single" w:sz="6" w:space="0" w:color="auto"/>
              <w:right w:val="nil"/>
            </w:tcBorders>
            <w:shd w:val="clear" w:color="auto" w:fill="F2F2F2" w:themeFill="background1" w:themeFillShade="F2"/>
            <w:vAlign w:val="center"/>
            <w:hideMark/>
          </w:tcPr>
          <w:p w14:paraId="553FEC64" w14:textId="77777777" w:rsidR="00FE7F8B" w:rsidRDefault="00FE7F8B">
            <w:pPr>
              <w:pStyle w:val="Tabletotal"/>
              <w:jc w:val="right"/>
            </w:pPr>
            <w:r>
              <w:t>(48.4)</w:t>
            </w:r>
          </w:p>
        </w:tc>
        <w:tc>
          <w:tcPr>
            <w:tcW w:w="750" w:type="pct"/>
            <w:tcBorders>
              <w:top w:val="single" w:sz="4" w:space="0" w:color="auto"/>
              <w:left w:val="nil"/>
              <w:bottom w:val="single" w:sz="6" w:space="0" w:color="auto"/>
              <w:right w:val="nil"/>
            </w:tcBorders>
            <w:vAlign w:val="center"/>
            <w:hideMark/>
          </w:tcPr>
          <w:p w14:paraId="105C91DF" w14:textId="77777777" w:rsidR="00FE7F8B" w:rsidRDefault="00FE7F8B">
            <w:pPr>
              <w:pStyle w:val="Tabletotal"/>
              <w:jc w:val="right"/>
              <w:rPr>
                <w:b w:val="0"/>
              </w:rPr>
            </w:pPr>
            <w:r>
              <w:rPr>
                <w:b w:val="0"/>
              </w:rPr>
              <w:t>(21.7)</w:t>
            </w:r>
          </w:p>
        </w:tc>
      </w:tr>
      <w:tr w:rsidR="00FE7F8B" w14:paraId="43A43DD4" w14:textId="77777777" w:rsidTr="00FE7F8B">
        <w:tc>
          <w:tcPr>
            <w:tcW w:w="3000" w:type="pct"/>
            <w:tcBorders>
              <w:top w:val="single" w:sz="6" w:space="0" w:color="auto"/>
              <w:left w:val="nil"/>
              <w:bottom w:val="nil"/>
              <w:right w:val="nil"/>
            </w:tcBorders>
            <w:shd w:val="clear" w:color="auto" w:fill="FFFFFF"/>
            <w:vAlign w:val="center"/>
            <w:hideMark/>
          </w:tcPr>
          <w:p w14:paraId="32686813" w14:textId="77777777" w:rsidR="00FE7F8B" w:rsidRDefault="00FE7F8B">
            <w:pPr>
              <w:pStyle w:val="Tabletotal"/>
            </w:pPr>
            <w:r>
              <w:t>Net result</w:t>
            </w:r>
          </w:p>
        </w:tc>
        <w:tc>
          <w:tcPr>
            <w:tcW w:w="500" w:type="pct"/>
            <w:tcBorders>
              <w:top w:val="single" w:sz="6" w:space="0" w:color="auto"/>
              <w:left w:val="nil"/>
              <w:bottom w:val="nil"/>
              <w:right w:val="nil"/>
            </w:tcBorders>
            <w:shd w:val="clear" w:color="auto" w:fill="FFFFFF"/>
            <w:vAlign w:val="center"/>
          </w:tcPr>
          <w:p w14:paraId="6A6D6DA0" w14:textId="77777777" w:rsidR="00FE7F8B" w:rsidRDefault="00FE7F8B">
            <w:pPr>
              <w:pStyle w:val="Tabletotal"/>
            </w:pPr>
          </w:p>
        </w:tc>
        <w:tc>
          <w:tcPr>
            <w:tcW w:w="750" w:type="pct"/>
            <w:tcBorders>
              <w:top w:val="single" w:sz="6" w:space="0" w:color="auto"/>
              <w:left w:val="nil"/>
              <w:bottom w:val="nil"/>
              <w:right w:val="nil"/>
            </w:tcBorders>
            <w:shd w:val="clear" w:color="auto" w:fill="F2F2F2" w:themeFill="background1" w:themeFillShade="F2"/>
            <w:vAlign w:val="bottom"/>
            <w:hideMark/>
          </w:tcPr>
          <w:p w14:paraId="03139355" w14:textId="77777777" w:rsidR="00FE7F8B" w:rsidRDefault="00FE7F8B">
            <w:pPr>
              <w:pStyle w:val="Tabletotal"/>
              <w:jc w:val="right"/>
            </w:pPr>
            <w:r>
              <w:t>182.5</w:t>
            </w:r>
          </w:p>
        </w:tc>
        <w:tc>
          <w:tcPr>
            <w:tcW w:w="750" w:type="pct"/>
            <w:tcBorders>
              <w:top w:val="single" w:sz="6" w:space="0" w:color="auto"/>
              <w:left w:val="nil"/>
              <w:bottom w:val="nil"/>
              <w:right w:val="nil"/>
            </w:tcBorders>
            <w:vAlign w:val="bottom"/>
            <w:hideMark/>
          </w:tcPr>
          <w:p w14:paraId="2107CF31" w14:textId="77777777" w:rsidR="00FE7F8B" w:rsidRDefault="00FE7F8B">
            <w:pPr>
              <w:pStyle w:val="Tabletotal"/>
              <w:jc w:val="right"/>
              <w:rPr>
                <w:b w:val="0"/>
              </w:rPr>
            </w:pPr>
            <w:r>
              <w:rPr>
                <w:b w:val="0"/>
              </w:rPr>
              <w:t>158.8</w:t>
            </w:r>
          </w:p>
        </w:tc>
      </w:tr>
      <w:tr w:rsidR="00FE7F8B" w14:paraId="35E75573" w14:textId="77777777" w:rsidTr="00FE7F8B">
        <w:tc>
          <w:tcPr>
            <w:tcW w:w="3000" w:type="pct"/>
            <w:shd w:val="clear" w:color="auto" w:fill="FFFFFF"/>
            <w:vAlign w:val="center"/>
            <w:hideMark/>
          </w:tcPr>
          <w:p w14:paraId="0EE4D33F" w14:textId="014DA18E" w:rsidR="00FE7F8B" w:rsidRDefault="00FE7F8B">
            <w:pPr>
              <w:pStyle w:val="Tabletextnoindenttight"/>
              <w:rPr>
                <w:lang w:eastAsia="en-US"/>
              </w:rPr>
            </w:pPr>
            <w:r>
              <w:rPr>
                <w:b/>
                <w:lang w:eastAsia="en-US"/>
              </w:rPr>
              <w:t xml:space="preserve">Other economic flows—other comprehensive income </w:t>
            </w:r>
            <w:r w:rsidR="00095D69">
              <w:rPr>
                <w:b/>
                <w:lang w:eastAsia="en-US"/>
              </w:rPr>
              <w:t xml:space="preserve">Items </w:t>
            </w:r>
            <w:r>
              <w:rPr>
                <w:b/>
                <w:lang w:eastAsia="en-US"/>
              </w:rPr>
              <w:t>that will not be classified to net result</w:t>
            </w:r>
          </w:p>
        </w:tc>
        <w:tc>
          <w:tcPr>
            <w:tcW w:w="500" w:type="pct"/>
            <w:shd w:val="clear" w:color="auto" w:fill="FFFFFF"/>
            <w:noWrap/>
            <w:vAlign w:val="bottom"/>
          </w:tcPr>
          <w:p w14:paraId="7B88DA92" w14:textId="77777777" w:rsidR="00FE7F8B" w:rsidRDefault="00FE7F8B">
            <w:pPr>
              <w:pStyle w:val="Tablerowheading"/>
              <w:jc w:val="center"/>
            </w:pPr>
          </w:p>
        </w:tc>
        <w:tc>
          <w:tcPr>
            <w:tcW w:w="750" w:type="pct"/>
            <w:shd w:val="clear" w:color="auto" w:fill="F2F2F2" w:themeFill="background1" w:themeFillShade="F2"/>
            <w:noWrap/>
            <w:vAlign w:val="bottom"/>
            <w:hideMark/>
          </w:tcPr>
          <w:p w14:paraId="4C360634" w14:textId="77777777" w:rsidR="00FE7F8B" w:rsidRDefault="00FE7F8B"/>
        </w:tc>
        <w:tc>
          <w:tcPr>
            <w:tcW w:w="750" w:type="pct"/>
            <w:noWrap/>
            <w:vAlign w:val="bottom"/>
            <w:hideMark/>
          </w:tcPr>
          <w:p w14:paraId="4F98D9C6"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4DBFFAE5" w14:textId="77777777" w:rsidTr="00FE7F8B">
        <w:tc>
          <w:tcPr>
            <w:tcW w:w="3000" w:type="pct"/>
            <w:tcBorders>
              <w:top w:val="nil"/>
              <w:left w:val="nil"/>
              <w:bottom w:val="single" w:sz="4" w:space="0" w:color="auto"/>
              <w:right w:val="nil"/>
            </w:tcBorders>
            <w:shd w:val="clear" w:color="auto" w:fill="FFFFFF"/>
            <w:noWrap/>
            <w:vAlign w:val="bottom"/>
            <w:hideMark/>
          </w:tcPr>
          <w:p w14:paraId="06C5F26D" w14:textId="77777777" w:rsidR="00FE7F8B" w:rsidRDefault="00FE7F8B">
            <w:pPr>
              <w:pStyle w:val="Tabletextnoindenttight"/>
              <w:rPr>
                <w:lang w:eastAsia="en-US"/>
              </w:rPr>
            </w:pPr>
            <w:r>
              <w:rPr>
                <w:lang w:eastAsia="en-US"/>
              </w:rPr>
              <w:t>Changes in physical asset revaluation surplus</w:t>
            </w:r>
          </w:p>
        </w:tc>
        <w:tc>
          <w:tcPr>
            <w:tcW w:w="500" w:type="pct"/>
            <w:tcBorders>
              <w:top w:val="nil"/>
              <w:left w:val="nil"/>
              <w:bottom w:val="single" w:sz="4" w:space="0" w:color="auto"/>
              <w:right w:val="nil"/>
            </w:tcBorders>
            <w:shd w:val="clear" w:color="auto" w:fill="FFFFFF"/>
            <w:vAlign w:val="bottom"/>
            <w:hideMark/>
          </w:tcPr>
          <w:p w14:paraId="72F1E44F" w14:textId="77777777" w:rsidR="00FE7F8B" w:rsidRDefault="00FE7F8B">
            <w:pPr>
              <w:pStyle w:val="Tabletextnoindenttight"/>
              <w:jc w:val="center"/>
              <w:rPr>
                <w:lang w:eastAsia="en-US"/>
              </w:rPr>
            </w:pPr>
            <w:r>
              <w:rPr>
                <w:lang w:eastAsia="en-US"/>
              </w:rPr>
              <w:t>16</w:t>
            </w:r>
          </w:p>
        </w:tc>
        <w:tc>
          <w:tcPr>
            <w:tcW w:w="750" w:type="pct"/>
            <w:tcBorders>
              <w:top w:val="nil"/>
              <w:left w:val="nil"/>
              <w:bottom w:val="single" w:sz="4" w:space="0" w:color="auto"/>
              <w:right w:val="nil"/>
            </w:tcBorders>
            <w:shd w:val="clear" w:color="auto" w:fill="F2F2F2" w:themeFill="background1" w:themeFillShade="F2"/>
            <w:vAlign w:val="bottom"/>
            <w:hideMark/>
          </w:tcPr>
          <w:p w14:paraId="44D0AB0D" w14:textId="77777777" w:rsidR="00FE7F8B" w:rsidRDefault="00FE7F8B">
            <w:pPr>
              <w:pStyle w:val="Tabletextnoindenttight"/>
              <w:jc w:val="right"/>
              <w:rPr>
                <w:lang w:eastAsia="en-US"/>
              </w:rPr>
            </w:pPr>
            <w:r>
              <w:rPr>
                <w:b/>
                <w:bCs/>
                <w:sz w:val="18"/>
                <w:lang w:val="en-US" w:eastAsia="en-US"/>
              </w:rPr>
              <w:t>3,018.4</w:t>
            </w:r>
          </w:p>
        </w:tc>
        <w:tc>
          <w:tcPr>
            <w:tcW w:w="750" w:type="pct"/>
            <w:tcBorders>
              <w:top w:val="nil"/>
              <w:left w:val="nil"/>
              <w:bottom w:val="single" w:sz="4" w:space="0" w:color="auto"/>
              <w:right w:val="nil"/>
            </w:tcBorders>
            <w:vAlign w:val="bottom"/>
            <w:hideMark/>
          </w:tcPr>
          <w:p w14:paraId="143EF169" w14:textId="77777777" w:rsidR="00FE7F8B" w:rsidRDefault="00FE7F8B">
            <w:pPr>
              <w:pStyle w:val="Tabletextnoindenttight"/>
              <w:jc w:val="right"/>
              <w:rPr>
                <w:lang w:eastAsia="en-US"/>
              </w:rPr>
            </w:pPr>
            <w:r>
              <w:rPr>
                <w:lang w:eastAsia="en-US"/>
              </w:rPr>
              <w:t>815.5</w:t>
            </w:r>
          </w:p>
        </w:tc>
      </w:tr>
      <w:tr w:rsidR="00FE7F8B" w14:paraId="677F955B" w14:textId="77777777" w:rsidTr="00A45B59">
        <w:tc>
          <w:tcPr>
            <w:tcW w:w="3000" w:type="pct"/>
            <w:tcBorders>
              <w:top w:val="single" w:sz="4" w:space="0" w:color="auto"/>
              <w:left w:val="nil"/>
              <w:bottom w:val="single" w:sz="4" w:space="0" w:color="auto"/>
              <w:right w:val="nil"/>
            </w:tcBorders>
            <w:shd w:val="clear" w:color="auto" w:fill="FFFFFF"/>
            <w:vAlign w:val="center"/>
            <w:hideMark/>
          </w:tcPr>
          <w:p w14:paraId="59091468" w14:textId="77777777" w:rsidR="00FE7F8B" w:rsidRDefault="00FE7F8B">
            <w:pPr>
              <w:pStyle w:val="Tabletotal"/>
            </w:pPr>
            <w:r>
              <w:t>Total other economic flows—other comprehensive income</w:t>
            </w:r>
          </w:p>
        </w:tc>
        <w:tc>
          <w:tcPr>
            <w:tcW w:w="500" w:type="pct"/>
            <w:tcBorders>
              <w:top w:val="single" w:sz="4" w:space="0" w:color="auto"/>
              <w:left w:val="nil"/>
              <w:bottom w:val="single" w:sz="4" w:space="0" w:color="auto"/>
              <w:right w:val="nil"/>
            </w:tcBorders>
            <w:shd w:val="clear" w:color="auto" w:fill="FFFFFF"/>
            <w:noWrap/>
            <w:vAlign w:val="bottom"/>
          </w:tcPr>
          <w:p w14:paraId="4C60C53A" w14:textId="77777777" w:rsidR="00FE7F8B" w:rsidRDefault="00FE7F8B">
            <w:pPr>
              <w:pStyle w:val="Tabletotal"/>
              <w:jc w:val="right"/>
            </w:pPr>
          </w:p>
        </w:tc>
        <w:tc>
          <w:tcPr>
            <w:tcW w:w="750" w:type="pct"/>
            <w:tcBorders>
              <w:top w:val="single" w:sz="4" w:space="0" w:color="auto"/>
              <w:left w:val="nil"/>
              <w:bottom w:val="single" w:sz="4" w:space="0" w:color="auto"/>
              <w:right w:val="nil"/>
            </w:tcBorders>
            <w:shd w:val="clear" w:color="auto" w:fill="F2F2F2" w:themeFill="background1" w:themeFillShade="F2"/>
            <w:vAlign w:val="bottom"/>
            <w:hideMark/>
          </w:tcPr>
          <w:p w14:paraId="377B2E0B" w14:textId="77777777" w:rsidR="00FE7F8B" w:rsidRDefault="00FE7F8B">
            <w:pPr>
              <w:pStyle w:val="Tabletotal"/>
              <w:jc w:val="right"/>
            </w:pPr>
            <w:r>
              <w:rPr>
                <w:bCs/>
                <w:sz w:val="18"/>
                <w:szCs w:val="18"/>
                <w:lang w:val="en-US"/>
              </w:rPr>
              <w:t>3,018.4</w:t>
            </w:r>
          </w:p>
        </w:tc>
        <w:tc>
          <w:tcPr>
            <w:tcW w:w="750" w:type="pct"/>
            <w:tcBorders>
              <w:top w:val="single" w:sz="4" w:space="0" w:color="auto"/>
              <w:left w:val="nil"/>
              <w:bottom w:val="single" w:sz="4" w:space="0" w:color="auto"/>
              <w:right w:val="nil"/>
            </w:tcBorders>
            <w:vAlign w:val="bottom"/>
            <w:hideMark/>
          </w:tcPr>
          <w:p w14:paraId="0BA22C06" w14:textId="77777777" w:rsidR="00FE7F8B" w:rsidRDefault="00FE7F8B">
            <w:pPr>
              <w:pStyle w:val="Tabletotal"/>
              <w:jc w:val="right"/>
              <w:rPr>
                <w:b w:val="0"/>
              </w:rPr>
            </w:pPr>
            <w:r>
              <w:rPr>
                <w:b w:val="0"/>
              </w:rPr>
              <w:t>815.5</w:t>
            </w:r>
          </w:p>
        </w:tc>
      </w:tr>
      <w:tr w:rsidR="00FE7F8B" w14:paraId="1EF7ECEA" w14:textId="77777777" w:rsidTr="00A45B59">
        <w:tc>
          <w:tcPr>
            <w:tcW w:w="3000" w:type="pct"/>
            <w:tcBorders>
              <w:top w:val="single" w:sz="4" w:space="0" w:color="auto"/>
              <w:left w:val="nil"/>
              <w:right w:val="nil"/>
            </w:tcBorders>
            <w:shd w:val="clear" w:color="auto" w:fill="FFFFFF"/>
            <w:vAlign w:val="center"/>
            <w:hideMark/>
          </w:tcPr>
          <w:p w14:paraId="2491A039" w14:textId="77777777" w:rsidR="00FE7F8B" w:rsidRDefault="00FE7F8B">
            <w:pPr>
              <w:pStyle w:val="Tabletotal"/>
            </w:pPr>
            <w:r>
              <w:t>Comprehensive result</w:t>
            </w:r>
          </w:p>
        </w:tc>
        <w:tc>
          <w:tcPr>
            <w:tcW w:w="500" w:type="pct"/>
            <w:tcBorders>
              <w:top w:val="single" w:sz="4" w:space="0" w:color="auto"/>
              <w:left w:val="nil"/>
              <w:right w:val="nil"/>
            </w:tcBorders>
            <w:shd w:val="clear" w:color="auto" w:fill="FFFFFF"/>
            <w:noWrap/>
            <w:vAlign w:val="bottom"/>
          </w:tcPr>
          <w:p w14:paraId="01BC6E39" w14:textId="77777777" w:rsidR="00FE7F8B" w:rsidRDefault="00FE7F8B">
            <w:pPr>
              <w:pStyle w:val="Tabletotal"/>
              <w:jc w:val="center"/>
            </w:pPr>
          </w:p>
        </w:tc>
        <w:tc>
          <w:tcPr>
            <w:tcW w:w="750" w:type="pct"/>
            <w:tcBorders>
              <w:top w:val="single" w:sz="4" w:space="0" w:color="auto"/>
              <w:left w:val="nil"/>
              <w:right w:val="nil"/>
            </w:tcBorders>
            <w:shd w:val="clear" w:color="auto" w:fill="F2F2F2" w:themeFill="background1" w:themeFillShade="F2"/>
            <w:vAlign w:val="bottom"/>
            <w:hideMark/>
          </w:tcPr>
          <w:p w14:paraId="34DD2712" w14:textId="77777777" w:rsidR="00FE7F8B" w:rsidRDefault="00FE7F8B">
            <w:pPr>
              <w:pStyle w:val="Tabletotal"/>
              <w:jc w:val="right"/>
            </w:pPr>
            <w:r>
              <w:rPr>
                <w:bCs/>
                <w:sz w:val="18"/>
                <w:szCs w:val="18"/>
                <w:lang w:val="en-US"/>
              </w:rPr>
              <w:t>3,200.9</w:t>
            </w:r>
          </w:p>
        </w:tc>
        <w:tc>
          <w:tcPr>
            <w:tcW w:w="750" w:type="pct"/>
            <w:tcBorders>
              <w:top w:val="single" w:sz="4" w:space="0" w:color="auto"/>
              <w:left w:val="nil"/>
              <w:right w:val="nil"/>
            </w:tcBorders>
            <w:vAlign w:val="bottom"/>
            <w:hideMark/>
          </w:tcPr>
          <w:p w14:paraId="2330B762" w14:textId="77777777" w:rsidR="00FE7F8B" w:rsidRDefault="00FE7F8B">
            <w:pPr>
              <w:pStyle w:val="Tabletotal"/>
              <w:jc w:val="right"/>
              <w:rPr>
                <w:b w:val="0"/>
              </w:rPr>
            </w:pPr>
            <w:r>
              <w:rPr>
                <w:b w:val="0"/>
              </w:rPr>
              <w:t>974.3</w:t>
            </w:r>
          </w:p>
        </w:tc>
      </w:tr>
    </w:tbl>
    <w:p w14:paraId="28489D55" w14:textId="77777777" w:rsidR="00FE7F8B" w:rsidRDefault="00FE7F8B" w:rsidP="00FE7F8B">
      <w:pPr>
        <w:pStyle w:val="Normalaftertable"/>
      </w:pPr>
      <w:r>
        <w:t>The above comprehensive operating statement should be read in conjunction with the accompanying notes.</w:t>
      </w:r>
      <w:bookmarkStart w:id="18" w:name="_Toc400358565"/>
      <w:bookmarkStart w:id="19" w:name="_Toc399496171"/>
      <w:bookmarkStart w:id="20" w:name="_Toc398724637"/>
      <w:bookmarkStart w:id="21" w:name="_Toc398724577"/>
    </w:p>
    <w:p w14:paraId="04C894EF" w14:textId="77777777" w:rsidR="00FE7F8B" w:rsidRDefault="00FE7F8B" w:rsidP="00FE7F8B">
      <w:pPr>
        <w:spacing w:after="200" w:line="276" w:lineRule="auto"/>
      </w:pPr>
      <w:r>
        <w:br w:type="page"/>
      </w:r>
    </w:p>
    <w:p w14:paraId="1E063A24" w14:textId="77777777" w:rsidR="00FE7F8B" w:rsidRDefault="00FE7F8B" w:rsidP="00FE7F8B">
      <w:pPr>
        <w:pStyle w:val="Heading2financialstatements"/>
      </w:pPr>
      <w:bookmarkStart w:id="22" w:name="_Toc463620817"/>
      <w:bookmarkStart w:id="23" w:name="balancesheet"/>
      <w:r>
        <w:t>Balance sheet as at 30 June 201</w:t>
      </w:r>
      <w:bookmarkEnd w:id="18"/>
      <w:bookmarkEnd w:id="19"/>
      <w:bookmarkEnd w:id="20"/>
      <w:bookmarkEnd w:id="21"/>
      <w:r>
        <w:t>6</w:t>
      </w:r>
      <w:bookmarkEnd w:id="22"/>
    </w:p>
    <w:bookmarkEnd w:id="23"/>
    <w:tbl>
      <w:tblPr>
        <w:tblW w:w="5000" w:type="pct"/>
        <w:tblLook w:val="04A0" w:firstRow="1" w:lastRow="0" w:firstColumn="1" w:lastColumn="0" w:noHBand="0" w:noVBand="1"/>
      </w:tblPr>
      <w:tblGrid>
        <w:gridCol w:w="4035"/>
        <w:gridCol w:w="886"/>
        <w:gridCol w:w="1334"/>
        <w:gridCol w:w="1334"/>
      </w:tblGrid>
      <w:tr w:rsidR="00FE7F8B" w14:paraId="041C0AFA" w14:textId="77777777" w:rsidTr="00FE7F8B">
        <w:trPr>
          <w:trHeight w:val="720"/>
        </w:trPr>
        <w:tc>
          <w:tcPr>
            <w:tcW w:w="2658" w:type="pct"/>
            <w:shd w:val="clear" w:color="auto" w:fill="7F7F7F" w:themeFill="text1" w:themeFillTint="80"/>
            <w:vAlign w:val="bottom"/>
          </w:tcPr>
          <w:p w14:paraId="6FF13C16" w14:textId="77777777" w:rsidR="00FE7F8B" w:rsidRDefault="00FE7F8B">
            <w:pPr>
              <w:pStyle w:val="Tablecolumnheading"/>
              <w:jc w:val="center"/>
              <w:rPr>
                <w:lang w:eastAsia="en-AU"/>
              </w:rPr>
            </w:pPr>
          </w:p>
        </w:tc>
        <w:tc>
          <w:tcPr>
            <w:tcW w:w="584" w:type="pct"/>
            <w:shd w:val="clear" w:color="auto" w:fill="7F7F7F" w:themeFill="text1" w:themeFillTint="80"/>
            <w:vAlign w:val="bottom"/>
            <w:hideMark/>
          </w:tcPr>
          <w:p w14:paraId="149AFD00" w14:textId="77777777" w:rsidR="00FE7F8B" w:rsidRDefault="00FE7F8B">
            <w:pPr>
              <w:pStyle w:val="Tablecolumnheading"/>
              <w:jc w:val="center"/>
              <w:rPr>
                <w:lang w:eastAsia="en-AU"/>
              </w:rPr>
            </w:pPr>
            <w:r>
              <w:rPr>
                <w:lang w:eastAsia="en-AU"/>
              </w:rPr>
              <w:t>Note</w:t>
            </w:r>
          </w:p>
        </w:tc>
        <w:tc>
          <w:tcPr>
            <w:tcW w:w="879" w:type="pct"/>
            <w:shd w:val="clear" w:color="auto" w:fill="7F7F7F" w:themeFill="text1" w:themeFillTint="80"/>
            <w:vAlign w:val="bottom"/>
            <w:hideMark/>
          </w:tcPr>
          <w:p w14:paraId="18E896C9" w14:textId="77777777" w:rsidR="00FE7F8B" w:rsidRDefault="00FE7F8B">
            <w:pPr>
              <w:pStyle w:val="Tablecolumnheading"/>
              <w:jc w:val="center"/>
              <w:rPr>
                <w:lang w:eastAsia="en-AU"/>
              </w:rPr>
            </w:pPr>
            <w:r>
              <w:rPr>
                <w:lang w:eastAsia="en-AU"/>
              </w:rPr>
              <w:t>2016</w:t>
            </w:r>
            <w:r>
              <w:rPr>
                <w:lang w:eastAsia="en-AU"/>
              </w:rPr>
              <w:br/>
              <w:t>$m</w:t>
            </w:r>
          </w:p>
        </w:tc>
        <w:tc>
          <w:tcPr>
            <w:tcW w:w="879" w:type="pct"/>
            <w:shd w:val="clear" w:color="auto" w:fill="7F7F7F" w:themeFill="text1" w:themeFillTint="80"/>
            <w:vAlign w:val="bottom"/>
            <w:hideMark/>
          </w:tcPr>
          <w:p w14:paraId="2DED4FD3" w14:textId="77777777" w:rsidR="00FE7F8B" w:rsidRDefault="00FE7F8B">
            <w:pPr>
              <w:pStyle w:val="Tablecolumnheading"/>
              <w:jc w:val="center"/>
              <w:rPr>
                <w:lang w:eastAsia="en-AU"/>
              </w:rPr>
            </w:pPr>
            <w:r>
              <w:rPr>
                <w:lang w:eastAsia="en-AU"/>
              </w:rPr>
              <w:t>2015</w:t>
            </w:r>
            <w:r>
              <w:rPr>
                <w:lang w:eastAsia="en-AU"/>
              </w:rPr>
              <w:br/>
              <w:t>$m</w:t>
            </w:r>
          </w:p>
        </w:tc>
      </w:tr>
      <w:tr w:rsidR="00FE7F8B" w14:paraId="2BA75342" w14:textId="77777777" w:rsidTr="00FE7F8B">
        <w:tc>
          <w:tcPr>
            <w:tcW w:w="2658" w:type="pct"/>
            <w:shd w:val="clear" w:color="auto" w:fill="FFFFFF"/>
            <w:hideMark/>
          </w:tcPr>
          <w:p w14:paraId="42DDCA93" w14:textId="77777777" w:rsidR="00FE7F8B" w:rsidRDefault="00FE7F8B">
            <w:pPr>
              <w:pStyle w:val="Tablerowheading"/>
            </w:pPr>
            <w:r>
              <w:t>Assets</w:t>
            </w:r>
          </w:p>
        </w:tc>
        <w:tc>
          <w:tcPr>
            <w:tcW w:w="584" w:type="pct"/>
            <w:shd w:val="clear" w:color="auto" w:fill="FFFFFF"/>
          </w:tcPr>
          <w:p w14:paraId="51B13441" w14:textId="77777777" w:rsidR="00FE7F8B" w:rsidRDefault="00FE7F8B">
            <w:pPr>
              <w:pStyle w:val="Tablerowheading"/>
              <w:jc w:val="center"/>
            </w:pPr>
          </w:p>
        </w:tc>
        <w:tc>
          <w:tcPr>
            <w:tcW w:w="879" w:type="pct"/>
            <w:shd w:val="clear" w:color="auto" w:fill="F2F2F2" w:themeFill="background1" w:themeFillShade="F2"/>
            <w:hideMark/>
          </w:tcPr>
          <w:p w14:paraId="162E8D10" w14:textId="77777777" w:rsidR="00FE7F8B" w:rsidRDefault="00FE7F8B"/>
        </w:tc>
        <w:tc>
          <w:tcPr>
            <w:tcW w:w="879" w:type="pct"/>
            <w:hideMark/>
          </w:tcPr>
          <w:p w14:paraId="12E6646D"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393CD6DA" w14:textId="77777777" w:rsidTr="00FE7F8B">
        <w:tc>
          <w:tcPr>
            <w:tcW w:w="2658" w:type="pct"/>
            <w:shd w:val="clear" w:color="auto" w:fill="FFFFFF"/>
            <w:vAlign w:val="center"/>
            <w:hideMark/>
          </w:tcPr>
          <w:p w14:paraId="4D31E484" w14:textId="77777777" w:rsidR="00FE7F8B" w:rsidRDefault="00FE7F8B">
            <w:pPr>
              <w:pStyle w:val="Tablesubheadingitalic"/>
            </w:pPr>
            <w:r>
              <w:t>Financial assets</w:t>
            </w:r>
          </w:p>
        </w:tc>
        <w:tc>
          <w:tcPr>
            <w:tcW w:w="584" w:type="pct"/>
            <w:shd w:val="clear" w:color="auto" w:fill="FFFFFF"/>
            <w:vAlign w:val="center"/>
          </w:tcPr>
          <w:p w14:paraId="0E18781E" w14:textId="77777777" w:rsidR="00FE7F8B" w:rsidRDefault="00FE7F8B">
            <w:pPr>
              <w:pStyle w:val="Tablesubheadingitalic"/>
              <w:jc w:val="center"/>
            </w:pPr>
          </w:p>
        </w:tc>
        <w:tc>
          <w:tcPr>
            <w:tcW w:w="879" w:type="pct"/>
            <w:shd w:val="clear" w:color="auto" w:fill="F2F2F2" w:themeFill="background1" w:themeFillShade="F2"/>
            <w:vAlign w:val="center"/>
            <w:hideMark/>
          </w:tcPr>
          <w:p w14:paraId="5BC4DA68" w14:textId="77777777" w:rsidR="00FE7F8B" w:rsidRDefault="00FE7F8B"/>
        </w:tc>
        <w:tc>
          <w:tcPr>
            <w:tcW w:w="879" w:type="pct"/>
            <w:vAlign w:val="center"/>
            <w:hideMark/>
          </w:tcPr>
          <w:p w14:paraId="29FBBADF"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58E95EB7" w14:textId="77777777" w:rsidTr="00FE7F8B">
        <w:tc>
          <w:tcPr>
            <w:tcW w:w="2658" w:type="pct"/>
            <w:shd w:val="clear" w:color="auto" w:fill="FFFFFF"/>
            <w:vAlign w:val="center"/>
            <w:hideMark/>
          </w:tcPr>
          <w:p w14:paraId="6E0B3ADD" w14:textId="77777777" w:rsidR="00FE7F8B" w:rsidRDefault="00FE7F8B">
            <w:pPr>
              <w:pStyle w:val="Tabletextnoindent"/>
            </w:pPr>
            <w:r>
              <w:t>Cash and deposits</w:t>
            </w:r>
          </w:p>
        </w:tc>
        <w:tc>
          <w:tcPr>
            <w:tcW w:w="584" w:type="pct"/>
            <w:shd w:val="clear" w:color="auto" w:fill="FFFFFF"/>
            <w:vAlign w:val="bottom"/>
            <w:hideMark/>
          </w:tcPr>
          <w:p w14:paraId="3FDE300A" w14:textId="77777777" w:rsidR="00FE7F8B" w:rsidRDefault="00FE7F8B">
            <w:pPr>
              <w:pStyle w:val="Tabletextnoindent"/>
              <w:jc w:val="center"/>
            </w:pPr>
            <w:r>
              <w:t>7</w:t>
            </w:r>
          </w:p>
        </w:tc>
        <w:tc>
          <w:tcPr>
            <w:tcW w:w="879" w:type="pct"/>
            <w:shd w:val="clear" w:color="auto" w:fill="F2F2F2" w:themeFill="background1" w:themeFillShade="F2"/>
            <w:vAlign w:val="bottom"/>
            <w:hideMark/>
          </w:tcPr>
          <w:p w14:paraId="49E5BDEF" w14:textId="77777777" w:rsidR="00FE7F8B" w:rsidRDefault="00FE7F8B">
            <w:pPr>
              <w:pStyle w:val="Tabletextnoindent"/>
              <w:jc w:val="right"/>
            </w:pPr>
            <w:r>
              <w:rPr>
                <w:b/>
                <w:bCs/>
                <w:sz w:val="18"/>
                <w:lang w:val="en-US"/>
              </w:rPr>
              <w:t>703.3</w:t>
            </w:r>
          </w:p>
        </w:tc>
        <w:tc>
          <w:tcPr>
            <w:tcW w:w="879" w:type="pct"/>
            <w:vAlign w:val="bottom"/>
            <w:hideMark/>
          </w:tcPr>
          <w:p w14:paraId="0DB44C8C" w14:textId="77777777" w:rsidR="00FE7F8B" w:rsidRDefault="00FE7F8B">
            <w:pPr>
              <w:pStyle w:val="Tabletextnoindent"/>
              <w:jc w:val="right"/>
            </w:pPr>
            <w:r>
              <w:t>715.3</w:t>
            </w:r>
          </w:p>
        </w:tc>
      </w:tr>
      <w:tr w:rsidR="00FE7F8B" w14:paraId="4908052C" w14:textId="77777777" w:rsidTr="00FE7F8B">
        <w:tc>
          <w:tcPr>
            <w:tcW w:w="2658" w:type="pct"/>
            <w:shd w:val="clear" w:color="auto" w:fill="FFFFFF"/>
            <w:vAlign w:val="center"/>
            <w:hideMark/>
          </w:tcPr>
          <w:p w14:paraId="0BE373BE" w14:textId="77777777" w:rsidR="00FE7F8B" w:rsidRDefault="00FE7F8B">
            <w:pPr>
              <w:pStyle w:val="Tabletextnoindent"/>
            </w:pPr>
            <w:r>
              <w:t>Receivables</w:t>
            </w:r>
          </w:p>
        </w:tc>
        <w:tc>
          <w:tcPr>
            <w:tcW w:w="584" w:type="pct"/>
            <w:vAlign w:val="bottom"/>
            <w:hideMark/>
          </w:tcPr>
          <w:p w14:paraId="2FDBEAA9" w14:textId="77777777" w:rsidR="00FE7F8B" w:rsidRDefault="00FE7F8B">
            <w:pPr>
              <w:pStyle w:val="Tabletextnoindent"/>
              <w:jc w:val="center"/>
            </w:pPr>
            <w:r>
              <w:t>8</w:t>
            </w:r>
          </w:p>
        </w:tc>
        <w:tc>
          <w:tcPr>
            <w:tcW w:w="879" w:type="pct"/>
            <w:shd w:val="clear" w:color="auto" w:fill="F2F2F2" w:themeFill="background1" w:themeFillShade="F2"/>
            <w:vAlign w:val="bottom"/>
            <w:hideMark/>
          </w:tcPr>
          <w:p w14:paraId="22C6166F" w14:textId="77777777" w:rsidR="00FE7F8B" w:rsidRDefault="00FE7F8B">
            <w:pPr>
              <w:pStyle w:val="Tabletextnoindent"/>
              <w:jc w:val="right"/>
            </w:pPr>
            <w:r>
              <w:rPr>
                <w:b/>
                <w:bCs/>
                <w:sz w:val="18"/>
                <w:lang w:val="en-US"/>
              </w:rPr>
              <w:t>1,990.8</w:t>
            </w:r>
          </w:p>
        </w:tc>
        <w:tc>
          <w:tcPr>
            <w:tcW w:w="879" w:type="pct"/>
            <w:vAlign w:val="bottom"/>
            <w:hideMark/>
          </w:tcPr>
          <w:p w14:paraId="24576D47" w14:textId="77777777" w:rsidR="00FE7F8B" w:rsidRDefault="00FE7F8B">
            <w:pPr>
              <w:pStyle w:val="Tabletextnoindent"/>
              <w:jc w:val="right"/>
            </w:pPr>
            <w:r>
              <w:t>1,725.9</w:t>
            </w:r>
          </w:p>
        </w:tc>
      </w:tr>
      <w:tr w:rsidR="00FE7F8B" w14:paraId="0980FBC9" w14:textId="77777777" w:rsidTr="00FE7F8B">
        <w:tc>
          <w:tcPr>
            <w:tcW w:w="2658" w:type="pct"/>
            <w:tcBorders>
              <w:top w:val="nil"/>
              <w:left w:val="nil"/>
              <w:bottom w:val="single" w:sz="4" w:space="0" w:color="auto"/>
              <w:right w:val="nil"/>
            </w:tcBorders>
            <w:shd w:val="clear" w:color="auto" w:fill="FFFFFF"/>
            <w:vAlign w:val="center"/>
            <w:hideMark/>
          </w:tcPr>
          <w:p w14:paraId="53BB54A8" w14:textId="77777777" w:rsidR="00FE7F8B" w:rsidRDefault="00FE7F8B">
            <w:pPr>
              <w:pStyle w:val="Tabletextnoindent"/>
            </w:pPr>
            <w:r>
              <w:t>Other financial assets</w:t>
            </w:r>
          </w:p>
        </w:tc>
        <w:tc>
          <w:tcPr>
            <w:tcW w:w="584" w:type="pct"/>
            <w:tcBorders>
              <w:top w:val="nil"/>
              <w:left w:val="nil"/>
              <w:bottom w:val="single" w:sz="4" w:space="0" w:color="auto"/>
              <w:right w:val="nil"/>
            </w:tcBorders>
            <w:shd w:val="clear" w:color="auto" w:fill="FFFFFF"/>
            <w:vAlign w:val="bottom"/>
            <w:hideMark/>
          </w:tcPr>
          <w:p w14:paraId="54AB8B8B" w14:textId="77777777" w:rsidR="00FE7F8B" w:rsidRDefault="00FE7F8B">
            <w:pPr>
              <w:pStyle w:val="Tabletextnoindent"/>
              <w:jc w:val="center"/>
            </w:pPr>
            <w:r>
              <w:t>7</w:t>
            </w:r>
          </w:p>
        </w:tc>
        <w:tc>
          <w:tcPr>
            <w:tcW w:w="879" w:type="pct"/>
            <w:tcBorders>
              <w:top w:val="nil"/>
              <w:left w:val="nil"/>
              <w:bottom w:val="single" w:sz="4" w:space="0" w:color="auto"/>
              <w:right w:val="nil"/>
            </w:tcBorders>
            <w:shd w:val="clear" w:color="auto" w:fill="F2F2F2" w:themeFill="background1" w:themeFillShade="F2"/>
            <w:vAlign w:val="bottom"/>
            <w:hideMark/>
          </w:tcPr>
          <w:p w14:paraId="54153D85" w14:textId="77777777" w:rsidR="00FE7F8B" w:rsidRDefault="00FE7F8B">
            <w:pPr>
              <w:pStyle w:val="Tabletextnoindent"/>
              <w:jc w:val="right"/>
            </w:pPr>
            <w:r>
              <w:rPr>
                <w:b/>
                <w:bCs/>
                <w:sz w:val="18"/>
                <w:lang w:val="en-US"/>
              </w:rPr>
              <w:t>274.9</w:t>
            </w:r>
          </w:p>
        </w:tc>
        <w:tc>
          <w:tcPr>
            <w:tcW w:w="879" w:type="pct"/>
            <w:tcBorders>
              <w:top w:val="nil"/>
              <w:left w:val="nil"/>
              <w:bottom w:val="single" w:sz="4" w:space="0" w:color="auto"/>
              <w:right w:val="nil"/>
            </w:tcBorders>
            <w:vAlign w:val="bottom"/>
            <w:hideMark/>
          </w:tcPr>
          <w:p w14:paraId="4DE5F1FB" w14:textId="77777777" w:rsidR="00FE7F8B" w:rsidRDefault="00FE7F8B">
            <w:pPr>
              <w:pStyle w:val="Tabletextnoindent"/>
              <w:jc w:val="right"/>
            </w:pPr>
            <w:r>
              <w:t>132.5</w:t>
            </w:r>
          </w:p>
        </w:tc>
      </w:tr>
      <w:tr w:rsidR="00FE7F8B" w14:paraId="0EE456EE" w14:textId="77777777" w:rsidTr="00FE7F8B">
        <w:tc>
          <w:tcPr>
            <w:tcW w:w="2658" w:type="pct"/>
            <w:tcBorders>
              <w:top w:val="single" w:sz="4" w:space="0" w:color="auto"/>
              <w:left w:val="nil"/>
              <w:bottom w:val="single" w:sz="4" w:space="0" w:color="auto"/>
              <w:right w:val="nil"/>
            </w:tcBorders>
            <w:shd w:val="clear" w:color="auto" w:fill="FFFFFF"/>
            <w:vAlign w:val="center"/>
            <w:hideMark/>
          </w:tcPr>
          <w:p w14:paraId="3447FA14" w14:textId="77777777" w:rsidR="00FE7F8B" w:rsidRDefault="00FE7F8B">
            <w:pPr>
              <w:pStyle w:val="Tabletotal"/>
            </w:pPr>
            <w:r>
              <w:t>Total financial assets</w:t>
            </w:r>
          </w:p>
        </w:tc>
        <w:tc>
          <w:tcPr>
            <w:tcW w:w="584" w:type="pct"/>
            <w:tcBorders>
              <w:top w:val="single" w:sz="4" w:space="0" w:color="auto"/>
              <w:left w:val="nil"/>
              <w:bottom w:val="single" w:sz="4" w:space="0" w:color="auto"/>
              <w:right w:val="nil"/>
            </w:tcBorders>
            <w:shd w:val="clear" w:color="auto" w:fill="FFFFFF"/>
            <w:vAlign w:val="bottom"/>
          </w:tcPr>
          <w:p w14:paraId="4851A39D" w14:textId="77777777" w:rsidR="00FE7F8B" w:rsidRDefault="00FE7F8B">
            <w:pPr>
              <w:pStyle w:val="Tabletotal"/>
              <w:jc w:val="center"/>
            </w:pPr>
          </w:p>
        </w:tc>
        <w:tc>
          <w:tcPr>
            <w:tcW w:w="879" w:type="pct"/>
            <w:tcBorders>
              <w:top w:val="single" w:sz="4" w:space="0" w:color="auto"/>
              <w:left w:val="nil"/>
              <w:bottom w:val="single" w:sz="4" w:space="0" w:color="auto"/>
              <w:right w:val="nil"/>
            </w:tcBorders>
            <w:shd w:val="clear" w:color="auto" w:fill="F2F2F2" w:themeFill="background1" w:themeFillShade="F2"/>
            <w:vAlign w:val="bottom"/>
            <w:hideMark/>
          </w:tcPr>
          <w:p w14:paraId="7EFE8969" w14:textId="77777777" w:rsidR="00FE7F8B" w:rsidRDefault="00FE7F8B">
            <w:pPr>
              <w:pStyle w:val="Tabletotal"/>
              <w:jc w:val="right"/>
            </w:pPr>
            <w:r>
              <w:rPr>
                <w:bCs/>
                <w:sz w:val="18"/>
                <w:szCs w:val="18"/>
                <w:lang w:val="en-US"/>
              </w:rPr>
              <w:t>2,969.0</w:t>
            </w:r>
          </w:p>
        </w:tc>
        <w:tc>
          <w:tcPr>
            <w:tcW w:w="879" w:type="pct"/>
            <w:tcBorders>
              <w:top w:val="single" w:sz="4" w:space="0" w:color="auto"/>
              <w:left w:val="nil"/>
              <w:bottom w:val="single" w:sz="4" w:space="0" w:color="auto"/>
              <w:right w:val="nil"/>
            </w:tcBorders>
            <w:vAlign w:val="bottom"/>
            <w:hideMark/>
          </w:tcPr>
          <w:p w14:paraId="05EA7703" w14:textId="77777777" w:rsidR="00FE7F8B" w:rsidRDefault="00FE7F8B">
            <w:pPr>
              <w:pStyle w:val="Tabletotal"/>
              <w:jc w:val="right"/>
              <w:rPr>
                <w:b w:val="0"/>
              </w:rPr>
            </w:pPr>
            <w:r>
              <w:rPr>
                <w:b w:val="0"/>
              </w:rPr>
              <w:t>2,573.7</w:t>
            </w:r>
          </w:p>
        </w:tc>
      </w:tr>
      <w:tr w:rsidR="00FE7F8B" w14:paraId="5745A79A" w14:textId="77777777" w:rsidTr="00FE7F8B">
        <w:tc>
          <w:tcPr>
            <w:tcW w:w="2658" w:type="pct"/>
            <w:tcBorders>
              <w:top w:val="single" w:sz="4" w:space="0" w:color="auto"/>
              <w:left w:val="nil"/>
              <w:bottom w:val="nil"/>
              <w:right w:val="nil"/>
            </w:tcBorders>
            <w:shd w:val="clear" w:color="auto" w:fill="FFFFFF"/>
            <w:vAlign w:val="center"/>
            <w:hideMark/>
          </w:tcPr>
          <w:p w14:paraId="68E79BB6" w14:textId="77777777" w:rsidR="00FE7F8B" w:rsidRDefault="00FE7F8B">
            <w:pPr>
              <w:pStyle w:val="Tablesubheadingitalic"/>
            </w:pPr>
            <w:r>
              <w:t>Non-financial assets</w:t>
            </w:r>
          </w:p>
        </w:tc>
        <w:tc>
          <w:tcPr>
            <w:tcW w:w="584" w:type="pct"/>
            <w:tcBorders>
              <w:top w:val="single" w:sz="4" w:space="0" w:color="auto"/>
              <w:left w:val="nil"/>
              <w:bottom w:val="nil"/>
              <w:right w:val="nil"/>
            </w:tcBorders>
            <w:shd w:val="clear" w:color="auto" w:fill="FFFFFF"/>
            <w:vAlign w:val="center"/>
          </w:tcPr>
          <w:p w14:paraId="184D7840" w14:textId="77777777" w:rsidR="00FE7F8B" w:rsidRDefault="00FE7F8B">
            <w:pPr>
              <w:pStyle w:val="Tablesubheadingitalic"/>
              <w:jc w:val="center"/>
            </w:pPr>
          </w:p>
        </w:tc>
        <w:tc>
          <w:tcPr>
            <w:tcW w:w="879" w:type="pct"/>
            <w:tcBorders>
              <w:top w:val="single" w:sz="4" w:space="0" w:color="auto"/>
              <w:left w:val="nil"/>
              <w:bottom w:val="nil"/>
              <w:right w:val="nil"/>
            </w:tcBorders>
            <w:shd w:val="clear" w:color="auto" w:fill="F2F2F2" w:themeFill="background1" w:themeFillShade="F2"/>
            <w:vAlign w:val="center"/>
            <w:hideMark/>
          </w:tcPr>
          <w:p w14:paraId="6F0AEEA3" w14:textId="77777777" w:rsidR="00FE7F8B" w:rsidRDefault="00FE7F8B"/>
        </w:tc>
        <w:tc>
          <w:tcPr>
            <w:tcW w:w="879" w:type="pct"/>
            <w:tcBorders>
              <w:top w:val="single" w:sz="4" w:space="0" w:color="auto"/>
              <w:left w:val="nil"/>
              <w:bottom w:val="nil"/>
              <w:right w:val="nil"/>
            </w:tcBorders>
            <w:vAlign w:val="center"/>
            <w:hideMark/>
          </w:tcPr>
          <w:p w14:paraId="1171D6AF"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5FEED66B" w14:textId="77777777" w:rsidTr="00FE7F8B">
        <w:tc>
          <w:tcPr>
            <w:tcW w:w="2658" w:type="pct"/>
            <w:shd w:val="clear" w:color="auto" w:fill="FFFFFF"/>
            <w:vAlign w:val="center"/>
            <w:hideMark/>
          </w:tcPr>
          <w:p w14:paraId="263BA958" w14:textId="77777777" w:rsidR="00FE7F8B" w:rsidRDefault="00FE7F8B">
            <w:pPr>
              <w:pStyle w:val="Tabletextnoindent"/>
            </w:pPr>
            <w:r>
              <w:t xml:space="preserve">Non-financial physical assets classified as held for sale </w:t>
            </w:r>
          </w:p>
        </w:tc>
        <w:tc>
          <w:tcPr>
            <w:tcW w:w="584" w:type="pct"/>
            <w:shd w:val="clear" w:color="auto" w:fill="FFFFFF"/>
            <w:vAlign w:val="bottom"/>
            <w:hideMark/>
          </w:tcPr>
          <w:p w14:paraId="59DC6C1C" w14:textId="77777777" w:rsidR="00FE7F8B" w:rsidRDefault="00FE7F8B">
            <w:pPr>
              <w:pStyle w:val="Tabletextnoindent"/>
              <w:jc w:val="center"/>
            </w:pPr>
            <w:r>
              <w:t>9</w:t>
            </w:r>
          </w:p>
        </w:tc>
        <w:tc>
          <w:tcPr>
            <w:tcW w:w="879" w:type="pct"/>
            <w:shd w:val="clear" w:color="auto" w:fill="F2F2F2" w:themeFill="background1" w:themeFillShade="F2"/>
            <w:vAlign w:val="bottom"/>
            <w:hideMark/>
          </w:tcPr>
          <w:p w14:paraId="782C5186" w14:textId="77777777" w:rsidR="00FE7F8B" w:rsidRDefault="00FE7F8B">
            <w:pPr>
              <w:pStyle w:val="Tabletextnoindent"/>
              <w:jc w:val="right"/>
            </w:pPr>
            <w:r>
              <w:rPr>
                <w:b/>
                <w:bCs/>
                <w:sz w:val="18"/>
                <w:lang w:val="en-US"/>
              </w:rPr>
              <w:t>7.8</w:t>
            </w:r>
          </w:p>
        </w:tc>
        <w:tc>
          <w:tcPr>
            <w:tcW w:w="879" w:type="pct"/>
            <w:vAlign w:val="bottom"/>
            <w:hideMark/>
          </w:tcPr>
          <w:p w14:paraId="57407C56" w14:textId="77777777" w:rsidR="00FE7F8B" w:rsidRDefault="00FE7F8B">
            <w:pPr>
              <w:pStyle w:val="Tabletextnoindent"/>
              <w:jc w:val="right"/>
            </w:pPr>
            <w:r>
              <w:t>107.9</w:t>
            </w:r>
          </w:p>
        </w:tc>
      </w:tr>
      <w:tr w:rsidR="00FE7F8B" w14:paraId="61780ECA" w14:textId="77777777" w:rsidTr="00FE7F8B">
        <w:tc>
          <w:tcPr>
            <w:tcW w:w="2658" w:type="pct"/>
            <w:shd w:val="clear" w:color="auto" w:fill="FFFFFF"/>
            <w:vAlign w:val="center"/>
            <w:hideMark/>
          </w:tcPr>
          <w:p w14:paraId="68A4A547" w14:textId="77777777" w:rsidR="00FE7F8B" w:rsidRDefault="00FE7F8B">
            <w:pPr>
              <w:pStyle w:val="Tabletextnoindent"/>
            </w:pPr>
            <w:r>
              <w:t>Intangible assets</w:t>
            </w:r>
          </w:p>
        </w:tc>
        <w:tc>
          <w:tcPr>
            <w:tcW w:w="584" w:type="pct"/>
            <w:shd w:val="clear" w:color="auto" w:fill="FFFFFF"/>
            <w:vAlign w:val="bottom"/>
            <w:hideMark/>
          </w:tcPr>
          <w:p w14:paraId="0F658FE7" w14:textId="77777777" w:rsidR="00FE7F8B" w:rsidRDefault="00FE7F8B">
            <w:pPr>
              <w:pStyle w:val="Tabletextnoindent"/>
              <w:jc w:val="center"/>
            </w:pPr>
            <w:r>
              <w:t>10</w:t>
            </w:r>
          </w:p>
        </w:tc>
        <w:tc>
          <w:tcPr>
            <w:tcW w:w="879" w:type="pct"/>
            <w:shd w:val="clear" w:color="auto" w:fill="F2F2F2" w:themeFill="background1" w:themeFillShade="F2"/>
            <w:vAlign w:val="bottom"/>
            <w:hideMark/>
          </w:tcPr>
          <w:p w14:paraId="464E551A" w14:textId="77777777" w:rsidR="00FE7F8B" w:rsidRDefault="00FE7F8B">
            <w:pPr>
              <w:pStyle w:val="Tabletextnoindent"/>
              <w:jc w:val="right"/>
            </w:pPr>
            <w:r>
              <w:rPr>
                <w:b/>
                <w:bCs/>
                <w:sz w:val="18"/>
                <w:lang w:val="en-US"/>
              </w:rPr>
              <w:t>67.7</w:t>
            </w:r>
          </w:p>
        </w:tc>
        <w:tc>
          <w:tcPr>
            <w:tcW w:w="879" w:type="pct"/>
            <w:vAlign w:val="bottom"/>
            <w:hideMark/>
          </w:tcPr>
          <w:p w14:paraId="4623AB86" w14:textId="77777777" w:rsidR="00FE7F8B" w:rsidRDefault="00FE7F8B">
            <w:pPr>
              <w:pStyle w:val="Tabletextnoindent"/>
              <w:jc w:val="right"/>
            </w:pPr>
            <w:r>
              <w:t>65.7</w:t>
            </w:r>
          </w:p>
        </w:tc>
      </w:tr>
      <w:tr w:rsidR="00FE7F8B" w14:paraId="079EA20C" w14:textId="77777777" w:rsidTr="00FE7F8B">
        <w:tc>
          <w:tcPr>
            <w:tcW w:w="2658" w:type="pct"/>
            <w:shd w:val="clear" w:color="auto" w:fill="FFFFFF"/>
            <w:vAlign w:val="center"/>
            <w:hideMark/>
          </w:tcPr>
          <w:p w14:paraId="55DC56CA" w14:textId="77777777" w:rsidR="00FE7F8B" w:rsidRDefault="00FE7F8B">
            <w:pPr>
              <w:pStyle w:val="Tabletextnoindent"/>
            </w:pPr>
            <w:r>
              <w:t>Property, plant and equipment</w:t>
            </w:r>
          </w:p>
        </w:tc>
        <w:tc>
          <w:tcPr>
            <w:tcW w:w="584" w:type="pct"/>
            <w:shd w:val="clear" w:color="auto" w:fill="FFFFFF"/>
            <w:vAlign w:val="bottom"/>
            <w:hideMark/>
          </w:tcPr>
          <w:p w14:paraId="00FA6372" w14:textId="77777777" w:rsidR="00FE7F8B" w:rsidRDefault="00FE7F8B">
            <w:pPr>
              <w:pStyle w:val="Tabletextnoindent"/>
              <w:jc w:val="center"/>
            </w:pPr>
            <w:r>
              <w:t>11</w:t>
            </w:r>
          </w:p>
        </w:tc>
        <w:tc>
          <w:tcPr>
            <w:tcW w:w="879" w:type="pct"/>
            <w:shd w:val="clear" w:color="auto" w:fill="F2F2F2" w:themeFill="background1" w:themeFillShade="F2"/>
            <w:vAlign w:val="bottom"/>
            <w:hideMark/>
          </w:tcPr>
          <w:p w14:paraId="20C5BAA6" w14:textId="77777777" w:rsidR="00FE7F8B" w:rsidRDefault="00FE7F8B">
            <w:pPr>
              <w:pStyle w:val="Tabletextnoindent"/>
              <w:jc w:val="right"/>
            </w:pPr>
            <w:r>
              <w:rPr>
                <w:b/>
                <w:bCs/>
                <w:sz w:val="18"/>
                <w:lang w:val="en-US"/>
              </w:rPr>
              <w:t>19,869.9</w:t>
            </w:r>
          </w:p>
        </w:tc>
        <w:tc>
          <w:tcPr>
            <w:tcW w:w="879" w:type="pct"/>
            <w:vAlign w:val="bottom"/>
            <w:hideMark/>
          </w:tcPr>
          <w:p w14:paraId="5C96288D" w14:textId="77777777" w:rsidR="00FE7F8B" w:rsidRDefault="00FE7F8B">
            <w:pPr>
              <w:pStyle w:val="Tabletextnoindent"/>
              <w:jc w:val="right"/>
            </w:pPr>
            <w:r>
              <w:t>16,830.2</w:t>
            </w:r>
          </w:p>
        </w:tc>
      </w:tr>
      <w:tr w:rsidR="00FE7F8B" w14:paraId="5AFEF234" w14:textId="77777777" w:rsidTr="00FE7F8B">
        <w:tc>
          <w:tcPr>
            <w:tcW w:w="2658" w:type="pct"/>
            <w:shd w:val="clear" w:color="auto" w:fill="FFFFFF"/>
            <w:vAlign w:val="center"/>
            <w:hideMark/>
          </w:tcPr>
          <w:p w14:paraId="6BBB690B" w14:textId="77777777" w:rsidR="00FE7F8B" w:rsidRDefault="00FE7F8B">
            <w:pPr>
              <w:pStyle w:val="Tabletextnoindent"/>
            </w:pPr>
            <w:r>
              <w:t>Prepayments</w:t>
            </w:r>
          </w:p>
        </w:tc>
        <w:tc>
          <w:tcPr>
            <w:tcW w:w="584" w:type="pct"/>
            <w:shd w:val="clear" w:color="auto" w:fill="FFFFFF"/>
            <w:vAlign w:val="bottom"/>
          </w:tcPr>
          <w:p w14:paraId="0FB9BE2A" w14:textId="77777777" w:rsidR="00FE7F8B" w:rsidRDefault="00FE7F8B">
            <w:pPr>
              <w:pStyle w:val="Tabletextnoindent"/>
              <w:jc w:val="center"/>
            </w:pPr>
          </w:p>
        </w:tc>
        <w:tc>
          <w:tcPr>
            <w:tcW w:w="879" w:type="pct"/>
            <w:shd w:val="clear" w:color="auto" w:fill="F2F2F2" w:themeFill="background1" w:themeFillShade="F2"/>
            <w:noWrap/>
            <w:vAlign w:val="bottom"/>
            <w:hideMark/>
          </w:tcPr>
          <w:p w14:paraId="63C10BC6" w14:textId="77777777" w:rsidR="00FE7F8B" w:rsidRDefault="00FE7F8B">
            <w:pPr>
              <w:pStyle w:val="Tabletextnoindent"/>
              <w:jc w:val="right"/>
            </w:pPr>
            <w:r>
              <w:rPr>
                <w:b/>
                <w:bCs/>
                <w:sz w:val="18"/>
                <w:lang w:val="en-US"/>
              </w:rPr>
              <w:t>17.6</w:t>
            </w:r>
          </w:p>
        </w:tc>
        <w:tc>
          <w:tcPr>
            <w:tcW w:w="879" w:type="pct"/>
            <w:noWrap/>
            <w:vAlign w:val="bottom"/>
            <w:hideMark/>
          </w:tcPr>
          <w:p w14:paraId="7FEDA5CF" w14:textId="77777777" w:rsidR="00FE7F8B" w:rsidRDefault="00FE7F8B">
            <w:pPr>
              <w:pStyle w:val="Tabletextnoindent"/>
              <w:jc w:val="right"/>
            </w:pPr>
            <w:r>
              <w:t>20.1</w:t>
            </w:r>
          </w:p>
        </w:tc>
      </w:tr>
      <w:tr w:rsidR="00FE7F8B" w14:paraId="2B55B742" w14:textId="77777777" w:rsidTr="00FE7F8B">
        <w:tc>
          <w:tcPr>
            <w:tcW w:w="2658" w:type="pct"/>
            <w:tcBorders>
              <w:top w:val="nil"/>
              <w:left w:val="nil"/>
              <w:bottom w:val="single" w:sz="4" w:space="0" w:color="auto"/>
              <w:right w:val="nil"/>
            </w:tcBorders>
            <w:shd w:val="clear" w:color="auto" w:fill="FFFFFF"/>
            <w:vAlign w:val="center"/>
            <w:hideMark/>
          </w:tcPr>
          <w:p w14:paraId="019EA669" w14:textId="77777777" w:rsidR="00FE7F8B" w:rsidRDefault="00FE7F8B">
            <w:pPr>
              <w:pStyle w:val="Tabletotal"/>
              <w:rPr>
                <w:b w:val="0"/>
              </w:rPr>
            </w:pPr>
            <w:r>
              <w:rPr>
                <w:b w:val="0"/>
              </w:rPr>
              <w:t>Other non-financial assets</w:t>
            </w:r>
          </w:p>
        </w:tc>
        <w:tc>
          <w:tcPr>
            <w:tcW w:w="584" w:type="pct"/>
            <w:tcBorders>
              <w:top w:val="nil"/>
              <w:left w:val="nil"/>
              <w:bottom w:val="single" w:sz="4" w:space="0" w:color="auto"/>
              <w:right w:val="nil"/>
            </w:tcBorders>
            <w:shd w:val="clear" w:color="auto" w:fill="FFFFFF"/>
            <w:vAlign w:val="bottom"/>
          </w:tcPr>
          <w:p w14:paraId="3E62C4BD" w14:textId="77777777" w:rsidR="00FE7F8B" w:rsidRDefault="00FE7F8B">
            <w:pPr>
              <w:pStyle w:val="Tabletotal"/>
              <w:jc w:val="center"/>
              <w:rPr>
                <w:b w:val="0"/>
              </w:rPr>
            </w:pPr>
          </w:p>
        </w:tc>
        <w:tc>
          <w:tcPr>
            <w:tcW w:w="879" w:type="pct"/>
            <w:tcBorders>
              <w:top w:val="nil"/>
              <w:left w:val="nil"/>
              <w:bottom w:val="single" w:sz="4" w:space="0" w:color="auto"/>
              <w:right w:val="nil"/>
            </w:tcBorders>
            <w:shd w:val="clear" w:color="auto" w:fill="F2F2F2" w:themeFill="background1" w:themeFillShade="F2"/>
            <w:vAlign w:val="bottom"/>
            <w:hideMark/>
          </w:tcPr>
          <w:p w14:paraId="6E226225" w14:textId="77777777" w:rsidR="00FE7F8B" w:rsidRDefault="00FE7F8B">
            <w:pPr>
              <w:pStyle w:val="Tabletotal"/>
              <w:jc w:val="right"/>
              <w:rPr>
                <w:b w:val="0"/>
              </w:rPr>
            </w:pPr>
            <w:r>
              <w:rPr>
                <w:bCs/>
                <w:sz w:val="18"/>
                <w:szCs w:val="18"/>
                <w:lang w:val="en-US"/>
              </w:rPr>
              <w:t>23.5</w:t>
            </w:r>
          </w:p>
        </w:tc>
        <w:tc>
          <w:tcPr>
            <w:tcW w:w="879" w:type="pct"/>
            <w:tcBorders>
              <w:top w:val="nil"/>
              <w:left w:val="nil"/>
              <w:bottom w:val="single" w:sz="4" w:space="0" w:color="auto"/>
              <w:right w:val="nil"/>
            </w:tcBorders>
            <w:vAlign w:val="bottom"/>
            <w:hideMark/>
          </w:tcPr>
          <w:p w14:paraId="381C28CB" w14:textId="77777777" w:rsidR="00FE7F8B" w:rsidRDefault="00FE7F8B">
            <w:pPr>
              <w:pStyle w:val="Tabletotal"/>
              <w:jc w:val="right"/>
              <w:rPr>
                <w:b w:val="0"/>
              </w:rPr>
            </w:pPr>
            <w:r>
              <w:rPr>
                <w:b w:val="0"/>
              </w:rPr>
              <w:t>11.0</w:t>
            </w:r>
          </w:p>
        </w:tc>
      </w:tr>
      <w:tr w:rsidR="00FE7F8B" w14:paraId="09AF8EC2" w14:textId="77777777" w:rsidTr="00FE7F8B">
        <w:tc>
          <w:tcPr>
            <w:tcW w:w="2658" w:type="pct"/>
            <w:tcBorders>
              <w:top w:val="single" w:sz="4" w:space="0" w:color="auto"/>
              <w:left w:val="nil"/>
              <w:bottom w:val="single" w:sz="6" w:space="0" w:color="auto"/>
              <w:right w:val="nil"/>
            </w:tcBorders>
            <w:shd w:val="clear" w:color="auto" w:fill="FFFFFF"/>
            <w:vAlign w:val="center"/>
            <w:hideMark/>
          </w:tcPr>
          <w:p w14:paraId="12642BB5" w14:textId="77777777" w:rsidR="00FE7F8B" w:rsidRDefault="00FE7F8B">
            <w:pPr>
              <w:pStyle w:val="Tabletotal"/>
            </w:pPr>
            <w:r>
              <w:t>Total non-financial assets</w:t>
            </w:r>
          </w:p>
        </w:tc>
        <w:tc>
          <w:tcPr>
            <w:tcW w:w="584" w:type="pct"/>
            <w:tcBorders>
              <w:top w:val="single" w:sz="4" w:space="0" w:color="auto"/>
              <w:left w:val="nil"/>
              <w:bottom w:val="single" w:sz="6" w:space="0" w:color="auto"/>
              <w:right w:val="nil"/>
            </w:tcBorders>
            <w:shd w:val="clear" w:color="auto" w:fill="FFFFFF"/>
            <w:vAlign w:val="bottom"/>
          </w:tcPr>
          <w:p w14:paraId="27ED723B" w14:textId="77777777" w:rsidR="00FE7F8B" w:rsidRDefault="00FE7F8B">
            <w:pPr>
              <w:pStyle w:val="Tabletotal"/>
              <w:jc w:val="center"/>
            </w:pPr>
          </w:p>
        </w:tc>
        <w:tc>
          <w:tcPr>
            <w:tcW w:w="879" w:type="pct"/>
            <w:tcBorders>
              <w:top w:val="single" w:sz="4" w:space="0" w:color="auto"/>
              <w:left w:val="nil"/>
              <w:bottom w:val="single" w:sz="6" w:space="0" w:color="auto"/>
              <w:right w:val="nil"/>
            </w:tcBorders>
            <w:shd w:val="clear" w:color="auto" w:fill="F2F2F2" w:themeFill="background1" w:themeFillShade="F2"/>
            <w:vAlign w:val="bottom"/>
            <w:hideMark/>
          </w:tcPr>
          <w:p w14:paraId="5B44131B" w14:textId="77777777" w:rsidR="00FE7F8B" w:rsidRDefault="00FE7F8B">
            <w:pPr>
              <w:pStyle w:val="Tabletotal"/>
              <w:jc w:val="right"/>
            </w:pPr>
            <w:r>
              <w:rPr>
                <w:bCs/>
                <w:sz w:val="18"/>
                <w:szCs w:val="18"/>
                <w:lang w:val="en-US"/>
              </w:rPr>
              <w:t>19,986.5</w:t>
            </w:r>
          </w:p>
        </w:tc>
        <w:tc>
          <w:tcPr>
            <w:tcW w:w="879" w:type="pct"/>
            <w:tcBorders>
              <w:top w:val="single" w:sz="4" w:space="0" w:color="auto"/>
              <w:left w:val="nil"/>
              <w:bottom w:val="single" w:sz="6" w:space="0" w:color="auto"/>
              <w:right w:val="nil"/>
            </w:tcBorders>
            <w:vAlign w:val="bottom"/>
            <w:hideMark/>
          </w:tcPr>
          <w:p w14:paraId="5D9DCC32" w14:textId="77777777" w:rsidR="00FE7F8B" w:rsidRDefault="00FE7F8B">
            <w:pPr>
              <w:pStyle w:val="Tabletotal"/>
              <w:jc w:val="right"/>
              <w:rPr>
                <w:b w:val="0"/>
              </w:rPr>
            </w:pPr>
            <w:r>
              <w:rPr>
                <w:b w:val="0"/>
              </w:rPr>
              <w:t>17,034.9</w:t>
            </w:r>
          </w:p>
        </w:tc>
      </w:tr>
      <w:tr w:rsidR="00FE7F8B" w14:paraId="3E446388" w14:textId="77777777" w:rsidTr="00FE7F8B">
        <w:tc>
          <w:tcPr>
            <w:tcW w:w="2658" w:type="pct"/>
            <w:tcBorders>
              <w:top w:val="single" w:sz="6" w:space="0" w:color="auto"/>
              <w:left w:val="nil"/>
              <w:bottom w:val="single" w:sz="4" w:space="0" w:color="auto"/>
              <w:right w:val="nil"/>
            </w:tcBorders>
            <w:shd w:val="clear" w:color="auto" w:fill="FFFFFF"/>
            <w:vAlign w:val="center"/>
            <w:hideMark/>
          </w:tcPr>
          <w:p w14:paraId="2F044DDE" w14:textId="77777777" w:rsidR="00FE7F8B" w:rsidRDefault="00FE7F8B">
            <w:pPr>
              <w:pStyle w:val="Tabletotal"/>
            </w:pPr>
            <w:r>
              <w:t>Total assets</w:t>
            </w:r>
          </w:p>
        </w:tc>
        <w:tc>
          <w:tcPr>
            <w:tcW w:w="584" w:type="pct"/>
            <w:tcBorders>
              <w:top w:val="single" w:sz="6" w:space="0" w:color="auto"/>
              <w:left w:val="nil"/>
              <w:bottom w:val="single" w:sz="4" w:space="0" w:color="auto"/>
              <w:right w:val="nil"/>
            </w:tcBorders>
            <w:shd w:val="clear" w:color="auto" w:fill="FFFFFF"/>
            <w:vAlign w:val="center"/>
          </w:tcPr>
          <w:p w14:paraId="532C09A0" w14:textId="77777777" w:rsidR="00FE7F8B" w:rsidRDefault="00FE7F8B">
            <w:pPr>
              <w:pStyle w:val="Tabletotal"/>
              <w:jc w:val="center"/>
            </w:pPr>
          </w:p>
        </w:tc>
        <w:tc>
          <w:tcPr>
            <w:tcW w:w="879" w:type="pct"/>
            <w:tcBorders>
              <w:top w:val="single" w:sz="6" w:space="0" w:color="auto"/>
              <w:left w:val="nil"/>
              <w:bottom w:val="single" w:sz="4" w:space="0" w:color="auto"/>
              <w:right w:val="nil"/>
            </w:tcBorders>
            <w:shd w:val="clear" w:color="auto" w:fill="F2F2F2" w:themeFill="background1" w:themeFillShade="F2"/>
            <w:vAlign w:val="bottom"/>
            <w:hideMark/>
          </w:tcPr>
          <w:p w14:paraId="5B7A2002" w14:textId="77777777" w:rsidR="00FE7F8B" w:rsidRDefault="00FE7F8B">
            <w:pPr>
              <w:pStyle w:val="Tabletotal"/>
              <w:jc w:val="right"/>
            </w:pPr>
            <w:r>
              <w:t>22,955.5</w:t>
            </w:r>
          </w:p>
        </w:tc>
        <w:tc>
          <w:tcPr>
            <w:tcW w:w="879" w:type="pct"/>
            <w:tcBorders>
              <w:top w:val="single" w:sz="6" w:space="0" w:color="auto"/>
              <w:left w:val="nil"/>
              <w:bottom w:val="single" w:sz="4" w:space="0" w:color="auto"/>
              <w:right w:val="nil"/>
            </w:tcBorders>
            <w:vAlign w:val="bottom"/>
            <w:hideMark/>
          </w:tcPr>
          <w:p w14:paraId="772AC13E" w14:textId="77777777" w:rsidR="00FE7F8B" w:rsidRDefault="00FE7F8B">
            <w:pPr>
              <w:pStyle w:val="Tabletotal"/>
              <w:jc w:val="right"/>
              <w:rPr>
                <w:b w:val="0"/>
              </w:rPr>
            </w:pPr>
            <w:r>
              <w:rPr>
                <w:b w:val="0"/>
              </w:rPr>
              <w:t>19,608.5</w:t>
            </w:r>
          </w:p>
        </w:tc>
      </w:tr>
      <w:tr w:rsidR="00FE7F8B" w14:paraId="298AC8CF" w14:textId="77777777" w:rsidTr="00FE7F8B">
        <w:tc>
          <w:tcPr>
            <w:tcW w:w="2658" w:type="pct"/>
            <w:tcBorders>
              <w:top w:val="single" w:sz="4" w:space="0" w:color="auto"/>
              <w:left w:val="nil"/>
              <w:bottom w:val="nil"/>
              <w:right w:val="nil"/>
            </w:tcBorders>
            <w:shd w:val="clear" w:color="auto" w:fill="FFFFFF"/>
            <w:vAlign w:val="center"/>
            <w:hideMark/>
          </w:tcPr>
          <w:p w14:paraId="60AB238F" w14:textId="77777777" w:rsidR="00FE7F8B" w:rsidRDefault="00FE7F8B">
            <w:pPr>
              <w:pStyle w:val="Tablerowheading"/>
            </w:pPr>
            <w:r>
              <w:t>Liabilities</w:t>
            </w:r>
          </w:p>
        </w:tc>
        <w:tc>
          <w:tcPr>
            <w:tcW w:w="584" w:type="pct"/>
            <w:tcBorders>
              <w:top w:val="single" w:sz="4" w:space="0" w:color="auto"/>
              <w:left w:val="nil"/>
              <w:bottom w:val="nil"/>
              <w:right w:val="nil"/>
            </w:tcBorders>
            <w:shd w:val="clear" w:color="auto" w:fill="FFFFFF"/>
            <w:vAlign w:val="center"/>
          </w:tcPr>
          <w:p w14:paraId="208005E9" w14:textId="77777777" w:rsidR="00FE7F8B" w:rsidRDefault="00FE7F8B">
            <w:pPr>
              <w:pStyle w:val="Tablerowheading"/>
              <w:jc w:val="center"/>
            </w:pPr>
          </w:p>
        </w:tc>
        <w:tc>
          <w:tcPr>
            <w:tcW w:w="879" w:type="pct"/>
            <w:tcBorders>
              <w:top w:val="single" w:sz="4" w:space="0" w:color="auto"/>
              <w:left w:val="nil"/>
              <w:bottom w:val="nil"/>
              <w:right w:val="nil"/>
            </w:tcBorders>
            <w:shd w:val="clear" w:color="auto" w:fill="F2F2F2" w:themeFill="background1" w:themeFillShade="F2"/>
            <w:vAlign w:val="center"/>
            <w:hideMark/>
          </w:tcPr>
          <w:p w14:paraId="6A6F70C4" w14:textId="77777777" w:rsidR="00FE7F8B" w:rsidRDefault="00FE7F8B"/>
        </w:tc>
        <w:tc>
          <w:tcPr>
            <w:tcW w:w="879" w:type="pct"/>
            <w:tcBorders>
              <w:top w:val="single" w:sz="4" w:space="0" w:color="auto"/>
              <w:left w:val="nil"/>
              <w:bottom w:val="nil"/>
              <w:right w:val="nil"/>
            </w:tcBorders>
            <w:vAlign w:val="center"/>
            <w:hideMark/>
          </w:tcPr>
          <w:p w14:paraId="50460716"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7237B841" w14:textId="77777777" w:rsidTr="00FE7F8B">
        <w:tc>
          <w:tcPr>
            <w:tcW w:w="2658" w:type="pct"/>
            <w:shd w:val="clear" w:color="auto" w:fill="FFFFFF"/>
            <w:vAlign w:val="center"/>
            <w:hideMark/>
          </w:tcPr>
          <w:p w14:paraId="4C4683AB" w14:textId="77777777" w:rsidR="00FE7F8B" w:rsidRDefault="00FE7F8B">
            <w:pPr>
              <w:pStyle w:val="Tabletextnoindent"/>
            </w:pPr>
            <w:r>
              <w:t>Payables</w:t>
            </w:r>
          </w:p>
        </w:tc>
        <w:tc>
          <w:tcPr>
            <w:tcW w:w="584" w:type="pct"/>
            <w:shd w:val="clear" w:color="auto" w:fill="FFFFFF"/>
            <w:vAlign w:val="bottom"/>
            <w:hideMark/>
          </w:tcPr>
          <w:p w14:paraId="48360220" w14:textId="77777777" w:rsidR="00FE7F8B" w:rsidRDefault="00FE7F8B">
            <w:pPr>
              <w:pStyle w:val="Tabletextnoindent"/>
              <w:jc w:val="center"/>
            </w:pPr>
            <w:r>
              <w:t>12</w:t>
            </w:r>
          </w:p>
        </w:tc>
        <w:tc>
          <w:tcPr>
            <w:tcW w:w="879" w:type="pct"/>
            <w:shd w:val="clear" w:color="auto" w:fill="F2F2F2" w:themeFill="background1" w:themeFillShade="F2"/>
            <w:vAlign w:val="bottom"/>
            <w:hideMark/>
          </w:tcPr>
          <w:p w14:paraId="5AFC58A5" w14:textId="77777777" w:rsidR="00FE7F8B" w:rsidRDefault="00FE7F8B">
            <w:pPr>
              <w:pStyle w:val="Tabletextnoindent"/>
              <w:jc w:val="right"/>
            </w:pPr>
            <w:r>
              <w:rPr>
                <w:b/>
                <w:bCs/>
                <w:sz w:val="18"/>
                <w:lang w:val="en-US"/>
              </w:rPr>
              <w:t>461.4</w:t>
            </w:r>
          </w:p>
        </w:tc>
        <w:tc>
          <w:tcPr>
            <w:tcW w:w="879" w:type="pct"/>
            <w:vAlign w:val="bottom"/>
            <w:hideMark/>
          </w:tcPr>
          <w:p w14:paraId="1DE195AC" w14:textId="77777777" w:rsidR="00FE7F8B" w:rsidRDefault="00FE7F8B">
            <w:pPr>
              <w:pStyle w:val="Tabletextnoindent"/>
              <w:jc w:val="right"/>
            </w:pPr>
            <w:r>
              <w:t>342.4</w:t>
            </w:r>
          </w:p>
        </w:tc>
      </w:tr>
      <w:tr w:rsidR="00FE7F8B" w14:paraId="5153935E" w14:textId="77777777" w:rsidTr="00FE7F8B">
        <w:tc>
          <w:tcPr>
            <w:tcW w:w="2658" w:type="pct"/>
            <w:shd w:val="clear" w:color="auto" w:fill="FFFFFF"/>
            <w:vAlign w:val="center"/>
            <w:hideMark/>
          </w:tcPr>
          <w:p w14:paraId="5EA48E79" w14:textId="77777777" w:rsidR="00FE7F8B" w:rsidRDefault="00FE7F8B">
            <w:pPr>
              <w:pStyle w:val="Tabletextnoindent"/>
            </w:pPr>
            <w:r>
              <w:t>Borrowings</w:t>
            </w:r>
          </w:p>
        </w:tc>
        <w:tc>
          <w:tcPr>
            <w:tcW w:w="584" w:type="pct"/>
            <w:shd w:val="clear" w:color="auto" w:fill="FFFFFF"/>
            <w:vAlign w:val="bottom"/>
            <w:hideMark/>
          </w:tcPr>
          <w:p w14:paraId="69FA9158" w14:textId="77777777" w:rsidR="00FE7F8B" w:rsidRDefault="00FE7F8B">
            <w:pPr>
              <w:pStyle w:val="Tabletextnoindent"/>
              <w:jc w:val="center"/>
            </w:pPr>
            <w:r>
              <w:t>13</w:t>
            </w:r>
          </w:p>
        </w:tc>
        <w:tc>
          <w:tcPr>
            <w:tcW w:w="879" w:type="pct"/>
            <w:shd w:val="clear" w:color="auto" w:fill="F2F2F2" w:themeFill="background1" w:themeFillShade="F2"/>
            <w:vAlign w:val="bottom"/>
            <w:hideMark/>
          </w:tcPr>
          <w:p w14:paraId="4CA6D18F" w14:textId="77777777" w:rsidR="00FE7F8B" w:rsidRDefault="00FE7F8B">
            <w:pPr>
              <w:pStyle w:val="Tabletextnoindent"/>
              <w:jc w:val="right"/>
            </w:pPr>
            <w:r>
              <w:rPr>
                <w:b/>
                <w:bCs/>
                <w:sz w:val="18"/>
                <w:lang w:val="en-US"/>
              </w:rPr>
              <w:t>249.6</w:t>
            </w:r>
          </w:p>
        </w:tc>
        <w:tc>
          <w:tcPr>
            <w:tcW w:w="879" w:type="pct"/>
            <w:vAlign w:val="bottom"/>
            <w:hideMark/>
          </w:tcPr>
          <w:p w14:paraId="36C226B4" w14:textId="77777777" w:rsidR="00FE7F8B" w:rsidRDefault="00FE7F8B">
            <w:pPr>
              <w:pStyle w:val="Tabletextnoindent"/>
              <w:jc w:val="right"/>
            </w:pPr>
            <w:r>
              <w:t>255.1</w:t>
            </w:r>
          </w:p>
        </w:tc>
      </w:tr>
      <w:tr w:rsidR="00FE7F8B" w14:paraId="516332EF" w14:textId="77777777" w:rsidTr="00FE7F8B">
        <w:tc>
          <w:tcPr>
            <w:tcW w:w="2658" w:type="pct"/>
            <w:shd w:val="clear" w:color="auto" w:fill="FFFFFF"/>
            <w:vAlign w:val="center"/>
            <w:hideMark/>
          </w:tcPr>
          <w:p w14:paraId="0E495E09" w14:textId="77777777" w:rsidR="00FE7F8B" w:rsidRDefault="00FE7F8B">
            <w:pPr>
              <w:pStyle w:val="Tabletextnoindent"/>
            </w:pPr>
            <w:r>
              <w:t>Provisions</w:t>
            </w:r>
          </w:p>
        </w:tc>
        <w:tc>
          <w:tcPr>
            <w:tcW w:w="584" w:type="pct"/>
            <w:shd w:val="clear" w:color="auto" w:fill="FFFFFF"/>
            <w:vAlign w:val="bottom"/>
            <w:hideMark/>
          </w:tcPr>
          <w:p w14:paraId="2FA92D6D" w14:textId="77777777" w:rsidR="00FE7F8B" w:rsidRDefault="00FE7F8B">
            <w:pPr>
              <w:pStyle w:val="Tabletextnoindent"/>
              <w:jc w:val="center"/>
            </w:pPr>
            <w:r>
              <w:t>14</w:t>
            </w:r>
          </w:p>
        </w:tc>
        <w:tc>
          <w:tcPr>
            <w:tcW w:w="879" w:type="pct"/>
            <w:shd w:val="clear" w:color="auto" w:fill="F2F2F2" w:themeFill="background1" w:themeFillShade="F2"/>
            <w:vAlign w:val="bottom"/>
            <w:hideMark/>
          </w:tcPr>
          <w:p w14:paraId="0840843F" w14:textId="77777777" w:rsidR="00FE7F8B" w:rsidRDefault="00FE7F8B">
            <w:pPr>
              <w:pStyle w:val="Tabletextnoindent"/>
              <w:jc w:val="right"/>
            </w:pPr>
            <w:r>
              <w:rPr>
                <w:b/>
                <w:bCs/>
                <w:sz w:val="18"/>
                <w:lang w:val="en-US"/>
              </w:rPr>
              <w:t>1,425.1</w:t>
            </w:r>
          </w:p>
        </w:tc>
        <w:tc>
          <w:tcPr>
            <w:tcW w:w="879" w:type="pct"/>
            <w:vAlign w:val="bottom"/>
            <w:hideMark/>
          </w:tcPr>
          <w:p w14:paraId="2E1E099A" w14:textId="77777777" w:rsidR="00FE7F8B" w:rsidRDefault="00FE7F8B">
            <w:pPr>
              <w:pStyle w:val="Tabletextnoindent"/>
              <w:jc w:val="right"/>
            </w:pPr>
            <w:r>
              <w:t>1,332.4</w:t>
            </w:r>
          </w:p>
        </w:tc>
      </w:tr>
      <w:tr w:rsidR="00FE7F8B" w14:paraId="2DE81AE7" w14:textId="77777777" w:rsidTr="00FE7F8B">
        <w:tc>
          <w:tcPr>
            <w:tcW w:w="2658" w:type="pct"/>
            <w:tcBorders>
              <w:top w:val="nil"/>
              <w:left w:val="nil"/>
              <w:bottom w:val="single" w:sz="6" w:space="0" w:color="auto"/>
              <w:right w:val="nil"/>
            </w:tcBorders>
            <w:shd w:val="clear" w:color="auto" w:fill="FFFFFF"/>
            <w:vAlign w:val="center"/>
            <w:hideMark/>
          </w:tcPr>
          <w:p w14:paraId="65A5DA6E" w14:textId="77777777" w:rsidR="00FE7F8B" w:rsidRDefault="00FE7F8B">
            <w:pPr>
              <w:pStyle w:val="Tabletextnoindent"/>
            </w:pPr>
            <w:r>
              <w:t>Unearned income</w:t>
            </w:r>
          </w:p>
        </w:tc>
        <w:tc>
          <w:tcPr>
            <w:tcW w:w="584" w:type="pct"/>
            <w:tcBorders>
              <w:top w:val="nil"/>
              <w:left w:val="nil"/>
              <w:bottom w:val="single" w:sz="6" w:space="0" w:color="auto"/>
              <w:right w:val="nil"/>
            </w:tcBorders>
            <w:shd w:val="clear" w:color="auto" w:fill="FFFFFF"/>
            <w:vAlign w:val="bottom"/>
          </w:tcPr>
          <w:p w14:paraId="26B9A579" w14:textId="77777777" w:rsidR="00FE7F8B" w:rsidRDefault="00FE7F8B">
            <w:pPr>
              <w:pStyle w:val="Tabletextnoindent"/>
              <w:jc w:val="center"/>
            </w:pPr>
          </w:p>
        </w:tc>
        <w:tc>
          <w:tcPr>
            <w:tcW w:w="879" w:type="pct"/>
            <w:tcBorders>
              <w:top w:val="nil"/>
              <w:left w:val="nil"/>
              <w:bottom w:val="single" w:sz="6" w:space="0" w:color="auto"/>
              <w:right w:val="nil"/>
            </w:tcBorders>
            <w:shd w:val="clear" w:color="auto" w:fill="F2F2F2" w:themeFill="background1" w:themeFillShade="F2"/>
            <w:vAlign w:val="bottom"/>
            <w:hideMark/>
          </w:tcPr>
          <w:p w14:paraId="3B0DE1EF" w14:textId="77777777" w:rsidR="00FE7F8B" w:rsidRDefault="00FE7F8B">
            <w:pPr>
              <w:pStyle w:val="Tabletextnoindent"/>
              <w:jc w:val="right"/>
            </w:pPr>
            <w:r>
              <w:rPr>
                <w:b/>
                <w:bCs/>
                <w:sz w:val="18"/>
                <w:lang w:val="en-US"/>
              </w:rPr>
              <w:t>30.7</w:t>
            </w:r>
          </w:p>
        </w:tc>
        <w:tc>
          <w:tcPr>
            <w:tcW w:w="879" w:type="pct"/>
            <w:tcBorders>
              <w:top w:val="nil"/>
              <w:left w:val="nil"/>
              <w:bottom w:val="single" w:sz="6" w:space="0" w:color="auto"/>
              <w:right w:val="nil"/>
            </w:tcBorders>
            <w:vAlign w:val="bottom"/>
            <w:hideMark/>
          </w:tcPr>
          <w:p w14:paraId="1EA15289" w14:textId="77777777" w:rsidR="00FE7F8B" w:rsidRDefault="00FE7F8B">
            <w:pPr>
              <w:pStyle w:val="Tabletextnoindent"/>
              <w:jc w:val="right"/>
            </w:pPr>
            <w:r>
              <w:t>11.0</w:t>
            </w:r>
          </w:p>
        </w:tc>
      </w:tr>
      <w:tr w:rsidR="00FE7F8B" w14:paraId="0C469C4B" w14:textId="77777777" w:rsidTr="00FE7F8B">
        <w:tc>
          <w:tcPr>
            <w:tcW w:w="2658" w:type="pct"/>
            <w:tcBorders>
              <w:top w:val="single" w:sz="6" w:space="0" w:color="auto"/>
              <w:left w:val="nil"/>
              <w:bottom w:val="single" w:sz="4" w:space="0" w:color="auto"/>
              <w:right w:val="nil"/>
            </w:tcBorders>
            <w:shd w:val="clear" w:color="auto" w:fill="FFFFFF"/>
            <w:vAlign w:val="center"/>
            <w:hideMark/>
          </w:tcPr>
          <w:p w14:paraId="3C5CCE2F" w14:textId="77777777" w:rsidR="00FE7F8B" w:rsidRDefault="00FE7F8B">
            <w:pPr>
              <w:pStyle w:val="Tabletotal"/>
            </w:pPr>
            <w:r>
              <w:t>Total liabilities</w:t>
            </w:r>
          </w:p>
        </w:tc>
        <w:tc>
          <w:tcPr>
            <w:tcW w:w="584" w:type="pct"/>
            <w:tcBorders>
              <w:top w:val="single" w:sz="6" w:space="0" w:color="auto"/>
              <w:left w:val="nil"/>
              <w:bottom w:val="single" w:sz="4" w:space="0" w:color="auto"/>
              <w:right w:val="nil"/>
            </w:tcBorders>
            <w:shd w:val="clear" w:color="auto" w:fill="FFFFFF"/>
            <w:vAlign w:val="bottom"/>
          </w:tcPr>
          <w:p w14:paraId="4F5EB8BD" w14:textId="77777777" w:rsidR="00FE7F8B" w:rsidRDefault="00FE7F8B">
            <w:pPr>
              <w:pStyle w:val="Tabletotal"/>
              <w:jc w:val="center"/>
            </w:pPr>
          </w:p>
        </w:tc>
        <w:tc>
          <w:tcPr>
            <w:tcW w:w="879" w:type="pct"/>
            <w:tcBorders>
              <w:top w:val="single" w:sz="6" w:space="0" w:color="auto"/>
              <w:left w:val="nil"/>
              <w:bottom w:val="single" w:sz="4" w:space="0" w:color="auto"/>
              <w:right w:val="nil"/>
            </w:tcBorders>
            <w:shd w:val="clear" w:color="auto" w:fill="F2F2F2" w:themeFill="background1" w:themeFillShade="F2"/>
            <w:vAlign w:val="bottom"/>
            <w:hideMark/>
          </w:tcPr>
          <w:p w14:paraId="7FE2186D" w14:textId="77777777" w:rsidR="00FE7F8B" w:rsidRDefault="00FE7F8B">
            <w:pPr>
              <w:pStyle w:val="Tabletotal"/>
              <w:jc w:val="right"/>
            </w:pPr>
            <w:r>
              <w:rPr>
                <w:bCs/>
                <w:sz w:val="18"/>
                <w:szCs w:val="18"/>
                <w:lang w:val="en-US"/>
              </w:rPr>
              <w:t>2,166.9</w:t>
            </w:r>
          </w:p>
        </w:tc>
        <w:tc>
          <w:tcPr>
            <w:tcW w:w="879" w:type="pct"/>
            <w:tcBorders>
              <w:top w:val="single" w:sz="6" w:space="0" w:color="auto"/>
              <w:left w:val="nil"/>
              <w:bottom w:val="single" w:sz="4" w:space="0" w:color="auto"/>
              <w:right w:val="nil"/>
            </w:tcBorders>
            <w:vAlign w:val="bottom"/>
            <w:hideMark/>
          </w:tcPr>
          <w:p w14:paraId="1FD011C6" w14:textId="77777777" w:rsidR="00FE7F8B" w:rsidRDefault="00FE7F8B">
            <w:pPr>
              <w:pStyle w:val="Tabletotal"/>
              <w:jc w:val="right"/>
              <w:rPr>
                <w:b w:val="0"/>
              </w:rPr>
            </w:pPr>
            <w:r>
              <w:rPr>
                <w:b w:val="0"/>
              </w:rPr>
              <w:t>1,940.8</w:t>
            </w:r>
          </w:p>
        </w:tc>
      </w:tr>
      <w:tr w:rsidR="00FE7F8B" w14:paraId="5527B973" w14:textId="77777777" w:rsidTr="00FE7F8B">
        <w:tc>
          <w:tcPr>
            <w:tcW w:w="2658" w:type="pct"/>
            <w:tcBorders>
              <w:top w:val="single" w:sz="4" w:space="0" w:color="auto"/>
              <w:left w:val="nil"/>
              <w:bottom w:val="nil"/>
              <w:right w:val="nil"/>
            </w:tcBorders>
            <w:shd w:val="clear" w:color="auto" w:fill="FFFFFF"/>
            <w:vAlign w:val="center"/>
            <w:hideMark/>
          </w:tcPr>
          <w:p w14:paraId="0BE6A80A" w14:textId="77777777" w:rsidR="00FE7F8B" w:rsidRDefault="00FE7F8B">
            <w:pPr>
              <w:pStyle w:val="Tablerowheading"/>
            </w:pPr>
            <w:r>
              <w:t>Net assets</w:t>
            </w:r>
          </w:p>
        </w:tc>
        <w:tc>
          <w:tcPr>
            <w:tcW w:w="584" w:type="pct"/>
            <w:tcBorders>
              <w:top w:val="single" w:sz="4" w:space="0" w:color="auto"/>
              <w:left w:val="nil"/>
              <w:bottom w:val="nil"/>
              <w:right w:val="nil"/>
            </w:tcBorders>
            <w:shd w:val="clear" w:color="auto" w:fill="FFFFFF"/>
            <w:vAlign w:val="center"/>
          </w:tcPr>
          <w:p w14:paraId="2AC9435A" w14:textId="77777777" w:rsidR="00FE7F8B" w:rsidRDefault="00FE7F8B">
            <w:pPr>
              <w:pStyle w:val="Tablerowheading"/>
              <w:jc w:val="center"/>
            </w:pPr>
          </w:p>
        </w:tc>
        <w:tc>
          <w:tcPr>
            <w:tcW w:w="879" w:type="pct"/>
            <w:tcBorders>
              <w:top w:val="single" w:sz="4" w:space="0" w:color="auto"/>
              <w:left w:val="nil"/>
              <w:bottom w:val="nil"/>
              <w:right w:val="nil"/>
            </w:tcBorders>
            <w:shd w:val="clear" w:color="auto" w:fill="F2F2F2" w:themeFill="background1" w:themeFillShade="F2"/>
            <w:vAlign w:val="bottom"/>
            <w:hideMark/>
          </w:tcPr>
          <w:p w14:paraId="0629A49F" w14:textId="77777777" w:rsidR="00FE7F8B" w:rsidRDefault="00FE7F8B">
            <w:pPr>
              <w:pStyle w:val="Tablerowheading"/>
              <w:jc w:val="right"/>
            </w:pPr>
            <w:r>
              <w:t>20,788.6</w:t>
            </w:r>
          </w:p>
        </w:tc>
        <w:tc>
          <w:tcPr>
            <w:tcW w:w="879" w:type="pct"/>
            <w:tcBorders>
              <w:top w:val="single" w:sz="4" w:space="0" w:color="auto"/>
              <w:left w:val="nil"/>
              <w:bottom w:val="nil"/>
              <w:right w:val="nil"/>
            </w:tcBorders>
            <w:vAlign w:val="bottom"/>
            <w:hideMark/>
          </w:tcPr>
          <w:p w14:paraId="069D21D6" w14:textId="77777777" w:rsidR="00FE7F8B" w:rsidRDefault="00FE7F8B">
            <w:pPr>
              <w:pStyle w:val="Tablerowheading"/>
              <w:jc w:val="right"/>
              <w:rPr>
                <w:b w:val="0"/>
              </w:rPr>
            </w:pPr>
            <w:r>
              <w:rPr>
                <w:b w:val="0"/>
              </w:rPr>
              <w:t>17,667.7</w:t>
            </w:r>
          </w:p>
        </w:tc>
      </w:tr>
      <w:tr w:rsidR="00FE7F8B" w14:paraId="091F4ECC" w14:textId="77777777" w:rsidTr="00FE7F8B">
        <w:tc>
          <w:tcPr>
            <w:tcW w:w="2658" w:type="pct"/>
            <w:shd w:val="clear" w:color="auto" w:fill="FFFFFF"/>
            <w:vAlign w:val="center"/>
            <w:hideMark/>
          </w:tcPr>
          <w:p w14:paraId="70025F25" w14:textId="77777777" w:rsidR="00FE7F8B" w:rsidRDefault="00FE7F8B">
            <w:pPr>
              <w:pStyle w:val="Tablerowheading"/>
            </w:pPr>
            <w:r>
              <w:t xml:space="preserve">Equity </w:t>
            </w:r>
          </w:p>
        </w:tc>
        <w:tc>
          <w:tcPr>
            <w:tcW w:w="584" w:type="pct"/>
            <w:shd w:val="clear" w:color="auto" w:fill="FFFFFF"/>
            <w:vAlign w:val="center"/>
          </w:tcPr>
          <w:p w14:paraId="2608FDA3" w14:textId="77777777" w:rsidR="00FE7F8B" w:rsidRDefault="00FE7F8B">
            <w:pPr>
              <w:pStyle w:val="Tablerowheading"/>
              <w:jc w:val="center"/>
            </w:pPr>
          </w:p>
        </w:tc>
        <w:tc>
          <w:tcPr>
            <w:tcW w:w="879" w:type="pct"/>
            <w:shd w:val="clear" w:color="auto" w:fill="F2F2F2" w:themeFill="background1" w:themeFillShade="F2"/>
            <w:vAlign w:val="center"/>
            <w:hideMark/>
          </w:tcPr>
          <w:p w14:paraId="41F71EF8" w14:textId="77777777" w:rsidR="00FE7F8B" w:rsidRDefault="00FE7F8B"/>
        </w:tc>
        <w:tc>
          <w:tcPr>
            <w:tcW w:w="879" w:type="pct"/>
            <w:vAlign w:val="center"/>
            <w:hideMark/>
          </w:tcPr>
          <w:p w14:paraId="406BF83F"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76156E15" w14:textId="77777777" w:rsidTr="00FE7F8B">
        <w:tc>
          <w:tcPr>
            <w:tcW w:w="2658" w:type="pct"/>
            <w:shd w:val="clear" w:color="auto" w:fill="FFFFFF"/>
            <w:vAlign w:val="center"/>
            <w:hideMark/>
          </w:tcPr>
          <w:p w14:paraId="111EADA5" w14:textId="77777777" w:rsidR="00FE7F8B" w:rsidRDefault="00FE7F8B">
            <w:pPr>
              <w:pStyle w:val="Tabletextnoindent"/>
            </w:pPr>
            <w:r>
              <w:t>Accumulated surplus/(deficit)</w:t>
            </w:r>
          </w:p>
        </w:tc>
        <w:tc>
          <w:tcPr>
            <w:tcW w:w="584" w:type="pct"/>
            <w:shd w:val="clear" w:color="auto" w:fill="FFFFFF"/>
            <w:vAlign w:val="bottom"/>
          </w:tcPr>
          <w:p w14:paraId="60F85BFF" w14:textId="77777777" w:rsidR="00FE7F8B" w:rsidRDefault="00FE7F8B">
            <w:pPr>
              <w:pStyle w:val="Tabletextnoindent"/>
              <w:jc w:val="center"/>
            </w:pPr>
          </w:p>
        </w:tc>
        <w:tc>
          <w:tcPr>
            <w:tcW w:w="879" w:type="pct"/>
            <w:shd w:val="clear" w:color="auto" w:fill="F2F2F2" w:themeFill="background1" w:themeFillShade="F2"/>
            <w:vAlign w:val="bottom"/>
            <w:hideMark/>
          </w:tcPr>
          <w:p w14:paraId="32EE234C" w14:textId="77777777" w:rsidR="00FE7F8B" w:rsidRDefault="00FE7F8B">
            <w:pPr>
              <w:pStyle w:val="Tabletextnoindent"/>
              <w:jc w:val="right"/>
            </w:pPr>
            <w:r>
              <w:rPr>
                <w:b/>
                <w:bCs/>
                <w:sz w:val="18"/>
                <w:lang w:val="en-US"/>
              </w:rPr>
              <w:t>1,710.8</w:t>
            </w:r>
          </w:p>
        </w:tc>
        <w:tc>
          <w:tcPr>
            <w:tcW w:w="879" w:type="pct"/>
            <w:vAlign w:val="bottom"/>
            <w:hideMark/>
          </w:tcPr>
          <w:p w14:paraId="74CCF665" w14:textId="77777777" w:rsidR="00FE7F8B" w:rsidRDefault="00FE7F8B">
            <w:pPr>
              <w:pStyle w:val="Tabletextnoindent"/>
              <w:jc w:val="right"/>
            </w:pPr>
            <w:r>
              <w:t>1,478.6</w:t>
            </w:r>
          </w:p>
        </w:tc>
      </w:tr>
      <w:tr w:rsidR="00FE7F8B" w14:paraId="41A0EB70" w14:textId="77777777" w:rsidTr="00FE7F8B">
        <w:tc>
          <w:tcPr>
            <w:tcW w:w="2658" w:type="pct"/>
            <w:shd w:val="clear" w:color="auto" w:fill="FFFFFF"/>
            <w:vAlign w:val="center"/>
            <w:hideMark/>
          </w:tcPr>
          <w:p w14:paraId="2F2D2353" w14:textId="77777777" w:rsidR="00FE7F8B" w:rsidRDefault="00FE7F8B">
            <w:pPr>
              <w:pStyle w:val="Tabletextnoindent"/>
            </w:pPr>
            <w:r>
              <w:t>Physical asset revaluation surplus</w:t>
            </w:r>
          </w:p>
        </w:tc>
        <w:tc>
          <w:tcPr>
            <w:tcW w:w="584" w:type="pct"/>
            <w:shd w:val="clear" w:color="auto" w:fill="FFFFFF"/>
            <w:vAlign w:val="bottom"/>
            <w:hideMark/>
          </w:tcPr>
          <w:p w14:paraId="71B0FF31" w14:textId="77777777" w:rsidR="00FE7F8B" w:rsidRDefault="00FE7F8B">
            <w:pPr>
              <w:pStyle w:val="Tabletextnoindent"/>
              <w:jc w:val="center"/>
            </w:pPr>
            <w:r>
              <w:t>16</w:t>
            </w:r>
          </w:p>
        </w:tc>
        <w:tc>
          <w:tcPr>
            <w:tcW w:w="879" w:type="pct"/>
            <w:shd w:val="clear" w:color="auto" w:fill="F2F2F2" w:themeFill="background1" w:themeFillShade="F2"/>
            <w:vAlign w:val="bottom"/>
            <w:hideMark/>
          </w:tcPr>
          <w:p w14:paraId="2E3AE50D" w14:textId="77777777" w:rsidR="00FE7F8B" w:rsidRDefault="00FE7F8B">
            <w:pPr>
              <w:pStyle w:val="Tabletextnoindent"/>
              <w:jc w:val="right"/>
            </w:pPr>
            <w:r>
              <w:rPr>
                <w:b/>
                <w:bCs/>
                <w:sz w:val="18"/>
                <w:lang w:val="en-US"/>
              </w:rPr>
              <w:t>10,400.7</w:t>
            </w:r>
          </w:p>
        </w:tc>
        <w:tc>
          <w:tcPr>
            <w:tcW w:w="879" w:type="pct"/>
            <w:vAlign w:val="bottom"/>
            <w:hideMark/>
          </w:tcPr>
          <w:p w14:paraId="2471ED14" w14:textId="77777777" w:rsidR="00FE7F8B" w:rsidRDefault="00FE7F8B">
            <w:pPr>
              <w:pStyle w:val="Tabletextnoindent"/>
              <w:jc w:val="right"/>
            </w:pPr>
            <w:r>
              <w:t>7,382.3</w:t>
            </w:r>
          </w:p>
        </w:tc>
      </w:tr>
      <w:tr w:rsidR="00FE7F8B" w14:paraId="0EF4C053" w14:textId="77777777" w:rsidTr="00A45B59">
        <w:tc>
          <w:tcPr>
            <w:tcW w:w="2658" w:type="pct"/>
            <w:tcBorders>
              <w:top w:val="nil"/>
              <w:left w:val="nil"/>
              <w:bottom w:val="single" w:sz="4" w:space="0" w:color="auto"/>
              <w:right w:val="nil"/>
            </w:tcBorders>
            <w:shd w:val="clear" w:color="auto" w:fill="FFFFFF"/>
            <w:vAlign w:val="center"/>
            <w:hideMark/>
          </w:tcPr>
          <w:p w14:paraId="5574F2FD" w14:textId="77777777" w:rsidR="00FE7F8B" w:rsidRDefault="00FE7F8B">
            <w:pPr>
              <w:pStyle w:val="Tabletextnoindent"/>
            </w:pPr>
            <w:r>
              <w:t>Contributed capital</w:t>
            </w:r>
          </w:p>
        </w:tc>
        <w:tc>
          <w:tcPr>
            <w:tcW w:w="584" w:type="pct"/>
            <w:tcBorders>
              <w:top w:val="nil"/>
              <w:left w:val="nil"/>
              <w:bottom w:val="single" w:sz="4" w:space="0" w:color="auto"/>
              <w:right w:val="nil"/>
            </w:tcBorders>
            <w:shd w:val="clear" w:color="auto" w:fill="FFFFFF"/>
            <w:vAlign w:val="bottom"/>
          </w:tcPr>
          <w:p w14:paraId="029AC2CF" w14:textId="77777777" w:rsidR="00FE7F8B" w:rsidRDefault="00FE7F8B">
            <w:pPr>
              <w:pStyle w:val="Tabletextnoindent"/>
              <w:jc w:val="center"/>
            </w:pPr>
          </w:p>
        </w:tc>
        <w:tc>
          <w:tcPr>
            <w:tcW w:w="879" w:type="pct"/>
            <w:tcBorders>
              <w:top w:val="nil"/>
              <w:left w:val="nil"/>
              <w:bottom w:val="single" w:sz="4" w:space="0" w:color="auto"/>
              <w:right w:val="nil"/>
            </w:tcBorders>
            <w:shd w:val="clear" w:color="auto" w:fill="F2F2F2" w:themeFill="background1" w:themeFillShade="F2"/>
            <w:vAlign w:val="bottom"/>
            <w:hideMark/>
          </w:tcPr>
          <w:p w14:paraId="06302C16" w14:textId="77777777" w:rsidR="00FE7F8B" w:rsidRDefault="00FE7F8B">
            <w:pPr>
              <w:pStyle w:val="Tabletextnoindent"/>
              <w:jc w:val="right"/>
            </w:pPr>
            <w:r>
              <w:rPr>
                <w:b/>
                <w:bCs/>
                <w:sz w:val="18"/>
                <w:lang w:val="en-US"/>
              </w:rPr>
              <w:t>8,677.1</w:t>
            </w:r>
          </w:p>
        </w:tc>
        <w:tc>
          <w:tcPr>
            <w:tcW w:w="879" w:type="pct"/>
            <w:tcBorders>
              <w:top w:val="nil"/>
              <w:left w:val="nil"/>
              <w:bottom w:val="single" w:sz="4" w:space="0" w:color="auto"/>
              <w:right w:val="nil"/>
            </w:tcBorders>
            <w:vAlign w:val="bottom"/>
            <w:hideMark/>
          </w:tcPr>
          <w:p w14:paraId="0117F3E8" w14:textId="77777777" w:rsidR="00FE7F8B" w:rsidRDefault="00FE7F8B">
            <w:pPr>
              <w:pStyle w:val="Tabletextnoindent"/>
              <w:jc w:val="right"/>
            </w:pPr>
            <w:r>
              <w:t>8,806.8</w:t>
            </w:r>
          </w:p>
        </w:tc>
      </w:tr>
      <w:tr w:rsidR="00FE7F8B" w14:paraId="7180ADE7" w14:textId="77777777" w:rsidTr="00A45B59">
        <w:tc>
          <w:tcPr>
            <w:tcW w:w="2658" w:type="pct"/>
            <w:tcBorders>
              <w:top w:val="single" w:sz="4" w:space="0" w:color="auto"/>
              <w:left w:val="nil"/>
              <w:right w:val="nil"/>
            </w:tcBorders>
            <w:shd w:val="clear" w:color="auto" w:fill="FFFFFF"/>
            <w:vAlign w:val="center"/>
            <w:hideMark/>
          </w:tcPr>
          <w:p w14:paraId="5E82EB73" w14:textId="77777777" w:rsidR="00FE7F8B" w:rsidRDefault="00FE7F8B">
            <w:pPr>
              <w:pStyle w:val="Tabletotal"/>
            </w:pPr>
            <w:r>
              <w:t>Net worth</w:t>
            </w:r>
          </w:p>
        </w:tc>
        <w:tc>
          <w:tcPr>
            <w:tcW w:w="584" w:type="pct"/>
            <w:tcBorders>
              <w:top w:val="single" w:sz="4" w:space="0" w:color="auto"/>
              <w:left w:val="nil"/>
              <w:right w:val="nil"/>
            </w:tcBorders>
            <w:shd w:val="clear" w:color="auto" w:fill="FFFFFF"/>
            <w:vAlign w:val="center"/>
          </w:tcPr>
          <w:p w14:paraId="5F8F7B27" w14:textId="77777777" w:rsidR="00FE7F8B" w:rsidRDefault="00FE7F8B">
            <w:pPr>
              <w:pStyle w:val="Tabletotal"/>
              <w:jc w:val="center"/>
            </w:pPr>
          </w:p>
        </w:tc>
        <w:tc>
          <w:tcPr>
            <w:tcW w:w="879" w:type="pct"/>
            <w:tcBorders>
              <w:top w:val="single" w:sz="4" w:space="0" w:color="auto"/>
              <w:left w:val="nil"/>
              <w:right w:val="nil"/>
            </w:tcBorders>
            <w:shd w:val="clear" w:color="auto" w:fill="F2F2F2" w:themeFill="background1" w:themeFillShade="F2"/>
            <w:vAlign w:val="bottom"/>
            <w:hideMark/>
          </w:tcPr>
          <w:p w14:paraId="1E746FC5" w14:textId="77777777" w:rsidR="00FE7F8B" w:rsidRDefault="00FE7F8B">
            <w:pPr>
              <w:pStyle w:val="Tabletotal"/>
              <w:jc w:val="right"/>
            </w:pPr>
            <w:r>
              <w:rPr>
                <w:bCs/>
                <w:sz w:val="18"/>
                <w:szCs w:val="18"/>
                <w:lang w:val="en-US"/>
              </w:rPr>
              <w:t>20,788.6</w:t>
            </w:r>
          </w:p>
        </w:tc>
        <w:tc>
          <w:tcPr>
            <w:tcW w:w="879" w:type="pct"/>
            <w:tcBorders>
              <w:top w:val="single" w:sz="4" w:space="0" w:color="auto"/>
              <w:left w:val="nil"/>
              <w:right w:val="nil"/>
            </w:tcBorders>
            <w:vAlign w:val="bottom"/>
            <w:hideMark/>
          </w:tcPr>
          <w:p w14:paraId="73F0A1EB" w14:textId="77777777" w:rsidR="00FE7F8B" w:rsidRDefault="00FE7F8B">
            <w:pPr>
              <w:pStyle w:val="Tabletotal"/>
              <w:jc w:val="right"/>
              <w:rPr>
                <w:b w:val="0"/>
              </w:rPr>
            </w:pPr>
            <w:r>
              <w:rPr>
                <w:b w:val="0"/>
              </w:rPr>
              <w:t>17,667.7</w:t>
            </w:r>
          </w:p>
        </w:tc>
      </w:tr>
      <w:tr w:rsidR="00FE7F8B" w14:paraId="58503B40" w14:textId="77777777" w:rsidTr="00A45B59">
        <w:tc>
          <w:tcPr>
            <w:tcW w:w="2658" w:type="pct"/>
            <w:tcBorders>
              <w:left w:val="nil"/>
              <w:right w:val="nil"/>
            </w:tcBorders>
            <w:shd w:val="clear" w:color="auto" w:fill="FFFFFF"/>
            <w:noWrap/>
            <w:vAlign w:val="bottom"/>
            <w:hideMark/>
          </w:tcPr>
          <w:p w14:paraId="709C68BB" w14:textId="77777777" w:rsidR="00FE7F8B" w:rsidRDefault="00FE7F8B">
            <w:pPr>
              <w:pStyle w:val="Tabletextnoindent"/>
            </w:pPr>
            <w:r>
              <w:t>Contingent assets and contingent liabilities</w:t>
            </w:r>
          </w:p>
        </w:tc>
        <w:tc>
          <w:tcPr>
            <w:tcW w:w="584" w:type="pct"/>
            <w:tcBorders>
              <w:left w:val="nil"/>
              <w:right w:val="nil"/>
            </w:tcBorders>
            <w:shd w:val="clear" w:color="auto" w:fill="FFFFFF" w:themeFill="background1"/>
            <w:vAlign w:val="center"/>
            <w:hideMark/>
          </w:tcPr>
          <w:p w14:paraId="3B6ACAD7" w14:textId="77777777" w:rsidR="00FE7F8B" w:rsidRDefault="00FE7F8B">
            <w:pPr>
              <w:pStyle w:val="Tabletextnoindent"/>
              <w:jc w:val="center"/>
            </w:pPr>
            <w:r>
              <w:t>21</w:t>
            </w:r>
          </w:p>
        </w:tc>
        <w:tc>
          <w:tcPr>
            <w:tcW w:w="879" w:type="pct"/>
            <w:tcBorders>
              <w:left w:val="nil"/>
              <w:right w:val="nil"/>
            </w:tcBorders>
            <w:shd w:val="clear" w:color="auto" w:fill="F2F2F2" w:themeFill="background1" w:themeFillShade="F2"/>
            <w:vAlign w:val="bottom"/>
          </w:tcPr>
          <w:p w14:paraId="0AF46C28" w14:textId="77777777" w:rsidR="00FE7F8B" w:rsidRDefault="00FE7F8B">
            <w:pPr>
              <w:pStyle w:val="Tabletextnoindent"/>
              <w:jc w:val="right"/>
            </w:pPr>
          </w:p>
        </w:tc>
        <w:tc>
          <w:tcPr>
            <w:tcW w:w="879" w:type="pct"/>
            <w:tcBorders>
              <w:left w:val="nil"/>
              <w:right w:val="nil"/>
            </w:tcBorders>
            <w:shd w:val="clear" w:color="auto" w:fill="FFFFFF"/>
            <w:vAlign w:val="bottom"/>
          </w:tcPr>
          <w:p w14:paraId="5DE5EA09" w14:textId="77777777" w:rsidR="00FE7F8B" w:rsidRDefault="00FE7F8B">
            <w:pPr>
              <w:pStyle w:val="Tabletextnoindent"/>
              <w:jc w:val="right"/>
            </w:pPr>
          </w:p>
        </w:tc>
      </w:tr>
      <w:tr w:rsidR="00FE7F8B" w14:paraId="6C671E41" w14:textId="77777777" w:rsidTr="00A45B59">
        <w:tc>
          <w:tcPr>
            <w:tcW w:w="2658" w:type="pct"/>
            <w:tcBorders>
              <w:top w:val="nil"/>
              <w:left w:val="nil"/>
              <w:right w:val="nil"/>
            </w:tcBorders>
            <w:shd w:val="clear" w:color="auto" w:fill="FFFFFF"/>
            <w:noWrap/>
            <w:vAlign w:val="bottom"/>
            <w:hideMark/>
          </w:tcPr>
          <w:p w14:paraId="18FDFA3E" w14:textId="77777777" w:rsidR="00FE7F8B" w:rsidRDefault="00FE7F8B">
            <w:pPr>
              <w:pStyle w:val="Tabletextnoindent"/>
            </w:pPr>
            <w:r>
              <w:t>Commitments for expenditure</w:t>
            </w:r>
          </w:p>
        </w:tc>
        <w:tc>
          <w:tcPr>
            <w:tcW w:w="584" w:type="pct"/>
            <w:tcBorders>
              <w:top w:val="nil"/>
              <w:left w:val="nil"/>
              <w:right w:val="nil"/>
            </w:tcBorders>
            <w:shd w:val="clear" w:color="auto" w:fill="FFFFFF" w:themeFill="background1"/>
            <w:vAlign w:val="center"/>
            <w:hideMark/>
          </w:tcPr>
          <w:p w14:paraId="6275D6E4" w14:textId="77777777" w:rsidR="00FE7F8B" w:rsidRDefault="00FE7F8B">
            <w:pPr>
              <w:pStyle w:val="Tabletextnoindent"/>
              <w:jc w:val="center"/>
            </w:pPr>
            <w:r>
              <w:t>22</w:t>
            </w:r>
          </w:p>
        </w:tc>
        <w:tc>
          <w:tcPr>
            <w:tcW w:w="879" w:type="pct"/>
            <w:tcBorders>
              <w:top w:val="nil"/>
              <w:left w:val="nil"/>
              <w:right w:val="nil"/>
            </w:tcBorders>
            <w:shd w:val="clear" w:color="auto" w:fill="F2F2F2" w:themeFill="background1" w:themeFillShade="F2"/>
            <w:vAlign w:val="bottom"/>
          </w:tcPr>
          <w:p w14:paraId="5DC1D5C6" w14:textId="77777777" w:rsidR="00FE7F8B" w:rsidRDefault="00FE7F8B">
            <w:pPr>
              <w:pStyle w:val="Tabletextnoindent"/>
              <w:jc w:val="right"/>
            </w:pPr>
          </w:p>
        </w:tc>
        <w:tc>
          <w:tcPr>
            <w:tcW w:w="879" w:type="pct"/>
            <w:tcBorders>
              <w:top w:val="nil"/>
              <w:left w:val="nil"/>
              <w:right w:val="nil"/>
            </w:tcBorders>
            <w:shd w:val="clear" w:color="auto" w:fill="FFFFFF"/>
            <w:vAlign w:val="bottom"/>
          </w:tcPr>
          <w:p w14:paraId="7032EAD0" w14:textId="77777777" w:rsidR="00FE7F8B" w:rsidRDefault="00FE7F8B">
            <w:pPr>
              <w:pStyle w:val="Tabletextnoindent"/>
              <w:jc w:val="right"/>
            </w:pPr>
          </w:p>
        </w:tc>
      </w:tr>
    </w:tbl>
    <w:p w14:paraId="4B0084A5" w14:textId="77777777" w:rsidR="00FE7F8B" w:rsidRDefault="00FE7F8B" w:rsidP="00FE7F8B">
      <w:pPr>
        <w:pStyle w:val="Normalaftertable"/>
      </w:pPr>
      <w:r>
        <w:t>The above balance sheet should be read in conjunction with the accompanying notes.</w:t>
      </w:r>
    </w:p>
    <w:p w14:paraId="6DED9078" w14:textId="77777777" w:rsidR="00FE7F8B" w:rsidRDefault="00FE7F8B" w:rsidP="00FE7F8B">
      <w:pPr>
        <w:rPr>
          <w:rFonts w:cs="Arial"/>
          <w:sz w:val="28"/>
          <w:szCs w:val="28"/>
        </w:rPr>
      </w:pPr>
      <w:r>
        <w:br w:type="page"/>
      </w:r>
      <w:bookmarkStart w:id="24" w:name="_Toc398724578"/>
      <w:bookmarkStart w:id="25" w:name="_Toc398724638"/>
      <w:bookmarkStart w:id="26" w:name="_Toc399496172"/>
      <w:bookmarkStart w:id="27" w:name="_Toc400358566"/>
    </w:p>
    <w:p w14:paraId="4DCC4653" w14:textId="77777777" w:rsidR="00FE7F8B" w:rsidRDefault="00FE7F8B" w:rsidP="00FE7F8B">
      <w:pPr>
        <w:pStyle w:val="Heading2financialstatements"/>
      </w:pPr>
      <w:bookmarkStart w:id="28" w:name="_Toc463620818"/>
      <w:bookmarkStart w:id="29" w:name="equity"/>
      <w:r>
        <w:t>Statement of changes in equity for the financial year ended 30 June 201</w:t>
      </w:r>
      <w:bookmarkEnd w:id="24"/>
      <w:bookmarkEnd w:id="25"/>
      <w:bookmarkEnd w:id="26"/>
      <w:bookmarkEnd w:id="27"/>
      <w:r>
        <w:t>6</w:t>
      </w:r>
      <w:bookmarkEnd w:id="28"/>
    </w:p>
    <w:bookmarkEnd w:id="29"/>
    <w:tbl>
      <w:tblPr>
        <w:tblW w:w="5000" w:type="pct"/>
        <w:tblInd w:w="108" w:type="dxa"/>
        <w:tblLook w:val="04A0" w:firstRow="1" w:lastRow="0" w:firstColumn="1" w:lastColumn="0" w:noHBand="0" w:noVBand="1"/>
      </w:tblPr>
      <w:tblGrid>
        <w:gridCol w:w="2552"/>
        <w:gridCol w:w="629"/>
        <w:gridCol w:w="1102"/>
        <w:gridCol w:w="1246"/>
        <w:gridCol w:w="1134"/>
        <w:gridCol w:w="926"/>
      </w:tblGrid>
      <w:tr w:rsidR="00FE7F8B" w14:paraId="67CA69EE" w14:textId="77777777" w:rsidTr="00A45B59">
        <w:trPr>
          <w:trHeight w:val="720"/>
        </w:trPr>
        <w:tc>
          <w:tcPr>
            <w:tcW w:w="1681" w:type="pct"/>
            <w:shd w:val="clear" w:color="auto" w:fill="7F7F7F" w:themeFill="text1" w:themeFillTint="80"/>
            <w:noWrap/>
            <w:vAlign w:val="bottom"/>
            <w:hideMark/>
          </w:tcPr>
          <w:p w14:paraId="30B2CC60" w14:textId="77777777" w:rsidR="00FE7F8B" w:rsidRDefault="00FE7F8B"/>
        </w:tc>
        <w:tc>
          <w:tcPr>
            <w:tcW w:w="414" w:type="pct"/>
            <w:shd w:val="clear" w:color="auto" w:fill="7F7F7F" w:themeFill="text1" w:themeFillTint="80"/>
            <w:vAlign w:val="bottom"/>
          </w:tcPr>
          <w:p w14:paraId="565739C5" w14:textId="77777777" w:rsidR="00FE7F8B" w:rsidRDefault="00FE7F8B">
            <w:pPr>
              <w:pStyle w:val="Tablecolumnheading"/>
              <w:jc w:val="center"/>
              <w:rPr>
                <w:sz w:val="16"/>
                <w:szCs w:val="16"/>
                <w:lang w:eastAsia="en-AU"/>
              </w:rPr>
            </w:pPr>
          </w:p>
        </w:tc>
        <w:tc>
          <w:tcPr>
            <w:tcW w:w="726" w:type="pct"/>
            <w:shd w:val="clear" w:color="auto" w:fill="7F7F7F" w:themeFill="text1" w:themeFillTint="80"/>
            <w:vAlign w:val="bottom"/>
            <w:hideMark/>
          </w:tcPr>
          <w:p w14:paraId="6B500B90" w14:textId="77777777" w:rsidR="00FE7F8B" w:rsidRDefault="00FE7F8B">
            <w:pPr>
              <w:pStyle w:val="Tablecolumnheading"/>
              <w:jc w:val="center"/>
              <w:rPr>
                <w:sz w:val="16"/>
                <w:szCs w:val="16"/>
                <w:lang w:eastAsia="en-AU"/>
              </w:rPr>
            </w:pPr>
            <w:r>
              <w:rPr>
                <w:sz w:val="16"/>
                <w:szCs w:val="16"/>
                <w:lang w:eastAsia="en-AU"/>
              </w:rPr>
              <w:t>Physical asset revaluation surplus</w:t>
            </w:r>
            <w:r>
              <w:rPr>
                <w:sz w:val="16"/>
                <w:szCs w:val="16"/>
                <w:lang w:eastAsia="en-AU"/>
              </w:rPr>
              <w:br/>
              <w:t>$m</w:t>
            </w:r>
          </w:p>
        </w:tc>
        <w:tc>
          <w:tcPr>
            <w:tcW w:w="821" w:type="pct"/>
            <w:shd w:val="clear" w:color="auto" w:fill="7F7F7F" w:themeFill="text1" w:themeFillTint="80"/>
            <w:vAlign w:val="bottom"/>
            <w:hideMark/>
          </w:tcPr>
          <w:p w14:paraId="78D87AB6" w14:textId="77777777" w:rsidR="00FE7F8B" w:rsidRDefault="00FE7F8B">
            <w:pPr>
              <w:pStyle w:val="Tablecolumnheading"/>
              <w:jc w:val="center"/>
              <w:rPr>
                <w:sz w:val="16"/>
                <w:szCs w:val="16"/>
                <w:lang w:eastAsia="en-AU"/>
              </w:rPr>
            </w:pPr>
            <w:r>
              <w:rPr>
                <w:sz w:val="16"/>
                <w:szCs w:val="16"/>
                <w:lang w:eastAsia="en-AU"/>
              </w:rPr>
              <w:t>Accumulated surplus/</w:t>
            </w:r>
            <w:r>
              <w:rPr>
                <w:sz w:val="16"/>
                <w:szCs w:val="16"/>
                <w:lang w:eastAsia="en-AU"/>
              </w:rPr>
              <w:br/>
              <w:t>(deficit)</w:t>
            </w:r>
            <w:r>
              <w:rPr>
                <w:sz w:val="16"/>
                <w:szCs w:val="16"/>
                <w:lang w:eastAsia="en-AU"/>
              </w:rPr>
              <w:br/>
              <w:t>$m</w:t>
            </w:r>
          </w:p>
        </w:tc>
        <w:tc>
          <w:tcPr>
            <w:tcW w:w="747" w:type="pct"/>
            <w:shd w:val="clear" w:color="auto" w:fill="7F7F7F" w:themeFill="text1" w:themeFillTint="80"/>
            <w:vAlign w:val="bottom"/>
            <w:hideMark/>
          </w:tcPr>
          <w:p w14:paraId="23E88B6F" w14:textId="77777777" w:rsidR="00FE7F8B" w:rsidRDefault="00FE7F8B">
            <w:pPr>
              <w:pStyle w:val="Tablecolumnheading"/>
              <w:jc w:val="center"/>
              <w:rPr>
                <w:sz w:val="16"/>
                <w:szCs w:val="16"/>
                <w:lang w:eastAsia="en-AU"/>
              </w:rPr>
            </w:pPr>
            <w:r>
              <w:rPr>
                <w:sz w:val="16"/>
                <w:szCs w:val="16"/>
                <w:lang w:eastAsia="en-AU"/>
              </w:rPr>
              <w:t>Contributed capital</w:t>
            </w:r>
            <w:r>
              <w:rPr>
                <w:sz w:val="16"/>
                <w:szCs w:val="16"/>
                <w:lang w:eastAsia="en-AU"/>
              </w:rPr>
              <w:br/>
              <w:t>$m</w:t>
            </w:r>
          </w:p>
        </w:tc>
        <w:tc>
          <w:tcPr>
            <w:tcW w:w="610" w:type="pct"/>
            <w:shd w:val="clear" w:color="auto" w:fill="7F7F7F" w:themeFill="text1" w:themeFillTint="80"/>
            <w:vAlign w:val="bottom"/>
            <w:hideMark/>
          </w:tcPr>
          <w:p w14:paraId="2B39E9C8" w14:textId="77777777" w:rsidR="00FE7F8B" w:rsidRDefault="00FE7F8B">
            <w:pPr>
              <w:pStyle w:val="Tablecolumnheading"/>
              <w:jc w:val="center"/>
              <w:rPr>
                <w:sz w:val="16"/>
                <w:szCs w:val="16"/>
                <w:lang w:eastAsia="en-AU"/>
              </w:rPr>
            </w:pPr>
            <w:r>
              <w:rPr>
                <w:sz w:val="16"/>
                <w:szCs w:val="16"/>
                <w:lang w:eastAsia="en-AU"/>
              </w:rPr>
              <w:t xml:space="preserve">Total equity </w:t>
            </w:r>
            <w:r>
              <w:rPr>
                <w:sz w:val="16"/>
                <w:szCs w:val="16"/>
                <w:lang w:eastAsia="en-AU"/>
              </w:rPr>
              <w:br/>
              <w:t xml:space="preserve">$m </w:t>
            </w:r>
          </w:p>
        </w:tc>
      </w:tr>
      <w:tr w:rsidR="00FE7F8B" w14:paraId="602338F1" w14:textId="77777777" w:rsidTr="00A45B59">
        <w:tc>
          <w:tcPr>
            <w:tcW w:w="1681" w:type="pct"/>
            <w:tcBorders>
              <w:top w:val="nil"/>
              <w:left w:val="nil"/>
              <w:right w:val="nil"/>
            </w:tcBorders>
            <w:shd w:val="clear" w:color="auto" w:fill="FFFFFF"/>
            <w:vAlign w:val="center"/>
            <w:hideMark/>
          </w:tcPr>
          <w:p w14:paraId="5B4ECC37" w14:textId="77777777" w:rsidR="00FE7F8B" w:rsidRDefault="00FE7F8B">
            <w:pPr>
              <w:pStyle w:val="Tablerowheading"/>
            </w:pPr>
            <w:r>
              <w:t>Balance at 1 July 2014</w:t>
            </w:r>
          </w:p>
        </w:tc>
        <w:tc>
          <w:tcPr>
            <w:tcW w:w="414" w:type="pct"/>
            <w:tcBorders>
              <w:top w:val="nil"/>
              <w:left w:val="nil"/>
              <w:right w:val="nil"/>
            </w:tcBorders>
          </w:tcPr>
          <w:p w14:paraId="78FD4460" w14:textId="77777777" w:rsidR="00FE7F8B" w:rsidRDefault="00FE7F8B">
            <w:pPr>
              <w:pStyle w:val="Tablerowheading"/>
              <w:jc w:val="right"/>
            </w:pPr>
          </w:p>
        </w:tc>
        <w:tc>
          <w:tcPr>
            <w:tcW w:w="726" w:type="pct"/>
            <w:tcBorders>
              <w:top w:val="nil"/>
              <w:left w:val="nil"/>
              <w:right w:val="nil"/>
            </w:tcBorders>
            <w:vAlign w:val="bottom"/>
            <w:hideMark/>
          </w:tcPr>
          <w:p w14:paraId="27351462" w14:textId="77777777" w:rsidR="00FE7F8B" w:rsidRDefault="00FE7F8B">
            <w:pPr>
              <w:pStyle w:val="Tablerowheading"/>
              <w:jc w:val="right"/>
            </w:pPr>
            <w:r>
              <w:t>6,566.9</w:t>
            </w:r>
          </w:p>
        </w:tc>
        <w:tc>
          <w:tcPr>
            <w:tcW w:w="821" w:type="pct"/>
            <w:tcBorders>
              <w:top w:val="nil"/>
              <w:left w:val="nil"/>
              <w:right w:val="nil"/>
            </w:tcBorders>
            <w:shd w:val="clear" w:color="auto" w:fill="F2F2F2" w:themeFill="background1" w:themeFillShade="F2"/>
            <w:vAlign w:val="bottom"/>
            <w:hideMark/>
          </w:tcPr>
          <w:p w14:paraId="3A5BB0AB" w14:textId="77777777" w:rsidR="00FE7F8B" w:rsidRDefault="00FE7F8B">
            <w:pPr>
              <w:pStyle w:val="Tablerowheading"/>
              <w:jc w:val="right"/>
            </w:pPr>
            <w:r>
              <w:t>1,319.8</w:t>
            </w:r>
          </w:p>
        </w:tc>
        <w:tc>
          <w:tcPr>
            <w:tcW w:w="747" w:type="pct"/>
            <w:tcBorders>
              <w:top w:val="nil"/>
              <w:left w:val="nil"/>
              <w:right w:val="nil"/>
            </w:tcBorders>
            <w:shd w:val="clear" w:color="auto" w:fill="FFFFFF"/>
            <w:vAlign w:val="bottom"/>
            <w:hideMark/>
          </w:tcPr>
          <w:p w14:paraId="6A956B62" w14:textId="77777777" w:rsidR="00FE7F8B" w:rsidRDefault="00FE7F8B">
            <w:pPr>
              <w:pStyle w:val="Tablerowheading"/>
              <w:jc w:val="right"/>
            </w:pPr>
            <w:r>
              <w:t>8,741.2</w:t>
            </w:r>
          </w:p>
        </w:tc>
        <w:tc>
          <w:tcPr>
            <w:tcW w:w="610" w:type="pct"/>
            <w:tcBorders>
              <w:top w:val="nil"/>
              <w:left w:val="nil"/>
              <w:right w:val="nil"/>
            </w:tcBorders>
            <w:shd w:val="clear" w:color="auto" w:fill="F2F2F2" w:themeFill="background1" w:themeFillShade="F2"/>
            <w:vAlign w:val="bottom"/>
            <w:hideMark/>
          </w:tcPr>
          <w:p w14:paraId="01457196" w14:textId="77777777" w:rsidR="00FE7F8B" w:rsidRDefault="00FE7F8B">
            <w:pPr>
              <w:pStyle w:val="Tablerowheading"/>
              <w:jc w:val="right"/>
            </w:pPr>
            <w:r>
              <w:t>16,627.9</w:t>
            </w:r>
          </w:p>
        </w:tc>
      </w:tr>
      <w:tr w:rsidR="00FE7F8B" w14:paraId="2A7D4B83" w14:textId="77777777" w:rsidTr="00A45B59">
        <w:tc>
          <w:tcPr>
            <w:tcW w:w="1681" w:type="pct"/>
            <w:tcBorders>
              <w:left w:val="nil"/>
              <w:bottom w:val="nil"/>
              <w:right w:val="nil"/>
            </w:tcBorders>
            <w:vAlign w:val="bottom"/>
            <w:hideMark/>
          </w:tcPr>
          <w:p w14:paraId="424C7142" w14:textId="77777777" w:rsidR="00FE7F8B" w:rsidRDefault="00FE7F8B">
            <w:pPr>
              <w:pStyle w:val="Tabletextnoindent"/>
            </w:pPr>
            <w:r>
              <w:t>Net result for the year</w:t>
            </w:r>
          </w:p>
        </w:tc>
        <w:tc>
          <w:tcPr>
            <w:tcW w:w="414" w:type="pct"/>
            <w:tcBorders>
              <w:left w:val="nil"/>
              <w:bottom w:val="nil"/>
              <w:right w:val="nil"/>
            </w:tcBorders>
            <w:vAlign w:val="bottom"/>
          </w:tcPr>
          <w:p w14:paraId="09A1D203" w14:textId="77777777" w:rsidR="00FE7F8B" w:rsidRDefault="00FE7F8B">
            <w:pPr>
              <w:pStyle w:val="Tabletextnoindent"/>
              <w:jc w:val="right"/>
            </w:pPr>
          </w:p>
        </w:tc>
        <w:tc>
          <w:tcPr>
            <w:tcW w:w="726" w:type="pct"/>
            <w:tcBorders>
              <w:left w:val="nil"/>
              <w:bottom w:val="nil"/>
              <w:right w:val="nil"/>
            </w:tcBorders>
            <w:vAlign w:val="bottom"/>
            <w:hideMark/>
          </w:tcPr>
          <w:p w14:paraId="2002792F" w14:textId="77777777" w:rsidR="00FE7F8B" w:rsidRDefault="00FE7F8B">
            <w:pPr>
              <w:pStyle w:val="Tabletextnoindent"/>
              <w:jc w:val="right"/>
            </w:pPr>
            <w:r>
              <w:t>-</w:t>
            </w:r>
          </w:p>
        </w:tc>
        <w:tc>
          <w:tcPr>
            <w:tcW w:w="821" w:type="pct"/>
            <w:tcBorders>
              <w:left w:val="nil"/>
              <w:bottom w:val="nil"/>
              <w:right w:val="nil"/>
            </w:tcBorders>
            <w:shd w:val="clear" w:color="auto" w:fill="F2F2F2" w:themeFill="background1" w:themeFillShade="F2"/>
            <w:vAlign w:val="bottom"/>
            <w:hideMark/>
          </w:tcPr>
          <w:p w14:paraId="19EFCD7A" w14:textId="77777777" w:rsidR="00FE7F8B" w:rsidRDefault="00FE7F8B">
            <w:pPr>
              <w:pStyle w:val="Tabletextnoindent"/>
              <w:jc w:val="right"/>
            </w:pPr>
            <w:r>
              <w:t>158.8</w:t>
            </w:r>
          </w:p>
        </w:tc>
        <w:tc>
          <w:tcPr>
            <w:tcW w:w="747" w:type="pct"/>
            <w:tcBorders>
              <w:left w:val="nil"/>
              <w:bottom w:val="nil"/>
              <w:right w:val="nil"/>
            </w:tcBorders>
            <w:vAlign w:val="bottom"/>
            <w:hideMark/>
          </w:tcPr>
          <w:p w14:paraId="1FAA8D26" w14:textId="77777777" w:rsidR="00FE7F8B" w:rsidRDefault="00FE7F8B">
            <w:pPr>
              <w:pStyle w:val="Tabletextnoindent"/>
              <w:jc w:val="right"/>
            </w:pPr>
            <w:r>
              <w:t>-</w:t>
            </w:r>
          </w:p>
        </w:tc>
        <w:tc>
          <w:tcPr>
            <w:tcW w:w="610" w:type="pct"/>
            <w:tcBorders>
              <w:left w:val="nil"/>
              <w:bottom w:val="nil"/>
              <w:right w:val="nil"/>
            </w:tcBorders>
            <w:shd w:val="clear" w:color="auto" w:fill="F2F2F2" w:themeFill="background1" w:themeFillShade="F2"/>
            <w:vAlign w:val="bottom"/>
            <w:hideMark/>
          </w:tcPr>
          <w:p w14:paraId="6CF5BDBF" w14:textId="77777777" w:rsidR="00FE7F8B" w:rsidRDefault="00FE7F8B">
            <w:pPr>
              <w:pStyle w:val="Tabletextnoindent"/>
              <w:jc w:val="right"/>
            </w:pPr>
            <w:r>
              <w:t>158.8</w:t>
            </w:r>
          </w:p>
        </w:tc>
      </w:tr>
      <w:tr w:rsidR="00FE7F8B" w14:paraId="5FAA9340" w14:textId="77777777" w:rsidTr="00FE7F8B">
        <w:tc>
          <w:tcPr>
            <w:tcW w:w="1681" w:type="pct"/>
            <w:vAlign w:val="bottom"/>
            <w:hideMark/>
          </w:tcPr>
          <w:p w14:paraId="23C6B5A3" w14:textId="77777777" w:rsidR="00FE7F8B" w:rsidRDefault="00FE7F8B">
            <w:pPr>
              <w:pStyle w:val="Tabletextnoindent"/>
            </w:pPr>
            <w:r>
              <w:t>Other comprehensive income for the year</w:t>
            </w:r>
          </w:p>
        </w:tc>
        <w:tc>
          <w:tcPr>
            <w:tcW w:w="414" w:type="pct"/>
            <w:vAlign w:val="bottom"/>
          </w:tcPr>
          <w:p w14:paraId="1932E7EA" w14:textId="77777777" w:rsidR="00FE7F8B" w:rsidRDefault="00FE7F8B">
            <w:pPr>
              <w:pStyle w:val="Tabletextnoindent"/>
              <w:jc w:val="right"/>
            </w:pPr>
          </w:p>
        </w:tc>
        <w:tc>
          <w:tcPr>
            <w:tcW w:w="726" w:type="pct"/>
            <w:vAlign w:val="bottom"/>
            <w:hideMark/>
          </w:tcPr>
          <w:p w14:paraId="50F7AA3D" w14:textId="77777777" w:rsidR="00FE7F8B" w:rsidRDefault="00FE7F8B">
            <w:pPr>
              <w:pStyle w:val="Tabletextnoindent"/>
              <w:jc w:val="right"/>
            </w:pPr>
            <w:r>
              <w:t>815.5</w:t>
            </w:r>
          </w:p>
        </w:tc>
        <w:tc>
          <w:tcPr>
            <w:tcW w:w="821" w:type="pct"/>
            <w:shd w:val="clear" w:color="auto" w:fill="F2F2F2" w:themeFill="background1" w:themeFillShade="F2"/>
            <w:vAlign w:val="bottom"/>
            <w:hideMark/>
          </w:tcPr>
          <w:p w14:paraId="484AC2C5" w14:textId="77777777" w:rsidR="00FE7F8B" w:rsidRDefault="00FE7F8B">
            <w:pPr>
              <w:pStyle w:val="Tabletextnoindent"/>
              <w:jc w:val="right"/>
            </w:pPr>
            <w:r>
              <w:t>-</w:t>
            </w:r>
          </w:p>
        </w:tc>
        <w:tc>
          <w:tcPr>
            <w:tcW w:w="747" w:type="pct"/>
            <w:vAlign w:val="bottom"/>
            <w:hideMark/>
          </w:tcPr>
          <w:p w14:paraId="771EECE2" w14:textId="77777777" w:rsidR="00FE7F8B" w:rsidRDefault="00FE7F8B">
            <w:pPr>
              <w:pStyle w:val="Tabletextnoindent"/>
              <w:jc w:val="right"/>
            </w:pPr>
            <w:r>
              <w:t>-</w:t>
            </w:r>
          </w:p>
        </w:tc>
        <w:tc>
          <w:tcPr>
            <w:tcW w:w="610" w:type="pct"/>
            <w:shd w:val="clear" w:color="auto" w:fill="F2F2F2" w:themeFill="background1" w:themeFillShade="F2"/>
            <w:vAlign w:val="bottom"/>
            <w:hideMark/>
          </w:tcPr>
          <w:p w14:paraId="78729AD3" w14:textId="77777777" w:rsidR="00FE7F8B" w:rsidRDefault="00FE7F8B">
            <w:pPr>
              <w:pStyle w:val="Tabletextnoindent"/>
              <w:jc w:val="right"/>
            </w:pPr>
            <w:r>
              <w:t>815.5</w:t>
            </w:r>
          </w:p>
        </w:tc>
      </w:tr>
      <w:tr w:rsidR="00FE7F8B" w14:paraId="5FE36863" w14:textId="77777777" w:rsidTr="00FE7F8B">
        <w:tc>
          <w:tcPr>
            <w:tcW w:w="1681" w:type="pct"/>
            <w:vAlign w:val="bottom"/>
            <w:hideMark/>
          </w:tcPr>
          <w:p w14:paraId="2DDFEF2B" w14:textId="77777777" w:rsidR="00FE7F8B" w:rsidRDefault="00FE7F8B">
            <w:pPr>
              <w:pStyle w:val="Tabletextnoindent"/>
            </w:pPr>
            <w:r>
              <w:t>Capital appropriations</w:t>
            </w:r>
          </w:p>
        </w:tc>
        <w:tc>
          <w:tcPr>
            <w:tcW w:w="414" w:type="pct"/>
            <w:vAlign w:val="bottom"/>
          </w:tcPr>
          <w:p w14:paraId="02E71433" w14:textId="77777777" w:rsidR="00FE7F8B" w:rsidRDefault="00FE7F8B">
            <w:pPr>
              <w:pStyle w:val="Tabletextnoindent"/>
              <w:jc w:val="right"/>
            </w:pPr>
          </w:p>
        </w:tc>
        <w:tc>
          <w:tcPr>
            <w:tcW w:w="726" w:type="pct"/>
            <w:vAlign w:val="bottom"/>
            <w:hideMark/>
          </w:tcPr>
          <w:p w14:paraId="75FE9841" w14:textId="77777777" w:rsidR="00FE7F8B" w:rsidRDefault="00FE7F8B">
            <w:pPr>
              <w:pStyle w:val="Tabletextnoindent"/>
              <w:jc w:val="right"/>
            </w:pPr>
            <w:r>
              <w:t>-</w:t>
            </w:r>
          </w:p>
        </w:tc>
        <w:tc>
          <w:tcPr>
            <w:tcW w:w="821" w:type="pct"/>
            <w:shd w:val="clear" w:color="auto" w:fill="F2F2F2" w:themeFill="background1" w:themeFillShade="F2"/>
            <w:vAlign w:val="bottom"/>
            <w:hideMark/>
          </w:tcPr>
          <w:p w14:paraId="4323EA81" w14:textId="77777777" w:rsidR="00FE7F8B" w:rsidRDefault="00FE7F8B">
            <w:pPr>
              <w:pStyle w:val="Tabletextnoindent"/>
              <w:jc w:val="right"/>
            </w:pPr>
            <w:r>
              <w:t>-</w:t>
            </w:r>
          </w:p>
        </w:tc>
        <w:tc>
          <w:tcPr>
            <w:tcW w:w="747" w:type="pct"/>
            <w:vAlign w:val="bottom"/>
            <w:hideMark/>
          </w:tcPr>
          <w:p w14:paraId="53E82F34" w14:textId="77777777" w:rsidR="00FE7F8B" w:rsidRDefault="00FE7F8B">
            <w:pPr>
              <w:pStyle w:val="Tabletextnoindent"/>
              <w:jc w:val="right"/>
            </w:pPr>
            <w:r>
              <w:t>155.8</w:t>
            </w:r>
          </w:p>
        </w:tc>
        <w:tc>
          <w:tcPr>
            <w:tcW w:w="610" w:type="pct"/>
            <w:shd w:val="clear" w:color="auto" w:fill="F2F2F2" w:themeFill="background1" w:themeFillShade="F2"/>
            <w:vAlign w:val="bottom"/>
            <w:hideMark/>
          </w:tcPr>
          <w:p w14:paraId="0D67BDA7" w14:textId="77777777" w:rsidR="00FE7F8B" w:rsidRDefault="00FE7F8B">
            <w:pPr>
              <w:pStyle w:val="Tabletextnoindent"/>
              <w:jc w:val="right"/>
            </w:pPr>
            <w:r>
              <w:t>155.8</w:t>
            </w:r>
          </w:p>
        </w:tc>
      </w:tr>
      <w:tr w:rsidR="00FE7F8B" w14:paraId="68F9030E" w14:textId="77777777" w:rsidTr="00FE7F8B">
        <w:tc>
          <w:tcPr>
            <w:tcW w:w="1681" w:type="pct"/>
            <w:vAlign w:val="bottom"/>
            <w:hideMark/>
          </w:tcPr>
          <w:p w14:paraId="32288B10" w14:textId="77777777" w:rsidR="00FE7F8B" w:rsidRDefault="00FE7F8B">
            <w:pPr>
              <w:pStyle w:val="Tabletextnoindent"/>
            </w:pPr>
            <w:r>
              <w:t>Contributed capital transfers in</w:t>
            </w:r>
          </w:p>
        </w:tc>
        <w:tc>
          <w:tcPr>
            <w:tcW w:w="414" w:type="pct"/>
            <w:vAlign w:val="bottom"/>
          </w:tcPr>
          <w:p w14:paraId="586BAA45" w14:textId="77777777" w:rsidR="00FE7F8B" w:rsidRDefault="00FE7F8B">
            <w:pPr>
              <w:pStyle w:val="Tabletextnoindent"/>
              <w:jc w:val="right"/>
            </w:pPr>
          </w:p>
        </w:tc>
        <w:tc>
          <w:tcPr>
            <w:tcW w:w="726" w:type="pct"/>
            <w:vAlign w:val="bottom"/>
            <w:hideMark/>
          </w:tcPr>
          <w:p w14:paraId="35700184" w14:textId="77777777" w:rsidR="00FE7F8B" w:rsidRDefault="00FE7F8B">
            <w:pPr>
              <w:pStyle w:val="Tabletextnoindent"/>
              <w:jc w:val="right"/>
            </w:pPr>
            <w:r>
              <w:t>-</w:t>
            </w:r>
          </w:p>
        </w:tc>
        <w:tc>
          <w:tcPr>
            <w:tcW w:w="821" w:type="pct"/>
            <w:shd w:val="clear" w:color="auto" w:fill="F2F2F2" w:themeFill="background1" w:themeFillShade="F2"/>
            <w:vAlign w:val="bottom"/>
            <w:hideMark/>
          </w:tcPr>
          <w:p w14:paraId="24F706BD" w14:textId="77777777" w:rsidR="00FE7F8B" w:rsidRDefault="00FE7F8B">
            <w:pPr>
              <w:pStyle w:val="Tabletextnoindent"/>
              <w:jc w:val="right"/>
            </w:pPr>
            <w:r>
              <w:t>-</w:t>
            </w:r>
          </w:p>
        </w:tc>
        <w:tc>
          <w:tcPr>
            <w:tcW w:w="747" w:type="pct"/>
            <w:vAlign w:val="bottom"/>
            <w:hideMark/>
          </w:tcPr>
          <w:p w14:paraId="33CA35B6" w14:textId="77777777" w:rsidR="00FE7F8B" w:rsidRDefault="00FE7F8B">
            <w:pPr>
              <w:pStyle w:val="Tabletextnoindent"/>
              <w:jc w:val="right"/>
            </w:pPr>
            <w:r>
              <w:t>276.1</w:t>
            </w:r>
          </w:p>
        </w:tc>
        <w:tc>
          <w:tcPr>
            <w:tcW w:w="610" w:type="pct"/>
            <w:shd w:val="clear" w:color="auto" w:fill="F2F2F2" w:themeFill="background1" w:themeFillShade="F2"/>
            <w:vAlign w:val="bottom"/>
            <w:hideMark/>
          </w:tcPr>
          <w:p w14:paraId="6F7B51AB" w14:textId="77777777" w:rsidR="00FE7F8B" w:rsidRDefault="00FE7F8B">
            <w:pPr>
              <w:pStyle w:val="Tabletextnoindent"/>
              <w:jc w:val="right"/>
            </w:pPr>
            <w:r>
              <w:t>276.1</w:t>
            </w:r>
          </w:p>
        </w:tc>
      </w:tr>
      <w:tr w:rsidR="00FE7F8B" w14:paraId="10C0D810" w14:textId="77777777" w:rsidTr="00FE7F8B">
        <w:tc>
          <w:tcPr>
            <w:tcW w:w="1681" w:type="pct"/>
            <w:tcBorders>
              <w:top w:val="nil"/>
              <w:left w:val="nil"/>
              <w:bottom w:val="single" w:sz="4" w:space="0" w:color="auto"/>
              <w:right w:val="nil"/>
            </w:tcBorders>
            <w:vAlign w:val="bottom"/>
            <w:hideMark/>
          </w:tcPr>
          <w:p w14:paraId="33F72CB1" w14:textId="77777777" w:rsidR="00FE7F8B" w:rsidRDefault="00FE7F8B">
            <w:pPr>
              <w:pStyle w:val="Tabletextnoindent"/>
            </w:pPr>
            <w:r>
              <w:t>Contributed capital transfers (out)</w:t>
            </w:r>
          </w:p>
        </w:tc>
        <w:tc>
          <w:tcPr>
            <w:tcW w:w="414" w:type="pct"/>
            <w:tcBorders>
              <w:top w:val="nil"/>
              <w:left w:val="nil"/>
              <w:bottom w:val="single" w:sz="4" w:space="0" w:color="auto"/>
              <w:right w:val="nil"/>
            </w:tcBorders>
            <w:vAlign w:val="bottom"/>
          </w:tcPr>
          <w:p w14:paraId="2C7A5EC4" w14:textId="77777777" w:rsidR="00FE7F8B" w:rsidRDefault="00FE7F8B">
            <w:pPr>
              <w:pStyle w:val="Tabletextnoindent"/>
              <w:jc w:val="right"/>
            </w:pPr>
          </w:p>
        </w:tc>
        <w:tc>
          <w:tcPr>
            <w:tcW w:w="726" w:type="pct"/>
            <w:tcBorders>
              <w:top w:val="nil"/>
              <w:left w:val="nil"/>
              <w:bottom w:val="single" w:sz="4" w:space="0" w:color="auto"/>
              <w:right w:val="nil"/>
            </w:tcBorders>
            <w:vAlign w:val="bottom"/>
            <w:hideMark/>
          </w:tcPr>
          <w:p w14:paraId="6D923E39" w14:textId="77777777" w:rsidR="00FE7F8B" w:rsidRDefault="00FE7F8B">
            <w:pPr>
              <w:pStyle w:val="Tabletextnoindent"/>
              <w:jc w:val="right"/>
            </w:pPr>
            <w:r>
              <w:t>-</w:t>
            </w:r>
          </w:p>
        </w:tc>
        <w:tc>
          <w:tcPr>
            <w:tcW w:w="821" w:type="pct"/>
            <w:tcBorders>
              <w:top w:val="nil"/>
              <w:left w:val="nil"/>
              <w:bottom w:val="single" w:sz="4" w:space="0" w:color="auto"/>
              <w:right w:val="nil"/>
            </w:tcBorders>
            <w:shd w:val="clear" w:color="auto" w:fill="F2F2F2" w:themeFill="background1" w:themeFillShade="F2"/>
            <w:vAlign w:val="bottom"/>
            <w:hideMark/>
          </w:tcPr>
          <w:p w14:paraId="1E69F351" w14:textId="77777777" w:rsidR="00FE7F8B" w:rsidRDefault="00FE7F8B">
            <w:pPr>
              <w:pStyle w:val="Tabletextnoindent"/>
              <w:jc w:val="right"/>
            </w:pPr>
            <w:r>
              <w:t>-</w:t>
            </w:r>
          </w:p>
        </w:tc>
        <w:tc>
          <w:tcPr>
            <w:tcW w:w="747" w:type="pct"/>
            <w:tcBorders>
              <w:top w:val="nil"/>
              <w:left w:val="nil"/>
              <w:bottom w:val="single" w:sz="4" w:space="0" w:color="auto"/>
              <w:right w:val="nil"/>
            </w:tcBorders>
            <w:vAlign w:val="bottom"/>
            <w:hideMark/>
          </w:tcPr>
          <w:p w14:paraId="61A81F66" w14:textId="77777777" w:rsidR="00FE7F8B" w:rsidRDefault="00FE7F8B">
            <w:pPr>
              <w:pStyle w:val="Tabletextnoindent"/>
              <w:jc w:val="right"/>
            </w:pPr>
            <w:r>
              <w:t>(366.3)</w:t>
            </w:r>
          </w:p>
        </w:tc>
        <w:tc>
          <w:tcPr>
            <w:tcW w:w="610" w:type="pct"/>
            <w:tcBorders>
              <w:top w:val="nil"/>
              <w:left w:val="nil"/>
              <w:bottom w:val="single" w:sz="4" w:space="0" w:color="auto"/>
              <w:right w:val="nil"/>
            </w:tcBorders>
            <w:shd w:val="clear" w:color="auto" w:fill="F2F2F2" w:themeFill="background1" w:themeFillShade="F2"/>
            <w:vAlign w:val="bottom"/>
            <w:hideMark/>
          </w:tcPr>
          <w:p w14:paraId="09C97602" w14:textId="77777777" w:rsidR="00FE7F8B" w:rsidRDefault="00FE7F8B">
            <w:pPr>
              <w:pStyle w:val="Tabletextnoindent"/>
              <w:jc w:val="right"/>
            </w:pPr>
            <w:r>
              <w:t>(366.3)</w:t>
            </w:r>
          </w:p>
        </w:tc>
      </w:tr>
      <w:tr w:rsidR="00FE7F8B" w14:paraId="214F0FFB" w14:textId="77777777" w:rsidTr="00FE7F8B">
        <w:tc>
          <w:tcPr>
            <w:tcW w:w="1681" w:type="pct"/>
            <w:tcBorders>
              <w:top w:val="single" w:sz="4" w:space="0" w:color="auto"/>
              <w:left w:val="nil"/>
              <w:bottom w:val="single" w:sz="4" w:space="0" w:color="auto"/>
              <w:right w:val="nil"/>
            </w:tcBorders>
            <w:vAlign w:val="bottom"/>
            <w:hideMark/>
          </w:tcPr>
          <w:p w14:paraId="512D8D2B" w14:textId="77777777" w:rsidR="00FE7F8B" w:rsidRDefault="00FE7F8B">
            <w:pPr>
              <w:pStyle w:val="Tabletextnoindent"/>
            </w:pPr>
            <w:r>
              <w:rPr>
                <w:b/>
              </w:rPr>
              <w:t>Balance at 30 June 2015</w:t>
            </w:r>
          </w:p>
        </w:tc>
        <w:tc>
          <w:tcPr>
            <w:tcW w:w="414" w:type="pct"/>
            <w:tcBorders>
              <w:top w:val="single" w:sz="4" w:space="0" w:color="auto"/>
              <w:left w:val="nil"/>
              <w:bottom w:val="single" w:sz="4" w:space="0" w:color="auto"/>
              <w:right w:val="nil"/>
            </w:tcBorders>
            <w:vAlign w:val="bottom"/>
          </w:tcPr>
          <w:p w14:paraId="5B8D7CAB" w14:textId="77777777" w:rsidR="00FE7F8B" w:rsidRDefault="00FE7F8B">
            <w:pPr>
              <w:pStyle w:val="Tabletextnoindent"/>
              <w:jc w:val="right"/>
            </w:pPr>
          </w:p>
        </w:tc>
        <w:tc>
          <w:tcPr>
            <w:tcW w:w="726" w:type="pct"/>
            <w:tcBorders>
              <w:top w:val="single" w:sz="4" w:space="0" w:color="auto"/>
              <w:left w:val="nil"/>
              <w:bottom w:val="single" w:sz="4" w:space="0" w:color="auto"/>
              <w:right w:val="nil"/>
            </w:tcBorders>
            <w:vAlign w:val="bottom"/>
            <w:hideMark/>
          </w:tcPr>
          <w:p w14:paraId="5DF481FD" w14:textId="77777777" w:rsidR="00FE7F8B" w:rsidRDefault="00FE7F8B">
            <w:pPr>
              <w:pStyle w:val="Tabletextnoindent"/>
              <w:jc w:val="right"/>
            </w:pPr>
            <w:r>
              <w:rPr>
                <w:b/>
              </w:rPr>
              <w:t>7,382.4</w:t>
            </w:r>
          </w:p>
        </w:tc>
        <w:tc>
          <w:tcPr>
            <w:tcW w:w="821" w:type="pct"/>
            <w:tcBorders>
              <w:top w:val="single" w:sz="4" w:space="0" w:color="auto"/>
              <w:left w:val="nil"/>
              <w:bottom w:val="single" w:sz="4" w:space="0" w:color="auto"/>
              <w:right w:val="nil"/>
            </w:tcBorders>
            <w:shd w:val="clear" w:color="auto" w:fill="F2F2F2" w:themeFill="background1" w:themeFillShade="F2"/>
            <w:vAlign w:val="bottom"/>
            <w:hideMark/>
          </w:tcPr>
          <w:p w14:paraId="082BA6E6" w14:textId="77777777" w:rsidR="00FE7F8B" w:rsidRDefault="00FE7F8B">
            <w:pPr>
              <w:pStyle w:val="Tabletextnoindent"/>
              <w:jc w:val="right"/>
            </w:pPr>
            <w:r>
              <w:rPr>
                <w:b/>
              </w:rPr>
              <w:t>1,478.6</w:t>
            </w:r>
          </w:p>
        </w:tc>
        <w:tc>
          <w:tcPr>
            <w:tcW w:w="747" w:type="pct"/>
            <w:tcBorders>
              <w:top w:val="single" w:sz="4" w:space="0" w:color="auto"/>
              <w:left w:val="nil"/>
              <w:bottom w:val="single" w:sz="4" w:space="0" w:color="auto"/>
              <w:right w:val="nil"/>
            </w:tcBorders>
            <w:vAlign w:val="bottom"/>
            <w:hideMark/>
          </w:tcPr>
          <w:p w14:paraId="0DAE6CD2" w14:textId="77777777" w:rsidR="00FE7F8B" w:rsidRDefault="00FE7F8B">
            <w:pPr>
              <w:pStyle w:val="Tabletextnoindent"/>
              <w:jc w:val="right"/>
            </w:pPr>
            <w:r>
              <w:rPr>
                <w:b/>
              </w:rPr>
              <w:t>8,806.8</w:t>
            </w:r>
          </w:p>
        </w:tc>
        <w:tc>
          <w:tcPr>
            <w:tcW w:w="610" w:type="pct"/>
            <w:tcBorders>
              <w:top w:val="single" w:sz="4" w:space="0" w:color="auto"/>
              <w:left w:val="nil"/>
              <w:bottom w:val="single" w:sz="4" w:space="0" w:color="auto"/>
              <w:right w:val="nil"/>
            </w:tcBorders>
            <w:shd w:val="clear" w:color="auto" w:fill="F2F2F2" w:themeFill="background1" w:themeFillShade="F2"/>
            <w:vAlign w:val="bottom"/>
            <w:hideMark/>
          </w:tcPr>
          <w:p w14:paraId="77916EA8" w14:textId="77777777" w:rsidR="00FE7F8B" w:rsidRDefault="00FE7F8B">
            <w:pPr>
              <w:pStyle w:val="Tabletextnoindent"/>
              <w:jc w:val="right"/>
            </w:pPr>
            <w:r>
              <w:rPr>
                <w:b/>
              </w:rPr>
              <w:t>17,667.7</w:t>
            </w:r>
          </w:p>
        </w:tc>
      </w:tr>
      <w:tr w:rsidR="00FE7F8B" w14:paraId="63FC2B23" w14:textId="77777777" w:rsidTr="00FE7F8B">
        <w:tc>
          <w:tcPr>
            <w:tcW w:w="1681" w:type="pct"/>
            <w:tcBorders>
              <w:top w:val="single" w:sz="4" w:space="0" w:color="auto"/>
              <w:left w:val="nil"/>
              <w:bottom w:val="nil"/>
              <w:right w:val="nil"/>
            </w:tcBorders>
            <w:vAlign w:val="bottom"/>
            <w:hideMark/>
          </w:tcPr>
          <w:p w14:paraId="7124C7DA" w14:textId="77777777" w:rsidR="00FE7F8B" w:rsidRDefault="00FE7F8B">
            <w:pPr>
              <w:pStyle w:val="Tabletextnoindent"/>
            </w:pPr>
            <w:r>
              <w:t>Net result for the year</w:t>
            </w:r>
          </w:p>
        </w:tc>
        <w:tc>
          <w:tcPr>
            <w:tcW w:w="414" w:type="pct"/>
            <w:tcBorders>
              <w:top w:val="single" w:sz="4" w:space="0" w:color="auto"/>
              <w:left w:val="nil"/>
              <w:bottom w:val="nil"/>
              <w:right w:val="nil"/>
            </w:tcBorders>
            <w:vAlign w:val="bottom"/>
          </w:tcPr>
          <w:p w14:paraId="2B13F4D3" w14:textId="77777777" w:rsidR="00FE7F8B" w:rsidRDefault="00FE7F8B">
            <w:pPr>
              <w:pStyle w:val="Tabletextnoindent"/>
              <w:jc w:val="right"/>
            </w:pPr>
          </w:p>
        </w:tc>
        <w:tc>
          <w:tcPr>
            <w:tcW w:w="726" w:type="pct"/>
            <w:tcBorders>
              <w:top w:val="single" w:sz="4" w:space="0" w:color="auto"/>
              <w:left w:val="nil"/>
              <w:bottom w:val="nil"/>
              <w:right w:val="nil"/>
            </w:tcBorders>
            <w:vAlign w:val="bottom"/>
            <w:hideMark/>
          </w:tcPr>
          <w:p w14:paraId="37A41B98" w14:textId="77777777" w:rsidR="00FE7F8B" w:rsidRDefault="00FE7F8B">
            <w:pPr>
              <w:pStyle w:val="Tabletextnoindent"/>
              <w:jc w:val="right"/>
            </w:pPr>
            <w:r>
              <w:rPr>
                <w:sz w:val="16"/>
                <w:szCs w:val="16"/>
                <w:lang w:val="en-US"/>
              </w:rPr>
              <w:t>-</w:t>
            </w:r>
          </w:p>
        </w:tc>
        <w:tc>
          <w:tcPr>
            <w:tcW w:w="821" w:type="pct"/>
            <w:tcBorders>
              <w:top w:val="single" w:sz="4" w:space="0" w:color="auto"/>
              <w:left w:val="nil"/>
              <w:bottom w:val="nil"/>
              <w:right w:val="nil"/>
            </w:tcBorders>
            <w:shd w:val="clear" w:color="auto" w:fill="F2F2F2" w:themeFill="background1" w:themeFillShade="F2"/>
            <w:vAlign w:val="bottom"/>
            <w:hideMark/>
          </w:tcPr>
          <w:p w14:paraId="2DC36100" w14:textId="77777777" w:rsidR="00FE7F8B" w:rsidRDefault="00FE7F8B">
            <w:pPr>
              <w:pStyle w:val="Tabletextnoindent"/>
              <w:jc w:val="right"/>
            </w:pPr>
            <w:r>
              <w:rPr>
                <w:sz w:val="16"/>
                <w:szCs w:val="16"/>
                <w:lang w:val="en-US"/>
              </w:rPr>
              <w:t>182.5</w:t>
            </w:r>
          </w:p>
        </w:tc>
        <w:tc>
          <w:tcPr>
            <w:tcW w:w="747" w:type="pct"/>
            <w:tcBorders>
              <w:top w:val="single" w:sz="4" w:space="0" w:color="auto"/>
              <w:left w:val="nil"/>
              <w:bottom w:val="nil"/>
              <w:right w:val="nil"/>
            </w:tcBorders>
            <w:vAlign w:val="bottom"/>
            <w:hideMark/>
          </w:tcPr>
          <w:p w14:paraId="3B6CFB1E" w14:textId="77777777" w:rsidR="00FE7F8B" w:rsidRDefault="00FE7F8B">
            <w:pPr>
              <w:pStyle w:val="Tabletextnoindent"/>
              <w:jc w:val="right"/>
            </w:pPr>
            <w:r>
              <w:rPr>
                <w:sz w:val="16"/>
                <w:szCs w:val="16"/>
                <w:lang w:val="en-US"/>
              </w:rPr>
              <w:t>-</w:t>
            </w:r>
          </w:p>
        </w:tc>
        <w:tc>
          <w:tcPr>
            <w:tcW w:w="610" w:type="pct"/>
            <w:tcBorders>
              <w:top w:val="single" w:sz="4" w:space="0" w:color="auto"/>
              <w:left w:val="nil"/>
              <w:bottom w:val="nil"/>
              <w:right w:val="nil"/>
            </w:tcBorders>
            <w:shd w:val="clear" w:color="auto" w:fill="F2F2F2" w:themeFill="background1" w:themeFillShade="F2"/>
            <w:vAlign w:val="bottom"/>
            <w:hideMark/>
          </w:tcPr>
          <w:p w14:paraId="5EEA77A0" w14:textId="77777777" w:rsidR="00FE7F8B" w:rsidRDefault="00FE7F8B">
            <w:pPr>
              <w:pStyle w:val="Tabletextnoindent"/>
              <w:jc w:val="right"/>
            </w:pPr>
            <w:r>
              <w:rPr>
                <w:sz w:val="16"/>
                <w:szCs w:val="16"/>
                <w:lang w:val="en-US"/>
              </w:rPr>
              <w:t>182.5</w:t>
            </w:r>
          </w:p>
        </w:tc>
      </w:tr>
      <w:tr w:rsidR="00FE7F8B" w14:paraId="0E0805A6" w14:textId="77777777" w:rsidTr="00FE7F8B">
        <w:tc>
          <w:tcPr>
            <w:tcW w:w="1681" w:type="pct"/>
            <w:vAlign w:val="bottom"/>
            <w:hideMark/>
          </w:tcPr>
          <w:p w14:paraId="5C0FBAC6" w14:textId="77777777" w:rsidR="00FE7F8B" w:rsidRDefault="00FE7F8B">
            <w:pPr>
              <w:pStyle w:val="Tabletextnoindent"/>
            </w:pPr>
            <w:r>
              <w:t>Prior year adjustments</w:t>
            </w:r>
          </w:p>
        </w:tc>
        <w:tc>
          <w:tcPr>
            <w:tcW w:w="414" w:type="pct"/>
            <w:vAlign w:val="bottom"/>
          </w:tcPr>
          <w:p w14:paraId="627D2EB2" w14:textId="77777777" w:rsidR="00FE7F8B" w:rsidRDefault="00FE7F8B">
            <w:pPr>
              <w:pStyle w:val="Tabletextnoindent"/>
              <w:jc w:val="right"/>
            </w:pPr>
          </w:p>
        </w:tc>
        <w:tc>
          <w:tcPr>
            <w:tcW w:w="726" w:type="pct"/>
            <w:vAlign w:val="bottom"/>
            <w:hideMark/>
          </w:tcPr>
          <w:p w14:paraId="77754AA9" w14:textId="77777777" w:rsidR="00FE7F8B" w:rsidRDefault="00FE7F8B">
            <w:pPr>
              <w:pStyle w:val="Tabletextnoindent"/>
              <w:jc w:val="right"/>
            </w:pPr>
            <w:r>
              <w:rPr>
                <w:sz w:val="16"/>
                <w:szCs w:val="16"/>
                <w:lang w:val="en-US"/>
              </w:rPr>
              <w:t>(165.4)</w:t>
            </w:r>
          </w:p>
        </w:tc>
        <w:tc>
          <w:tcPr>
            <w:tcW w:w="821" w:type="pct"/>
            <w:shd w:val="clear" w:color="auto" w:fill="F2F2F2" w:themeFill="background1" w:themeFillShade="F2"/>
            <w:vAlign w:val="bottom"/>
            <w:hideMark/>
          </w:tcPr>
          <w:p w14:paraId="69BE3A17" w14:textId="77777777" w:rsidR="00FE7F8B" w:rsidRDefault="00FE7F8B">
            <w:pPr>
              <w:pStyle w:val="Tabletextnoindent"/>
              <w:jc w:val="right"/>
            </w:pPr>
            <w:r>
              <w:rPr>
                <w:sz w:val="16"/>
                <w:szCs w:val="16"/>
                <w:lang w:val="en-US"/>
              </w:rPr>
              <w:t>49.8</w:t>
            </w:r>
          </w:p>
        </w:tc>
        <w:tc>
          <w:tcPr>
            <w:tcW w:w="747" w:type="pct"/>
            <w:vAlign w:val="bottom"/>
            <w:hideMark/>
          </w:tcPr>
          <w:p w14:paraId="41C77892" w14:textId="77777777" w:rsidR="00FE7F8B" w:rsidRDefault="00FE7F8B">
            <w:pPr>
              <w:pStyle w:val="Tabletextnoindent"/>
              <w:jc w:val="right"/>
            </w:pPr>
            <w:r>
              <w:rPr>
                <w:sz w:val="16"/>
                <w:szCs w:val="16"/>
                <w:lang w:val="en-US"/>
              </w:rPr>
              <w:t>-</w:t>
            </w:r>
          </w:p>
        </w:tc>
        <w:tc>
          <w:tcPr>
            <w:tcW w:w="610" w:type="pct"/>
            <w:shd w:val="clear" w:color="auto" w:fill="F2F2F2" w:themeFill="background1" w:themeFillShade="F2"/>
            <w:vAlign w:val="bottom"/>
            <w:hideMark/>
          </w:tcPr>
          <w:p w14:paraId="1C694851" w14:textId="77777777" w:rsidR="00FE7F8B" w:rsidRDefault="00FE7F8B">
            <w:pPr>
              <w:pStyle w:val="Tabletextnoindent"/>
              <w:jc w:val="right"/>
            </w:pPr>
            <w:r>
              <w:rPr>
                <w:sz w:val="16"/>
                <w:szCs w:val="16"/>
                <w:lang w:val="en-US"/>
              </w:rPr>
              <w:t>(115.6)</w:t>
            </w:r>
          </w:p>
        </w:tc>
      </w:tr>
      <w:tr w:rsidR="00FE7F8B" w14:paraId="3C8A9453" w14:textId="77777777" w:rsidTr="00FE7F8B">
        <w:tc>
          <w:tcPr>
            <w:tcW w:w="1681" w:type="pct"/>
            <w:vAlign w:val="bottom"/>
            <w:hideMark/>
          </w:tcPr>
          <w:p w14:paraId="64CD69F3" w14:textId="77777777" w:rsidR="00FE7F8B" w:rsidRDefault="00FE7F8B">
            <w:pPr>
              <w:pStyle w:val="Tabletextnoindent"/>
            </w:pPr>
            <w:r>
              <w:t>Other comprehensive income for the year</w:t>
            </w:r>
          </w:p>
        </w:tc>
        <w:tc>
          <w:tcPr>
            <w:tcW w:w="414" w:type="pct"/>
            <w:vAlign w:val="bottom"/>
          </w:tcPr>
          <w:p w14:paraId="37667568" w14:textId="77777777" w:rsidR="00FE7F8B" w:rsidRDefault="00FE7F8B">
            <w:pPr>
              <w:pStyle w:val="Tabletextnoindent"/>
              <w:jc w:val="right"/>
            </w:pPr>
          </w:p>
        </w:tc>
        <w:tc>
          <w:tcPr>
            <w:tcW w:w="726" w:type="pct"/>
            <w:vAlign w:val="bottom"/>
            <w:hideMark/>
          </w:tcPr>
          <w:p w14:paraId="70B2E05C" w14:textId="77777777" w:rsidR="00FE7F8B" w:rsidRDefault="00FE7F8B">
            <w:pPr>
              <w:pStyle w:val="Tabletextnoindent"/>
              <w:jc w:val="right"/>
            </w:pPr>
            <w:r>
              <w:rPr>
                <w:sz w:val="16"/>
                <w:szCs w:val="16"/>
                <w:lang w:val="en-US"/>
              </w:rPr>
              <w:t>3,183.8</w:t>
            </w:r>
          </w:p>
        </w:tc>
        <w:tc>
          <w:tcPr>
            <w:tcW w:w="821" w:type="pct"/>
            <w:shd w:val="clear" w:color="auto" w:fill="F2F2F2" w:themeFill="background1" w:themeFillShade="F2"/>
            <w:vAlign w:val="bottom"/>
            <w:hideMark/>
          </w:tcPr>
          <w:p w14:paraId="19561180" w14:textId="77777777" w:rsidR="00FE7F8B" w:rsidRDefault="00FE7F8B">
            <w:pPr>
              <w:pStyle w:val="Tabletextnoindent"/>
              <w:jc w:val="right"/>
            </w:pPr>
            <w:r>
              <w:rPr>
                <w:sz w:val="16"/>
                <w:szCs w:val="16"/>
                <w:lang w:val="en-US"/>
              </w:rPr>
              <w:t>-</w:t>
            </w:r>
          </w:p>
        </w:tc>
        <w:tc>
          <w:tcPr>
            <w:tcW w:w="747" w:type="pct"/>
            <w:vAlign w:val="bottom"/>
            <w:hideMark/>
          </w:tcPr>
          <w:p w14:paraId="15EA1A85" w14:textId="77777777" w:rsidR="00FE7F8B" w:rsidRDefault="00FE7F8B">
            <w:pPr>
              <w:pStyle w:val="Tabletextnoindent"/>
              <w:jc w:val="right"/>
            </w:pPr>
            <w:r>
              <w:rPr>
                <w:sz w:val="16"/>
                <w:szCs w:val="16"/>
                <w:lang w:val="en-US"/>
              </w:rPr>
              <w:t>-</w:t>
            </w:r>
          </w:p>
        </w:tc>
        <w:tc>
          <w:tcPr>
            <w:tcW w:w="610" w:type="pct"/>
            <w:shd w:val="clear" w:color="auto" w:fill="F2F2F2" w:themeFill="background1" w:themeFillShade="F2"/>
            <w:vAlign w:val="bottom"/>
            <w:hideMark/>
          </w:tcPr>
          <w:p w14:paraId="51080A93" w14:textId="77777777" w:rsidR="00FE7F8B" w:rsidRDefault="00FE7F8B">
            <w:pPr>
              <w:pStyle w:val="Tabletextnoindent"/>
              <w:jc w:val="right"/>
            </w:pPr>
            <w:r>
              <w:rPr>
                <w:sz w:val="16"/>
                <w:szCs w:val="16"/>
                <w:lang w:val="en-US"/>
              </w:rPr>
              <w:t>3,183.8</w:t>
            </w:r>
          </w:p>
        </w:tc>
      </w:tr>
      <w:tr w:rsidR="00FE7F8B" w14:paraId="76C315F5" w14:textId="77777777" w:rsidTr="00FE7F8B">
        <w:tc>
          <w:tcPr>
            <w:tcW w:w="1681" w:type="pct"/>
            <w:vAlign w:val="bottom"/>
            <w:hideMark/>
          </w:tcPr>
          <w:p w14:paraId="2B6915B6" w14:textId="77777777" w:rsidR="00FE7F8B" w:rsidRDefault="00FE7F8B">
            <w:pPr>
              <w:pStyle w:val="Tabletextnoindent"/>
            </w:pPr>
            <w:r>
              <w:t>Capital appropriations</w:t>
            </w:r>
          </w:p>
        </w:tc>
        <w:tc>
          <w:tcPr>
            <w:tcW w:w="414" w:type="pct"/>
            <w:vAlign w:val="bottom"/>
          </w:tcPr>
          <w:p w14:paraId="7972AD9F" w14:textId="77777777" w:rsidR="00FE7F8B" w:rsidRDefault="00FE7F8B">
            <w:pPr>
              <w:pStyle w:val="Tabletextnoindent"/>
              <w:jc w:val="right"/>
            </w:pPr>
          </w:p>
        </w:tc>
        <w:tc>
          <w:tcPr>
            <w:tcW w:w="726" w:type="pct"/>
            <w:vAlign w:val="bottom"/>
            <w:hideMark/>
          </w:tcPr>
          <w:p w14:paraId="3F7BAA0B" w14:textId="77777777" w:rsidR="00FE7F8B" w:rsidRDefault="00FE7F8B">
            <w:pPr>
              <w:pStyle w:val="Tabletextnoindent"/>
              <w:jc w:val="right"/>
            </w:pPr>
            <w:r>
              <w:rPr>
                <w:sz w:val="16"/>
                <w:szCs w:val="16"/>
                <w:lang w:val="en-US"/>
              </w:rPr>
              <w:t>-</w:t>
            </w:r>
          </w:p>
        </w:tc>
        <w:tc>
          <w:tcPr>
            <w:tcW w:w="821" w:type="pct"/>
            <w:shd w:val="clear" w:color="auto" w:fill="F2F2F2" w:themeFill="background1" w:themeFillShade="F2"/>
            <w:vAlign w:val="bottom"/>
            <w:hideMark/>
          </w:tcPr>
          <w:p w14:paraId="06373673" w14:textId="77777777" w:rsidR="00FE7F8B" w:rsidRDefault="00FE7F8B">
            <w:pPr>
              <w:pStyle w:val="Tabletextnoindent"/>
              <w:jc w:val="right"/>
            </w:pPr>
            <w:r>
              <w:rPr>
                <w:sz w:val="16"/>
                <w:szCs w:val="16"/>
                <w:lang w:val="en-US"/>
              </w:rPr>
              <w:t>-</w:t>
            </w:r>
          </w:p>
        </w:tc>
        <w:tc>
          <w:tcPr>
            <w:tcW w:w="747" w:type="pct"/>
            <w:vAlign w:val="bottom"/>
            <w:hideMark/>
          </w:tcPr>
          <w:p w14:paraId="0F309413" w14:textId="77777777" w:rsidR="00FE7F8B" w:rsidRDefault="00FE7F8B">
            <w:pPr>
              <w:pStyle w:val="Tabletextnoindent"/>
              <w:jc w:val="right"/>
            </w:pPr>
            <w:r>
              <w:rPr>
                <w:sz w:val="16"/>
                <w:szCs w:val="16"/>
                <w:lang w:val="en-US"/>
              </w:rPr>
              <w:t>3.5</w:t>
            </w:r>
          </w:p>
        </w:tc>
        <w:tc>
          <w:tcPr>
            <w:tcW w:w="610" w:type="pct"/>
            <w:shd w:val="clear" w:color="auto" w:fill="F2F2F2" w:themeFill="background1" w:themeFillShade="F2"/>
            <w:vAlign w:val="bottom"/>
            <w:hideMark/>
          </w:tcPr>
          <w:p w14:paraId="55AD5C84" w14:textId="77777777" w:rsidR="00FE7F8B" w:rsidRDefault="00FE7F8B">
            <w:pPr>
              <w:pStyle w:val="Tabletextnoindent"/>
              <w:jc w:val="right"/>
            </w:pPr>
            <w:r>
              <w:rPr>
                <w:sz w:val="16"/>
                <w:szCs w:val="16"/>
                <w:lang w:val="en-US"/>
              </w:rPr>
              <w:t>3.5</w:t>
            </w:r>
          </w:p>
        </w:tc>
      </w:tr>
      <w:tr w:rsidR="00FE7F8B" w14:paraId="6FC4D795" w14:textId="77777777" w:rsidTr="00FE7F8B">
        <w:tc>
          <w:tcPr>
            <w:tcW w:w="1681" w:type="pct"/>
            <w:vAlign w:val="bottom"/>
            <w:hideMark/>
          </w:tcPr>
          <w:p w14:paraId="352E4853" w14:textId="77777777" w:rsidR="00FE7F8B" w:rsidRDefault="00FE7F8B">
            <w:pPr>
              <w:pStyle w:val="Tabletextnoindent"/>
            </w:pPr>
            <w:r>
              <w:t>Contributed capital transfers in</w:t>
            </w:r>
          </w:p>
        </w:tc>
        <w:tc>
          <w:tcPr>
            <w:tcW w:w="414" w:type="pct"/>
            <w:vAlign w:val="bottom"/>
          </w:tcPr>
          <w:p w14:paraId="4B99566B" w14:textId="77777777" w:rsidR="00FE7F8B" w:rsidRDefault="00FE7F8B">
            <w:pPr>
              <w:pStyle w:val="Tabletextnoindent"/>
              <w:jc w:val="right"/>
            </w:pPr>
          </w:p>
        </w:tc>
        <w:tc>
          <w:tcPr>
            <w:tcW w:w="726" w:type="pct"/>
            <w:vAlign w:val="bottom"/>
            <w:hideMark/>
          </w:tcPr>
          <w:p w14:paraId="54951E89" w14:textId="77777777" w:rsidR="00FE7F8B" w:rsidRDefault="00FE7F8B">
            <w:pPr>
              <w:pStyle w:val="Tabletextnoindent"/>
              <w:jc w:val="right"/>
            </w:pPr>
            <w:r>
              <w:rPr>
                <w:sz w:val="16"/>
                <w:szCs w:val="16"/>
                <w:lang w:val="en-US"/>
              </w:rPr>
              <w:t>-</w:t>
            </w:r>
          </w:p>
        </w:tc>
        <w:tc>
          <w:tcPr>
            <w:tcW w:w="821" w:type="pct"/>
            <w:shd w:val="clear" w:color="auto" w:fill="F2F2F2" w:themeFill="background1" w:themeFillShade="F2"/>
            <w:vAlign w:val="bottom"/>
            <w:hideMark/>
          </w:tcPr>
          <w:p w14:paraId="77C15B89" w14:textId="77777777" w:rsidR="00FE7F8B" w:rsidRDefault="00FE7F8B">
            <w:pPr>
              <w:pStyle w:val="Tabletextnoindent"/>
              <w:jc w:val="right"/>
            </w:pPr>
            <w:r>
              <w:rPr>
                <w:sz w:val="16"/>
                <w:szCs w:val="16"/>
                <w:lang w:val="en-US"/>
              </w:rPr>
              <w:t>-</w:t>
            </w:r>
          </w:p>
        </w:tc>
        <w:tc>
          <w:tcPr>
            <w:tcW w:w="747" w:type="pct"/>
            <w:vAlign w:val="bottom"/>
            <w:hideMark/>
          </w:tcPr>
          <w:p w14:paraId="4FE19AF1" w14:textId="77777777" w:rsidR="00FE7F8B" w:rsidRDefault="00FE7F8B">
            <w:pPr>
              <w:pStyle w:val="Tabletextnoindent"/>
              <w:jc w:val="right"/>
            </w:pPr>
            <w:r>
              <w:rPr>
                <w:sz w:val="16"/>
                <w:szCs w:val="16"/>
                <w:lang w:val="en-US"/>
              </w:rPr>
              <w:t>0.1</w:t>
            </w:r>
          </w:p>
        </w:tc>
        <w:tc>
          <w:tcPr>
            <w:tcW w:w="610" w:type="pct"/>
            <w:shd w:val="clear" w:color="auto" w:fill="F2F2F2" w:themeFill="background1" w:themeFillShade="F2"/>
            <w:vAlign w:val="bottom"/>
            <w:hideMark/>
          </w:tcPr>
          <w:p w14:paraId="1D01F947" w14:textId="77777777" w:rsidR="00FE7F8B" w:rsidRDefault="00FE7F8B">
            <w:pPr>
              <w:pStyle w:val="Tabletextnoindent"/>
              <w:jc w:val="right"/>
            </w:pPr>
            <w:r>
              <w:rPr>
                <w:sz w:val="16"/>
                <w:szCs w:val="16"/>
                <w:lang w:val="en-US"/>
              </w:rPr>
              <w:t>0.1</w:t>
            </w:r>
          </w:p>
        </w:tc>
      </w:tr>
      <w:tr w:rsidR="00FE7F8B" w14:paraId="04E453BC" w14:textId="77777777" w:rsidTr="00FE7F8B">
        <w:tc>
          <w:tcPr>
            <w:tcW w:w="1681" w:type="pct"/>
            <w:tcBorders>
              <w:top w:val="nil"/>
              <w:left w:val="nil"/>
              <w:bottom w:val="single" w:sz="4" w:space="0" w:color="auto"/>
              <w:right w:val="nil"/>
            </w:tcBorders>
            <w:vAlign w:val="bottom"/>
            <w:hideMark/>
          </w:tcPr>
          <w:p w14:paraId="6D8F5135" w14:textId="77777777" w:rsidR="00FE7F8B" w:rsidRDefault="00FE7F8B">
            <w:pPr>
              <w:pStyle w:val="Tabletextnoindent"/>
            </w:pPr>
            <w:r>
              <w:t>Contributed capital transfers (out)</w:t>
            </w:r>
          </w:p>
        </w:tc>
        <w:tc>
          <w:tcPr>
            <w:tcW w:w="414" w:type="pct"/>
            <w:tcBorders>
              <w:top w:val="nil"/>
              <w:left w:val="nil"/>
              <w:bottom w:val="single" w:sz="4" w:space="0" w:color="auto"/>
              <w:right w:val="nil"/>
            </w:tcBorders>
            <w:vAlign w:val="bottom"/>
          </w:tcPr>
          <w:p w14:paraId="2E2B559E" w14:textId="77777777" w:rsidR="00FE7F8B" w:rsidRDefault="00FE7F8B">
            <w:pPr>
              <w:pStyle w:val="Tabletextnoindent"/>
              <w:jc w:val="right"/>
            </w:pPr>
          </w:p>
        </w:tc>
        <w:tc>
          <w:tcPr>
            <w:tcW w:w="726" w:type="pct"/>
            <w:tcBorders>
              <w:top w:val="nil"/>
              <w:left w:val="nil"/>
              <w:bottom w:val="single" w:sz="4" w:space="0" w:color="auto"/>
              <w:right w:val="nil"/>
            </w:tcBorders>
            <w:vAlign w:val="bottom"/>
            <w:hideMark/>
          </w:tcPr>
          <w:p w14:paraId="4F804F83" w14:textId="77777777" w:rsidR="00FE7F8B" w:rsidRDefault="00FE7F8B">
            <w:pPr>
              <w:pStyle w:val="Tabletextnoindent"/>
              <w:jc w:val="right"/>
            </w:pPr>
            <w:r>
              <w:rPr>
                <w:sz w:val="16"/>
                <w:szCs w:val="16"/>
                <w:lang w:val="en-US"/>
              </w:rPr>
              <w:t>-</w:t>
            </w:r>
          </w:p>
        </w:tc>
        <w:tc>
          <w:tcPr>
            <w:tcW w:w="821" w:type="pct"/>
            <w:tcBorders>
              <w:top w:val="nil"/>
              <w:left w:val="nil"/>
              <w:bottom w:val="single" w:sz="4" w:space="0" w:color="auto"/>
              <w:right w:val="nil"/>
            </w:tcBorders>
            <w:shd w:val="clear" w:color="auto" w:fill="F2F2F2" w:themeFill="background1" w:themeFillShade="F2"/>
            <w:vAlign w:val="bottom"/>
            <w:hideMark/>
          </w:tcPr>
          <w:p w14:paraId="08772883" w14:textId="77777777" w:rsidR="00FE7F8B" w:rsidRDefault="00FE7F8B">
            <w:pPr>
              <w:pStyle w:val="Tabletextnoindent"/>
              <w:jc w:val="right"/>
            </w:pPr>
            <w:r>
              <w:rPr>
                <w:sz w:val="16"/>
                <w:szCs w:val="16"/>
                <w:lang w:val="en-US"/>
              </w:rPr>
              <w:t>-</w:t>
            </w:r>
          </w:p>
        </w:tc>
        <w:tc>
          <w:tcPr>
            <w:tcW w:w="747" w:type="pct"/>
            <w:tcBorders>
              <w:top w:val="nil"/>
              <w:left w:val="nil"/>
              <w:bottom w:val="single" w:sz="4" w:space="0" w:color="auto"/>
              <w:right w:val="nil"/>
            </w:tcBorders>
            <w:vAlign w:val="bottom"/>
            <w:hideMark/>
          </w:tcPr>
          <w:p w14:paraId="5E59EDD9" w14:textId="77777777" w:rsidR="00FE7F8B" w:rsidRDefault="00FE7F8B">
            <w:pPr>
              <w:pStyle w:val="Tabletextnoindent"/>
              <w:jc w:val="right"/>
            </w:pPr>
            <w:r>
              <w:rPr>
                <w:sz w:val="16"/>
                <w:szCs w:val="16"/>
                <w:lang w:val="en-US"/>
              </w:rPr>
              <w:t>(133.3)</w:t>
            </w:r>
          </w:p>
        </w:tc>
        <w:tc>
          <w:tcPr>
            <w:tcW w:w="610" w:type="pct"/>
            <w:tcBorders>
              <w:top w:val="nil"/>
              <w:left w:val="nil"/>
              <w:bottom w:val="single" w:sz="4" w:space="0" w:color="auto"/>
              <w:right w:val="nil"/>
            </w:tcBorders>
            <w:shd w:val="clear" w:color="auto" w:fill="F2F2F2" w:themeFill="background1" w:themeFillShade="F2"/>
            <w:vAlign w:val="bottom"/>
            <w:hideMark/>
          </w:tcPr>
          <w:p w14:paraId="3B0689E1" w14:textId="77777777" w:rsidR="00FE7F8B" w:rsidRDefault="00FE7F8B">
            <w:pPr>
              <w:pStyle w:val="Tabletextnoindent"/>
              <w:jc w:val="right"/>
            </w:pPr>
            <w:r>
              <w:rPr>
                <w:sz w:val="16"/>
                <w:szCs w:val="16"/>
                <w:lang w:val="en-US"/>
              </w:rPr>
              <w:t>(133.3)</w:t>
            </w:r>
          </w:p>
        </w:tc>
      </w:tr>
      <w:tr w:rsidR="00FE7F8B" w14:paraId="110F4879" w14:textId="77777777" w:rsidTr="00FE7F8B">
        <w:tc>
          <w:tcPr>
            <w:tcW w:w="1681" w:type="pct"/>
            <w:tcBorders>
              <w:top w:val="single" w:sz="4" w:space="0" w:color="auto"/>
              <w:left w:val="nil"/>
              <w:bottom w:val="single" w:sz="4" w:space="0" w:color="auto"/>
              <w:right w:val="nil"/>
            </w:tcBorders>
            <w:vAlign w:val="bottom"/>
            <w:hideMark/>
          </w:tcPr>
          <w:p w14:paraId="466D025A" w14:textId="77777777" w:rsidR="00FE7F8B" w:rsidRDefault="00FE7F8B">
            <w:pPr>
              <w:pStyle w:val="Tabletextnoindent"/>
            </w:pPr>
            <w:r>
              <w:rPr>
                <w:b/>
              </w:rPr>
              <w:t>Balance at 30 June 2016</w:t>
            </w:r>
          </w:p>
        </w:tc>
        <w:tc>
          <w:tcPr>
            <w:tcW w:w="414" w:type="pct"/>
            <w:tcBorders>
              <w:top w:val="single" w:sz="4" w:space="0" w:color="auto"/>
              <w:left w:val="nil"/>
              <w:bottom w:val="single" w:sz="4" w:space="0" w:color="auto"/>
              <w:right w:val="nil"/>
            </w:tcBorders>
            <w:vAlign w:val="bottom"/>
          </w:tcPr>
          <w:p w14:paraId="5F00133B" w14:textId="77777777" w:rsidR="00FE7F8B" w:rsidRDefault="00FE7F8B">
            <w:pPr>
              <w:pStyle w:val="Tabletextnoindent"/>
              <w:jc w:val="right"/>
            </w:pPr>
          </w:p>
        </w:tc>
        <w:tc>
          <w:tcPr>
            <w:tcW w:w="726" w:type="pct"/>
            <w:tcBorders>
              <w:top w:val="single" w:sz="4" w:space="0" w:color="auto"/>
              <w:left w:val="nil"/>
              <w:bottom w:val="single" w:sz="4" w:space="0" w:color="auto"/>
              <w:right w:val="nil"/>
            </w:tcBorders>
            <w:vAlign w:val="bottom"/>
            <w:hideMark/>
          </w:tcPr>
          <w:p w14:paraId="20EEA4CA" w14:textId="77777777" w:rsidR="00FE7F8B" w:rsidRDefault="00FE7F8B">
            <w:pPr>
              <w:pStyle w:val="Tabletextnoindent"/>
              <w:jc w:val="right"/>
            </w:pPr>
            <w:r>
              <w:rPr>
                <w:b/>
                <w:bCs/>
                <w:sz w:val="16"/>
                <w:szCs w:val="16"/>
                <w:lang w:val="en-US"/>
              </w:rPr>
              <w:t>10,400.7</w:t>
            </w:r>
          </w:p>
        </w:tc>
        <w:tc>
          <w:tcPr>
            <w:tcW w:w="821" w:type="pct"/>
            <w:tcBorders>
              <w:top w:val="single" w:sz="4" w:space="0" w:color="auto"/>
              <w:left w:val="nil"/>
              <w:bottom w:val="single" w:sz="4" w:space="0" w:color="auto"/>
              <w:right w:val="nil"/>
            </w:tcBorders>
            <w:shd w:val="clear" w:color="auto" w:fill="F2F2F2" w:themeFill="background1" w:themeFillShade="F2"/>
            <w:vAlign w:val="bottom"/>
            <w:hideMark/>
          </w:tcPr>
          <w:p w14:paraId="7E349180" w14:textId="77777777" w:rsidR="00FE7F8B" w:rsidRDefault="00FE7F8B">
            <w:pPr>
              <w:pStyle w:val="Tabletextnoindent"/>
              <w:jc w:val="right"/>
            </w:pPr>
            <w:r>
              <w:rPr>
                <w:b/>
                <w:bCs/>
                <w:sz w:val="16"/>
                <w:szCs w:val="16"/>
                <w:lang w:val="en-US"/>
              </w:rPr>
              <w:t>1,710.8</w:t>
            </w:r>
          </w:p>
        </w:tc>
        <w:tc>
          <w:tcPr>
            <w:tcW w:w="747" w:type="pct"/>
            <w:tcBorders>
              <w:top w:val="single" w:sz="4" w:space="0" w:color="auto"/>
              <w:left w:val="nil"/>
              <w:bottom w:val="single" w:sz="4" w:space="0" w:color="auto"/>
              <w:right w:val="nil"/>
            </w:tcBorders>
            <w:vAlign w:val="bottom"/>
            <w:hideMark/>
          </w:tcPr>
          <w:p w14:paraId="41BEDD93" w14:textId="77777777" w:rsidR="00FE7F8B" w:rsidRDefault="00FE7F8B">
            <w:pPr>
              <w:pStyle w:val="Tabletextnoindent"/>
              <w:jc w:val="right"/>
            </w:pPr>
            <w:r>
              <w:rPr>
                <w:b/>
                <w:bCs/>
                <w:sz w:val="16"/>
                <w:szCs w:val="16"/>
                <w:lang w:val="en-US"/>
              </w:rPr>
              <w:t>8,677.1</w:t>
            </w:r>
          </w:p>
        </w:tc>
        <w:tc>
          <w:tcPr>
            <w:tcW w:w="610" w:type="pct"/>
            <w:tcBorders>
              <w:top w:val="single" w:sz="4" w:space="0" w:color="auto"/>
              <w:left w:val="nil"/>
              <w:bottom w:val="single" w:sz="4" w:space="0" w:color="auto"/>
              <w:right w:val="nil"/>
            </w:tcBorders>
            <w:shd w:val="clear" w:color="auto" w:fill="F2F2F2" w:themeFill="background1" w:themeFillShade="F2"/>
            <w:vAlign w:val="bottom"/>
            <w:hideMark/>
          </w:tcPr>
          <w:p w14:paraId="524736D4" w14:textId="77777777" w:rsidR="00FE7F8B" w:rsidRDefault="00FE7F8B">
            <w:pPr>
              <w:pStyle w:val="Tabletextnoindent"/>
              <w:jc w:val="right"/>
            </w:pPr>
            <w:r>
              <w:rPr>
                <w:b/>
                <w:bCs/>
                <w:sz w:val="16"/>
                <w:szCs w:val="16"/>
                <w:lang w:val="en-US"/>
              </w:rPr>
              <w:t>20,788.6</w:t>
            </w:r>
          </w:p>
        </w:tc>
      </w:tr>
    </w:tbl>
    <w:p w14:paraId="125BFB30" w14:textId="77777777" w:rsidR="00FE7F8B" w:rsidRDefault="00FE7F8B" w:rsidP="00FE7F8B">
      <w:pPr>
        <w:pStyle w:val="Normalaftertable"/>
      </w:pPr>
      <w:r>
        <w:t>The above statement of changes in equity for the financial year ended 30 June 2016 should be read in conjunction with the accompanying notes.</w:t>
      </w:r>
    </w:p>
    <w:p w14:paraId="6DC020E0" w14:textId="77777777" w:rsidR="00FE7F8B" w:rsidRDefault="00FE7F8B" w:rsidP="00FE7F8B">
      <w:r>
        <w:br w:type="page"/>
      </w:r>
    </w:p>
    <w:p w14:paraId="7EBA134E" w14:textId="77777777" w:rsidR="00FE7F8B" w:rsidRDefault="00FE7F8B" w:rsidP="00FE7F8B">
      <w:pPr>
        <w:pStyle w:val="Heading2financialstatements"/>
      </w:pPr>
      <w:bookmarkStart w:id="30" w:name="_Toc400358567"/>
      <w:bookmarkStart w:id="31" w:name="_Toc399496173"/>
      <w:bookmarkStart w:id="32" w:name="_Toc398724639"/>
      <w:bookmarkStart w:id="33" w:name="_Toc398724579"/>
      <w:bookmarkStart w:id="34" w:name="_Toc463620819"/>
      <w:bookmarkStart w:id="35" w:name="Cashflowstatement"/>
      <w:r>
        <w:t>Cash flow statement for the financial year ended 30 June 201</w:t>
      </w:r>
      <w:bookmarkEnd w:id="30"/>
      <w:bookmarkEnd w:id="31"/>
      <w:bookmarkEnd w:id="32"/>
      <w:bookmarkEnd w:id="33"/>
      <w:r>
        <w:t>6</w:t>
      </w:r>
      <w:bookmarkEnd w:id="34"/>
    </w:p>
    <w:bookmarkEnd w:id="35"/>
    <w:tbl>
      <w:tblPr>
        <w:tblW w:w="5000" w:type="pct"/>
        <w:tblLook w:val="04A0" w:firstRow="1" w:lastRow="0" w:firstColumn="1" w:lastColumn="0" w:noHBand="0" w:noVBand="1"/>
      </w:tblPr>
      <w:tblGrid>
        <w:gridCol w:w="4360"/>
        <w:gridCol w:w="284"/>
        <w:gridCol w:w="850"/>
        <w:gridCol w:w="993"/>
        <w:gridCol w:w="1102"/>
      </w:tblGrid>
      <w:tr w:rsidR="00FE7F8B" w14:paraId="7B481C63" w14:textId="77777777" w:rsidTr="00395EAA">
        <w:trPr>
          <w:cantSplit/>
          <w:trHeight w:hRule="exact" w:val="510"/>
          <w:tblHeader/>
        </w:trPr>
        <w:tc>
          <w:tcPr>
            <w:tcW w:w="3060" w:type="pct"/>
            <w:gridSpan w:val="2"/>
            <w:shd w:val="clear" w:color="auto" w:fill="7F7F7F" w:themeFill="text1" w:themeFillTint="80"/>
            <w:vAlign w:val="bottom"/>
            <w:hideMark/>
          </w:tcPr>
          <w:p w14:paraId="438380C3" w14:textId="77777777" w:rsidR="00FE7F8B" w:rsidRDefault="00FE7F8B"/>
        </w:tc>
        <w:tc>
          <w:tcPr>
            <w:tcW w:w="560" w:type="pct"/>
            <w:shd w:val="clear" w:color="auto" w:fill="7F7F7F" w:themeFill="text1" w:themeFillTint="80"/>
            <w:vAlign w:val="bottom"/>
            <w:hideMark/>
          </w:tcPr>
          <w:p w14:paraId="26EF8232" w14:textId="77777777" w:rsidR="00FE7F8B" w:rsidRDefault="00FE7F8B">
            <w:pPr>
              <w:pStyle w:val="Tablecolumnheading"/>
              <w:jc w:val="center"/>
              <w:rPr>
                <w:lang w:eastAsia="en-AU"/>
              </w:rPr>
            </w:pPr>
            <w:r>
              <w:rPr>
                <w:lang w:eastAsia="en-AU"/>
              </w:rPr>
              <w:t>Note</w:t>
            </w:r>
          </w:p>
        </w:tc>
        <w:tc>
          <w:tcPr>
            <w:tcW w:w="654" w:type="pct"/>
            <w:shd w:val="clear" w:color="auto" w:fill="7F7F7F" w:themeFill="text1" w:themeFillTint="80"/>
            <w:vAlign w:val="bottom"/>
            <w:hideMark/>
          </w:tcPr>
          <w:p w14:paraId="4D628B55" w14:textId="77777777" w:rsidR="00FE7F8B" w:rsidRDefault="00FE7F8B">
            <w:pPr>
              <w:pStyle w:val="Tablecolumnheading"/>
              <w:jc w:val="center"/>
              <w:rPr>
                <w:lang w:eastAsia="en-AU"/>
              </w:rPr>
            </w:pPr>
            <w:r>
              <w:t>2016</w:t>
            </w:r>
            <w:r>
              <w:br/>
              <w:t>$m</w:t>
            </w:r>
          </w:p>
        </w:tc>
        <w:tc>
          <w:tcPr>
            <w:tcW w:w="726" w:type="pct"/>
            <w:shd w:val="clear" w:color="auto" w:fill="7F7F7F" w:themeFill="text1" w:themeFillTint="80"/>
            <w:vAlign w:val="bottom"/>
            <w:hideMark/>
          </w:tcPr>
          <w:p w14:paraId="58882D8B" w14:textId="77777777" w:rsidR="00FE7F8B" w:rsidRDefault="00FE7F8B">
            <w:pPr>
              <w:pStyle w:val="Tablecolumnheading"/>
              <w:jc w:val="center"/>
              <w:rPr>
                <w:lang w:eastAsia="en-AU"/>
              </w:rPr>
            </w:pPr>
            <w:r>
              <w:t>2015</w:t>
            </w:r>
            <w:r>
              <w:br/>
              <w:t>$m</w:t>
            </w:r>
          </w:p>
        </w:tc>
      </w:tr>
      <w:tr w:rsidR="00FE7F8B" w14:paraId="326DB400" w14:textId="77777777" w:rsidTr="00395EAA">
        <w:trPr>
          <w:trHeight w:hRule="exact" w:val="284"/>
        </w:trPr>
        <w:tc>
          <w:tcPr>
            <w:tcW w:w="2873" w:type="pct"/>
            <w:shd w:val="clear" w:color="auto" w:fill="FFFFFF"/>
            <w:vAlign w:val="center"/>
            <w:hideMark/>
          </w:tcPr>
          <w:p w14:paraId="1875FB94" w14:textId="77777777" w:rsidR="00FE7F8B" w:rsidRDefault="00FE7F8B">
            <w:pPr>
              <w:pStyle w:val="Tabletextnoindent"/>
              <w:rPr>
                <w:b/>
              </w:rPr>
            </w:pPr>
            <w:r>
              <w:rPr>
                <w:b/>
              </w:rPr>
              <w:t>Cash flows from operating activities</w:t>
            </w:r>
          </w:p>
        </w:tc>
        <w:tc>
          <w:tcPr>
            <w:tcW w:w="747" w:type="pct"/>
            <w:gridSpan w:val="2"/>
            <w:shd w:val="clear" w:color="auto" w:fill="FFFFFF"/>
            <w:noWrap/>
            <w:vAlign w:val="center"/>
          </w:tcPr>
          <w:p w14:paraId="014108C1" w14:textId="77777777" w:rsidR="00FE7F8B" w:rsidRDefault="00FE7F8B">
            <w:pPr>
              <w:pStyle w:val="Tablerowheading"/>
              <w:jc w:val="center"/>
            </w:pPr>
          </w:p>
        </w:tc>
        <w:tc>
          <w:tcPr>
            <w:tcW w:w="654" w:type="pct"/>
            <w:shd w:val="clear" w:color="auto" w:fill="F2F2F2" w:themeFill="background1" w:themeFillShade="F2"/>
            <w:noWrap/>
            <w:vAlign w:val="center"/>
          </w:tcPr>
          <w:p w14:paraId="36F97921" w14:textId="77777777" w:rsidR="00FE7F8B" w:rsidRDefault="00FE7F8B">
            <w:pPr>
              <w:pStyle w:val="Tablerowheading"/>
              <w:jc w:val="right"/>
            </w:pPr>
          </w:p>
        </w:tc>
        <w:tc>
          <w:tcPr>
            <w:tcW w:w="726" w:type="pct"/>
            <w:shd w:val="clear" w:color="auto" w:fill="FFFFFF"/>
            <w:noWrap/>
            <w:vAlign w:val="center"/>
          </w:tcPr>
          <w:p w14:paraId="1BA8B67E" w14:textId="77777777" w:rsidR="00FE7F8B" w:rsidRDefault="00FE7F8B">
            <w:pPr>
              <w:pStyle w:val="Tablerowheading"/>
              <w:jc w:val="right"/>
              <w:rPr>
                <w:b w:val="0"/>
              </w:rPr>
            </w:pPr>
          </w:p>
        </w:tc>
      </w:tr>
      <w:tr w:rsidR="00FE7F8B" w14:paraId="060C8453" w14:textId="77777777" w:rsidTr="00395EAA">
        <w:trPr>
          <w:trHeight w:hRule="exact" w:val="284"/>
        </w:trPr>
        <w:tc>
          <w:tcPr>
            <w:tcW w:w="3060" w:type="pct"/>
            <w:gridSpan w:val="2"/>
            <w:shd w:val="clear" w:color="auto" w:fill="FFFFFF"/>
            <w:vAlign w:val="center"/>
            <w:hideMark/>
          </w:tcPr>
          <w:p w14:paraId="359F2EA1" w14:textId="77777777" w:rsidR="00FE7F8B" w:rsidRDefault="00FE7F8B">
            <w:pPr>
              <w:pStyle w:val="Tabletextnoindent"/>
              <w:rPr>
                <w:b/>
                <w:i/>
              </w:rPr>
            </w:pPr>
            <w:r>
              <w:rPr>
                <w:b/>
                <w:i/>
              </w:rPr>
              <w:t>Receipts</w:t>
            </w:r>
          </w:p>
        </w:tc>
        <w:tc>
          <w:tcPr>
            <w:tcW w:w="560" w:type="pct"/>
            <w:shd w:val="clear" w:color="auto" w:fill="FFFFFF"/>
            <w:noWrap/>
            <w:vAlign w:val="center"/>
          </w:tcPr>
          <w:p w14:paraId="36CCAD08" w14:textId="77777777" w:rsidR="00FE7F8B" w:rsidRDefault="00FE7F8B">
            <w:pPr>
              <w:pStyle w:val="Tabletextnoindenttight"/>
              <w:jc w:val="center"/>
              <w:rPr>
                <w:b/>
                <w:i/>
                <w:lang w:eastAsia="en-US"/>
              </w:rPr>
            </w:pPr>
          </w:p>
        </w:tc>
        <w:tc>
          <w:tcPr>
            <w:tcW w:w="654" w:type="pct"/>
            <w:shd w:val="clear" w:color="auto" w:fill="F2F2F2" w:themeFill="background1" w:themeFillShade="F2"/>
            <w:noWrap/>
            <w:vAlign w:val="center"/>
          </w:tcPr>
          <w:p w14:paraId="6516DDE0" w14:textId="77777777" w:rsidR="00FE7F8B" w:rsidRDefault="00FE7F8B">
            <w:pPr>
              <w:pStyle w:val="Tabletextnoindenttight"/>
              <w:jc w:val="right"/>
              <w:rPr>
                <w:b/>
                <w:i/>
                <w:lang w:eastAsia="en-US"/>
              </w:rPr>
            </w:pPr>
          </w:p>
        </w:tc>
        <w:tc>
          <w:tcPr>
            <w:tcW w:w="726" w:type="pct"/>
            <w:noWrap/>
            <w:vAlign w:val="center"/>
          </w:tcPr>
          <w:p w14:paraId="394ACFA3" w14:textId="77777777" w:rsidR="00FE7F8B" w:rsidRDefault="00FE7F8B">
            <w:pPr>
              <w:pStyle w:val="Tabletextnoindenttight"/>
              <w:jc w:val="right"/>
              <w:rPr>
                <w:i/>
                <w:lang w:eastAsia="en-US"/>
              </w:rPr>
            </w:pPr>
          </w:p>
        </w:tc>
      </w:tr>
      <w:tr w:rsidR="00FE7F8B" w14:paraId="62C90A25" w14:textId="77777777" w:rsidTr="00395EAA">
        <w:trPr>
          <w:trHeight w:hRule="exact" w:val="284"/>
        </w:trPr>
        <w:tc>
          <w:tcPr>
            <w:tcW w:w="3060" w:type="pct"/>
            <w:gridSpan w:val="2"/>
            <w:vAlign w:val="center"/>
            <w:hideMark/>
          </w:tcPr>
          <w:p w14:paraId="293D0B0B" w14:textId="77777777" w:rsidR="00FE7F8B" w:rsidRDefault="00FE7F8B">
            <w:pPr>
              <w:pStyle w:val="Tabletextnoindent"/>
            </w:pPr>
            <w:r>
              <w:t>Receipts from government</w:t>
            </w:r>
          </w:p>
        </w:tc>
        <w:tc>
          <w:tcPr>
            <w:tcW w:w="560" w:type="pct"/>
            <w:vAlign w:val="center"/>
            <w:hideMark/>
          </w:tcPr>
          <w:p w14:paraId="25DD62E4" w14:textId="77777777" w:rsidR="00FE7F8B" w:rsidRDefault="00FE7F8B"/>
        </w:tc>
        <w:tc>
          <w:tcPr>
            <w:tcW w:w="654" w:type="pct"/>
            <w:shd w:val="clear" w:color="auto" w:fill="F2F2F2" w:themeFill="background1" w:themeFillShade="F2"/>
            <w:vAlign w:val="center"/>
            <w:hideMark/>
          </w:tcPr>
          <w:p w14:paraId="392779A7" w14:textId="77777777" w:rsidR="00FE7F8B" w:rsidRDefault="00FE7F8B">
            <w:pPr>
              <w:pStyle w:val="Tabletextnoindenttight"/>
              <w:jc w:val="right"/>
              <w:rPr>
                <w:b/>
                <w:bCs/>
                <w:szCs w:val="17"/>
                <w:lang w:val="en-US" w:eastAsia="en-US"/>
              </w:rPr>
            </w:pPr>
            <w:r>
              <w:rPr>
                <w:b/>
                <w:bCs/>
                <w:szCs w:val="17"/>
                <w:lang w:val="en-US" w:eastAsia="en-US"/>
              </w:rPr>
              <w:t>10,999.1</w:t>
            </w:r>
          </w:p>
        </w:tc>
        <w:tc>
          <w:tcPr>
            <w:tcW w:w="726" w:type="pct"/>
            <w:vAlign w:val="center"/>
            <w:hideMark/>
          </w:tcPr>
          <w:p w14:paraId="3A72D7AE" w14:textId="77777777" w:rsidR="00FE7F8B" w:rsidRDefault="00FE7F8B">
            <w:pPr>
              <w:pStyle w:val="Tabletextnoindenttight"/>
              <w:jc w:val="right"/>
              <w:rPr>
                <w:lang w:eastAsia="en-US"/>
              </w:rPr>
            </w:pPr>
            <w:r>
              <w:rPr>
                <w:lang w:eastAsia="en-US"/>
              </w:rPr>
              <w:t>10,316.4</w:t>
            </w:r>
          </w:p>
        </w:tc>
      </w:tr>
      <w:tr w:rsidR="00FE7F8B" w14:paraId="2467467F" w14:textId="77777777" w:rsidTr="00395EAA">
        <w:trPr>
          <w:trHeight w:hRule="exact" w:val="284"/>
        </w:trPr>
        <w:tc>
          <w:tcPr>
            <w:tcW w:w="3060" w:type="pct"/>
            <w:gridSpan w:val="2"/>
            <w:vAlign w:val="center"/>
            <w:hideMark/>
          </w:tcPr>
          <w:p w14:paraId="559728C6" w14:textId="77777777" w:rsidR="00FE7F8B" w:rsidRDefault="00FE7F8B">
            <w:pPr>
              <w:pStyle w:val="Tabletextnoindent"/>
            </w:pPr>
            <w:r>
              <w:t>Receipts from other entities</w:t>
            </w:r>
          </w:p>
        </w:tc>
        <w:tc>
          <w:tcPr>
            <w:tcW w:w="560" w:type="pct"/>
            <w:vAlign w:val="center"/>
            <w:hideMark/>
          </w:tcPr>
          <w:p w14:paraId="23040D06" w14:textId="77777777" w:rsidR="00FE7F8B" w:rsidRDefault="00FE7F8B"/>
        </w:tc>
        <w:tc>
          <w:tcPr>
            <w:tcW w:w="654" w:type="pct"/>
            <w:shd w:val="clear" w:color="auto" w:fill="F2F2F2" w:themeFill="background1" w:themeFillShade="F2"/>
            <w:vAlign w:val="center"/>
            <w:hideMark/>
          </w:tcPr>
          <w:p w14:paraId="6D745187" w14:textId="77777777" w:rsidR="00FE7F8B" w:rsidRDefault="00FE7F8B">
            <w:pPr>
              <w:pStyle w:val="Tabletextnoindenttight"/>
              <w:jc w:val="right"/>
              <w:rPr>
                <w:szCs w:val="17"/>
                <w:lang w:eastAsia="en-US"/>
              </w:rPr>
            </w:pPr>
            <w:r>
              <w:rPr>
                <w:b/>
                <w:bCs/>
                <w:szCs w:val="17"/>
                <w:lang w:val="en-US" w:eastAsia="en-US"/>
              </w:rPr>
              <w:t>746.2</w:t>
            </w:r>
          </w:p>
        </w:tc>
        <w:tc>
          <w:tcPr>
            <w:tcW w:w="726" w:type="pct"/>
            <w:vAlign w:val="center"/>
            <w:hideMark/>
          </w:tcPr>
          <w:p w14:paraId="2268AAA5" w14:textId="77777777" w:rsidR="00FE7F8B" w:rsidRDefault="00FE7F8B">
            <w:pPr>
              <w:pStyle w:val="Tabletextnoindenttight"/>
              <w:jc w:val="right"/>
              <w:rPr>
                <w:lang w:eastAsia="en-US"/>
              </w:rPr>
            </w:pPr>
            <w:r>
              <w:rPr>
                <w:lang w:eastAsia="en-US"/>
              </w:rPr>
              <w:t>794.4</w:t>
            </w:r>
          </w:p>
        </w:tc>
      </w:tr>
      <w:tr w:rsidR="00FE7F8B" w14:paraId="5877EE3F" w14:textId="77777777" w:rsidTr="00395EAA">
        <w:trPr>
          <w:trHeight w:hRule="exact" w:val="284"/>
        </w:trPr>
        <w:tc>
          <w:tcPr>
            <w:tcW w:w="3060" w:type="pct"/>
            <w:gridSpan w:val="2"/>
            <w:vAlign w:val="center"/>
            <w:hideMark/>
          </w:tcPr>
          <w:p w14:paraId="290845B6" w14:textId="5C339FA8" w:rsidR="00FE7F8B" w:rsidRDefault="00A45B59">
            <w:pPr>
              <w:pStyle w:val="Tabletextnoindent"/>
            </w:pPr>
            <w:r>
              <w:t>Goods and Services T</w:t>
            </w:r>
            <w:r w:rsidR="00FE7F8B">
              <w:t>ax recovered from the ATO</w:t>
            </w:r>
          </w:p>
        </w:tc>
        <w:tc>
          <w:tcPr>
            <w:tcW w:w="560" w:type="pct"/>
            <w:vAlign w:val="center"/>
            <w:hideMark/>
          </w:tcPr>
          <w:p w14:paraId="3D672D36" w14:textId="77777777" w:rsidR="00FE7F8B" w:rsidRDefault="00FE7F8B"/>
        </w:tc>
        <w:tc>
          <w:tcPr>
            <w:tcW w:w="654" w:type="pct"/>
            <w:shd w:val="clear" w:color="auto" w:fill="F2F2F2" w:themeFill="background1" w:themeFillShade="F2"/>
            <w:vAlign w:val="center"/>
            <w:hideMark/>
          </w:tcPr>
          <w:p w14:paraId="3A3E3F25" w14:textId="77777777" w:rsidR="00FE7F8B" w:rsidRDefault="00FE7F8B">
            <w:pPr>
              <w:pStyle w:val="Tabletextnoindenttight"/>
              <w:jc w:val="right"/>
              <w:rPr>
                <w:szCs w:val="17"/>
                <w:lang w:eastAsia="en-US"/>
              </w:rPr>
            </w:pPr>
            <w:r>
              <w:rPr>
                <w:b/>
                <w:bCs/>
                <w:szCs w:val="17"/>
                <w:lang w:val="en-US" w:eastAsia="en-US"/>
              </w:rPr>
              <w:t>269.7</w:t>
            </w:r>
          </w:p>
        </w:tc>
        <w:tc>
          <w:tcPr>
            <w:tcW w:w="726" w:type="pct"/>
            <w:vAlign w:val="center"/>
            <w:hideMark/>
          </w:tcPr>
          <w:p w14:paraId="01092FB5" w14:textId="77777777" w:rsidR="00FE7F8B" w:rsidRDefault="00FE7F8B">
            <w:pPr>
              <w:pStyle w:val="Tabletextnoindenttight"/>
              <w:jc w:val="right"/>
              <w:rPr>
                <w:lang w:eastAsia="en-US"/>
              </w:rPr>
            </w:pPr>
            <w:r>
              <w:rPr>
                <w:lang w:eastAsia="en-US"/>
              </w:rPr>
              <w:t>306.0</w:t>
            </w:r>
          </w:p>
        </w:tc>
      </w:tr>
      <w:tr w:rsidR="00FE7F8B" w14:paraId="03E353A4" w14:textId="77777777" w:rsidTr="00395EAA">
        <w:trPr>
          <w:trHeight w:hRule="exact" w:val="284"/>
        </w:trPr>
        <w:tc>
          <w:tcPr>
            <w:tcW w:w="3060" w:type="pct"/>
            <w:gridSpan w:val="2"/>
            <w:tcBorders>
              <w:top w:val="nil"/>
              <w:left w:val="nil"/>
              <w:bottom w:val="single" w:sz="4" w:space="0" w:color="auto"/>
              <w:right w:val="nil"/>
            </w:tcBorders>
            <w:vAlign w:val="center"/>
            <w:hideMark/>
          </w:tcPr>
          <w:p w14:paraId="0BFBC946" w14:textId="77777777" w:rsidR="00FE7F8B" w:rsidRDefault="00FE7F8B">
            <w:pPr>
              <w:pStyle w:val="Tabletextnoindent"/>
            </w:pPr>
            <w:r>
              <w:t>Interest received</w:t>
            </w:r>
          </w:p>
        </w:tc>
        <w:tc>
          <w:tcPr>
            <w:tcW w:w="560" w:type="pct"/>
            <w:tcBorders>
              <w:top w:val="nil"/>
              <w:left w:val="nil"/>
              <w:bottom w:val="single" w:sz="4" w:space="0" w:color="auto"/>
              <w:right w:val="nil"/>
            </w:tcBorders>
            <w:vAlign w:val="center"/>
            <w:hideMark/>
          </w:tcPr>
          <w:p w14:paraId="55652DF6" w14:textId="77777777" w:rsidR="00FE7F8B" w:rsidRDefault="00FE7F8B"/>
        </w:tc>
        <w:tc>
          <w:tcPr>
            <w:tcW w:w="654" w:type="pct"/>
            <w:tcBorders>
              <w:top w:val="nil"/>
              <w:left w:val="nil"/>
              <w:bottom w:val="single" w:sz="4" w:space="0" w:color="auto"/>
              <w:right w:val="nil"/>
            </w:tcBorders>
            <w:shd w:val="clear" w:color="auto" w:fill="F2F2F2" w:themeFill="background1" w:themeFillShade="F2"/>
            <w:vAlign w:val="center"/>
            <w:hideMark/>
          </w:tcPr>
          <w:p w14:paraId="25A124AA" w14:textId="77777777" w:rsidR="00FE7F8B" w:rsidRDefault="00FE7F8B">
            <w:pPr>
              <w:pStyle w:val="Tabletextnoindenttight"/>
              <w:jc w:val="right"/>
              <w:rPr>
                <w:szCs w:val="17"/>
                <w:lang w:eastAsia="en-US"/>
              </w:rPr>
            </w:pPr>
            <w:r>
              <w:rPr>
                <w:b/>
                <w:bCs/>
                <w:szCs w:val="17"/>
                <w:lang w:val="en-US" w:eastAsia="en-US"/>
              </w:rPr>
              <w:t>17.2</w:t>
            </w:r>
          </w:p>
        </w:tc>
        <w:tc>
          <w:tcPr>
            <w:tcW w:w="726" w:type="pct"/>
            <w:tcBorders>
              <w:top w:val="nil"/>
              <w:left w:val="nil"/>
              <w:bottom w:val="single" w:sz="4" w:space="0" w:color="auto"/>
              <w:right w:val="nil"/>
            </w:tcBorders>
            <w:noWrap/>
            <w:vAlign w:val="center"/>
            <w:hideMark/>
          </w:tcPr>
          <w:p w14:paraId="32084F9F" w14:textId="77777777" w:rsidR="00FE7F8B" w:rsidRDefault="00FE7F8B">
            <w:pPr>
              <w:pStyle w:val="Tabletextnoindenttight"/>
              <w:jc w:val="right"/>
              <w:rPr>
                <w:lang w:eastAsia="en-US"/>
              </w:rPr>
            </w:pPr>
            <w:r>
              <w:rPr>
                <w:lang w:eastAsia="en-US"/>
              </w:rPr>
              <w:t>19.9</w:t>
            </w:r>
          </w:p>
        </w:tc>
      </w:tr>
      <w:tr w:rsidR="00FE7F8B" w14:paraId="475E44C3" w14:textId="77777777" w:rsidTr="00395EAA">
        <w:trPr>
          <w:trHeight w:hRule="exact" w:val="284"/>
        </w:trPr>
        <w:tc>
          <w:tcPr>
            <w:tcW w:w="3060" w:type="pct"/>
            <w:gridSpan w:val="2"/>
            <w:tcBorders>
              <w:top w:val="single" w:sz="4" w:space="0" w:color="auto"/>
              <w:left w:val="nil"/>
              <w:bottom w:val="single" w:sz="4" w:space="0" w:color="auto"/>
              <w:right w:val="nil"/>
            </w:tcBorders>
            <w:vAlign w:val="center"/>
            <w:hideMark/>
          </w:tcPr>
          <w:p w14:paraId="430C7BFE" w14:textId="77777777" w:rsidR="00FE7F8B" w:rsidRDefault="00FE7F8B">
            <w:pPr>
              <w:pStyle w:val="Tabletextnoindent"/>
              <w:rPr>
                <w:b/>
              </w:rPr>
            </w:pPr>
            <w:r>
              <w:rPr>
                <w:b/>
              </w:rPr>
              <w:t>Total receipts</w:t>
            </w:r>
          </w:p>
        </w:tc>
        <w:tc>
          <w:tcPr>
            <w:tcW w:w="560" w:type="pct"/>
            <w:tcBorders>
              <w:top w:val="single" w:sz="4" w:space="0" w:color="auto"/>
              <w:left w:val="nil"/>
              <w:bottom w:val="single" w:sz="4" w:space="0" w:color="auto"/>
              <w:right w:val="nil"/>
            </w:tcBorders>
            <w:vAlign w:val="center"/>
            <w:hideMark/>
          </w:tcPr>
          <w:p w14:paraId="50FD88B4" w14:textId="77777777" w:rsidR="00FE7F8B" w:rsidRDefault="00FE7F8B">
            <w:pPr>
              <w:rPr>
                <w:b/>
              </w:rPr>
            </w:pPr>
          </w:p>
        </w:tc>
        <w:tc>
          <w:tcPr>
            <w:tcW w:w="654" w:type="pct"/>
            <w:tcBorders>
              <w:top w:val="single" w:sz="4" w:space="0" w:color="auto"/>
              <w:left w:val="nil"/>
              <w:bottom w:val="single" w:sz="4" w:space="0" w:color="auto"/>
              <w:right w:val="nil"/>
            </w:tcBorders>
            <w:shd w:val="clear" w:color="auto" w:fill="F2F2F2" w:themeFill="background1" w:themeFillShade="F2"/>
            <w:vAlign w:val="center"/>
            <w:hideMark/>
          </w:tcPr>
          <w:p w14:paraId="29723B88" w14:textId="77777777" w:rsidR="00FE7F8B" w:rsidRDefault="00FE7F8B">
            <w:pPr>
              <w:pStyle w:val="Tabletotal"/>
              <w:jc w:val="right"/>
              <w:rPr>
                <w:szCs w:val="17"/>
              </w:rPr>
            </w:pPr>
            <w:r>
              <w:rPr>
                <w:bCs/>
                <w:szCs w:val="17"/>
                <w:lang w:val="en-US"/>
              </w:rPr>
              <w:t>12,032.2</w:t>
            </w:r>
          </w:p>
        </w:tc>
        <w:tc>
          <w:tcPr>
            <w:tcW w:w="726" w:type="pct"/>
            <w:tcBorders>
              <w:top w:val="single" w:sz="4" w:space="0" w:color="auto"/>
              <w:left w:val="nil"/>
              <w:bottom w:val="single" w:sz="4" w:space="0" w:color="auto"/>
              <w:right w:val="nil"/>
            </w:tcBorders>
            <w:vAlign w:val="center"/>
            <w:hideMark/>
          </w:tcPr>
          <w:p w14:paraId="1E629797" w14:textId="77777777" w:rsidR="00FE7F8B" w:rsidRDefault="00FE7F8B">
            <w:pPr>
              <w:pStyle w:val="Tabletotal"/>
              <w:jc w:val="right"/>
              <w:rPr>
                <w:b w:val="0"/>
              </w:rPr>
            </w:pPr>
            <w:r>
              <w:rPr>
                <w:b w:val="0"/>
              </w:rPr>
              <w:t>11,436.7</w:t>
            </w:r>
          </w:p>
        </w:tc>
      </w:tr>
      <w:tr w:rsidR="00FE7F8B" w14:paraId="3D54F203" w14:textId="77777777" w:rsidTr="00395EAA">
        <w:trPr>
          <w:trHeight w:hRule="exact" w:val="284"/>
        </w:trPr>
        <w:tc>
          <w:tcPr>
            <w:tcW w:w="3060" w:type="pct"/>
            <w:gridSpan w:val="2"/>
            <w:tcBorders>
              <w:top w:val="single" w:sz="4" w:space="0" w:color="auto"/>
              <w:left w:val="nil"/>
              <w:bottom w:val="nil"/>
              <w:right w:val="nil"/>
            </w:tcBorders>
            <w:vAlign w:val="center"/>
            <w:hideMark/>
          </w:tcPr>
          <w:p w14:paraId="0680BC91" w14:textId="77777777" w:rsidR="00FE7F8B" w:rsidRDefault="00FE7F8B">
            <w:pPr>
              <w:pStyle w:val="Tabletextnoindent"/>
              <w:rPr>
                <w:b/>
                <w:i/>
              </w:rPr>
            </w:pPr>
            <w:r>
              <w:rPr>
                <w:b/>
                <w:i/>
              </w:rPr>
              <w:t>Payments</w:t>
            </w:r>
          </w:p>
        </w:tc>
        <w:tc>
          <w:tcPr>
            <w:tcW w:w="560" w:type="pct"/>
            <w:tcBorders>
              <w:top w:val="single" w:sz="4" w:space="0" w:color="auto"/>
              <w:left w:val="nil"/>
              <w:bottom w:val="nil"/>
              <w:right w:val="nil"/>
            </w:tcBorders>
            <w:vAlign w:val="center"/>
            <w:hideMark/>
          </w:tcPr>
          <w:p w14:paraId="13CEC458" w14:textId="77777777" w:rsidR="00FE7F8B" w:rsidRDefault="00FE7F8B">
            <w:pPr>
              <w:rPr>
                <w:b/>
                <w:i/>
              </w:rPr>
            </w:pPr>
          </w:p>
        </w:tc>
        <w:tc>
          <w:tcPr>
            <w:tcW w:w="654" w:type="pct"/>
            <w:tcBorders>
              <w:top w:val="single" w:sz="4" w:space="0" w:color="auto"/>
              <w:left w:val="nil"/>
              <w:bottom w:val="nil"/>
              <w:right w:val="nil"/>
            </w:tcBorders>
            <w:shd w:val="clear" w:color="auto" w:fill="F2F2F2" w:themeFill="background1" w:themeFillShade="F2"/>
            <w:vAlign w:val="center"/>
            <w:hideMark/>
          </w:tcPr>
          <w:p w14:paraId="7E4F2A3F"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726" w:type="pct"/>
            <w:tcBorders>
              <w:top w:val="single" w:sz="4" w:space="0" w:color="auto"/>
              <w:left w:val="nil"/>
              <w:bottom w:val="nil"/>
              <w:right w:val="nil"/>
            </w:tcBorders>
            <w:vAlign w:val="center"/>
            <w:hideMark/>
          </w:tcPr>
          <w:p w14:paraId="3E14C1A0"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68B48040" w14:textId="77777777" w:rsidTr="00395EAA">
        <w:trPr>
          <w:trHeight w:hRule="exact" w:val="284"/>
        </w:trPr>
        <w:tc>
          <w:tcPr>
            <w:tcW w:w="3060" w:type="pct"/>
            <w:gridSpan w:val="2"/>
            <w:vAlign w:val="center"/>
            <w:hideMark/>
          </w:tcPr>
          <w:p w14:paraId="7ED54397" w14:textId="77777777" w:rsidR="00FE7F8B" w:rsidRDefault="00FE7F8B">
            <w:pPr>
              <w:pStyle w:val="Tabletextnoindent"/>
            </w:pPr>
            <w:r>
              <w:t>Payments of grants and other transfers</w:t>
            </w:r>
          </w:p>
        </w:tc>
        <w:tc>
          <w:tcPr>
            <w:tcW w:w="560" w:type="pct"/>
            <w:vAlign w:val="center"/>
            <w:hideMark/>
          </w:tcPr>
          <w:p w14:paraId="568EE447" w14:textId="77777777" w:rsidR="00FE7F8B" w:rsidRDefault="00FE7F8B"/>
        </w:tc>
        <w:tc>
          <w:tcPr>
            <w:tcW w:w="654" w:type="pct"/>
            <w:shd w:val="clear" w:color="auto" w:fill="F2F2F2" w:themeFill="background1" w:themeFillShade="F2"/>
            <w:vAlign w:val="center"/>
            <w:hideMark/>
          </w:tcPr>
          <w:p w14:paraId="42D84B57" w14:textId="77777777" w:rsidR="00FE7F8B" w:rsidRDefault="00FE7F8B">
            <w:pPr>
              <w:pStyle w:val="Tabletextnoindenttight"/>
              <w:jc w:val="right"/>
              <w:rPr>
                <w:szCs w:val="17"/>
                <w:lang w:eastAsia="en-US"/>
              </w:rPr>
            </w:pPr>
            <w:r>
              <w:rPr>
                <w:b/>
                <w:bCs/>
                <w:szCs w:val="17"/>
                <w:lang w:val="en-US" w:eastAsia="en-US"/>
              </w:rPr>
              <w:t>(1,461.3)</w:t>
            </w:r>
          </w:p>
        </w:tc>
        <w:tc>
          <w:tcPr>
            <w:tcW w:w="726" w:type="pct"/>
            <w:vAlign w:val="center"/>
            <w:hideMark/>
          </w:tcPr>
          <w:p w14:paraId="7ECF1062" w14:textId="77777777" w:rsidR="00FE7F8B" w:rsidRDefault="00FE7F8B">
            <w:pPr>
              <w:pStyle w:val="Tabletextnoindenttight"/>
              <w:jc w:val="right"/>
              <w:rPr>
                <w:lang w:eastAsia="en-US"/>
              </w:rPr>
            </w:pPr>
            <w:r>
              <w:rPr>
                <w:lang w:eastAsia="en-US"/>
              </w:rPr>
              <w:t>(1,395.0)</w:t>
            </w:r>
          </w:p>
        </w:tc>
      </w:tr>
      <w:tr w:rsidR="00FE7F8B" w14:paraId="3F5BF786" w14:textId="77777777" w:rsidTr="00395EAA">
        <w:trPr>
          <w:trHeight w:hRule="exact" w:val="284"/>
        </w:trPr>
        <w:tc>
          <w:tcPr>
            <w:tcW w:w="3060" w:type="pct"/>
            <w:gridSpan w:val="2"/>
            <w:vAlign w:val="center"/>
            <w:hideMark/>
          </w:tcPr>
          <w:p w14:paraId="6FA912CE" w14:textId="77777777" w:rsidR="00FE7F8B" w:rsidRDefault="00FE7F8B">
            <w:pPr>
              <w:pStyle w:val="Tabletextnoindent"/>
            </w:pPr>
            <w:r>
              <w:t xml:space="preserve">Payments to suppliers and employees </w:t>
            </w:r>
          </w:p>
        </w:tc>
        <w:tc>
          <w:tcPr>
            <w:tcW w:w="560" w:type="pct"/>
            <w:vAlign w:val="center"/>
            <w:hideMark/>
          </w:tcPr>
          <w:p w14:paraId="444356D5" w14:textId="77777777" w:rsidR="00FE7F8B" w:rsidRDefault="00FE7F8B"/>
        </w:tc>
        <w:tc>
          <w:tcPr>
            <w:tcW w:w="654" w:type="pct"/>
            <w:shd w:val="clear" w:color="auto" w:fill="F2F2F2" w:themeFill="background1" w:themeFillShade="F2"/>
            <w:vAlign w:val="center"/>
            <w:hideMark/>
          </w:tcPr>
          <w:p w14:paraId="6666F5BB" w14:textId="77777777" w:rsidR="00FE7F8B" w:rsidRDefault="00FE7F8B">
            <w:pPr>
              <w:pStyle w:val="Tabletextnoindenttight"/>
              <w:jc w:val="right"/>
              <w:rPr>
                <w:szCs w:val="17"/>
                <w:lang w:eastAsia="en-US"/>
              </w:rPr>
            </w:pPr>
            <w:r>
              <w:rPr>
                <w:b/>
                <w:bCs/>
                <w:szCs w:val="17"/>
                <w:lang w:val="en-US" w:eastAsia="en-US"/>
              </w:rPr>
              <w:t>(8,798.4)</w:t>
            </w:r>
          </w:p>
        </w:tc>
        <w:tc>
          <w:tcPr>
            <w:tcW w:w="726" w:type="pct"/>
            <w:vAlign w:val="center"/>
            <w:hideMark/>
          </w:tcPr>
          <w:p w14:paraId="16EDE44C" w14:textId="77777777" w:rsidR="00FE7F8B" w:rsidRDefault="00FE7F8B">
            <w:pPr>
              <w:pStyle w:val="Tabletextnoindenttight"/>
              <w:jc w:val="right"/>
              <w:rPr>
                <w:lang w:eastAsia="en-US"/>
              </w:rPr>
            </w:pPr>
            <w:r>
              <w:rPr>
                <w:lang w:eastAsia="en-US"/>
              </w:rPr>
              <w:t>(8,529.4)</w:t>
            </w:r>
          </w:p>
        </w:tc>
      </w:tr>
      <w:tr w:rsidR="00FE7F8B" w14:paraId="575C22D7" w14:textId="77777777" w:rsidTr="00395EAA">
        <w:trPr>
          <w:trHeight w:hRule="exact" w:val="284"/>
        </w:trPr>
        <w:tc>
          <w:tcPr>
            <w:tcW w:w="3060" w:type="pct"/>
            <w:gridSpan w:val="2"/>
            <w:vAlign w:val="center"/>
            <w:hideMark/>
          </w:tcPr>
          <w:p w14:paraId="4633A732" w14:textId="17F41227" w:rsidR="00FE7F8B" w:rsidRDefault="00A45B59">
            <w:pPr>
              <w:pStyle w:val="Tabletextnoindent"/>
            </w:pPr>
            <w:r>
              <w:t>Goods and Services T</w:t>
            </w:r>
            <w:r w:rsidR="00FE7F8B">
              <w:t xml:space="preserve">ax paid to the ATO </w:t>
            </w:r>
          </w:p>
        </w:tc>
        <w:tc>
          <w:tcPr>
            <w:tcW w:w="560" w:type="pct"/>
            <w:vAlign w:val="center"/>
            <w:hideMark/>
          </w:tcPr>
          <w:p w14:paraId="46A208FF" w14:textId="77777777" w:rsidR="00FE7F8B" w:rsidRDefault="00FE7F8B"/>
        </w:tc>
        <w:tc>
          <w:tcPr>
            <w:tcW w:w="654" w:type="pct"/>
            <w:shd w:val="clear" w:color="auto" w:fill="F2F2F2" w:themeFill="background1" w:themeFillShade="F2"/>
            <w:vAlign w:val="center"/>
            <w:hideMark/>
          </w:tcPr>
          <w:p w14:paraId="514004B0" w14:textId="77777777" w:rsidR="00FE7F8B" w:rsidRDefault="00FE7F8B">
            <w:pPr>
              <w:pStyle w:val="Tabletextnoindenttight"/>
              <w:jc w:val="right"/>
              <w:rPr>
                <w:szCs w:val="17"/>
                <w:lang w:eastAsia="en-US"/>
              </w:rPr>
            </w:pPr>
            <w:r>
              <w:rPr>
                <w:b/>
                <w:bCs/>
                <w:szCs w:val="17"/>
                <w:lang w:val="en-US" w:eastAsia="en-US"/>
              </w:rPr>
              <w:t>(11.1)</w:t>
            </w:r>
          </w:p>
        </w:tc>
        <w:tc>
          <w:tcPr>
            <w:tcW w:w="726" w:type="pct"/>
            <w:vAlign w:val="center"/>
            <w:hideMark/>
          </w:tcPr>
          <w:p w14:paraId="2000BCEA" w14:textId="77777777" w:rsidR="00FE7F8B" w:rsidRDefault="00FE7F8B">
            <w:pPr>
              <w:pStyle w:val="Tabletextnoindenttight"/>
              <w:jc w:val="right"/>
              <w:rPr>
                <w:lang w:eastAsia="en-US"/>
              </w:rPr>
            </w:pPr>
            <w:r>
              <w:rPr>
                <w:lang w:eastAsia="en-US"/>
              </w:rPr>
              <w:t>(23.2)</w:t>
            </w:r>
          </w:p>
        </w:tc>
      </w:tr>
      <w:tr w:rsidR="00FE7F8B" w14:paraId="53D84FE1" w14:textId="77777777" w:rsidTr="00395EAA">
        <w:trPr>
          <w:trHeight w:hRule="exact" w:val="284"/>
        </w:trPr>
        <w:tc>
          <w:tcPr>
            <w:tcW w:w="3060" w:type="pct"/>
            <w:gridSpan w:val="2"/>
            <w:vAlign w:val="center"/>
            <w:hideMark/>
          </w:tcPr>
          <w:p w14:paraId="04B1770A" w14:textId="77777777" w:rsidR="00FE7F8B" w:rsidRDefault="00FE7F8B">
            <w:pPr>
              <w:pStyle w:val="Tabletextnoindent"/>
            </w:pPr>
            <w:r>
              <w:t>Capital asset charge payments</w:t>
            </w:r>
          </w:p>
        </w:tc>
        <w:tc>
          <w:tcPr>
            <w:tcW w:w="560" w:type="pct"/>
            <w:vAlign w:val="center"/>
            <w:hideMark/>
          </w:tcPr>
          <w:p w14:paraId="27306173" w14:textId="77777777" w:rsidR="00FE7F8B" w:rsidRDefault="00FE7F8B"/>
        </w:tc>
        <w:tc>
          <w:tcPr>
            <w:tcW w:w="654" w:type="pct"/>
            <w:shd w:val="clear" w:color="auto" w:fill="F2F2F2" w:themeFill="background1" w:themeFillShade="F2"/>
            <w:vAlign w:val="center"/>
            <w:hideMark/>
          </w:tcPr>
          <w:p w14:paraId="06172FB4" w14:textId="77777777" w:rsidR="00FE7F8B" w:rsidRDefault="00FE7F8B">
            <w:pPr>
              <w:pStyle w:val="Tabletextnoindenttight"/>
              <w:jc w:val="right"/>
              <w:rPr>
                <w:szCs w:val="17"/>
                <w:lang w:eastAsia="en-US"/>
              </w:rPr>
            </w:pPr>
            <w:r>
              <w:rPr>
                <w:b/>
                <w:bCs/>
                <w:szCs w:val="17"/>
                <w:lang w:val="en-US" w:eastAsia="en-US"/>
              </w:rPr>
              <w:t>(1,291.7)</w:t>
            </w:r>
          </w:p>
        </w:tc>
        <w:tc>
          <w:tcPr>
            <w:tcW w:w="726" w:type="pct"/>
            <w:vAlign w:val="center"/>
            <w:hideMark/>
          </w:tcPr>
          <w:p w14:paraId="428DC556" w14:textId="77777777" w:rsidR="00FE7F8B" w:rsidRDefault="00FE7F8B">
            <w:pPr>
              <w:pStyle w:val="Tabletextnoindenttight"/>
              <w:jc w:val="right"/>
              <w:rPr>
                <w:lang w:eastAsia="en-US"/>
              </w:rPr>
            </w:pPr>
            <w:r>
              <w:rPr>
                <w:lang w:eastAsia="en-US"/>
              </w:rPr>
              <w:t>(1,287.1)</w:t>
            </w:r>
          </w:p>
        </w:tc>
      </w:tr>
      <w:tr w:rsidR="00FE7F8B" w14:paraId="06CFF034" w14:textId="77777777" w:rsidTr="00395EAA">
        <w:trPr>
          <w:trHeight w:hRule="exact" w:val="284"/>
        </w:trPr>
        <w:tc>
          <w:tcPr>
            <w:tcW w:w="3060" w:type="pct"/>
            <w:gridSpan w:val="2"/>
            <w:tcBorders>
              <w:top w:val="nil"/>
              <w:left w:val="nil"/>
              <w:bottom w:val="single" w:sz="4" w:space="0" w:color="auto"/>
              <w:right w:val="nil"/>
            </w:tcBorders>
            <w:vAlign w:val="center"/>
            <w:hideMark/>
          </w:tcPr>
          <w:p w14:paraId="2C7D4A33" w14:textId="77777777" w:rsidR="00FE7F8B" w:rsidRDefault="00FE7F8B">
            <w:pPr>
              <w:pStyle w:val="Tabletextnoindent"/>
            </w:pPr>
            <w:r>
              <w:t>Interest and other costs of finance paid</w:t>
            </w:r>
          </w:p>
        </w:tc>
        <w:tc>
          <w:tcPr>
            <w:tcW w:w="560" w:type="pct"/>
            <w:tcBorders>
              <w:top w:val="nil"/>
              <w:left w:val="nil"/>
              <w:bottom w:val="single" w:sz="4" w:space="0" w:color="auto"/>
              <w:right w:val="nil"/>
            </w:tcBorders>
            <w:vAlign w:val="center"/>
            <w:hideMark/>
          </w:tcPr>
          <w:p w14:paraId="5D9449BD" w14:textId="77777777" w:rsidR="00FE7F8B" w:rsidRDefault="00FE7F8B"/>
        </w:tc>
        <w:tc>
          <w:tcPr>
            <w:tcW w:w="654" w:type="pct"/>
            <w:tcBorders>
              <w:top w:val="nil"/>
              <w:left w:val="nil"/>
              <w:bottom w:val="single" w:sz="4" w:space="0" w:color="auto"/>
              <w:right w:val="nil"/>
            </w:tcBorders>
            <w:shd w:val="clear" w:color="auto" w:fill="F2F2F2" w:themeFill="background1" w:themeFillShade="F2"/>
            <w:vAlign w:val="center"/>
            <w:hideMark/>
          </w:tcPr>
          <w:p w14:paraId="1CDDAEE1" w14:textId="77777777" w:rsidR="00FE7F8B" w:rsidRDefault="00FE7F8B">
            <w:pPr>
              <w:pStyle w:val="Tabletextnoindenttight"/>
              <w:jc w:val="right"/>
              <w:rPr>
                <w:szCs w:val="17"/>
                <w:lang w:eastAsia="en-US"/>
              </w:rPr>
            </w:pPr>
            <w:r>
              <w:rPr>
                <w:b/>
                <w:bCs/>
                <w:szCs w:val="17"/>
                <w:lang w:val="en-US" w:eastAsia="en-US"/>
              </w:rPr>
              <w:t>(14.3)</w:t>
            </w:r>
          </w:p>
        </w:tc>
        <w:tc>
          <w:tcPr>
            <w:tcW w:w="726" w:type="pct"/>
            <w:tcBorders>
              <w:top w:val="nil"/>
              <w:left w:val="nil"/>
              <w:bottom w:val="single" w:sz="4" w:space="0" w:color="auto"/>
              <w:right w:val="nil"/>
            </w:tcBorders>
            <w:vAlign w:val="center"/>
            <w:hideMark/>
          </w:tcPr>
          <w:p w14:paraId="7F8AB1B2" w14:textId="77777777" w:rsidR="00FE7F8B" w:rsidRDefault="00FE7F8B">
            <w:pPr>
              <w:pStyle w:val="Tabletextnoindenttight"/>
              <w:jc w:val="right"/>
              <w:rPr>
                <w:lang w:eastAsia="en-US"/>
              </w:rPr>
            </w:pPr>
            <w:r>
              <w:rPr>
                <w:lang w:eastAsia="en-US"/>
              </w:rPr>
              <w:t>(14.2)</w:t>
            </w:r>
          </w:p>
        </w:tc>
      </w:tr>
      <w:tr w:rsidR="00FE7F8B" w14:paraId="0892FAFE" w14:textId="77777777" w:rsidTr="00395EAA">
        <w:trPr>
          <w:trHeight w:hRule="exact" w:val="284"/>
        </w:trPr>
        <w:tc>
          <w:tcPr>
            <w:tcW w:w="3060" w:type="pct"/>
            <w:gridSpan w:val="2"/>
            <w:tcBorders>
              <w:top w:val="single" w:sz="4" w:space="0" w:color="auto"/>
              <w:left w:val="nil"/>
              <w:bottom w:val="single" w:sz="6" w:space="0" w:color="auto"/>
              <w:right w:val="nil"/>
            </w:tcBorders>
            <w:vAlign w:val="center"/>
            <w:hideMark/>
          </w:tcPr>
          <w:p w14:paraId="723EBC27" w14:textId="77777777" w:rsidR="00FE7F8B" w:rsidRDefault="00FE7F8B">
            <w:pPr>
              <w:pStyle w:val="Tabletextnoindent"/>
              <w:rPr>
                <w:b/>
              </w:rPr>
            </w:pPr>
            <w:r>
              <w:rPr>
                <w:b/>
              </w:rPr>
              <w:t>Total payments</w:t>
            </w:r>
          </w:p>
        </w:tc>
        <w:tc>
          <w:tcPr>
            <w:tcW w:w="560" w:type="pct"/>
            <w:tcBorders>
              <w:top w:val="single" w:sz="4" w:space="0" w:color="auto"/>
              <w:left w:val="nil"/>
              <w:bottom w:val="single" w:sz="6" w:space="0" w:color="auto"/>
              <w:right w:val="nil"/>
            </w:tcBorders>
            <w:vAlign w:val="center"/>
            <w:hideMark/>
          </w:tcPr>
          <w:p w14:paraId="6BC50606" w14:textId="77777777" w:rsidR="00FE7F8B" w:rsidRDefault="00FE7F8B">
            <w:pPr>
              <w:rPr>
                <w:b/>
              </w:rPr>
            </w:pPr>
          </w:p>
        </w:tc>
        <w:tc>
          <w:tcPr>
            <w:tcW w:w="654" w:type="pct"/>
            <w:tcBorders>
              <w:top w:val="single" w:sz="4" w:space="0" w:color="auto"/>
              <w:left w:val="nil"/>
              <w:bottom w:val="single" w:sz="6" w:space="0" w:color="auto"/>
              <w:right w:val="nil"/>
            </w:tcBorders>
            <w:shd w:val="clear" w:color="auto" w:fill="F2F2F2" w:themeFill="background1" w:themeFillShade="F2"/>
            <w:vAlign w:val="center"/>
            <w:hideMark/>
          </w:tcPr>
          <w:p w14:paraId="0084F6B7" w14:textId="77777777" w:rsidR="00FE7F8B" w:rsidRDefault="00FE7F8B">
            <w:pPr>
              <w:pStyle w:val="Tabletotal"/>
              <w:jc w:val="right"/>
              <w:rPr>
                <w:szCs w:val="17"/>
              </w:rPr>
            </w:pPr>
            <w:r>
              <w:rPr>
                <w:bCs/>
                <w:szCs w:val="17"/>
                <w:lang w:val="en-US"/>
              </w:rPr>
              <w:t>(11,576.8)</w:t>
            </w:r>
          </w:p>
        </w:tc>
        <w:tc>
          <w:tcPr>
            <w:tcW w:w="726" w:type="pct"/>
            <w:tcBorders>
              <w:top w:val="single" w:sz="4" w:space="0" w:color="auto"/>
              <w:left w:val="nil"/>
              <w:bottom w:val="single" w:sz="6" w:space="0" w:color="auto"/>
              <w:right w:val="nil"/>
            </w:tcBorders>
            <w:vAlign w:val="center"/>
            <w:hideMark/>
          </w:tcPr>
          <w:p w14:paraId="07F97891" w14:textId="77777777" w:rsidR="00FE7F8B" w:rsidRDefault="00FE7F8B">
            <w:pPr>
              <w:pStyle w:val="Tabletotal"/>
              <w:jc w:val="right"/>
              <w:rPr>
                <w:b w:val="0"/>
              </w:rPr>
            </w:pPr>
            <w:r>
              <w:rPr>
                <w:b w:val="0"/>
              </w:rPr>
              <w:t>(11,249.0)</w:t>
            </w:r>
          </w:p>
        </w:tc>
      </w:tr>
      <w:tr w:rsidR="00FE7F8B" w14:paraId="316CED47" w14:textId="77777777" w:rsidTr="00395EAA">
        <w:trPr>
          <w:trHeight w:hRule="exact" w:val="284"/>
        </w:trPr>
        <w:tc>
          <w:tcPr>
            <w:tcW w:w="3060" w:type="pct"/>
            <w:gridSpan w:val="2"/>
            <w:tcBorders>
              <w:top w:val="single" w:sz="6" w:space="0" w:color="auto"/>
              <w:left w:val="nil"/>
              <w:bottom w:val="single" w:sz="6" w:space="0" w:color="auto"/>
              <w:right w:val="nil"/>
            </w:tcBorders>
            <w:vAlign w:val="center"/>
            <w:hideMark/>
          </w:tcPr>
          <w:p w14:paraId="09B3969D" w14:textId="77777777" w:rsidR="00FE7F8B" w:rsidRDefault="00FE7F8B">
            <w:pPr>
              <w:pStyle w:val="Tabletextnoindent"/>
              <w:rPr>
                <w:b/>
              </w:rPr>
            </w:pPr>
            <w:r>
              <w:rPr>
                <w:b/>
              </w:rPr>
              <w:t>Net cash flows from/(used in) operating activities</w:t>
            </w:r>
          </w:p>
        </w:tc>
        <w:tc>
          <w:tcPr>
            <w:tcW w:w="560" w:type="pct"/>
            <w:tcBorders>
              <w:top w:val="single" w:sz="6" w:space="0" w:color="auto"/>
              <w:left w:val="nil"/>
              <w:bottom w:val="single" w:sz="6" w:space="0" w:color="auto"/>
              <w:right w:val="nil"/>
            </w:tcBorders>
            <w:shd w:val="clear" w:color="auto" w:fill="FFFFFF" w:themeFill="background1"/>
            <w:vAlign w:val="center"/>
            <w:hideMark/>
          </w:tcPr>
          <w:p w14:paraId="49A5C6EF" w14:textId="77777777" w:rsidR="00FE7F8B" w:rsidRDefault="00FE7F8B">
            <w:pPr>
              <w:pStyle w:val="Tabletotal"/>
              <w:jc w:val="center"/>
              <w:rPr>
                <w:b w:val="0"/>
              </w:rPr>
            </w:pPr>
            <w:r>
              <w:t>23</w:t>
            </w:r>
          </w:p>
        </w:tc>
        <w:tc>
          <w:tcPr>
            <w:tcW w:w="654" w:type="pct"/>
            <w:tcBorders>
              <w:top w:val="single" w:sz="6" w:space="0" w:color="auto"/>
              <w:left w:val="nil"/>
              <w:bottom w:val="single" w:sz="6" w:space="0" w:color="auto"/>
              <w:right w:val="nil"/>
            </w:tcBorders>
            <w:shd w:val="clear" w:color="auto" w:fill="F2F2F2" w:themeFill="background1" w:themeFillShade="F2"/>
            <w:vAlign w:val="center"/>
            <w:hideMark/>
          </w:tcPr>
          <w:p w14:paraId="77CDA25D" w14:textId="77777777" w:rsidR="00FE7F8B" w:rsidRDefault="00FE7F8B">
            <w:pPr>
              <w:pStyle w:val="Tabletotal"/>
              <w:jc w:val="right"/>
              <w:rPr>
                <w:szCs w:val="17"/>
              </w:rPr>
            </w:pPr>
            <w:r>
              <w:rPr>
                <w:szCs w:val="17"/>
              </w:rPr>
              <w:t>455.4</w:t>
            </w:r>
          </w:p>
        </w:tc>
        <w:tc>
          <w:tcPr>
            <w:tcW w:w="726" w:type="pct"/>
            <w:tcBorders>
              <w:top w:val="single" w:sz="6" w:space="0" w:color="auto"/>
              <w:left w:val="nil"/>
              <w:bottom w:val="single" w:sz="6" w:space="0" w:color="auto"/>
              <w:right w:val="nil"/>
            </w:tcBorders>
            <w:vAlign w:val="center"/>
            <w:hideMark/>
          </w:tcPr>
          <w:p w14:paraId="26DAC2B9" w14:textId="77777777" w:rsidR="00FE7F8B" w:rsidRDefault="00FE7F8B">
            <w:pPr>
              <w:pStyle w:val="Tabletotal"/>
              <w:jc w:val="right"/>
              <w:rPr>
                <w:b w:val="0"/>
              </w:rPr>
            </w:pPr>
            <w:r>
              <w:rPr>
                <w:b w:val="0"/>
              </w:rPr>
              <w:t>187.8</w:t>
            </w:r>
          </w:p>
        </w:tc>
      </w:tr>
      <w:tr w:rsidR="00FE7F8B" w14:paraId="35AF08C9" w14:textId="77777777" w:rsidTr="00395EAA">
        <w:trPr>
          <w:trHeight w:hRule="exact" w:val="284"/>
        </w:trPr>
        <w:tc>
          <w:tcPr>
            <w:tcW w:w="3060" w:type="pct"/>
            <w:gridSpan w:val="2"/>
            <w:tcBorders>
              <w:top w:val="single" w:sz="6" w:space="0" w:color="auto"/>
              <w:left w:val="nil"/>
              <w:bottom w:val="nil"/>
              <w:right w:val="nil"/>
            </w:tcBorders>
            <w:vAlign w:val="center"/>
            <w:hideMark/>
          </w:tcPr>
          <w:p w14:paraId="3AD78DDE" w14:textId="77777777" w:rsidR="00FE7F8B" w:rsidRDefault="00FE7F8B">
            <w:pPr>
              <w:pStyle w:val="Tabletextnoindent"/>
              <w:rPr>
                <w:b/>
              </w:rPr>
            </w:pPr>
            <w:r>
              <w:rPr>
                <w:b/>
              </w:rPr>
              <w:t>Cash flows from investing activities</w:t>
            </w:r>
          </w:p>
        </w:tc>
        <w:tc>
          <w:tcPr>
            <w:tcW w:w="560" w:type="pct"/>
            <w:tcBorders>
              <w:top w:val="single" w:sz="6" w:space="0" w:color="auto"/>
              <w:left w:val="nil"/>
              <w:bottom w:val="nil"/>
              <w:right w:val="nil"/>
            </w:tcBorders>
            <w:vAlign w:val="center"/>
            <w:hideMark/>
          </w:tcPr>
          <w:p w14:paraId="7A6A45A7" w14:textId="77777777" w:rsidR="00FE7F8B" w:rsidRDefault="00FE7F8B">
            <w:pPr>
              <w:rPr>
                <w:b/>
              </w:rPr>
            </w:pPr>
          </w:p>
        </w:tc>
        <w:tc>
          <w:tcPr>
            <w:tcW w:w="654" w:type="pct"/>
            <w:tcBorders>
              <w:top w:val="single" w:sz="6" w:space="0" w:color="auto"/>
              <w:left w:val="nil"/>
              <w:bottom w:val="nil"/>
              <w:right w:val="nil"/>
            </w:tcBorders>
            <w:shd w:val="clear" w:color="auto" w:fill="F2F2F2" w:themeFill="background1" w:themeFillShade="F2"/>
            <w:vAlign w:val="center"/>
            <w:hideMark/>
          </w:tcPr>
          <w:p w14:paraId="59FF06DC"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726" w:type="pct"/>
            <w:tcBorders>
              <w:top w:val="single" w:sz="6" w:space="0" w:color="auto"/>
              <w:left w:val="nil"/>
              <w:bottom w:val="nil"/>
              <w:right w:val="nil"/>
            </w:tcBorders>
            <w:vAlign w:val="center"/>
            <w:hideMark/>
          </w:tcPr>
          <w:p w14:paraId="27B7150B"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0BD49E28" w14:textId="77777777" w:rsidTr="00395EAA">
        <w:trPr>
          <w:trHeight w:hRule="exact" w:val="284"/>
        </w:trPr>
        <w:tc>
          <w:tcPr>
            <w:tcW w:w="3060" w:type="pct"/>
            <w:gridSpan w:val="2"/>
            <w:vAlign w:val="center"/>
            <w:hideMark/>
          </w:tcPr>
          <w:p w14:paraId="16F0CCEE" w14:textId="77777777" w:rsidR="00FE7F8B" w:rsidRDefault="00FE7F8B">
            <w:pPr>
              <w:pStyle w:val="Tabletextnoindent"/>
            </w:pPr>
            <w:r>
              <w:t>Purchases of non-financial assets</w:t>
            </w:r>
          </w:p>
        </w:tc>
        <w:tc>
          <w:tcPr>
            <w:tcW w:w="560" w:type="pct"/>
            <w:vAlign w:val="center"/>
            <w:hideMark/>
          </w:tcPr>
          <w:p w14:paraId="2EF28BFF" w14:textId="77777777" w:rsidR="00FE7F8B" w:rsidRDefault="00FE7F8B"/>
        </w:tc>
        <w:tc>
          <w:tcPr>
            <w:tcW w:w="654" w:type="pct"/>
            <w:shd w:val="clear" w:color="auto" w:fill="F2F2F2" w:themeFill="background1" w:themeFillShade="F2"/>
            <w:vAlign w:val="center"/>
            <w:hideMark/>
          </w:tcPr>
          <w:p w14:paraId="29F17EB2" w14:textId="77777777" w:rsidR="00FE7F8B" w:rsidRDefault="00FE7F8B">
            <w:pPr>
              <w:pStyle w:val="Tabletextnoindenttight"/>
              <w:jc w:val="right"/>
              <w:rPr>
                <w:szCs w:val="17"/>
                <w:lang w:eastAsia="en-US"/>
              </w:rPr>
            </w:pPr>
            <w:r>
              <w:rPr>
                <w:b/>
                <w:bCs/>
                <w:szCs w:val="17"/>
                <w:lang w:val="en-US" w:eastAsia="en-US"/>
              </w:rPr>
              <w:t>(288.0)</w:t>
            </w:r>
          </w:p>
        </w:tc>
        <w:tc>
          <w:tcPr>
            <w:tcW w:w="726" w:type="pct"/>
            <w:vAlign w:val="center"/>
            <w:hideMark/>
          </w:tcPr>
          <w:p w14:paraId="309629F6" w14:textId="77777777" w:rsidR="00FE7F8B" w:rsidRDefault="00FE7F8B">
            <w:pPr>
              <w:pStyle w:val="Tabletextnoindenttight"/>
              <w:jc w:val="right"/>
              <w:rPr>
                <w:lang w:eastAsia="en-US"/>
              </w:rPr>
            </w:pPr>
            <w:r>
              <w:rPr>
                <w:lang w:eastAsia="en-US"/>
              </w:rPr>
              <w:t>(311.5)</w:t>
            </w:r>
          </w:p>
        </w:tc>
      </w:tr>
      <w:tr w:rsidR="00FE7F8B" w14:paraId="5D96B387" w14:textId="77777777" w:rsidTr="00395EAA">
        <w:trPr>
          <w:trHeight w:hRule="exact" w:val="284"/>
        </w:trPr>
        <w:tc>
          <w:tcPr>
            <w:tcW w:w="3060" w:type="pct"/>
            <w:gridSpan w:val="2"/>
            <w:vAlign w:val="center"/>
            <w:hideMark/>
          </w:tcPr>
          <w:p w14:paraId="76C42B8F" w14:textId="77777777" w:rsidR="00FE7F8B" w:rsidRDefault="00FE7F8B">
            <w:pPr>
              <w:pStyle w:val="Tabletextnoindent"/>
            </w:pPr>
            <w:r>
              <w:t>Net payments for investments</w:t>
            </w:r>
            <w:r>
              <w:rPr>
                <w:rStyle w:val="FootnoteReference"/>
              </w:rPr>
              <w:footnoteReference w:id="2"/>
            </w:r>
            <w:r>
              <w:t xml:space="preserve"> </w:t>
            </w:r>
          </w:p>
        </w:tc>
        <w:tc>
          <w:tcPr>
            <w:tcW w:w="560" w:type="pct"/>
            <w:vAlign w:val="center"/>
            <w:hideMark/>
          </w:tcPr>
          <w:p w14:paraId="5EC814A5" w14:textId="77777777" w:rsidR="00FE7F8B" w:rsidRDefault="00FE7F8B"/>
        </w:tc>
        <w:tc>
          <w:tcPr>
            <w:tcW w:w="654" w:type="pct"/>
            <w:shd w:val="clear" w:color="auto" w:fill="F2F2F2" w:themeFill="background1" w:themeFillShade="F2"/>
            <w:vAlign w:val="center"/>
            <w:hideMark/>
          </w:tcPr>
          <w:p w14:paraId="3CCCD5FC" w14:textId="77777777" w:rsidR="00FE7F8B" w:rsidRDefault="00FE7F8B">
            <w:pPr>
              <w:pStyle w:val="Tabletextnoindenttight"/>
              <w:jc w:val="right"/>
              <w:rPr>
                <w:szCs w:val="17"/>
                <w:lang w:eastAsia="en-US"/>
              </w:rPr>
            </w:pPr>
            <w:r>
              <w:rPr>
                <w:b/>
                <w:bCs/>
                <w:szCs w:val="17"/>
                <w:lang w:val="en-US" w:eastAsia="en-US"/>
              </w:rPr>
              <w:t>-</w:t>
            </w:r>
          </w:p>
        </w:tc>
        <w:tc>
          <w:tcPr>
            <w:tcW w:w="726" w:type="pct"/>
            <w:vAlign w:val="center"/>
            <w:hideMark/>
          </w:tcPr>
          <w:p w14:paraId="1939E86F" w14:textId="77777777" w:rsidR="00FE7F8B" w:rsidRDefault="00FE7F8B">
            <w:pPr>
              <w:pStyle w:val="Tabletextnoindenttight"/>
              <w:jc w:val="right"/>
              <w:rPr>
                <w:lang w:eastAsia="en-US"/>
              </w:rPr>
            </w:pPr>
            <w:r>
              <w:rPr>
                <w:lang w:eastAsia="en-US"/>
              </w:rPr>
              <w:t>(5.4)</w:t>
            </w:r>
          </w:p>
        </w:tc>
      </w:tr>
      <w:tr w:rsidR="00FE7F8B" w14:paraId="5E22CC8C" w14:textId="77777777" w:rsidTr="00395EAA">
        <w:trPr>
          <w:trHeight w:hRule="exact" w:val="284"/>
        </w:trPr>
        <w:tc>
          <w:tcPr>
            <w:tcW w:w="3060" w:type="pct"/>
            <w:gridSpan w:val="2"/>
            <w:vAlign w:val="center"/>
            <w:hideMark/>
          </w:tcPr>
          <w:p w14:paraId="79722DA3" w14:textId="77777777" w:rsidR="00FE7F8B" w:rsidRDefault="00FE7F8B">
            <w:pPr>
              <w:pStyle w:val="Tabletextnoindent"/>
            </w:pPr>
            <w:r>
              <w:t>Proceeds from investments</w:t>
            </w:r>
          </w:p>
        </w:tc>
        <w:tc>
          <w:tcPr>
            <w:tcW w:w="560" w:type="pct"/>
            <w:vAlign w:val="center"/>
            <w:hideMark/>
          </w:tcPr>
          <w:p w14:paraId="2C4DC020" w14:textId="77777777" w:rsidR="00FE7F8B" w:rsidRDefault="00FE7F8B"/>
        </w:tc>
        <w:tc>
          <w:tcPr>
            <w:tcW w:w="654" w:type="pct"/>
            <w:shd w:val="clear" w:color="auto" w:fill="F2F2F2" w:themeFill="background1" w:themeFillShade="F2"/>
            <w:vAlign w:val="center"/>
            <w:hideMark/>
          </w:tcPr>
          <w:p w14:paraId="3DD0537B" w14:textId="77777777" w:rsidR="00FE7F8B" w:rsidRDefault="00FE7F8B">
            <w:pPr>
              <w:pStyle w:val="Tabletextnoindenttight"/>
              <w:jc w:val="right"/>
              <w:rPr>
                <w:szCs w:val="17"/>
                <w:lang w:eastAsia="en-US"/>
              </w:rPr>
            </w:pPr>
            <w:r>
              <w:rPr>
                <w:b/>
                <w:bCs/>
                <w:szCs w:val="17"/>
                <w:lang w:val="en-US" w:eastAsia="en-US"/>
              </w:rPr>
              <w:t>44.8</w:t>
            </w:r>
          </w:p>
        </w:tc>
        <w:tc>
          <w:tcPr>
            <w:tcW w:w="726" w:type="pct"/>
            <w:vAlign w:val="center"/>
            <w:hideMark/>
          </w:tcPr>
          <w:p w14:paraId="7C1F76F0" w14:textId="77777777" w:rsidR="00FE7F8B" w:rsidRDefault="00FE7F8B">
            <w:pPr>
              <w:pStyle w:val="Tabletextnoindenttight"/>
              <w:jc w:val="right"/>
              <w:rPr>
                <w:lang w:eastAsia="en-US"/>
              </w:rPr>
            </w:pPr>
            <w:r>
              <w:rPr>
                <w:lang w:eastAsia="en-US"/>
              </w:rPr>
              <w:t>-</w:t>
            </w:r>
          </w:p>
        </w:tc>
      </w:tr>
      <w:tr w:rsidR="00FE7F8B" w14:paraId="2DC6F2FE" w14:textId="77777777" w:rsidTr="00395EAA">
        <w:trPr>
          <w:trHeight w:hRule="exact" w:val="284"/>
        </w:trPr>
        <w:tc>
          <w:tcPr>
            <w:tcW w:w="3060" w:type="pct"/>
            <w:gridSpan w:val="2"/>
            <w:vAlign w:val="center"/>
            <w:hideMark/>
          </w:tcPr>
          <w:p w14:paraId="780DFE55" w14:textId="77777777" w:rsidR="00FE7F8B" w:rsidRDefault="00FE7F8B">
            <w:pPr>
              <w:pStyle w:val="Tabletextnoindent"/>
            </w:pPr>
            <w:r>
              <w:t>Payments for investments</w:t>
            </w:r>
          </w:p>
        </w:tc>
        <w:tc>
          <w:tcPr>
            <w:tcW w:w="560" w:type="pct"/>
            <w:vAlign w:val="center"/>
            <w:hideMark/>
          </w:tcPr>
          <w:p w14:paraId="4BE2FD29" w14:textId="77777777" w:rsidR="00FE7F8B" w:rsidRDefault="00FE7F8B"/>
        </w:tc>
        <w:tc>
          <w:tcPr>
            <w:tcW w:w="654" w:type="pct"/>
            <w:shd w:val="clear" w:color="auto" w:fill="F2F2F2" w:themeFill="background1" w:themeFillShade="F2"/>
            <w:vAlign w:val="center"/>
            <w:hideMark/>
          </w:tcPr>
          <w:p w14:paraId="5E16F884" w14:textId="77777777" w:rsidR="00FE7F8B" w:rsidRDefault="00FE7F8B">
            <w:pPr>
              <w:pStyle w:val="Tabletextnoindenttight"/>
              <w:jc w:val="right"/>
              <w:rPr>
                <w:szCs w:val="17"/>
                <w:lang w:eastAsia="en-US"/>
              </w:rPr>
            </w:pPr>
            <w:r>
              <w:rPr>
                <w:b/>
                <w:bCs/>
                <w:szCs w:val="17"/>
                <w:lang w:val="en-US" w:eastAsia="en-US"/>
              </w:rPr>
              <w:t>(58.7)</w:t>
            </w:r>
          </w:p>
        </w:tc>
        <w:tc>
          <w:tcPr>
            <w:tcW w:w="726" w:type="pct"/>
            <w:vAlign w:val="center"/>
            <w:hideMark/>
          </w:tcPr>
          <w:p w14:paraId="3248CC00" w14:textId="77777777" w:rsidR="00FE7F8B" w:rsidRDefault="00FE7F8B">
            <w:pPr>
              <w:pStyle w:val="Tabletextnoindenttight"/>
              <w:jc w:val="right"/>
              <w:rPr>
                <w:lang w:eastAsia="en-US"/>
              </w:rPr>
            </w:pPr>
            <w:r>
              <w:rPr>
                <w:lang w:eastAsia="en-US"/>
              </w:rPr>
              <w:t>-</w:t>
            </w:r>
          </w:p>
        </w:tc>
      </w:tr>
      <w:tr w:rsidR="00FE7F8B" w14:paraId="4B0B829A" w14:textId="77777777" w:rsidTr="00395EAA">
        <w:trPr>
          <w:trHeight w:hRule="exact" w:val="284"/>
        </w:trPr>
        <w:tc>
          <w:tcPr>
            <w:tcW w:w="3060" w:type="pct"/>
            <w:gridSpan w:val="2"/>
            <w:vAlign w:val="center"/>
            <w:hideMark/>
          </w:tcPr>
          <w:p w14:paraId="4464CFB1" w14:textId="77777777" w:rsidR="00FE7F8B" w:rsidRDefault="00FE7F8B">
            <w:pPr>
              <w:pStyle w:val="Tabletextnoindent"/>
            </w:pPr>
            <w:r>
              <w:t>Sales of plant and equipment</w:t>
            </w:r>
          </w:p>
        </w:tc>
        <w:tc>
          <w:tcPr>
            <w:tcW w:w="560" w:type="pct"/>
            <w:vAlign w:val="center"/>
          </w:tcPr>
          <w:p w14:paraId="6A8095D6" w14:textId="77777777" w:rsidR="00FE7F8B" w:rsidRDefault="00FE7F8B">
            <w:pPr>
              <w:pStyle w:val="Tabletextnoindenttight"/>
              <w:jc w:val="center"/>
              <w:rPr>
                <w:lang w:eastAsia="en-US"/>
              </w:rPr>
            </w:pPr>
          </w:p>
        </w:tc>
        <w:tc>
          <w:tcPr>
            <w:tcW w:w="654" w:type="pct"/>
            <w:shd w:val="clear" w:color="auto" w:fill="F2F2F2" w:themeFill="background1" w:themeFillShade="F2"/>
            <w:vAlign w:val="center"/>
            <w:hideMark/>
          </w:tcPr>
          <w:p w14:paraId="62011918" w14:textId="77777777" w:rsidR="00FE7F8B" w:rsidRDefault="00FE7F8B">
            <w:pPr>
              <w:pStyle w:val="Tabletextnoindenttight"/>
              <w:jc w:val="right"/>
              <w:rPr>
                <w:szCs w:val="17"/>
                <w:lang w:eastAsia="en-US"/>
              </w:rPr>
            </w:pPr>
            <w:r>
              <w:rPr>
                <w:b/>
                <w:bCs/>
                <w:szCs w:val="17"/>
                <w:lang w:val="en-US" w:eastAsia="en-US"/>
              </w:rPr>
              <w:t>3.4</w:t>
            </w:r>
          </w:p>
        </w:tc>
        <w:tc>
          <w:tcPr>
            <w:tcW w:w="726" w:type="pct"/>
            <w:vAlign w:val="center"/>
            <w:hideMark/>
          </w:tcPr>
          <w:p w14:paraId="5F2C8C34" w14:textId="77777777" w:rsidR="00FE7F8B" w:rsidRDefault="00FE7F8B">
            <w:pPr>
              <w:pStyle w:val="Tabletextnoindenttight"/>
              <w:jc w:val="right"/>
              <w:rPr>
                <w:lang w:eastAsia="en-US"/>
              </w:rPr>
            </w:pPr>
            <w:r>
              <w:rPr>
                <w:lang w:eastAsia="en-US"/>
              </w:rPr>
              <w:t>1.6</w:t>
            </w:r>
          </w:p>
        </w:tc>
      </w:tr>
      <w:tr w:rsidR="00FE7F8B" w14:paraId="55A1FEC9" w14:textId="77777777" w:rsidTr="00395EAA">
        <w:trPr>
          <w:trHeight w:hRule="exact" w:val="284"/>
        </w:trPr>
        <w:tc>
          <w:tcPr>
            <w:tcW w:w="3060" w:type="pct"/>
            <w:gridSpan w:val="2"/>
            <w:vAlign w:val="center"/>
            <w:hideMark/>
          </w:tcPr>
          <w:p w14:paraId="139E3460" w14:textId="77777777" w:rsidR="00FE7F8B" w:rsidRDefault="00FE7F8B">
            <w:pPr>
              <w:pStyle w:val="Tabletextnoindent"/>
            </w:pPr>
            <w:r>
              <w:t>Proceeds from Loan and advances</w:t>
            </w:r>
          </w:p>
        </w:tc>
        <w:tc>
          <w:tcPr>
            <w:tcW w:w="560" w:type="pct"/>
            <w:vAlign w:val="center"/>
          </w:tcPr>
          <w:p w14:paraId="374C05F7" w14:textId="77777777" w:rsidR="00FE7F8B" w:rsidRDefault="00FE7F8B">
            <w:pPr>
              <w:pStyle w:val="Tabletextnoindenttight"/>
              <w:jc w:val="center"/>
              <w:rPr>
                <w:lang w:eastAsia="en-US"/>
              </w:rPr>
            </w:pPr>
          </w:p>
        </w:tc>
        <w:tc>
          <w:tcPr>
            <w:tcW w:w="654" w:type="pct"/>
            <w:shd w:val="clear" w:color="auto" w:fill="F2F2F2" w:themeFill="background1" w:themeFillShade="F2"/>
            <w:vAlign w:val="center"/>
            <w:hideMark/>
          </w:tcPr>
          <w:p w14:paraId="7A8DAC52" w14:textId="77777777" w:rsidR="00FE7F8B" w:rsidRDefault="00FE7F8B">
            <w:pPr>
              <w:pStyle w:val="Tabletextnoindenttight"/>
              <w:jc w:val="right"/>
              <w:rPr>
                <w:szCs w:val="17"/>
                <w:lang w:eastAsia="en-US"/>
              </w:rPr>
            </w:pPr>
            <w:r>
              <w:rPr>
                <w:b/>
                <w:bCs/>
                <w:szCs w:val="17"/>
                <w:lang w:val="en-US" w:eastAsia="en-US"/>
              </w:rPr>
              <w:t>3.6</w:t>
            </w:r>
          </w:p>
        </w:tc>
        <w:tc>
          <w:tcPr>
            <w:tcW w:w="726" w:type="pct"/>
            <w:vAlign w:val="center"/>
            <w:hideMark/>
          </w:tcPr>
          <w:p w14:paraId="2818AC98" w14:textId="77777777" w:rsidR="00FE7F8B" w:rsidRDefault="00FE7F8B">
            <w:pPr>
              <w:pStyle w:val="Tabletextnoindenttight"/>
              <w:jc w:val="right"/>
              <w:rPr>
                <w:lang w:eastAsia="en-US"/>
              </w:rPr>
            </w:pPr>
            <w:r>
              <w:rPr>
                <w:lang w:eastAsia="en-US"/>
              </w:rPr>
              <w:t>5.9</w:t>
            </w:r>
          </w:p>
        </w:tc>
      </w:tr>
      <w:tr w:rsidR="00FE7F8B" w14:paraId="7F9849B0" w14:textId="77777777" w:rsidTr="00395EAA">
        <w:trPr>
          <w:trHeight w:hRule="exact" w:val="284"/>
        </w:trPr>
        <w:tc>
          <w:tcPr>
            <w:tcW w:w="3060" w:type="pct"/>
            <w:gridSpan w:val="2"/>
            <w:vAlign w:val="center"/>
            <w:hideMark/>
          </w:tcPr>
          <w:p w14:paraId="42B84E5E" w14:textId="77777777" w:rsidR="00FE7F8B" w:rsidRDefault="00FE7F8B">
            <w:pPr>
              <w:pStyle w:val="Tabletextnoindent"/>
            </w:pPr>
            <w:r>
              <w:t xml:space="preserve">Payment of Loan and advances </w:t>
            </w:r>
          </w:p>
        </w:tc>
        <w:tc>
          <w:tcPr>
            <w:tcW w:w="560" w:type="pct"/>
            <w:vAlign w:val="center"/>
          </w:tcPr>
          <w:p w14:paraId="33A354D3" w14:textId="77777777" w:rsidR="00FE7F8B" w:rsidRDefault="00FE7F8B">
            <w:pPr>
              <w:pStyle w:val="Tabletextnoindenttight"/>
              <w:jc w:val="center"/>
              <w:rPr>
                <w:lang w:eastAsia="en-US"/>
              </w:rPr>
            </w:pPr>
          </w:p>
        </w:tc>
        <w:tc>
          <w:tcPr>
            <w:tcW w:w="654" w:type="pct"/>
            <w:shd w:val="clear" w:color="auto" w:fill="F2F2F2" w:themeFill="background1" w:themeFillShade="F2"/>
            <w:vAlign w:val="center"/>
            <w:hideMark/>
          </w:tcPr>
          <w:p w14:paraId="1BF9F2FA" w14:textId="77777777" w:rsidR="00FE7F8B" w:rsidRDefault="00FE7F8B">
            <w:pPr>
              <w:pStyle w:val="Tabletextnoindenttight"/>
              <w:jc w:val="right"/>
              <w:rPr>
                <w:szCs w:val="17"/>
                <w:lang w:eastAsia="en-US"/>
              </w:rPr>
            </w:pPr>
            <w:r>
              <w:rPr>
                <w:b/>
                <w:bCs/>
                <w:szCs w:val="17"/>
                <w:lang w:val="en-US" w:eastAsia="en-US"/>
              </w:rPr>
              <w:t>(21.8)</w:t>
            </w:r>
          </w:p>
        </w:tc>
        <w:tc>
          <w:tcPr>
            <w:tcW w:w="726" w:type="pct"/>
            <w:vAlign w:val="center"/>
            <w:hideMark/>
          </w:tcPr>
          <w:p w14:paraId="5EEB2FDE" w14:textId="77777777" w:rsidR="00FE7F8B" w:rsidRDefault="00FE7F8B">
            <w:pPr>
              <w:pStyle w:val="Tabletextnoindenttight"/>
              <w:jc w:val="right"/>
              <w:rPr>
                <w:lang w:eastAsia="en-US"/>
              </w:rPr>
            </w:pPr>
            <w:r>
              <w:rPr>
                <w:lang w:eastAsia="en-US"/>
              </w:rPr>
              <w:t>(34.1)</w:t>
            </w:r>
          </w:p>
        </w:tc>
      </w:tr>
      <w:tr w:rsidR="00FE7F8B" w14:paraId="7DE24CB5" w14:textId="77777777" w:rsidTr="00395EAA">
        <w:trPr>
          <w:trHeight w:hRule="exact" w:val="284"/>
        </w:trPr>
        <w:tc>
          <w:tcPr>
            <w:tcW w:w="3060" w:type="pct"/>
            <w:gridSpan w:val="2"/>
            <w:tcBorders>
              <w:top w:val="nil"/>
              <w:left w:val="nil"/>
              <w:bottom w:val="single" w:sz="4" w:space="0" w:color="auto"/>
              <w:right w:val="nil"/>
            </w:tcBorders>
            <w:vAlign w:val="center"/>
            <w:hideMark/>
          </w:tcPr>
          <w:p w14:paraId="104FD050" w14:textId="77777777" w:rsidR="00FE7F8B" w:rsidRDefault="00FE7F8B">
            <w:pPr>
              <w:pStyle w:val="Tabletextnoindent"/>
            </w:pPr>
            <w:r>
              <w:t>Other adjustments</w:t>
            </w:r>
            <w:r>
              <w:rPr>
                <w:rStyle w:val="FootnoteReference"/>
              </w:rPr>
              <w:footnoteReference w:id="3"/>
            </w:r>
          </w:p>
        </w:tc>
        <w:tc>
          <w:tcPr>
            <w:tcW w:w="560" w:type="pct"/>
            <w:tcBorders>
              <w:top w:val="nil"/>
              <w:left w:val="nil"/>
              <w:bottom w:val="single" w:sz="4" w:space="0" w:color="auto"/>
              <w:right w:val="nil"/>
            </w:tcBorders>
            <w:vAlign w:val="center"/>
          </w:tcPr>
          <w:p w14:paraId="60F74BC7" w14:textId="77777777" w:rsidR="00FE7F8B" w:rsidRDefault="00FE7F8B">
            <w:pPr>
              <w:pStyle w:val="Tabletextnoindenttight"/>
              <w:jc w:val="center"/>
              <w:rPr>
                <w:lang w:eastAsia="en-US"/>
              </w:rPr>
            </w:pPr>
          </w:p>
        </w:tc>
        <w:tc>
          <w:tcPr>
            <w:tcW w:w="654" w:type="pct"/>
            <w:tcBorders>
              <w:top w:val="nil"/>
              <w:left w:val="nil"/>
              <w:bottom w:val="single" w:sz="4" w:space="0" w:color="auto"/>
              <w:right w:val="nil"/>
            </w:tcBorders>
            <w:shd w:val="clear" w:color="auto" w:fill="F2F2F2" w:themeFill="background1" w:themeFillShade="F2"/>
            <w:vAlign w:val="center"/>
            <w:hideMark/>
          </w:tcPr>
          <w:p w14:paraId="0A22EC69" w14:textId="77777777" w:rsidR="00FE7F8B" w:rsidRDefault="00FE7F8B">
            <w:pPr>
              <w:pStyle w:val="Tabletextnoindenttight"/>
              <w:jc w:val="right"/>
              <w:rPr>
                <w:b/>
                <w:szCs w:val="17"/>
                <w:lang w:eastAsia="en-US"/>
              </w:rPr>
            </w:pPr>
            <w:r>
              <w:rPr>
                <w:b/>
                <w:bCs/>
                <w:szCs w:val="17"/>
                <w:lang w:val="en-US" w:eastAsia="en-US"/>
              </w:rPr>
              <w:t>(143.8)</w:t>
            </w:r>
          </w:p>
        </w:tc>
        <w:tc>
          <w:tcPr>
            <w:tcW w:w="726" w:type="pct"/>
            <w:tcBorders>
              <w:top w:val="nil"/>
              <w:left w:val="nil"/>
              <w:bottom w:val="single" w:sz="4" w:space="0" w:color="auto"/>
              <w:right w:val="nil"/>
            </w:tcBorders>
            <w:vAlign w:val="center"/>
            <w:hideMark/>
          </w:tcPr>
          <w:p w14:paraId="78D426D2" w14:textId="77777777" w:rsidR="00FE7F8B" w:rsidRDefault="00FE7F8B">
            <w:pPr>
              <w:pStyle w:val="Tabletextnoindenttight"/>
              <w:jc w:val="right"/>
              <w:rPr>
                <w:lang w:eastAsia="en-US"/>
              </w:rPr>
            </w:pPr>
            <w:r>
              <w:rPr>
                <w:lang w:eastAsia="en-US"/>
              </w:rPr>
              <w:t>-</w:t>
            </w:r>
          </w:p>
        </w:tc>
      </w:tr>
      <w:tr w:rsidR="00FE7F8B" w14:paraId="733BD9B8" w14:textId="77777777" w:rsidTr="00395EAA">
        <w:trPr>
          <w:trHeight w:hRule="exact" w:val="284"/>
        </w:trPr>
        <w:tc>
          <w:tcPr>
            <w:tcW w:w="3060" w:type="pct"/>
            <w:gridSpan w:val="2"/>
            <w:tcBorders>
              <w:top w:val="single" w:sz="4" w:space="0" w:color="auto"/>
              <w:left w:val="nil"/>
              <w:bottom w:val="single" w:sz="4" w:space="0" w:color="auto"/>
              <w:right w:val="nil"/>
            </w:tcBorders>
            <w:vAlign w:val="center"/>
            <w:hideMark/>
          </w:tcPr>
          <w:p w14:paraId="6DA5B6DC" w14:textId="77777777" w:rsidR="00FE7F8B" w:rsidRDefault="00FE7F8B">
            <w:pPr>
              <w:pStyle w:val="Tabletextnoindent"/>
              <w:rPr>
                <w:b/>
              </w:rPr>
            </w:pPr>
            <w:r>
              <w:rPr>
                <w:b/>
              </w:rPr>
              <w:t>Net cash flows from/(used in) investing activities</w:t>
            </w:r>
          </w:p>
        </w:tc>
        <w:tc>
          <w:tcPr>
            <w:tcW w:w="560" w:type="pct"/>
            <w:tcBorders>
              <w:top w:val="single" w:sz="4" w:space="0" w:color="auto"/>
              <w:left w:val="nil"/>
              <w:bottom w:val="single" w:sz="4" w:space="0" w:color="auto"/>
              <w:right w:val="nil"/>
            </w:tcBorders>
            <w:vAlign w:val="center"/>
            <w:hideMark/>
          </w:tcPr>
          <w:p w14:paraId="0965008C" w14:textId="77777777" w:rsidR="00FE7F8B" w:rsidRDefault="00FE7F8B">
            <w:pPr>
              <w:rPr>
                <w:b/>
              </w:rPr>
            </w:pPr>
          </w:p>
        </w:tc>
        <w:tc>
          <w:tcPr>
            <w:tcW w:w="654" w:type="pct"/>
            <w:tcBorders>
              <w:top w:val="single" w:sz="4" w:space="0" w:color="auto"/>
              <w:left w:val="nil"/>
              <w:bottom w:val="single" w:sz="4" w:space="0" w:color="auto"/>
              <w:right w:val="nil"/>
            </w:tcBorders>
            <w:shd w:val="clear" w:color="auto" w:fill="F2F2F2" w:themeFill="background1" w:themeFillShade="F2"/>
            <w:vAlign w:val="center"/>
            <w:hideMark/>
          </w:tcPr>
          <w:p w14:paraId="02D2C09F" w14:textId="77777777" w:rsidR="00FE7F8B" w:rsidRDefault="00FE7F8B">
            <w:pPr>
              <w:pStyle w:val="Tabletextnoindenttight"/>
              <w:jc w:val="right"/>
              <w:rPr>
                <w:b/>
                <w:lang w:eastAsia="en-US"/>
              </w:rPr>
            </w:pPr>
            <w:r>
              <w:rPr>
                <w:b/>
                <w:lang w:eastAsia="en-US"/>
              </w:rPr>
              <w:t>(460.5)</w:t>
            </w:r>
          </w:p>
        </w:tc>
        <w:tc>
          <w:tcPr>
            <w:tcW w:w="726" w:type="pct"/>
            <w:tcBorders>
              <w:top w:val="single" w:sz="4" w:space="0" w:color="auto"/>
              <w:left w:val="nil"/>
              <w:bottom w:val="single" w:sz="4" w:space="0" w:color="auto"/>
              <w:right w:val="nil"/>
            </w:tcBorders>
            <w:vAlign w:val="center"/>
            <w:hideMark/>
          </w:tcPr>
          <w:p w14:paraId="6A344B5B" w14:textId="77777777" w:rsidR="00FE7F8B" w:rsidRDefault="00FE7F8B">
            <w:pPr>
              <w:pStyle w:val="Tabletextnoindenttight"/>
              <w:jc w:val="right"/>
              <w:rPr>
                <w:lang w:eastAsia="en-US"/>
              </w:rPr>
            </w:pPr>
            <w:r>
              <w:rPr>
                <w:lang w:eastAsia="en-US"/>
              </w:rPr>
              <w:t>(343.5)</w:t>
            </w:r>
          </w:p>
        </w:tc>
      </w:tr>
      <w:tr w:rsidR="00FE7F8B" w14:paraId="0B246C30" w14:textId="77777777" w:rsidTr="00395EAA">
        <w:trPr>
          <w:trHeight w:hRule="exact" w:val="284"/>
        </w:trPr>
        <w:tc>
          <w:tcPr>
            <w:tcW w:w="3060" w:type="pct"/>
            <w:gridSpan w:val="2"/>
            <w:tcBorders>
              <w:top w:val="single" w:sz="4" w:space="0" w:color="auto"/>
              <w:left w:val="nil"/>
              <w:right w:val="nil"/>
            </w:tcBorders>
            <w:vAlign w:val="center"/>
            <w:hideMark/>
          </w:tcPr>
          <w:p w14:paraId="5A1C5BC2" w14:textId="77777777" w:rsidR="00FE7F8B" w:rsidRDefault="00FE7F8B">
            <w:pPr>
              <w:pStyle w:val="Tabletextnoindent"/>
              <w:rPr>
                <w:b/>
              </w:rPr>
            </w:pPr>
            <w:r>
              <w:rPr>
                <w:b/>
              </w:rPr>
              <w:t>Cash flows from financing activities</w:t>
            </w:r>
          </w:p>
        </w:tc>
        <w:tc>
          <w:tcPr>
            <w:tcW w:w="560" w:type="pct"/>
            <w:tcBorders>
              <w:top w:val="single" w:sz="4" w:space="0" w:color="auto"/>
              <w:left w:val="nil"/>
              <w:right w:val="nil"/>
            </w:tcBorders>
            <w:vAlign w:val="center"/>
            <w:hideMark/>
          </w:tcPr>
          <w:p w14:paraId="0CF8FB52" w14:textId="77777777" w:rsidR="00FE7F8B" w:rsidRDefault="00FE7F8B">
            <w:pPr>
              <w:rPr>
                <w:b/>
              </w:rPr>
            </w:pPr>
          </w:p>
        </w:tc>
        <w:tc>
          <w:tcPr>
            <w:tcW w:w="654" w:type="pct"/>
            <w:tcBorders>
              <w:top w:val="single" w:sz="4" w:space="0" w:color="auto"/>
              <w:left w:val="nil"/>
              <w:right w:val="nil"/>
            </w:tcBorders>
            <w:shd w:val="clear" w:color="auto" w:fill="F2F2F2" w:themeFill="background1" w:themeFillShade="F2"/>
            <w:vAlign w:val="center"/>
            <w:hideMark/>
          </w:tcPr>
          <w:p w14:paraId="46CE2419"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726" w:type="pct"/>
            <w:tcBorders>
              <w:top w:val="single" w:sz="4" w:space="0" w:color="auto"/>
              <w:left w:val="nil"/>
              <w:right w:val="nil"/>
            </w:tcBorders>
            <w:vAlign w:val="center"/>
            <w:hideMark/>
          </w:tcPr>
          <w:p w14:paraId="6D4BAC78"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58D62A5D" w14:textId="77777777" w:rsidTr="00395EAA">
        <w:trPr>
          <w:trHeight w:hRule="exact" w:val="284"/>
        </w:trPr>
        <w:tc>
          <w:tcPr>
            <w:tcW w:w="3060" w:type="pct"/>
            <w:gridSpan w:val="2"/>
            <w:tcBorders>
              <w:top w:val="nil"/>
              <w:left w:val="nil"/>
              <w:right w:val="nil"/>
            </w:tcBorders>
            <w:vAlign w:val="center"/>
            <w:hideMark/>
          </w:tcPr>
          <w:p w14:paraId="593E8E58" w14:textId="331C4C17" w:rsidR="00864166" w:rsidRDefault="00FE7F8B">
            <w:pPr>
              <w:pStyle w:val="Tabletextnoindent"/>
            </w:pPr>
            <w:r>
              <w:t>Owner contributions received from State</w:t>
            </w:r>
            <w:r w:rsidR="00395EAA">
              <w:t xml:space="preserve"> Government </w:t>
            </w:r>
            <w:proofErr w:type="spellStart"/>
            <w:r w:rsidR="00395EAA">
              <w:t>Government</w:t>
            </w:r>
            <w:proofErr w:type="spellEnd"/>
            <w:r>
              <w:t xml:space="preserve"> </w:t>
            </w:r>
            <w:proofErr w:type="spellStart"/>
            <w:r w:rsidR="00395EAA">
              <w:t>GGovernmen</w:t>
            </w:r>
            <w:r w:rsidR="00864166">
              <w:t>Gover</w:t>
            </w:r>
            <w:r w:rsidR="00395EAA">
              <w:t>n</w:t>
            </w:r>
            <w:r w:rsidR="00864166">
              <w:t>ment</w:t>
            </w:r>
            <w:proofErr w:type="spellEnd"/>
          </w:p>
          <w:p w14:paraId="0F5712D4" w14:textId="4FE79CF6" w:rsidR="00FE7F8B" w:rsidRDefault="00864166">
            <w:pPr>
              <w:pStyle w:val="Tabletextnoindent"/>
            </w:pPr>
            <w:proofErr w:type="spellStart"/>
            <w:r>
              <w:t>GGovernment</w:t>
            </w:r>
            <w:r w:rsidR="00A45B59">
              <w:t>Government</w:t>
            </w:r>
            <w:r w:rsidR="00FE7F8B">
              <w:t>Government</w:t>
            </w:r>
            <w:proofErr w:type="spellEnd"/>
          </w:p>
        </w:tc>
        <w:tc>
          <w:tcPr>
            <w:tcW w:w="560" w:type="pct"/>
            <w:tcBorders>
              <w:top w:val="nil"/>
              <w:left w:val="nil"/>
              <w:right w:val="nil"/>
            </w:tcBorders>
            <w:vAlign w:val="center"/>
            <w:hideMark/>
          </w:tcPr>
          <w:p w14:paraId="1A7A1AFF" w14:textId="77777777" w:rsidR="00FE7F8B" w:rsidRDefault="00FE7F8B"/>
        </w:tc>
        <w:tc>
          <w:tcPr>
            <w:tcW w:w="654" w:type="pct"/>
            <w:tcBorders>
              <w:top w:val="nil"/>
              <w:left w:val="nil"/>
              <w:right w:val="nil"/>
            </w:tcBorders>
            <w:shd w:val="clear" w:color="auto" w:fill="F2F2F2" w:themeFill="background1" w:themeFillShade="F2"/>
            <w:vAlign w:val="center"/>
            <w:hideMark/>
          </w:tcPr>
          <w:p w14:paraId="596A6328" w14:textId="77777777" w:rsidR="00FE7F8B" w:rsidRDefault="00FE7F8B">
            <w:pPr>
              <w:pStyle w:val="Tabletextnoindenttight"/>
              <w:jc w:val="right"/>
              <w:rPr>
                <w:lang w:eastAsia="en-US"/>
              </w:rPr>
            </w:pPr>
            <w:r>
              <w:rPr>
                <w:b/>
                <w:lang w:eastAsia="en-US"/>
              </w:rPr>
              <w:t>3.5</w:t>
            </w:r>
          </w:p>
        </w:tc>
        <w:tc>
          <w:tcPr>
            <w:tcW w:w="726" w:type="pct"/>
            <w:tcBorders>
              <w:top w:val="nil"/>
              <w:left w:val="nil"/>
              <w:right w:val="nil"/>
            </w:tcBorders>
            <w:vAlign w:val="center"/>
            <w:hideMark/>
          </w:tcPr>
          <w:p w14:paraId="616ACA0C" w14:textId="77777777" w:rsidR="00FE7F8B" w:rsidRDefault="00FE7F8B">
            <w:pPr>
              <w:pStyle w:val="Tabletextnoindenttight"/>
              <w:jc w:val="right"/>
              <w:rPr>
                <w:lang w:eastAsia="en-US"/>
              </w:rPr>
            </w:pPr>
            <w:r>
              <w:rPr>
                <w:lang w:eastAsia="en-US"/>
              </w:rPr>
              <w:t>155.8</w:t>
            </w:r>
          </w:p>
        </w:tc>
      </w:tr>
      <w:tr w:rsidR="00FE7F8B" w14:paraId="45582D8E" w14:textId="77777777" w:rsidTr="00395EAA">
        <w:trPr>
          <w:trHeight w:hRule="exact" w:val="284"/>
        </w:trPr>
        <w:tc>
          <w:tcPr>
            <w:tcW w:w="3060" w:type="pct"/>
            <w:gridSpan w:val="2"/>
            <w:tcBorders>
              <w:left w:val="nil"/>
              <w:bottom w:val="nil"/>
              <w:right w:val="nil"/>
            </w:tcBorders>
            <w:vAlign w:val="center"/>
            <w:hideMark/>
          </w:tcPr>
          <w:p w14:paraId="2B24233A" w14:textId="77777777" w:rsidR="00FE7F8B" w:rsidRDefault="00FE7F8B">
            <w:pPr>
              <w:pStyle w:val="Tabletextnoindent"/>
            </w:pPr>
            <w:r>
              <w:t>Proceeds from borrowings</w:t>
            </w:r>
          </w:p>
        </w:tc>
        <w:tc>
          <w:tcPr>
            <w:tcW w:w="560" w:type="pct"/>
            <w:tcBorders>
              <w:left w:val="nil"/>
              <w:bottom w:val="nil"/>
              <w:right w:val="nil"/>
            </w:tcBorders>
            <w:vAlign w:val="center"/>
            <w:hideMark/>
          </w:tcPr>
          <w:p w14:paraId="24684210" w14:textId="77777777" w:rsidR="00FE7F8B" w:rsidRDefault="00FE7F8B"/>
        </w:tc>
        <w:tc>
          <w:tcPr>
            <w:tcW w:w="654" w:type="pct"/>
            <w:tcBorders>
              <w:left w:val="nil"/>
              <w:bottom w:val="nil"/>
              <w:right w:val="nil"/>
            </w:tcBorders>
            <w:shd w:val="clear" w:color="auto" w:fill="F2F2F2" w:themeFill="background1" w:themeFillShade="F2"/>
            <w:vAlign w:val="center"/>
            <w:hideMark/>
          </w:tcPr>
          <w:p w14:paraId="4EBB190F" w14:textId="77777777" w:rsidR="00FE7F8B" w:rsidRDefault="00FE7F8B">
            <w:pPr>
              <w:pStyle w:val="Tabletextnoindenttight"/>
              <w:jc w:val="right"/>
              <w:rPr>
                <w:lang w:eastAsia="en-US"/>
              </w:rPr>
            </w:pPr>
            <w:r>
              <w:rPr>
                <w:b/>
                <w:lang w:eastAsia="en-US"/>
              </w:rPr>
              <w:t>0.5</w:t>
            </w:r>
          </w:p>
        </w:tc>
        <w:tc>
          <w:tcPr>
            <w:tcW w:w="726" w:type="pct"/>
            <w:tcBorders>
              <w:left w:val="nil"/>
              <w:bottom w:val="nil"/>
              <w:right w:val="nil"/>
            </w:tcBorders>
            <w:vAlign w:val="center"/>
            <w:hideMark/>
          </w:tcPr>
          <w:p w14:paraId="7ABD2598" w14:textId="77777777" w:rsidR="00FE7F8B" w:rsidRDefault="00FE7F8B">
            <w:pPr>
              <w:pStyle w:val="Tabletextnoindenttight"/>
              <w:jc w:val="right"/>
              <w:rPr>
                <w:lang w:eastAsia="en-US"/>
              </w:rPr>
            </w:pPr>
            <w:r>
              <w:rPr>
                <w:lang w:eastAsia="en-US"/>
              </w:rPr>
              <w:t>11.2</w:t>
            </w:r>
          </w:p>
        </w:tc>
      </w:tr>
      <w:tr w:rsidR="00FE7F8B" w14:paraId="2A354A4B" w14:textId="77777777" w:rsidTr="00395EAA">
        <w:trPr>
          <w:trHeight w:hRule="exact" w:val="284"/>
        </w:trPr>
        <w:tc>
          <w:tcPr>
            <w:tcW w:w="3060" w:type="pct"/>
            <w:gridSpan w:val="2"/>
            <w:tcBorders>
              <w:top w:val="nil"/>
              <w:left w:val="nil"/>
              <w:bottom w:val="single" w:sz="6" w:space="0" w:color="auto"/>
              <w:right w:val="nil"/>
            </w:tcBorders>
            <w:vAlign w:val="center"/>
            <w:hideMark/>
          </w:tcPr>
          <w:p w14:paraId="62D88BCE" w14:textId="77777777" w:rsidR="00FE7F8B" w:rsidRDefault="00FE7F8B">
            <w:pPr>
              <w:pStyle w:val="Tabletextnoindent"/>
            </w:pPr>
            <w:r>
              <w:t>Repayment of borrowings and finance leases</w:t>
            </w:r>
          </w:p>
        </w:tc>
        <w:tc>
          <w:tcPr>
            <w:tcW w:w="560" w:type="pct"/>
            <w:tcBorders>
              <w:top w:val="nil"/>
              <w:left w:val="nil"/>
              <w:bottom w:val="single" w:sz="6" w:space="0" w:color="auto"/>
              <w:right w:val="nil"/>
            </w:tcBorders>
            <w:vAlign w:val="center"/>
            <w:hideMark/>
          </w:tcPr>
          <w:p w14:paraId="28785B45" w14:textId="77777777" w:rsidR="00FE7F8B" w:rsidRDefault="00FE7F8B"/>
        </w:tc>
        <w:tc>
          <w:tcPr>
            <w:tcW w:w="654" w:type="pct"/>
            <w:tcBorders>
              <w:top w:val="nil"/>
              <w:left w:val="nil"/>
              <w:bottom w:val="single" w:sz="6" w:space="0" w:color="auto"/>
              <w:right w:val="nil"/>
            </w:tcBorders>
            <w:shd w:val="clear" w:color="auto" w:fill="F2F2F2" w:themeFill="background1" w:themeFillShade="F2"/>
            <w:vAlign w:val="center"/>
            <w:hideMark/>
          </w:tcPr>
          <w:p w14:paraId="2C521C17" w14:textId="77777777" w:rsidR="00FE7F8B" w:rsidRDefault="00FE7F8B">
            <w:pPr>
              <w:pStyle w:val="Tabletextnoindenttight"/>
              <w:jc w:val="right"/>
              <w:rPr>
                <w:lang w:eastAsia="en-US"/>
              </w:rPr>
            </w:pPr>
            <w:r>
              <w:rPr>
                <w:b/>
                <w:lang w:eastAsia="en-US"/>
              </w:rPr>
              <w:t>(10.9)</w:t>
            </w:r>
          </w:p>
        </w:tc>
        <w:tc>
          <w:tcPr>
            <w:tcW w:w="726" w:type="pct"/>
            <w:tcBorders>
              <w:top w:val="nil"/>
              <w:left w:val="nil"/>
              <w:bottom w:val="single" w:sz="6" w:space="0" w:color="auto"/>
              <w:right w:val="nil"/>
            </w:tcBorders>
            <w:vAlign w:val="center"/>
            <w:hideMark/>
          </w:tcPr>
          <w:p w14:paraId="650C76C5" w14:textId="77777777" w:rsidR="00FE7F8B" w:rsidRDefault="00FE7F8B">
            <w:pPr>
              <w:pStyle w:val="Tabletextnoindenttight"/>
              <w:jc w:val="right"/>
              <w:rPr>
                <w:lang w:eastAsia="en-US"/>
              </w:rPr>
            </w:pPr>
            <w:r>
              <w:rPr>
                <w:lang w:eastAsia="en-US"/>
              </w:rPr>
              <w:t>(14.4)</w:t>
            </w:r>
          </w:p>
        </w:tc>
      </w:tr>
      <w:tr w:rsidR="00FE7F8B" w14:paraId="53232245" w14:textId="77777777" w:rsidTr="00395EAA">
        <w:trPr>
          <w:trHeight w:hRule="exact" w:val="284"/>
        </w:trPr>
        <w:tc>
          <w:tcPr>
            <w:tcW w:w="3060" w:type="pct"/>
            <w:gridSpan w:val="2"/>
            <w:tcBorders>
              <w:top w:val="single" w:sz="6" w:space="0" w:color="auto"/>
              <w:left w:val="nil"/>
              <w:bottom w:val="single" w:sz="6" w:space="0" w:color="auto"/>
              <w:right w:val="nil"/>
            </w:tcBorders>
            <w:vAlign w:val="center"/>
            <w:hideMark/>
          </w:tcPr>
          <w:p w14:paraId="596FFA35" w14:textId="77777777" w:rsidR="00FE7F8B" w:rsidRDefault="00FE7F8B">
            <w:pPr>
              <w:pStyle w:val="Tabletextnoindent"/>
              <w:rPr>
                <w:b/>
              </w:rPr>
            </w:pPr>
            <w:r>
              <w:rPr>
                <w:b/>
              </w:rPr>
              <w:t>Net cash flows from/(used in) financing activities</w:t>
            </w:r>
          </w:p>
        </w:tc>
        <w:tc>
          <w:tcPr>
            <w:tcW w:w="560" w:type="pct"/>
            <w:tcBorders>
              <w:top w:val="single" w:sz="6" w:space="0" w:color="auto"/>
              <w:left w:val="nil"/>
              <w:bottom w:val="single" w:sz="6" w:space="0" w:color="auto"/>
              <w:right w:val="nil"/>
            </w:tcBorders>
            <w:vAlign w:val="center"/>
            <w:hideMark/>
          </w:tcPr>
          <w:p w14:paraId="37DEB0BA" w14:textId="77777777" w:rsidR="00FE7F8B" w:rsidRDefault="00FE7F8B">
            <w:pPr>
              <w:rPr>
                <w:b/>
              </w:rPr>
            </w:pPr>
          </w:p>
        </w:tc>
        <w:tc>
          <w:tcPr>
            <w:tcW w:w="654" w:type="pct"/>
            <w:tcBorders>
              <w:top w:val="single" w:sz="6" w:space="0" w:color="auto"/>
              <w:left w:val="nil"/>
              <w:bottom w:val="single" w:sz="6" w:space="0" w:color="auto"/>
              <w:right w:val="nil"/>
            </w:tcBorders>
            <w:shd w:val="clear" w:color="auto" w:fill="F2F2F2" w:themeFill="background1" w:themeFillShade="F2"/>
            <w:vAlign w:val="center"/>
            <w:hideMark/>
          </w:tcPr>
          <w:p w14:paraId="752E9181" w14:textId="77777777" w:rsidR="00FE7F8B" w:rsidRDefault="00FE7F8B">
            <w:pPr>
              <w:pStyle w:val="Tablerowheading"/>
              <w:jc w:val="right"/>
            </w:pPr>
            <w:r>
              <w:t>(6.9)</w:t>
            </w:r>
          </w:p>
        </w:tc>
        <w:tc>
          <w:tcPr>
            <w:tcW w:w="726" w:type="pct"/>
            <w:tcBorders>
              <w:top w:val="single" w:sz="6" w:space="0" w:color="auto"/>
              <w:left w:val="nil"/>
              <w:bottom w:val="single" w:sz="6" w:space="0" w:color="auto"/>
              <w:right w:val="nil"/>
            </w:tcBorders>
            <w:vAlign w:val="center"/>
            <w:hideMark/>
          </w:tcPr>
          <w:p w14:paraId="1690FC13" w14:textId="77777777" w:rsidR="00FE7F8B" w:rsidRDefault="00FE7F8B">
            <w:pPr>
              <w:pStyle w:val="Tablerowheading"/>
              <w:jc w:val="right"/>
              <w:rPr>
                <w:b w:val="0"/>
              </w:rPr>
            </w:pPr>
            <w:r>
              <w:rPr>
                <w:b w:val="0"/>
              </w:rPr>
              <w:t>152.7</w:t>
            </w:r>
          </w:p>
        </w:tc>
      </w:tr>
      <w:tr w:rsidR="00FE7F8B" w14:paraId="22694275" w14:textId="77777777" w:rsidTr="00395EAA">
        <w:trPr>
          <w:trHeight w:hRule="exact" w:val="284"/>
        </w:trPr>
        <w:tc>
          <w:tcPr>
            <w:tcW w:w="3060" w:type="pct"/>
            <w:gridSpan w:val="2"/>
            <w:tcBorders>
              <w:top w:val="single" w:sz="6" w:space="0" w:color="auto"/>
              <w:left w:val="nil"/>
              <w:bottom w:val="nil"/>
              <w:right w:val="nil"/>
            </w:tcBorders>
            <w:vAlign w:val="center"/>
            <w:hideMark/>
          </w:tcPr>
          <w:p w14:paraId="05E681D8" w14:textId="77777777" w:rsidR="00FE7F8B" w:rsidRDefault="00FE7F8B">
            <w:pPr>
              <w:pStyle w:val="Tabletextnoindent"/>
              <w:rPr>
                <w:b/>
              </w:rPr>
            </w:pPr>
            <w:r>
              <w:rPr>
                <w:b/>
              </w:rPr>
              <w:t>Net increase/(decrease) in cash and deposits</w:t>
            </w:r>
          </w:p>
        </w:tc>
        <w:tc>
          <w:tcPr>
            <w:tcW w:w="560" w:type="pct"/>
            <w:tcBorders>
              <w:top w:val="single" w:sz="6" w:space="0" w:color="auto"/>
              <w:left w:val="nil"/>
              <w:bottom w:val="nil"/>
              <w:right w:val="nil"/>
            </w:tcBorders>
            <w:vAlign w:val="center"/>
            <w:hideMark/>
          </w:tcPr>
          <w:p w14:paraId="770FE799" w14:textId="77777777" w:rsidR="00FE7F8B" w:rsidRDefault="00FE7F8B">
            <w:pPr>
              <w:rPr>
                <w:b/>
              </w:rPr>
            </w:pPr>
          </w:p>
        </w:tc>
        <w:tc>
          <w:tcPr>
            <w:tcW w:w="654" w:type="pct"/>
            <w:tcBorders>
              <w:top w:val="single" w:sz="6" w:space="0" w:color="auto"/>
              <w:left w:val="nil"/>
              <w:bottom w:val="nil"/>
              <w:right w:val="nil"/>
            </w:tcBorders>
            <w:shd w:val="clear" w:color="auto" w:fill="F2F2F2" w:themeFill="background1" w:themeFillShade="F2"/>
            <w:vAlign w:val="center"/>
            <w:hideMark/>
          </w:tcPr>
          <w:p w14:paraId="3834D843" w14:textId="77777777" w:rsidR="00FE7F8B" w:rsidRDefault="00FE7F8B">
            <w:pPr>
              <w:pStyle w:val="Tabletextnoindent"/>
              <w:jc w:val="right"/>
              <w:rPr>
                <w:b/>
              </w:rPr>
            </w:pPr>
            <w:r>
              <w:rPr>
                <w:b/>
              </w:rPr>
              <w:t>(12.0)</w:t>
            </w:r>
          </w:p>
        </w:tc>
        <w:tc>
          <w:tcPr>
            <w:tcW w:w="726" w:type="pct"/>
            <w:tcBorders>
              <w:top w:val="single" w:sz="6" w:space="0" w:color="auto"/>
              <w:left w:val="nil"/>
              <w:bottom w:val="nil"/>
              <w:right w:val="nil"/>
            </w:tcBorders>
            <w:vAlign w:val="center"/>
            <w:hideMark/>
          </w:tcPr>
          <w:p w14:paraId="5E594998" w14:textId="77777777" w:rsidR="00FE7F8B" w:rsidRDefault="00FE7F8B">
            <w:pPr>
              <w:pStyle w:val="Tabletextnoindent"/>
              <w:jc w:val="right"/>
            </w:pPr>
            <w:r>
              <w:t>(3.0)</w:t>
            </w:r>
          </w:p>
        </w:tc>
      </w:tr>
      <w:tr w:rsidR="00FE7F8B" w14:paraId="4D41224D" w14:textId="77777777" w:rsidTr="00395EAA">
        <w:trPr>
          <w:trHeight w:hRule="exact" w:val="284"/>
        </w:trPr>
        <w:tc>
          <w:tcPr>
            <w:tcW w:w="3060" w:type="pct"/>
            <w:gridSpan w:val="2"/>
            <w:tcBorders>
              <w:top w:val="nil"/>
              <w:left w:val="nil"/>
              <w:bottom w:val="single" w:sz="4" w:space="0" w:color="auto"/>
              <w:right w:val="nil"/>
            </w:tcBorders>
            <w:vAlign w:val="center"/>
            <w:hideMark/>
          </w:tcPr>
          <w:p w14:paraId="3B274E1B" w14:textId="77777777" w:rsidR="00FE7F8B" w:rsidRDefault="00FE7F8B">
            <w:pPr>
              <w:pStyle w:val="Tabletextnoindent"/>
            </w:pPr>
            <w:r>
              <w:t>Cash and deposits at the beginning of the financial year</w:t>
            </w:r>
          </w:p>
        </w:tc>
        <w:tc>
          <w:tcPr>
            <w:tcW w:w="560" w:type="pct"/>
            <w:tcBorders>
              <w:top w:val="nil"/>
              <w:left w:val="nil"/>
              <w:bottom w:val="single" w:sz="4" w:space="0" w:color="auto"/>
              <w:right w:val="nil"/>
            </w:tcBorders>
            <w:vAlign w:val="center"/>
            <w:hideMark/>
          </w:tcPr>
          <w:p w14:paraId="6DEC4636" w14:textId="77777777" w:rsidR="00FE7F8B" w:rsidRDefault="00FE7F8B"/>
        </w:tc>
        <w:tc>
          <w:tcPr>
            <w:tcW w:w="654" w:type="pct"/>
            <w:tcBorders>
              <w:top w:val="nil"/>
              <w:left w:val="nil"/>
              <w:bottom w:val="single" w:sz="4" w:space="0" w:color="auto"/>
              <w:right w:val="nil"/>
            </w:tcBorders>
            <w:shd w:val="clear" w:color="auto" w:fill="F2F2F2" w:themeFill="background1" w:themeFillShade="F2"/>
            <w:vAlign w:val="center"/>
            <w:hideMark/>
          </w:tcPr>
          <w:p w14:paraId="1C4E6EBE" w14:textId="77777777" w:rsidR="00FE7F8B" w:rsidRDefault="00FE7F8B">
            <w:pPr>
              <w:pStyle w:val="Tabletotal"/>
              <w:jc w:val="right"/>
              <w:rPr>
                <w:b w:val="0"/>
              </w:rPr>
            </w:pPr>
            <w:r>
              <w:t>715.3</w:t>
            </w:r>
          </w:p>
        </w:tc>
        <w:tc>
          <w:tcPr>
            <w:tcW w:w="726" w:type="pct"/>
            <w:tcBorders>
              <w:top w:val="nil"/>
              <w:left w:val="nil"/>
              <w:bottom w:val="single" w:sz="4" w:space="0" w:color="auto"/>
              <w:right w:val="nil"/>
            </w:tcBorders>
            <w:vAlign w:val="center"/>
            <w:hideMark/>
          </w:tcPr>
          <w:p w14:paraId="07FB42DF" w14:textId="77777777" w:rsidR="00FE7F8B" w:rsidRDefault="00FE7F8B">
            <w:pPr>
              <w:pStyle w:val="Tabletotal"/>
              <w:jc w:val="right"/>
              <w:rPr>
                <w:b w:val="0"/>
              </w:rPr>
            </w:pPr>
            <w:r>
              <w:rPr>
                <w:b w:val="0"/>
              </w:rPr>
              <w:t>718.3</w:t>
            </w:r>
          </w:p>
        </w:tc>
      </w:tr>
      <w:tr w:rsidR="00FE7F8B" w14:paraId="1EE5A9A0" w14:textId="77777777" w:rsidTr="00395EAA">
        <w:trPr>
          <w:trHeight w:hRule="exact" w:val="284"/>
        </w:trPr>
        <w:tc>
          <w:tcPr>
            <w:tcW w:w="3060" w:type="pct"/>
            <w:gridSpan w:val="2"/>
            <w:tcBorders>
              <w:top w:val="single" w:sz="4" w:space="0" w:color="auto"/>
              <w:left w:val="nil"/>
              <w:bottom w:val="single" w:sz="4" w:space="0" w:color="auto"/>
              <w:right w:val="nil"/>
            </w:tcBorders>
            <w:vAlign w:val="center"/>
            <w:hideMark/>
          </w:tcPr>
          <w:p w14:paraId="56CDD424" w14:textId="77777777" w:rsidR="00FE7F8B" w:rsidRDefault="00FE7F8B">
            <w:pPr>
              <w:pStyle w:val="Tabletextnoindent"/>
              <w:rPr>
                <w:b/>
              </w:rPr>
            </w:pPr>
            <w:r>
              <w:rPr>
                <w:b/>
              </w:rPr>
              <w:t>Cash and deposits at the end of the financial year</w:t>
            </w:r>
          </w:p>
        </w:tc>
        <w:tc>
          <w:tcPr>
            <w:tcW w:w="560" w:type="pct"/>
            <w:tcBorders>
              <w:top w:val="single" w:sz="4" w:space="0" w:color="auto"/>
              <w:left w:val="nil"/>
              <w:bottom w:val="single" w:sz="4" w:space="0" w:color="auto"/>
              <w:right w:val="nil"/>
            </w:tcBorders>
            <w:vAlign w:val="center"/>
            <w:hideMark/>
          </w:tcPr>
          <w:p w14:paraId="31503FB2" w14:textId="77777777" w:rsidR="00FE7F8B" w:rsidRDefault="00FE7F8B">
            <w:pPr>
              <w:pStyle w:val="Tabletotal"/>
              <w:jc w:val="center"/>
              <w:rPr>
                <w:b w:val="0"/>
              </w:rPr>
            </w:pPr>
            <w:r>
              <w:t>7</w:t>
            </w:r>
          </w:p>
        </w:tc>
        <w:tc>
          <w:tcPr>
            <w:tcW w:w="654" w:type="pct"/>
            <w:tcBorders>
              <w:top w:val="single" w:sz="4" w:space="0" w:color="auto"/>
              <w:left w:val="nil"/>
              <w:bottom w:val="single" w:sz="4" w:space="0" w:color="auto"/>
              <w:right w:val="nil"/>
            </w:tcBorders>
            <w:shd w:val="clear" w:color="auto" w:fill="F2F2F2" w:themeFill="background1" w:themeFillShade="F2"/>
            <w:vAlign w:val="center"/>
            <w:hideMark/>
          </w:tcPr>
          <w:p w14:paraId="6EA8689A" w14:textId="77777777" w:rsidR="00FE7F8B" w:rsidRDefault="00FE7F8B">
            <w:pPr>
              <w:pStyle w:val="Tabletotal"/>
              <w:jc w:val="right"/>
            </w:pPr>
            <w:r>
              <w:t>703.3</w:t>
            </w:r>
          </w:p>
        </w:tc>
        <w:tc>
          <w:tcPr>
            <w:tcW w:w="726" w:type="pct"/>
            <w:tcBorders>
              <w:top w:val="single" w:sz="4" w:space="0" w:color="auto"/>
              <w:left w:val="nil"/>
              <w:bottom w:val="single" w:sz="4" w:space="0" w:color="auto"/>
              <w:right w:val="nil"/>
            </w:tcBorders>
            <w:vAlign w:val="center"/>
            <w:hideMark/>
          </w:tcPr>
          <w:p w14:paraId="4DC1CD16" w14:textId="77777777" w:rsidR="00FE7F8B" w:rsidRDefault="00FE7F8B">
            <w:pPr>
              <w:pStyle w:val="Tabletotal"/>
              <w:jc w:val="right"/>
              <w:rPr>
                <w:b w:val="0"/>
              </w:rPr>
            </w:pPr>
            <w:r>
              <w:rPr>
                <w:b w:val="0"/>
              </w:rPr>
              <w:t>715.3</w:t>
            </w:r>
          </w:p>
        </w:tc>
      </w:tr>
      <w:tr w:rsidR="00A45B59" w14:paraId="400B94E7" w14:textId="77777777" w:rsidTr="00A45B59">
        <w:trPr>
          <w:trHeight w:hRule="exact" w:val="284"/>
        </w:trPr>
        <w:tc>
          <w:tcPr>
            <w:tcW w:w="5000" w:type="pct"/>
            <w:gridSpan w:val="5"/>
            <w:tcBorders>
              <w:top w:val="single" w:sz="4" w:space="0" w:color="auto"/>
              <w:left w:val="nil"/>
              <w:right w:val="nil"/>
            </w:tcBorders>
            <w:vAlign w:val="center"/>
          </w:tcPr>
          <w:p w14:paraId="292144CA" w14:textId="5A096B34" w:rsidR="00A45B59" w:rsidRPr="00A45B59" w:rsidRDefault="00A45B59">
            <w:pPr>
              <w:pStyle w:val="Tabletextnoindent"/>
              <w:rPr>
                <w:b/>
                <w:sz w:val="18"/>
              </w:rPr>
            </w:pPr>
            <w:r w:rsidRPr="00A45B59">
              <w:rPr>
                <w:sz w:val="18"/>
              </w:rPr>
              <w:t>The above cash flow statement should be read in conjunction with the accompanying notes.</w:t>
            </w:r>
          </w:p>
          <w:p w14:paraId="7BC49817" w14:textId="2655155D" w:rsidR="00A45B59" w:rsidRDefault="00A45B59">
            <w:pPr>
              <w:pStyle w:val="Tabletotal"/>
              <w:jc w:val="right"/>
              <w:rPr>
                <w:b w:val="0"/>
              </w:rPr>
            </w:pPr>
          </w:p>
        </w:tc>
      </w:tr>
    </w:tbl>
    <w:p w14:paraId="4FE8135E" w14:textId="77777777" w:rsidR="00FE7F8B" w:rsidRDefault="00FE7F8B" w:rsidP="000848E5">
      <w:pPr>
        <w:pStyle w:val="Heading2financialstatements"/>
      </w:pPr>
      <w:bookmarkStart w:id="36" w:name="_Toc434833175"/>
      <w:bookmarkStart w:id="37" w:name="_Toc400358568"/>
      <w:bookmarkStart w:id="38" w:name="_Toc400358560"/>
      <w:bookmarkStart w:id="39" w:name="_Toc399491014"/>
      <w:bookmarkStart w:id="40" w:name="_Toc399334335"/>
      <w:bookmarkStart w:id="41" w:name="_Toc399334295"/>
      <w:bookmarkStart w:id="42" w:name="_Toc462405164"/>
      <w:bookmarkStart w:id="43" w:name="_Toc463620820"/>
      <w:r>
        <w:t>Notes to the financial statements</w:t>
      </w:r>
      <w:bookmarkEnd w:id="36"/>
      <w:bookmarkEnd w:id="37"/>
      <w:bookmarkEnd w:id="38"/>
      <w:bookmarkEnd w:id="39"/>
      <w:bookmarkEnd w:id="40"/>
      <w:bookmarkEnd w:id="41"/>
      <w:bookmarkEnd w:id="42"/>
      <w:bookmarkEnd w:id="43"/>
      <w:r>
        <w:t xml:space="preserve"> </w:t>
      </w:r>
    </w:p>
    <w:p w14:paraId="153BDB09" w14:textId="77777777" w:rsidR="00FE7F8B" w:rsidRDefault="00FE7F8B" w:rsidP="00FE7F8B">
      <w:pPr>
        <w:pStyle w:val="TOCheadingendmatter"/>
      </w:pPr>
      <w:r>
        <w:t>Contents</w:t>
      </w:r>
    </w:p>
    <w:p w14:paraId="344EB299" w14:textId="059796D8" w:rsidR="00FE7F8B" w:rsidRPr="00155353" w:rsidRDefault="00FE7F8B" w:rsidP="00FE7F8B">
      <w:pPr>
        <w:pStyle w:val="TOC1"/>
        <w:tabs>
          <w:tab w:val="left" w:pos="1760"/>
        </w:tabs>
        <w:rPr>
          <w:rFonts w:asciiTheme="minorHAnsi" w:eastAsiaTheme="minorEastAsia" w:hAnsiTheme="minorHAnsi" w:cstheme="minorBidi"/>
          <w:b w:val="0"/>
          <w:color w:val="auto"/>
          <w:sz w:val="22"/>
          <w:szCs w:val="22"/>
        </w:rPr>
      </w:pPr>
      <w:r>
        <w:fldChar w:fldCharType="begin"/>
      </w:r>
      <w:r>
        <w:rPr>
          <w:noProof w:val="0"/>
        </w:rPr>
        <w:instrText xml:space="preserve"> TOC \h \z \t "Heading 2 notes,1" </w:instrText>
      </w:r>
      <w:r>
        <w:fldChar w:fldCharType="separate"/>
      </w:r>
      <w:hyperlink r:id="rId17" w:anchor="_Toc461176290" w:history="1">
        <w:r w:rsidRPr="00155353">
          <w:rPr>
            <w:rStyle w:val="Hyperlink"/>
          </w:rPr>
          <w:t>Note 1</w:t>
        </w:r>
        <w:r w:rsidRPr="00155353">
          <w:rPr>
            <w:rStyle w:val="Hyperlink"/>
            <w:rFonts w:asciiTheme="minorHAnsi" w:eastAsiaTheme="minorEastAsia" w:hAnsiTheme="minorHAnsi" w:cstheme="minorBidi"/>
            <w:b w:val="0"/>
            <w:sz w:val="22"/>
            <w:szCs w:val="22"/>
          </w:rPr>
          <w:tab/>
        </w:r>
        <w:r w:rsidRPr="00155353">
          <w:rPr>
            <w:rStyle w:val="Hyperlink"/>
          </w:rPr>
          <w:t>Summary of significant accounting policies</w:t>
        </w:r>
        <w:r w:rsidRPr="00155353">
          <w:rPr>
            <w:rStyle w:val="Hyperlink"/>
            <w:webHidden/>
          </w:rPr>
          <w:tab/>
        </w:r>
        <w:r w:rsidRPr="00155353">
          <w:rPr>
            <w:rStyle w:val="Hyperlink"/>
          </w:rPr>
          <w:fldChar w:fldCharType="begin"/>
        </w:r>
        <w:r w:rsidRPr="00155353">
          <w:rPr>
            <w:rStyle w:val="Hyperlink"/>
            <w:webHidden/>
          </w:rPr>
          <w:instrText xml:space="preserve"> PAGEREF _Toc461176290 \h </w:instrText>
        </w:r>
        <w:r w:rsidRPr="00155353">
          <w:rPr>
            <w:rStyle w:val="Hyperlink"/>
          </w:rPr>
        </w:r>
        <w:r w:rsidRPr="00155353">
          <w:rPr>
            <w:rStyle w:val="Hyperlink"/>
          </w:rPr>
          <w:fldChar w:fldCharType="separate"/>
        </w:r>
        <w:r w:rsidR="00B60957">
          <w:rPr>
            <w:rStyle w:val="Hyperlink"/>
            <w:webHidden/>
          </w:rPr>
          <w:t>10</w:t>
        </w:r>
        <w:r w:rsidRPr="00155353">
          <w:rPr>
            <w:rStyle w:val="Hyperlink"/>
          </w:rPr>
          <w:fldChar w:fldCharType="end"/>
        </w:r>
      </w:hyperlink>
    </w:p>
    <w:p w14:paraId="4A26789D" w14:textId="650C6F3C"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18" w:anchor="_Toc461176291" w:history="1">
        <w:r w:rsidR="00FE7F8B" w:rsidRPr="00155353">
          <w:rPr>
            <w:rStyle w:val="Hyperlink"/>
          </w:rPr>
          <w:t>Note 2</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Departmental (controlled) outputs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_Toc461176291 \h </w:instrText>
        </w:r>
        <w:r w:rsidR="00FE7F8B" w:rsidRPr="00155353">
          <w:rPr>
            <w:rStyle w:val="Hyperlink"/>
          </w:rPr>
        </w:r>
        <w:r w:rsidR="00FE7F8B" w:rsidRPr="00155353">
          <w:rPr>
            <w:rStyle w:val="Hyperlink"/>
          </w:rPr>
          <w:fldChar w:fldCharType="separate"/>
        </w:r>
        <w:r w:rsidR="00B60957">
          <w:rPr>
            <w:rStyle w:val="Hyperlink"/>
            <w:webHidden/>
          </w:rPr>
          <w:t>35</w:t>
        </w:r>
        <w:r w:rsidR="00FE7F8B" w:rsidRPr="00155353">
          <w:rPr>
            <w:rStyle w:val="Hyperlink"/>
          </w:rPr>
          <w:fldChar w:fldCharType="end"/>
        </w:r>
      </w:hyperlink>
    </w:p>
    <w:p w14:paraId="40EE017E" w14:textId="0B128313"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19" w:anchor="_Toc461176292" w:history="1">
        <w:r w:rsidR="00FE7F8B" w:rsidRPr="00155353">
          <w:rPr>
            <w:rStyle w:val="Hyperlink"/>
          </w:rPr>
          <w:t>Note 3</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Administered (non-controlled) items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_Toc461176292 \h </w:instrText>
        </w:r>
        <w:r w:rsidR="00FE7F8B" w:rsidRPr="00155353">
          <w:rPr>
            <w:rStyle w:val="Hyperlink"/>
          </w:rPr>
        </w:r>
        <w:r w:rsidR="00FE7F8B" w:rsidRPr="00155353">
          <w:rPr>
            <w:rStyle w:val="Hyperlink"/>
          </w:rPr>
          <w:fldChar w:fldCharType="separate"/>
        </w:r>
        <w:r w:rsidR="00B60957">
          <w:rPr>
            <w:rStyle w:val="Hyperlink"/>
            <w:webHidden/>
          </w:rPr>
          <w:t>41</w:t>
        </w:r>
        <w:r w:rsidR="00FE7F8B" w:rsidRPr="00155353">
          <w:rPr>
            <w:rStyle w:val="Hyperlink"/>
          </w:rPr>
          <w:fldChar w:fldCharType="end"/>
        </w:r>
      </w:hyperlink>
    </w:p>
    <w:p w14:paraId="05BC0C2E" w14:textId="55B829B5"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0" w:anchor="_Toc461176293" w:history="1">
        <w:r w:rsidR="00FE7F8B" w:rsidRPr="00155353">
          <w:rPr>
            <w:rStyle w:val="Hyperlink"/>
          </w:rPr>
          <w:t>Note 4</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Net result from transactions (net operating balance)</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_Toc461176293 \h </w:instrText>
        </w:r>
        <w:r w:rsidR="00FE7F8B" w:rsidRPr="00155353">
          <w:rPr>
            <w:rStyle w:val="Hyperlink"/>
          </w:rPr>
        </w:r>
        <w:r w:rsidR="00FE7F8B" w:rsidRPr="00155353">
          <w:rPr>
            <w:rStyle w:val="Hyperlink"/>
          </w:rPr>
          <w:fldChar w:fldCharType="separate"/>
        </w:r>
        <w:r w:rsidR="00B60957">
          <w:rPr>
            <w:rStyle w:val="Hyperlink"/>
            <w:webHidden/>
          </w:rPr>
          <w:t>42</w:t>
        </w:r>
        <w:r w:rsidR="00FE7F8B" w:rsidRPr="00155353">
          <w:rPr>
            <w:rStyle w:val="Hyperlink"/>
          </w:rPr>
          <w:fldChar w:fldCharType="end"/>
        </w:r>
      </w:hyperlink>
    </w:p>
    <w:p w14:paraId="1A2BE62D" w14:textId="41120F30"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1" w:anchor="_Toc461176294" w:history="1">
        <w:r w:rsidR="00FE7F8B" w:rsidRPr="00155353">
          <w:rPr>
            <w:rStyle w:val="Hyperlink"/>
          </w:rPr>
          <w:t>Note 5</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Other economic flows included in net result</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_Toc461176294 \h </w:instrText>
        </w:r>
        <w:r w:rsidR="00FE7F8B" w:rsidRPr="00155353">
          <w:rPr>
            <w:rStyle w:val="Hyperlink"/>
          </w:rPr>
        </w:r>
        <w:r w:rsidR="00FE7F8B" w:rsidRPr="00155353">
          <w:rPr>
            <w:rStyle w:val="Hyperlink"/>
          </w:rPr>
          <w:fldChar w:fldCharType="separate"/>
        </w:r>
        <w:r w:rsidR="00B60957">
          <w:rPr>
            <w:rStyle w:val="Hyperlink"/>
            <w:webHidden/>
          </w:rPr>
          <w:t>44</w:t>
        </w:r>
        <w:r w:rsidR="00FE7F8B" w:rsidRPr="00155353">
          <w:rPr>
            <w:rStyle w:val="Hyperlink"/>
          </w:rPr>
          <w:fldChar w:fldCharType="end"/>
        </w:r>
      </w:hyperlink>
    </w:p>
    <w:p w14:paraId="212A1F4C" w14:textId="0584DB06" w:rsidR="00FE7F8B" w:rsidRPr="00155353" w:rsidRDefault="00210167" w:rsidP="00FE7F8B">
      <w:pPr>
        <w:pStyle w:val="TOC1"/>
        <w:tabs>
          <w:tab w:val="left" w:pos="1760"/>
        </w:tabs>
        <w:ind w:left="720" w:hanging="663"/>
        <w:rPr>
          <w:rFonts w:asciiTheme="minorHAnsi" w:eastAsiaTheme="minorEastAsia" w:hAnsiTheme="minorHAnsi" w:cstheme="minorBidi"/>
          <w:b w:val="0"/>
          <w:color w:val="auto"/>
          <w:sz w:val="22"/>
          <w:szCs w:val="22"/>
        </w:rPr>
      </w:pPr>
      <w:hyperlink r:id="rId22" w:anchor="_Toc461176295" w:history="1">
        <w:r w:rsidR="00FE7F8B" w:rsidRPr="00155353">
          <w:rPr>
            <w:rStyle w:val="Hyperlink"/>
          </w:rPr>
          <w:t>Note 6</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 xml:space="preserve">Summary of compliance with annual parliamentary and </w:t>
        </w:r>
        <w:r w:rsidR="00FE7F8B" w:rsidRPr="00155353">
          <w:rPr>
            <w:color w:val="auto"/>
          </w:rPr>
          <w:br/>
        </w:r>
        <w:r w:rsidR="00FE7F8B" w:rsidRPr="00155353">
          <w:rPr>
            <w:rStyle w:val="Hyperlink"/>
          </w:rPr>
          <w:t>special appropriations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_Toc461176295 \h </w:instrText>
        </w:r>
        <w:r w:rsidR="00FE7F8B" w:rsidRPr="00155353">
          <w:rPr>
            <w:rStyle w:val="Hyperlink"/>
          </w:rPr>
        </w:r>
        <w:r w:rsidR="00FE7F8B" w:rsidRPr="00155353">
          <w:rPr>
            <w:rStyle w:val="Hyperlink"/>
          </w:rPr>
          <w:fldChar w:fldCharType="separate"/>
        </w:r>
        <w:r w:rsidR="00B60957">
          <w:rPr>
            <w:rStyle w:val="Hyperlink"/>
            <w:webHidden/>
          </w:rPr>
          <w:t>45</w:t>
        </w:r>
        <w:r w:rsidR="00FE7F8B" w:rsidRPr="00155353">
          <w:rPr>
            <w:rStyle w:val="Hyperlink"/>
          </w:rPr>
          <w:fldChar w:fldCharType="end"/>
        </w:r>
      </w:hyperlink>
    </w:p>
    <w:p w14:paraId="67FF5D01" w14:textId="44F67941"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3" w:anchor="_Toc461176296" w:history="1">
        <w:r w:rsidR="00FE7F8B" w:rsidRPr="00155353">
          <w:rPr>
            <w:rStyle w:val="Hyperlink"/>
          </w:rPr>
          <w:t>Note 7</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Cash and deposits/other financial assets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_Toc461176296 \h </w:instrText>
        </w:r>
        <w:r w:rsidR="00FE7F8B" w:rsidRPr="00155353">
          <w:rPr>
            <w:rStyle w:val="Hyperlink"/>
          </w:rPr>
        </w:r>
        <w:r w:rsidR="00FE7F8B" w:rsidRPr="00155353">
          <w:rPr>
            <w:rStyle w:val="Hyperlink"/>
          </w:rPr>
          <w:fldChar w:fldCharType="separate"/>
        </w:r>
        <w:r w:rsidR="00B60957">
          <w:rPr>
            <w:rStyle w:val="Hyperlink"/>
            <w:webHidden/>
          </w:rPr>
          <w:t>46</w:t>
        </w:r>
        <w:r w:rsidR="00FE7F8B" w:rsidRPr="00155353">
          <w:rPr>
            <w:rStyle w:val="Hyperlink"/>
          </w:rPr>
          <w:fldChar w:fldCharType="end"/>
        </w:r>
      </w:hyperlink>
    </w:p>
    <w:p w14:paraId="4A9FEA9F" w14:textId="2F88DBF8"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4" w:anchor="_Toc461176297" w:history="1">
        <w:r w:rsidR="00FE7F8B" w:rsidRPr="00155353">
          <w:rPr>
            <w:rStyle w:val="Hyperlink"/>
          </w:rPr>
          <w:t>Note 8</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Receivables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_Toc461176297 \h </w:instrText>
        </w:r>
        <w:r w:rsidR="00FE7F8B" w:rsidRPr="00155353">
          <w:rPr>
            <w:rStyle w:val="Hyperlink"/>
          </w:rPr>
        </w:r>
        <w:r w:rsidR="00FE7F8B" w:rsidRPr="00155353">
          <w:rPr>
            <w:rStyle w:val="Hyperlink"/>
          </w:rPr>
          <w:fldChar w:fldCharType="separate"/>
        </w:r>
        <w:r w:rsidR="00B60957">
          <w:rPr>
            <w:rStyle w:val="Hyperlink"/>
            <w:webHidden/>
          </w:rPr>
          <w:t>47</w:t>
        </w:r>
        <w:r w:rsidR="00FE7F8B" w:rsidRPr="00155353">
          <w:rPr>
            <w:rStyle w:val="Hyperlink"/>
          </w:rPr>
          <w:fldChar w:fldCharType="end"/>
        </w:r>
      </w:hyperlink>
    </w:p>
    <w:p w14:paraId="73F8A7E1" w14:textId="2A6F26CF"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5" w:anchor="_Toc461176298" w:history="1">
        <w:r w:rsidR="00FE7F8B" w:rsidRPr="00155353">
          <w:rPr>
            <w:rStyle w:val="Hyperlink"/>
          </w:rPr>
          <w:t>Note 9</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Non-financial physical assets classified as held for sale</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_Toc461176298 \h </w:instrText>
        </w:r>
        <w:r w:rsidR="00FE7F8B" w:rsidRPr="00155353">
          <w:rPr>
            <w:rStyle w:val="Hyperlink"/>
          </w:rPr>
        </w:r>
        <w:r w:rsidR="00FE7F8B" w:rsidRPr="00155353">
          <w:rPr>
            <w:rStyle w:val="Hyperlink"/>
          </w:rPr>
          <w:fldChar w:fldCharType="separate"/>
        </w:r>
        <w:r w:rsidR="00B60957">
          <w:rPr>
            <w:rStyle w:val="Hyperlink"/>
            <w:webHidden/>
          </w:rPr>
          <w:t>49</w:t>
        </w:r>
        <w:r w:rsidR="00FE7F8B" w:rsidRPr="00155353">
          <w:rPr>
            <w:rStyle w:val="Hyperlink"/>
          </w:rPr>
          <w:fldChar w:fldCharType="end"/>
        </w:r>
      </w:hyperlink>
    </w:p>
    <w:p w14:paraId="254D65F1" w14:textId="332C9B31"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6" w:anchor="_Toc461176299" w:history="1">
        <w:r w:rsidR="00FE7F8B" w:rsidRPr="00155353">
          <w:rPr>
            <w:rStyle w:val="Hyperlink"/>
          </w:rPr>
          <w:t>Note 10</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Intangible assets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_Toc461176299 \h </w:instrText>
        </w:r>
        <w:r w:rsidR="00FE7F8B" w:rsidRPr="00155353">
          <w:rPr>
            <w:rStyle w:val="Hyperlink"/>
          </w:rPr>
        </w:r>
        <w:r w:rsidR="00FE7F8B" w:rsidRPr="00155353">
          <w:rPr>
            <w:rStyle w:val="Hyperlink"/>
          </w:rPr>
          <w:fldChar w:fldCharType="separate"/>
        </w:r>
        <w:r w:rsidR="00B60957">
          <w:rPr>
            <w:rStyle w:val="Hyperlink"/>
            <w:webHidden/>
          </w:rPr>
          <w:t>50</w:t>
        </w:r>
        <w:r w:rsidR="00FE7F8B" w:rsidRPr="00155353">
          <w:rPr>
            <w:rStyle w:val="Hyperlink"/>
          </w:rPr>
          <w:fldChar w:fldCharType="end"/>
        </w:r>
      </w:hyperlink>
    </w:p>
    <w:p w14:paraId="254C8420" w14:textId="2FE00027"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7" w:anchor="_Toc461176300" w:history="1">
        <w:r w:rsidR="00FE7F8B" w:rsidRPr="00155353">
          <w:rPr>
            <w:rStyle w:val="Hyperlink"/>
          </w:rPr>
          <w:t>Note 11</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Property, plant and equipment—Education purpose group</w:t>
        </w:r>
        <w:r w:rsidR="00FE7F8B" w:rsidRPr="00155353">
          <w:rPr>
            <w:rStyle w:val="Hyperlink"/>
            <w:vertAlign w:val="superscript"/>
          </w:rPr>
          <w:t>,</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_Toc461176300 \h </w:instrText>
        </w:r>
        <w:r w:rsidR="00FE7F8B" w:rsidRPr="00155353">
          <w:rPr>
            <w:rStyle w:val="Hyperlink"/>
          </w:rPr>
        </w:r>
        <w:r w:rsidR="00FE7F8B" w:rsidRPr="00155353">
          <w:rPr>
            <w:rStyle w:val="Hyperlink"/>
          </w:rPr>
          <w:fldChar w:fldCharType="separate"/>
        </w:r>
        <w:r w:rsidR="00B60957">
          <w:rPr>
            <w:rStyle w:val="Hyperlink"/>
            <w:webHidden/>
          </w:rPr>
          <w:t>51</w:t>
        </w:r>
        <w:r w:rsidR="00FE7F8B" w:rsidRPr="00155353">
          <w:rPr>
            <w:rStyle w:val="Hyperlink"/>
          </w:rPr>
          <w:fldChar w:fldCharType="end"/>
        </w:r>
      </w:hyperlink>
    </w:p>
    <w:p w14:paraId="03759499" w14:textId="2A4CB4A1"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8" w:anchor="_Toc461176301" w:history="1">
        <w:r w:rsidR="00FE7F8B" w:rsidRPr="00155353">
          <w:rPr>
            <w:rStyle w:val="Hyperlink"/>
          </w:rPr>
          <w:t>Note 12</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Payables</w:t>
        </w:r>
        <w:r w:rsidR="00FE7F8B" w:rsidRPr="00155353">
          <w:rPr>
            <w:rStyle w:val="Hyperlink"/>
            <w:webHidden/>
          </w:rPr>
          <w:tab/>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_Toc461176301 \h </w:instrText>
        </w:r>
        <w:r w:rsidR="00FE7F8B" w:rsidRPr="00155353">
          <w:rPr>
            <w:rStyle w:val="Hyperlink"/>
          </w:rPr>
        </w:r>
        <w:r w:rsidR="00FE7F8B" w:rsidRPr="00155353">
          <w:rPr>
            <w:rStyle w:val="Hyperlink"/>
          </w:rPr>
          <w:fldChar w:fldCharType="separate"/>
        </w:r>
        <w:r w:rsidR="00B60957">
          <w:rPr>
            <w:rStyle w:val="Hyperlink"/>
            <w:webHidden/>
          </w:rPr>
          <w:t>59</w:t>
        </w:r>
        <w:r w:rsidR="00FE7F8B" w:rsidRPr="00155353">
          <w:rPr>
            <w:rStyle w:val="Hyperlink"/>
          </w:rPr>
          <w:fldChar w:fldCharType="end"/>
        </w:r>
      </w:hyperlink>
    </w:p>
    <w:p w14:paraId="50D2644F" w14:textId="162F204C"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29" w:anchor="_Toc461176302" w:history="1">
        <w:r w:rsidR="00FE7F8B" w:rsidRPr="00155353">
          <w:rPr>
            <w:rStyle w:val="Hyperlink"/>
          </w:rPr>
          <w:t>Note 13</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Borrowings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_Toc461176302 \h </w:instrText>
        </w:r>
        <w:r w:rsidR="00FE7F8B" w:rsidRPr="00155353">
          <w:rPr>
            <w:rStyle w:val="Hyperlink"/>
          </w:rPr>
        </w:r>
        <w:r w:rsidR="00FE7F8B" w:rsidRPr="00155353">
          <w:rPr>
            <w:rStyle w:val="Hyperlink"/>
          </w:rPr>
          <w:fldChar w:fldCharType="separate"/>
        </w:r>
        <w:r w:rsidR="00B60957">
          <w:rPr>
            <w:rStyle w:val="Hyperlink"/>
            <w:webHidden/>
          </w:rPr>
          <w:t>60</w:t>
        </w:r>
        <w:r w:rsidR="00FE7F8B" w:rsidRPr="00155353">
          <w:rPr>
            <w:rStyle w:val="Hyperlink"/>
          </w:rPr>
          <w:fldChar w:fldCharType="end"/>
        </w:r>
      </w:hyperlink>
    </w:p>
    <w:p w14:paraId="325F036A" w14:textId="1C02D6DB"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0" w:anchor="_Toc461176303" w:history="1">
        <w:r w:rsidR="00FE7F8B" w:rsidRPr="00155353">
          <w:rPr>
            <w:rStyle w:val="Hyperlink"/>
          </w:rPr>
          <w:t>Note 14</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Provisions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_Toc461176303 \h </w:instrText>
        </w:r>
        <w:r w:rsidR="00FE7F8B" w:rsidRPr="00155353">
          <w:rPr>
            <w:rStyle w:val="Hyperlink"/>
          </w:rPr>
        </w:r>
        <w:r w:rsidR="00FE7F8B" w:rsidRPr="00155353">
          <w:rPr>
            <w:rStyle w:val="Hyperlink"/>
          </w:rPr>
          <w:fldChar w:fldCharType="separate"/>
        </w:r>
        <w:r w:rsidR="00B60957">
          <w:rPr>
            <w:rStyle w:val="Hyperlink"/>
            <w:webHidden/>
          </w:rPr>
          <w:t>61</w:t>
        </w:r>
        <w:r w:rsidR="00FE7F8B" w:rsidRPr="00155353">
          <w:rPr>
            <w:rStyle w:val="Hyperlink"/>
          </w:rPr>
          <w:fldChar w:fldCharType="end"/>
        </w:r>
      </w:hyperlink>
    </w:p>
    <w:p w14:paraId="0212D5C0" w14:textId="7F5661DD"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1" w:anchor="_Toc461176304" w:history="1">
        <w:r w:rsidR="00FE7F8B" w:rsidRPr="00155353">
          <w:rPr>
            <w:rStyle w:val="Hyperlink"/>
          </w:rPr>
          <w:t>Note 15</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Superannuation</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_Toc461176304 \h </w:instrText>
        </w:r>
        <w:r w:rsidR="00FE7F8B" w:rsidRPr="00155353">
          <w:rPr>
            <w:rStyle w:val="Hyperlink"/>
          </w:rPr>
        </w:r>
        <w:r w:rsidR="00FE7F8B" w:rsidRPr="00155353">
          <w:rPr>
            <w:rStyle w:val="Hyperlink"/>
          </w:rPr>
          <w:fldChar w:fldCharType="separate"/>
        </w:r>
        <w:r w:rsidR="00B60957">
          <w:rPr>
            <w:rStyle w:val="Hyperlink"/>
            <w:webHidden/>
          </w:rPr>
          <w:t>63</w:t>
        </w:r>
        <w:r w:rsidR="00FE7F8B" w:rsidRPr="00155353">
          <w:rPr>
            <w:rStyle w:val="Hyperlink"/>
          </w:rPr>
          <w:fldChar w:fldCharType="end"/>
        </w:r>
      </w:hyperlink>
    </w:p>
    <w:p w14:paraId="279ECADE" w14:textId="74C34522"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2" w:anchor="_Toc461176305" w:history="1">
        <w:r w:rsidR="00FE7F8B" w:rsidRPr="00155353">
          <w:rPr>
            <w:rStyle w:val="Hyperlink"/>
          </w:rPr>
          <w:t>Note 16</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Physical asset revaluation surplus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_Toc461176305 \h </w:instrText>
        </w:r>
        <w:r w:rsidR="00FE7F8B" w:rsidRPr="00155353">
          <w:rPr>
            <w:rStyle w:val="Hyperlink"/>
          </w:rPr>
        </w:r>
        <w:r w:rsidR="00FE7F8B" w:rsidRPr="00155353">
          <w:rPr>
            <w:rStyle w:val="Hyperlink"/>
          </w:rPr>
          <w:fldChar w:fldCharType="separate"/>
        </w:r>
        <w:r w:rsidR="00B60957">
          <w:rPr>
            <w:rStyle w:val="Hyperlink"/>
            <w:webHidden/>
          </w:rPr>
          <w:t>64</w:t>
        </w:r>
        <w:r w:rsidR="00FE7F8B" w:rsidRPr="00155353">
          <w:rPr>
            <w:rStyle w:val="Hyperlink"/>
          </w:rPr>
          <w:fldChar w:fldCharType="end"/>
        </w:r>
      </w:hyperlink>
    </w:p>
    <w:p w14:paraId="11D96F42" w14:textId="72CEDB06"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3" w:anchor="_Toc461176306" w:history="1">
        <w:r w:rsidR="00FE7F8B" w:rsidRPr="00155353">
          <w:rPr>
            <w:rStyle w:val="Hyperlink"/>
          </w:rPr>
          <w:t>Note 17</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Financial instruments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_Toc461176306 \h </w:instrText>
        </w:r>
        <w:r w:rsidR="00FE7F8B" w:rsidRPr="00155353">
          <w:rPr>
            <w:rStyle w:val="Hyperlink"/>
          </w:rPr>
        </w:r>
        <w:r w:rsidR="00FE7F8B" w:rsidRPr="00155353">
          <w:rPr>
            <w:rStyle w:val="Hyperlink"/>
          </w:rPr>
          <w:fldChar w:fldCharType="separate"/>
        </w:r>
        <w:r w:rsidR="00B60957">
          <w:rPr>
            <w:rStyle w:val="Hyperlink"/>
            <w:webHidden/>
          </w:rPr>
          <w:t>65</w:t>
        </w:r>
        <w:r w:rsidR="00FE7F8B" w:rsidRPr="00155353">
          <w:rPr>
            <w:rStyle w:val="Hyperlink"/>
          </w:rPr>
          <w:fldChar w:fldCharType="end"/>
        </w:r>
      </w:hyperlink>
    </w:p>
    <w:p w14:paraId="5D8E01D4" w14:textId="3C62E785"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4" w:anchor="_Toc461176307" w:history="1">
        <w:r w:rsidR="00FE7F8B" w:rsidRPr="00155353">
          <w:rPr>
            <w:rStyle w:val="Hyperlink"/>
          </w:rPr>
          <w:t>Note 18</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Leases</w:t>
        </w:r>
        <w:r w:rsidR="00FE7F8B" w:rsidRPr="00155353">
          <w:rPr>
            <w:rStyle w:val="Hyperlink"/>
            <w:webHidden/>
          </w:rPr>
          <w:tab/>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_Toc461176307 \h </w:instrText>
        </w:r>
        <w:r w:rsidR="00FE7F8B" w:rsidRPr="00155353">
          <w:rPr>
            <w:rStyle w:val="Hyperlink"/>
          </w:rPr>
        </w:r>
        <w:r w:rsidR="00FE7F8B" w:rsidRPr="00155353">
          <w:rPr>
            <w:rStyle w:val="Hyperlink"/>
          </w:rPr>
          <w:fldChar w:fldCharType="separate"/>
        </w:r>
        <w:r w:rsidR="00B60957">
          <w:rPr>
            <w:rStyle w:val="Hyperlink"/>
            <w:webHidden/>
          </w:rPr>
          <w:t>71</w:t>
        </w:r>
        <w:r w:rsidR="00FE7F8B" w:rsidRPr="00155353">
          <w:rPr>
            <w:rStyle w:val="Hyperlink"/>
          </w:rPr>
          <w:fldChar w:fldCharType="end"/>
        </w:r>
      </w:hyperlink>
    </w:p>
    <w:p w14:paraId="2BE90D77" w14:textId="1C7EA474"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5" w:anchor="_Toc461176308" w:history="1">
        <w:r w:rsidR="00FE7F8B" w:rsidRPr="00155353">
          <w:rPr>
            <w:rStyle w:val="Hyperlink"/>
          </w:rPr>
          <w:t>Note 19</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Ministers and accountable officers (responsible persons)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_Toc461176308 \h </w:instrText>
        </w:r>
        <w:r w:rsidR="00FE7F8B" w:rsidRPr="00155353">
          <w:rPr>
            <w:rStyle w:val="Hyperlink"/>
          </w:rPr>
        </w:r>
        <w:r w:rsidR="00FE7F8B" w:rsidRPr="00155353">
          <w:rPr>
            <w:rStyle w:val="Hyperlink"/>
          </w:rPr>
          <w:fldChar w:fldCharType="separate"/>
        </w:r>
        <w:r w:rsidR="00B60957">
          <w:rPr>
            <w:rStyle w:val="Hyperlink"/>
            <w:webHidden/>
          </w:rPr>
          <w:t>72</w:t>
        </w:r>
        <w:r w:rsidR="00FE7F8B" w:rsidRPr="00155353">
          <w:rPr>
            <w:rStyle w:val="Hyperlink"/>
          </w:rPr>
          <w:fldChar w:fldCharType="end"/>
        </w:r>
      </w:hyperlink>
    </w:p>
    <w:p w14:paraId="26B653D7" w14:textId="291168C9"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6" w:anchor="_Toc461176309" w:history="1">
        <w:r w:rsidR="00FE7F8B" w:rsidRPr="00155353">
          <w:rPr>
            <w:rStyle w:val="Hyperlink"/>
          </w:rPr>
          <w:t>Note 20</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Remuneration of executives and payments to other personnel (that is, contractors with significant management responsibilities)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_Toc461176309 \h </w:instrText>
        </w:r>
        <w:r w:rsidR="00FE7F8B" w:rsidRPr="00155353">
          <w:rPr>
            <w:rStyle w:val="Hyperlink"/>
          </w:rPr>
        </w:r>
        <w:r w:rsidR="00FE7F8B" w:rsidRPr="00155353">
          <w:rPr>
            <w:rStyle w:val="Hyperlink"/>
          </w:rPr>
          <w:fldChar w:fldCharType="separate"/>
        </w:r>
        <w:r w:rsidR="00B60957">
          <w:rPr>
            <w:rStyle w:val="Hyperlink"/>
            <w:webHidden/>
          </w:rPr>
          <w:t>74</w:t>
        </w:r>
        <w:r w:rsidR="00FE7F8B" w:rsidRPr="00155353">
          <w:rPr>
            <w:rStyle w:val="Hyperlink"/>
          </w:rPr>
          <w:fldChar w:fldCharType="end"/>
        </w:r>
      </w:hyperlink>
    </w:p>
    <w:p w14:paraId="3BBB2F21" w14:textId="07271679"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7" w:anchor="_Toc461176310" w:history="1">
        <w:r w:rsidR="00FE7F8B" w:rsidRPr="00155353">
          <w:rPr>
            <w:rStyle w:val="Hyperlink"/>
          </w:rPr>
          <w:t>Note 21</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Contingent assets and contingent liabilities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_Toc461176310 \h </w:instrText>
        </w:r>
        <w:r w:rsidR="00FE7F8B" w:rsidRPr="00155353">
          <w:rPr>
            <w:rStyle w:val="Hyperlink"/>
          </w:rPr>
        </w:r>
        <w:r w:rsidR="00FE7F8B" w:rsidRPr="00155353">
          <w:rPr>
            <w:rStyle w:val="Hyperlink"/>
          </w:rPr>
          <w:fldChar w:fldCharType="separate"/>
        </w:r>
        <w:r w:rsidR="00B60957">
          <w:rPr>
            <w:rStyle w:val="Hyperlink"/>
            <w:webHidden/>
          </w:rPr>
          <w:t>77</w:t>
        </w:r>
        <w:r w:rsidR="00FE7F8B" w:rsidRPr="00155353">
          <w:rPr>
            <w:rStyle w:val="Hyperlink"/>
          </w:rPr>
          <w:fldChar w:fldCharType="end"/>
        </w:r>
      </w:hyperlink>
    </w:p>
    <w:p w14:paraId="170BDE88" w14:textId="6D612989"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8" w:anchor="_Toc461176311" w:history="1">
        <w:r w:rsidR="00FE7F8B" w:rsidRPr="00155353">
          <w:rPr>
            <w:rStyle w:val="Hyperlink"/>
          </w:rPr>
          <w:t>Note 22</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Commitments for expenditure</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_Toc461176311 \h </w:instrText>
        </w:r>
        <w:r w:rsidR="00FE7F8B" w:rsidRPr="00155353">
          <w:rPr>
            <w:rStyle w:val="Hyperlink"/>
          </w:rPr>
        </w:r>
        <w:r w:rsidR="00FE7F8B" w:rsidRPr="00155353">
          <w:rPr>
            <w:rStyle w:val="Hyperlink"/>
          </w:rPr>
          <w:fldChar w:fldCharType="separate"/>
        </w:r>
        <w:r w:rsidR="00B60957">
          <w:rPr>
            <w:rStyle w:val="Hyperlink"/>
            <w:webHidden/>
          </w:rPr>
          <w:t>78</w:t>
        </w:r>
        <w:r w:rsidR="00FE7F8B" w:rsidRPr="00155353">
          <w:rPr>
            <w:rStyle w:val="Hyperlink"/>
          </w:rPr>
          <w:fldChar w:fldCharType="end"/>
        </w:r>
      </w:hyperlink>
    </w:p>
    <w:p w14:paraId="3D64BD35" w14:textId="21046BAF"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39" w:anchor="_Toc461176312" w:history="1">
        <w:r w:rsidR="00FE7F8B" w:rsidRPr="00155353">
          <w:rPr>
            <w:rStyle w:val="Hyperlink"/>
          </w:rPr>
          <w:t>Note 23</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Cash flow information</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_Toc461176312 \h </w:instrText>
        </w:r>
        <w:r w:rsidR="00FE7F8B" w:rsidRPr="00155353">
          <w:rPr>
            <w:rStyle w:val="Hyperlink"/>
          </w:rPr>
        </w:r>
        <w:r w:rsidR="00FE7F8B" w:rsidRPr="00155353">
          <w:rPr>
            <w:rStyle w:val="Hyperlink"/>
          </w:rPr>
          <w:fldChar w:fldCharType="separate"/>
        </w:r>
        <w:r w:rsidR="00B60957">
          <w:rPr>
            <w:rStyle w:val="Hyperlink"/>
            <w:webHidden/>
          </w:rPr>
          <w:t>81</w:t>
        </w:r>
        <w:r w:rsidR="00FE7F8B" w:rsidRPr="00155353">
          <w:rPr>
            <w:rStyle w:val="Hyperlink"/>
          </w:rPr>
          <w:fldChar w:fldCharType="end"/>
        </w:r>
      </w:hyperlink>
    </w:p>
    <w:p w14:paraId="5CBB5DC3" w14:textId="4511324C"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40" w:anchor="_Toc461176313" w:history="1">
        <w:r w:rsidR="00FE7F8B" w:rsidRPr="00155353">
          <w:rPr>
            <w:rStyle w:val="Hyperlink"/>
          </w:rPr>
          <w:t>Note 24</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Subsequent events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_Toc461176313 \h </w:instrText>
        </w:r>
        <w:r w:rsidR="00FE7F8B" w:rsidRPr="00155353">
          <w:rPr>
            <w:rStyle w:val="Hyperlink"/>
          </w:rPr>
        </w:r>
        <w:r w:rsidR="00FE7F8B" w:rsidRPr="00155353">
          <w:rPr>
            <w:rStyle w:val="Hyperlink"/>
          </w:rPr>
          <w:fldChar w:fldCharType="separate"/>
        </w:r>
        <w:r w:rsidR="00B60957">
          <w:rPr>
            <w:rStyle w:val="Hyperlink"/>
            <w:webHidden/>
          </w:rPr>
          <w:t>82</w:t>
        </w:r>
        <w:r w:rsidR="00FE7F8B" w:rsidRPr="00155353">
          <w:rPr>
            <w:rStyle w:val="Hyperlink"/>
          </w:rPr>
          <w:fldChar w:fldCharType="end"/>
        </w:r>
      </w:hyperlink>
    </w:p>
    <w:p w14:paraId="1B08F4EF" w14:textId="47FF85F5"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41" w:anchor="_Toc461176314" w:history="1">
        <w:r w:rsidR="00FE7F8B" w:rsidRPr="00155353">
          <w:rPr>
            <w:rStyle w:val="Hyperlink"/>
          </w:rPr>
          <w:t>Note 25</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Annotated income agreements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_Toc461176314 \h </w:instrText>
        </w:r>
        <w:r w:rsidR="00FE7F8B" w:rsidRPr="00155353">
          <w:rPr>
            <w:rStyle w:val="Hyperlink"/>
          </w:rPr>
        </w:r>
        <w:r w:rsidR="00FE7F8B" w:rsidRPr="00155353">
          <w:rPr>
            <w:rStyle w:val="Hyperlink"/>
          </w:rPr>
          <w:fldChar w:fldCharType="separate"/>
        </w:r>
        <w:r w:rsidR="00B60957">
          <w:rPr>
            <w:rStyle w:val="Hyperlink"/>
            <w:webHidden/>
          </w:rPr>
          <w:t>82</w:t>
        </w:r>
        <w:r w:rsidR="00FE7F8B" w:rsidRPr="00155353">
          <w:rPr>
            <w:rStyle w:val="Hyperlink"/>
          </w:rPr>
          <w:fldChar w:fldCharType="end"/>
        </w:r>
      </w:hyperlink>
    </w:p>
    <w:p w14:paraId="41A9284D" w14:textId="3D39E5D8" w:rsidR="00FE7F8B" w:rsidRPr="00155353" w:rsidRDefault="00210167" w:rsidP="00FE7F8B">
      <w:pPr>
        <w:pStyle w:val="TOC1"/>
        <w:tabs>
          <w:tab w:val="left" w:pos="1760"/>
        </w:tabs>
        <w:rPr>
          <w:rFonts w:asciiTheme="minorHAnsi" w:eastAsiaTheme="minorEastAsia" w:hAnsiTheme="minorHAnsi" w:cstheme="minorBidi"/>
          <w:b w:val="0"/>
          <w:color w:val="auto"/>
          <w:sz w:val="22"/>
          <w:szCs w:val="22"/>
        </w:rPr>
      </w:pPr>
      <w:hyperlink r:id="rId42" w:anchor="_Toc461176315" w:history="1">
        <w:r w:rsidR="00FE7F8B" w:rsidRPr="00155353">
          <w:rPr>
            <w:rStyle w:val="Hyperlink"/>
          </w:rPr>
          <w:t>Note 26</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Trust account balances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_Toc461176315 \h </w:instrText>
        </w:r>
        <w:r w:rsidR="00FE7F8B" w:rsidRPr="00155353">
          <w:rPr>
            <w:rStyle w:val="Hyperlink"/>
          </w:rPr>
        </w:r>
        <w:r w:rsidR="00FE7F8B" w:rsidRPr="00155353">
          <w:rPr>
            <w:rStyle w:val="Hyperlink"/>
          </w:rPr>
          <w:fldChar w:fldCharType="separate"/>
        </w:r>
        <w:r w:rsidR="00B60957">
          <w:rPr>
            <w:rStyle w:val="Hyperlink"/>
            <w:webHidden/>
          </w:rPr>
          <w:t>83</w:t>
        </w:r>
        <w:r w:rsidR="00FE7F8B" w:rsidRPr="00155353">
          <w:rPr>
            <w:rStyle w:val="Hyperlink"/>
          </w:rPr>
          <w:fldChar w:fldCharType="end"/>
        </w:r>
      </w:hyperlink>
    </w:p>
    <w:p w14:paraId="117BE3A6" w14:textId="59848E17" w:rsidR="00FE7F8B" w:rsidRDefault="00210167" w:rsidP="00FE7F8B">
      <w:pPr>
        <w:pStyle w:val="TOC1"/>
        <w:tabs>
          <w:tab w:val="left" w:pos="1760"/>
        </w:tabs>
        <w:rPr>
          <w:rFonts w:asciiTheme="minorHAnsi" w:eastAsiaTheme="minorEastAsia" w:hAnsiTheme="minorHAnsi" w:cstheme="minorBidi"/>
          <w:b w:val="0"/>
          <w:color w:val="auto"/>
          <w:sz w:val="22"/>
          <w:szCs w:val="22"/>
        </w:rPr>
      </w:pPr>
      <w:hyperlink r:id="rId43" w:anchor="_Toc461176316" w:history="1">
        <w:r w:rsidR="00FE7F8B" w:rsidRPr="00155353">
          <w:rPr>
            <w:rStyle w:val="Hyperlink"/>
          </w:rPr>
          <w:t>Note 27</w:t>
        </w:r>
        <w:r w:rsidR="00FE7F8B" w:rsidRPr="00155353">
          <w:rPr>
            <w:rStyle w:val="Hyperlink"/>
            <w:rFonts w:asciiTheme="minorHAnsi" w:eastAsiaTheme="minorEastAsia" w:hAnsiTheme="minorHAnsi" w:cstheme="minorBidi"/>
            <w:b w:val="0"/>
            <w:sz w:val="22"/>
            <w:szCs w:val="22"/>
          </w:rPr>
          <w:tab/>
        </w:r>
        <w:r w:rsidR="00FE7F8B" w:rsidRPr="00155353">
          <w:rPr>
            <w:rStyle w:val="Hyperlink"/>
          </w:rPr>
          <w:t>Glossary of terms and style conventions</w:t>
        </w:r>
        <w:r w:rsidR="00FE7F8B" w:rsidRPr="00155353">
          <w:rPr>
            <w:rStyle w:val="Hyperlink"/>
            <w:webHidden/>
          </w:rPr>
          <w:tab/>
        </w:r>
        <w:r w:rsidR="00FE7F8B" w:rsidRPr="00155353">
          <w:rPr>
            <w:rStyle w:val="Hyperlink"/>
          </w:rPr>
          <w:fldChar w:fldCharType="begin"/>
        </w:r>
        <w:r w:rsidR="00FE7F8B" w:rsidRPr="00155353">
          <w:rPr>
            <w:rStyle w:val="Hyperlink"/>
            <w:webHidden/>
          </w:rPr>
          <w:instrText xml:space="preserve"> PAGEREF _Toc461176316 \h </w:instrText>
        </w:r>
        <w:r w:rsidR="00FE7F8B" w:rsidRPr="00155353">
          <w:rPr>
            <w:rStyle w:val="Hyperlink"/>
          </w:rPr>
        </w:r>
        <w:r w:rsidR="00FE7F8B" w:rsidRPr="00155353">
          <w:rPr>
            <w:rStyle w:val="Hyperlink"/>
          </w:rPr>
          <w:fldChar w:fldCharType="separate"/>
        </w:r>
        <w:r w:rsidR="00B60957">
          <w:rPr>
            <w:rStyle w:val="Hyperlink"/>
            <w:webHidden/>
          </w:rPr>
          <w:t>84</w:t>
        </w:r>
        <w:r w:rsidR="00FE7F8B" w:rsidRPr="00155353">
          <w:rPr>
            <w:rStyle w:val="Hyperlink"/>
          </w:rPr>
          <w:fldChar w:fldCharType="end"/>
        </w:r>
      </w:hyperlink>
    </w:p>
    <w:p w14:paraId="58D90A54" w14:textId="77777777" w:rsidR="00FE7F8B" w:rsidRDefault="00FE7F8B" w:rsidP="00FE7F8B">
      <w:r>
        <w:fldChar w:fldCharType="end"/>
      </w:r>
    </w:p>
    <w:p w14:paraId="196E2D1B" w14:textId="77777777" w:rsidR="00FE7F8B" w:rsidRDefault="00FE7F8B" w:rsidP="00FE7F8B">
      <w:pPr>
        <w:spacing w:after="0" w:line="240" w:lineRule="auto"/>
        <w:rPr>
          <w:rFonts w:cs="Arial"/>
          <w:bCs/>
          <w:iCs/>
          <w:sz w:val="28"/>
          <w:szCs w:val="28"/>
        </w:rPr>
        <w:sectPr w:rsidR="00FE7F8B">
          <w:footnotePr>
            <w:numRestart w:val="eachPage"/>
          </w:footnotePr>
          <w:type w:val="oddPage"/>
          <w:pgSz w:w="11909" w:h="16834"/>
          <w:pgMar w:top="1814" w:right="1701" w:bottom="1418" w:left="2835" w:header="992" w:footer="454" w:gutter="0"/>
          <w:cols w:space="720"/>
        </w:sectPr>
      </w:pPr>
    </w:p>
    <w:p w14:paraId="32C53090" w14:textId="77777777" w:rsidR="00FE7F8B" w:rsidRDefault="00FE7F8B" w:rsidP="00AD641C">
      <w:pPr>
        <w:pStyle w:val="Heading2notes"/>
        <w:numPr>
          <w:ilvl w:val="0"/>
          <w:numId w:val="39"/>
        </w:numPr>
      </w:pPr>
      <w:bookmarkStart w:id="44" w:name="_Toc461176290"/>
      <w:r>
        <w:t>Summary of significant accounting policies</w:t>
      </w:r>
      <w:bookmarkEnd w:id="44"/>
    </w:p>
    <w:p w14:paraId="51E4D04A" w14:textId="77777777" w:rsidR="00FE7F8B" w:rsidRDefault="00FE7F8B" w:rsidP="00FE7F8B">
      <w:pPr>
        <w:rPr>
          <w:rFonts w:cs="Arial"/>
          <w:b/>
          <w:bCs/>
          <w:sz w:val="22"/>
          <w:szCs w:val="19"/>
          <w:lang w:eastAsia="en-AU"/>
        </w:rPr>
      </w:pPr>
      <w:bookmarkStart w:id="45" w:name="compliance"/>
      <w:r>
        <w:t>These annual financial statements represent the audited general purpose financial statements for the Department of Education and Training (the Department) for the year ended 30 June 2016. The purpose of the report is to provide users with information about the Department’s stewardship of resources entrusted to it.</w:t>
      </w:r>
    </w:p>
    <w:p w14:paraId="521787C4" w14:textId="77777777" w:rsidR="00FE7F8B" w:rsidRDefault="00FE7F8B" w:rsidP="00AD641C">
      <w:pPr>
        <w:pStyle w:val="Heading3notesnumbered"/>
        <w:numPr>
          <w:ilvl w:val="0"/>
          <w:numId w:val="40"/>
        </w:numPr>
      </w:pPr>
      <w:r>
        <w:t>Statement of compliance</w:t>
      </w:r>
    </w:p>
    <w:p w14:paraId="6BC03EB8" w14:textId="2731E59B" w:rsidR="00FE7F8B" w:rsidRDefault="00FE7F8B" w:rsidP="00FE7F8B">
      <w:bookmarkStart w:id="46" w:name="_Ref400467535"/>
      <w:bookmarkEnd w:id="45"/>
      <w:r>
        <w:t xml:space="preserve">These general purpose financial statements have been prepared in accordance with the </w:t>
      </w:r>
      <w:r>
        <w:rPr>
          <w:i/>
        </w:rPr>
        <w:t>Financial Management Act 1994</w:t>
      </w:r>
      <w:r>
        <w:t xml:space="preserve"> (FMA) and applicable Australian accounting standards (AA</w:t>
      </w:r>
      <w:r w:rsidR="000848E5">
        <w:t>S) which include I</w:t>
      </w:r>
      <w:r>
        <w:t xml:space="preserve">nterpretations, issued by the Australian Accounting Standards Board (AASB). In particular, they are presented in a manner consistent with the requirements of the AASB 1049 </w:t>
      </w:r>
      <w:r>
        <w:rPr>
          <w:i/>
        </w:rPr>
        <w:t>Whole of Government and General Government Sector Financial Reporting</w:t>
      </w:r>
      <w:r>
        <w:t>.</w:t>
      </w:r>
    </w:p>
    <w:p w14:paraId="493314DA" w14:textId="14C716DC" w:rsidR="00FE7F8B" w:rsidRDefault="00FE7F8B" w:rsidP="00FE7F8B">
      <w:r>
        <w:t>Where appropriate, those AAS</w:t>
      </w:r>
      <w:r w:rsidR="000848E5">
        <w:t>s</w:t>
      </w:r>
      <w:r>
        <w:t xml:space="preserve"> paragraphs applicable to not-for-profit entities have been applied.</w:t>
      </w:r>
    </w:p>
    <w:p w14:paraId="47B3BA59" w14:textId="32F0D740" w:rsidR="00FE7F8B" w:rsidRDefault="00FE7F8B" w:rsidP="00FE7F8B">
      <w:r>
        <w:t xml:space="preserve">Accounting policies are selected and applied in a manner </w:t>
      </w:r>
      <w:r w:rsidR="007536A7">
        <w:t>which</w:t>
      </w:r>
      <w:r>
        <w:t xml:space="preserve"> ensures that the resulting financial information satisfies the concepts of relevance and reliability, thereby ensuring that the substance of the underlying transactions or other events is reported.</w:t>
      </w:r>
    </w:p>
    <w:p w14:paraId="5500C94A" w14:textId="77777777" w:rsidR="00FE7F8B" w:rsidRDefault="00FE7F8B" w:rsidP="00FE7F8B">
      <w:r>
        <w:t>To gain a better understanding of the terminology used in this report, a glossary of terms and style conventions can be found in Note 27 Glossary of terms and style conventions.</w:t>
      </w:r>
    </w:p>
    <w:p w14:paraId="1A36F75F" w14:textId="77777777" w:rsidR="00FE7F8B" w:rsidRDefault="00FE7F8B" w:rsidP="00FE7F8B">
      <w:pPr>
        <w:rPr>
          <w:rFonts w:cs="Arial"/>
          <w:b/>
          <w:bCs/>
          <w:sz w:val="22"/>
          <w:szCs w:val="19"/>
          <w:lang w:eastAsia="en-AU"/>
        </w:rPr>
      </w:pPr>
      <w:r>
        <w:t>These annual financial statements were authorised for issue by the Secretary of the Department on 12 September 2016.</w:t>
      </w:r>
    </w:p>
    <w:p w14:paraId="49BCC909" w14:textId="77777777" w:rsidR="00FE7F8B" w:rsidRDefault="00FE7F8B" w:rsidP="00AD641C">
      <w:pPr>
        <w:pStyle w:val="Heading3notesnumbered"/>
        <w:numPr>
          <w:ilvl w:val="0"/>
          <w:numId w:val="40"/>
        </w:numPr>
      </w:pPr>
      <w:r>
        <w:t>Basis of accounting preparation and measurement</w:t>
      </w:r>
      <w:bookmarkEnd w:id="46"/>
    </w:p>
    <w:p w14:paraId="6A7929B8" w14:textId="77777777" w:rsidR="00FE7F8B" w:rsidRDefault="00FE7F8B" w:rsidP="00FE7F8B">
      <w:r>
        <w:t>The accrual basis of accounting has been applied in the preparation of these financial statements whereby assets, liabilities, equity, income and expenses are recognised in the reporting period to which they relate, regardless of when cash is received or paid.</w:t>
      </w:r>
    </w:p>
    <w:p w14:paraId="454274AD" w14:textId="77777777" w:rsidR="00FE7F8B" w:rsidRDefault="00FE7F8B" w:rsidP="00FE7F8B">
      <w:r>
        <w:t>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14:paraId="2182DBDA" w14:textId="77777777" w:rsidR="00FE7F8B" w:rsidRDefault="00FE7F8B" w:rsidP="00FE7F8B">
      <w:r>
        <w:t>Revisions to accounting estimates are recognised in the period in which the estimate is revised and also in future periods that are affected by the revision. Judgements and assumptions made by management in the application of AASs that have significant effects on the financial statements and estimates relate to:</w:t>
      </w:r>
    </w:p>
    <w:p w14:paraId="34390D38" w14:textId="77777777" w:rsidR="00FE7F8B" w:rsidRDefault="00FE7F8B" w:rsidP="00AD641C">
      <w:pPr>
        <w:pStyle w:val="Normallistbullet"/>
        <w:numPr>
          <w:ilvl w:val="0"/>
          <w:numId w:val="42"/>
        </w:numPr>
      </w:pPr>
      <w:r>
        <w:t>the fair value of land, buildings, plant and equipment, (Note 1(k))</w:t>
      </w:r>
    </w:p>
    <w:p w14:paraId="0BBCDAB7" w14:textId="77777777" w:rsidR="00FE7F8B" w:rsidRDefault="00FE7F8B" w:rsidP="00AD641C">
      <w:pPr>
        <w:pStyle w:val="Normallistbullet"/>
        <w:numPr>
          <w:ilvl w:val="0"/>
          <w:numId w:val="42"/>
        </w:numPr>
      </w:pPr>
      <w:r>
        <w:t>impairment of buildings, plant and equipment, and intangibles (Note 1(g))</w:t>
      </w:r>
    </w:p>
    <w:p w14:paraId="671F48E3" w14:textId="77777777" w:rsidR="00FE7F8B" w:rsidRDefault="00FE7F8B" w:rsidP="00AD641C">
      <w:pPr>
        <w:pStyle w:val="Normallistbullet"/>
        <w:numPr>
          <w:ilvl w:val="0"/>
          <w:numId w:val="42"/>
        </w:numPr>
      </w:pPr>
      <w:r>
        <w:t>depreciation and amortisation expense (Note 1(f))</w:t>
      </w:r>
    </w:p>
    <w:p w14:paraId="363C2553" w14:textId="77777777" w:rsidR="00FE7F8B" w:rsidRDefault="00FE7F8B" w:rsidP="00AD641C">
      <w:pPr>
        <w:pStyle w:val="Normallistbullet"/>
        <w:numPr>
          <w:ilvl w:val="0"/>
          <w:numId w:val="42"/>
        </w:numPr>
      </w:pPr>
      <w:proofErr w:type="gramStart"/>
      <w:r>
        <w:t>assumptions</w:t>
      </w:r>
      <w:proofErr w:type="gramEnd"/>
      <w:r>
        <w:t xml:space="preserve"> for employee benefit provisions based on likely tenure of existing staff, patterns of leave claims, future salary movements and future discount rates (Note 1(l)).</w:t>
      </w:r>
    </w:p>
    <w:p w14:paraId="3C70BA78" w14:textId="77777777" w:rsidR="00FE7F8B" w:rsidRDefault="00FE7F8B" w:rsidP="00FE7F8B">
      <w:r>
        <w:t>These financial statements are presented in Australian dollars, and prepared in accordance with the historical cost conventions, except for:</w:t>
      </w:r>
    </w:p>
    <w:p w14:paraId="4BAE54DA" w14:textId="77777777" w:rsidR="00FE7F8B" w:rsidRDefault="00FE7F8B" w:rsidP="00AD641C">
      <w:pPr>
        <w:pStyle w:val="Normallistbullet"/>
        <w:numPr>
          <w:ilvl w:val="0"/>
          <w:numId w:val="42"/>
        </w:numPr>
      </w:pPr>
      <w:proofErr w:type="gramStart"/>
      <w:r>
        <w:t>non-financial</w:t>
      </w:r>
      <w:proofErr w:type="gramEnd"/>
      <w:r>
        <w:t xml:space="preserve"> physical assets which, subsequent to acquisition, are measured at a revalued amount being their fair value (Note 1(k)). Revaluations are made with sufficient regularity to ensure that the carrying amounts do not materially differ from their fair value</w:t>
      </w:r>
    </w:p>
    <w:p w14:paraId="79F9FF11" w14:textId="77777777" w:rsidR="00FE7F8B" w:rsidRDefault="00FE7F8B" w:rsidP="00AD641C">
      <w:pPr>
        <w:pStyle w:val="Normallistbullet"/>
        <w:numPr>
          <w:ilvl w:val="0"/>
          <w:numId w:val="42"/>
        </w:numPr>
      </w:pPr>
      <w:proofErr w:type="gramStart"/>
      <w:r>
        <w:t>certain</w:t>
      </w:r>
      <w:proofErr w:type="gramEnd"/>
      <w:r>
        <w:t xml:space="preserve"> liabilities, most notably employee entitlements.</w:t>
      </w:r>
    </w:p>
    <w:p w14:paraId="06BB2125" w14:textId="77777777" w:rsidR="00FE7F8B" w:rsidRDefault="00FE7F8B" w:rsidP="00FE7F8B">
      <w:r>
        <w:t xml:space="preserve">Consistent with AASB 13 </w:t>
      </w:r>
      <w:r>
        <w:rPr>
          <w:i/>
        </w:rPr>
        <w:t>Fair Value Measurement</w:t>
      </w:r>
      <w:r>
        <w:t xml:space="preserve">, the Department determines the policies and procedures for both recurring fair value measurements such as property, plant and equipment, and financial instruments and for non-recurring fair value measurements such as non-financial physical assets held for sale, in accordance with the requirements of AASB 13, AASB 5 </w:t>
      </w:r>
      <w:r>
        <w:rPr>
          <w:i/>
        </w:rPr>
        <w:t>Assets Held for Sale and Discontinued Operations</w:t>
      </w:r>
      <w:r>
        <w:t xml:space="preserve"> and relevant Financial Reporting Directions (FRDs).</w:t>
      </w:r>
    </w:p>
    <w:p w14:paraId="53F3468E" w14:textId="77777777" w:rsidR="00FE7F8B" w:rsidRDefault="00FE7F8B" w:rsidP="00FE7F8B">
      <w:r>
        <w:t>All assets and liabilities for which fair value is measured or disclosed in the financial statements are categorised within the fair value hierarchy, described as follows, based on the lowest level input that is significant to the fair value measurement as a whole:</w:t>
      </w:r>
    </w:p>
    <w:p w14:paraId="36E6A5AE" w14:textId="77777777" w:rsidR="00FE7F8B" w:rsidRDefault="00FE7F8B" w:rsidP="00AD641C">
      <w:pPr>
        <w:pStyle w:val="Normallistbullet"/>
        <w:numPr>
          <w:ilvl w:val="0"/>
          <w:numId w:val="42"/>
        </w:numPr>
      </w:pPr>
      <w:r>
        <w:t>Level 1—Quoted (unadjusted) market prices in active markets for identical assets or liabilities</w:t>
      </w:r>
    </w:p>
    <w:p w14:paraId="496ED3DC" w14:textId="77777777" w:rsidR="00FE7F8B" w:rsidRDefault="00FE7F8B" w:rsidP="00AD641C">
      <w:pPr>
        <w:pStyle w:val="Normallistbullet"/>
        <w:numPr>
          <w:ilvl w:val="0"/>
          <w:numId w:val="42"/>
        </w:numPr>
      </w:pPr>
      <w:r>
        <w:t>Level 2—Valuation techniques for which the lowest level input that is significant to the fair value measurement is directly or indirectly observable</w:t>
      </w:r>
    </w:p>
    <w:p w14:paraId="3BC27BFC" w14:textId="77777777" w:rsidR="00FE7F8B" w:rsidRDefault="00FE7F8B" w:rsidP="00AD641C">
      <w:pPr>
        <w:pStyle w:val="Normallistbullet"/>
        <w:numPr>
          <w:ilvl w:val="0"/>
          <w:numId w:val="42"/>
        </w:numPr>
      </w:pPr>
      <w:r>
        <w:t>Level 3—Valuation techniques for which the lowest level input that is significant to the fair value measurement is unobservable.</w:t>
      </w:r>
    </w:p>
    <w:p w14:paraId="2F1B3CF4" w14:textId="77777777" w:rsidR="00FE7F8B" w:rsidRDefault="00FE7F8B" w:rsidP="00EF11A2">
      <w:r>
        <w:t>For the purpose of fair value disclosures, the Department has determined classes of assets and liabilities on the basis of the nature, characteristics and risks of the asset or liability and the level of the fair value hierarchy as explained above.</w:t>
      </w:r>
    </w:p>
    <w:p w14:paraId="42FE1E47" w14:textId="77777777" w:rsidR="00FE7F8B" w:rsidRDefault="00FE7F8B" w:rsidP="00EF11A2">
      <w:r>
        <w:t>In addition, the Department determines whether transfers have occurred between levels in the hierarchy by re-assessing categorisation (based on the lowest level input that is significant to the fair value measurement as a whole) at the end of each reporting period.</w:t>
      </w:r>
    </w:p>
    <w:p w14:paraId="29DC6821" w14:textId="77777777" w:rsidR="00FE7F8B" w:rsidRDefault="00FE7F8B" w:rsidP="00EF11A2">
      <w:r>
        <w:t xml:space="preserve">The </w:t>
      </w:r>
      <w:proofErr w:type="spellStart"/>
      <w:r>
        <w:t>Valuer</w:t>
      </w:r>
      <w:proofErr w:type="spellEnd"/>
      <w:r>
        <w:t>-General Victoria is the Department’s independent valuation agency.</w:t>
      </w:r>
    </w:p>
    <w:p w14:paraId="079387C5" w14:textId="77777777" w:rsidR="00FE7F8B" w:rsidRDefault="00FE7F8B" w:rsidP="00EF11A2">
      <w:r>
        <w:t xml:space="preserve">The Department, in conjunction with the </w:t>
      </w:r>
      <w:proofErr w:type="spellStart"/>
      <w:r>
        <w:t>Valuer</w:t>
      </w:r>
      <w:proofErr w:type="spellEnd"/>
      <w:r>
        <w:t>-General Victoria, monitors changes in the fair value of each asset and liability through relevant data sources to determine whether revaluations are required. The recurring fair value measurements of non-financial physical assets, such as land and school buildings, are based on level 3 unobservable inputs due to the nature and characteristics of the school assets. School assets are specialised assets where there is little or no observable market evidence of the market-selling price as a community service obligation (CSO) is applied to such assets (Note 1(k)).</w:t>
      </w:r>
    </w:p>
    <w:p w14:paraId="41CC3282" w14:textId="77777777" w:rsidR="00FE7F8B" w:rsidRDefault="00FE7F8B" w:rsidP="00FE7F8B">
      <w:pPr>
        <w:pStyle w:val="Heading4notes"/>
      </w:pPr>
      <w:r>
        <w:t>Administered items</w:t>
      </w:r>
    </w:p>
    <w:p w14:paraId="51BA89EE" w14:textId="77777777" w:rsidR="00FE7F8B" w:rsidRDefault="00FE7F8B" w:rsidP="00FE7F8B">
      <w:r>
        <w:t>Certain resources are administered by the Department on behalf of the State. While the Department is accountable for the transactions involving administered items, it does not have the discretion to deploy the resources for its own benefit or the achievement of its objectives. Accordingly, transactions and balances relating to administered items are not recognised as departmental income, expenses, assets or liabilities within the body of the main financial statements. They are disclosed separately in Note 3.</w:t>
      </w:r>
    </w:p>
    <w:p w14:paraId="7C4A4E18" w14:textId="77777777" w:rsidR="00FE7F8B" w:rsidRDefault="00FE7F8B" w:rsidP="00FE7F8B">
      <w:r>
        <w:t>Administered income includes Commonwealth on-passing grants, fees and the proceeds from the sale of administered surplus land and buildings. Administered assets include government income earned but yet to be collected. Administered liabilities include government expenses incurred but yet to be paid. Disclosures related to administered items can be found in Note 3.</w:t>
      </w:r>
    </w:p>
    <w:p w14:paraId="49A2D85E" w14:textId="77777777" w:rsidR="00FE7F8B" w:rsidRDefault="00FE7F8B" w:rsidP="00FE7F8B">
      <w:pPr>
        <w:rPr>
          <w:b/>
          <w:i/>
        </w:rPr>
      </w:pPr>
      <w:r>
        <w:t>Except as otherwise disclosed, administered resources are accounted for on an accrual basis using the same accounting policies adopted for recognition of the departmental items in the financial statements. Both controlled and administered items of the Department are consolidated into the financial statements of the State.</w:t>
      </w:r>
    </w:p>
    <w:p w14:paraId="07536C7D" w14:textId="77777777" w:rsidR="00FE7F8B" w:rsidRDefault="00FE7F8B" w:rsidP="00FE7F8B">
      <w:pPr>
        <w:pStyle w:val="Heading4notes"/>
      </w:pPr>
      <w:r>
        <w:t>Funds held in Administered trust</w:t>
      </w:r>
    </w:p>
    <w:p w14:paraId="26759ED3" w14:textId="77777777" w:rsidR="00FE7F8B" w:rsidRDefault="00FE7F8B" w:rsidP="00EF11A2">
      <w:pPr>
        <w:pStyle w:val="Heading5"/>
      </w:pPr>
      <w:r>
        <w:t>Other trust activities on behalf of parties external to the Victorian Government</w:t>
      </w:r>
    </w:p>
    <w:p w14:paraId="095ACCF6" w14:textId="77777777" w:rsidR="00FE7F8B" w:rsidRDefault="00FE7F8B" w:rsidP="00FE7F8B">
      <w:pPr>
        <w:rPr>
          <w:rFonts w:cs="Arial"/>
          <w:b/>
          <w:bCs/>
          <w:sz w:val="22"/>
          <w:szCs w:val="19"/>
          <w:lang w:eastAsia="en-AU"/>
        </w:rPr>
      </w:pPr>
      <w:r>
        <w:t>The Department has responsibility for transactions and balances relating to trust funds on behalf of third parties external to the Victorian Government. The Department has received monies in a trustee capacity for various trusts including prizes and scholarships. Income, expenses, assets and liabilities managed on behalf of third parties are not recognised in these financial statements as they are managed on a fiduciary and custodial basis, and therefore not controlled by the Department or the Victorian Government.</w:t>
      </w:r>
    </w:p>
    <w:p w14:paraId="7B75B7B4" w14:textId="77777777" w:rsidR="00FE7F8B" w:rsidRDefault="00FE7F8B" w:rsidP="00AD641C">
      <w:pPr>
        <w:pStyle w:val="Heading3notesnumbered"/>
        <w:numPr>
          <w:ilvl w:val="0"/>
          <w:numId w:val="40"/>
        </w:numPr>
      </w:pPr>
      <w:r>
        <w:t>Reporting entity</w:t>
      </w:r>
    </w:p>
    <w:p w14:paraId="6E157963" w14:textId="77777777" w:rsidR="00FE7F8B" w:rsidRDefault="00FE7F8B" w:rsidP="00FE7F8B">
      <w:r>
        <w:t xml:space="preserve">The Department is a government department of the State of Victoria, established pursuant to an order made by the Premier under the </w:t>
      </w:r>
      <w:r>
        <w:rPr>
          <w:i/>
        </w:rPr>
        <w:t>Administrative Arrangements Act 1983</w:t>
      </w:r>
      <w:r>
        <w:t>.</w:t>
      </w:r>
    </w:p>
    <w:p w14:paraId="48DEB4B0" w14:textId="77777777" w:rsidR="00FE7F8B" w:rsidRDefault="00FE7F8B" w:rsidP="00FE7F8B">
      <w:pPr>
        <w:pStyle w:val="Normalbeforelist"/>
      </w:pPr>
      <w:r>
        <w:t>Its principal address is:</w:t>
      </w:r>
    </w:p>
    <w:p w14:paraId="22C6A92B" w14:textId="77777777" w:rsidR="00FE7F8B" w:rsidRDefault="00FE7F8B" w:rsidP="00FE7F8B">
      <w:pPr>
        <w:pStyle w:val="Indentedtext"/>
      </w:pPr>
      <w:r>
        <w:t>Department of Education and Training</w:t>
      </w:r>
      <w:r>
        <w:br/>
        <w:t xml:space="preserve">2 Treasury Place </w:t>
      </w:r>
      <w:r>
        <w:br/>
        <w:t>Melbourne VIC 3002</w:t>
      </w:r>
    </w:p>
    <w:p w14:paraId="3A54994F" w14:textId="77777777" w:rsidR="00FE7F8B" w:rsidRDefault="00FE7F8B" w:rsidP="00FE7F8B">
      <w:pPr>
        <w:pStyle w:val="Normalafterlist"/>
      </w:pPr>
      <w:r>
        <w:t xml:space="preserve">The Department is </w:t>
      </w:r>
      <w:proofErr w:type="gramStart"/>
      <w:r>
        <w:t>an administrative</w:t>
      </w:r>
      <w:proofErr w:type="gramEnd"/>
      <w:r>
        <w:t xml:space="preserve"> agency acting on behalf of the Crown.</w:t>
      </w:r>
    </w:p>
    <w:p w14:paraId="5A8A3880" w14:textId="77777777" w:rsidR="00FE7F8B" w:rsidRDefault="00FE7F8B" w:rsidP="00FE7F8B">
      <w:r>
        <w:t>The financial statements include all the controlled activities of the Department.</w:t>
      </w:r>
    </w:p>
    <w:p w14:paraId="03A66750" w14:textId="77777777" w:rsidR="00FE7F8B" w:rsidRDefault="00FE7F8B" w:rsidP="00FE7F8B">
      <w:r>
        <w:t>A description of the nature of the Department’s operations and its principal activities is included in the Report of Operations which does not form part of these financial statements.</w:t>
      </w:r>
    </w:p>
    <w:p w14:paraId="21D60F41" w14:textId="77777777" w:rsidR="00FE7F8B" w:rsidRDefault="00FE7F8B" w:rsidP="00FE7F8B">
      <w:r>
        <w:t>The financial statements cover the Department as an individual reporting entity.</w:t>
      </w:r>
    </w:p>
    <w:p w14:paraId="2C13E404" w14:textId="77777777" w:rsidR="00FE7F8B" w:rsidRDefault="00FE7F8B" w:rsidP="00FE7F8B">
      <w:r>
        <w:t>The financial statements exclude bodies in the Department’s portfolio that are not controlled by the Department, and therefore are not consolidated. Bodies and activities that are administered (see explanation below under administered items) are also not controlled and not consolidated. In preparing consolidated financial statements for the Department, all material transactions and balances between consolidated entities are eliminated.</w:t>
      </w:r>
    </w:p>
    <w:p w14:paraId="121F3829" w14:textId="77777777" w:rsidR="00FE7F8B" w:rsidRDefault="00FE7F8B" w:rsidP="00FE7F8B">
      <w:r>
        <w:t>The financial statements include all transactions of the Department and the Victorian Government’s primary and secondary schools. All transactions between the Department and these schools have been eliminated as required by AASs. Transactions with non-government schools are not eliminated.</w:t>
      </w:r>
    </w:p>
    <w:p w14:paraId="52BA340A" w14:textId="77777777" w:rsidR="00FE7F8B" w:rsidRDefault="00FE7F8B" w:rsidP="00FE7F8B">
      <w:pPr>
        <w:pStyle w:val="Heading4notes"/>
      </w:pPr>
      <w:r>
        <w:t>Objectives and funding</w:t>
      </w:r>
    </w:p>
    <w:p w14:paraId="4C6B57D9" w14:textId="77777777" w:rsidR="00FE7F8B" w:rsidRDefault="00FE7F8B" w:rsidP="00FE7F8B">
      <w:r>
        <w:t>The Department leads the delivery of education and development services to children, young people and adults both directly through government schools and indirectly through the regulation and funding of early childhood services, non-government schools and training programs.</w:t>
      </w:r>
    </w:p>
    <w:p w14:paraId="4D15EF1B" w14:textId="77777777" w:rsidR="00FE7F8B" w:rsidRDefault="00FE7F8B" w:rsidP="00FE7F8B">
      <w:r>
        <w:t>The Department implements Victorian Government policy on early childhood services, school education and training and higher education services. The Department manages Victorian government schools and drives improvement in primary and secondary government education.</w:t>
      </w:r>
    </w:p>
    <w:p w14:paraId="5D82BF64" w14:textId="77777777" w:rsidR="00FE7F8B" w:rsidRDefault="00FE7F8B" w:rsidP="00FE7F8B">
      <w:r>
        <w:t>The Department provides support and advisory services to the Minister for Education, Minister for Training and Skills and the Minister for Families and Children, as well as a number of statutory bodies.</w:t>
      </w:r>
    </w:p>
    <w:p w14:paraId="7BF53E55" w14:textId="77777777" w:rsidR="00FE7F8B" w:rsidRDefault="00FE7F8B" w:rsidP="00FE7F8B">
      <w:r>
        <w:t>The Department is predominantly funded by accrual-based parliamentary appropriations for the provision of outputs that are further described in Note 2.</w:t>
      </w:r>
    </w:p>
    <w:p w14:paraId="0A654F60" w14:textId="77777777" w:rsidR="00FE7F8B" w:rsidRDefault="00FE7F8B" w:rsidP="00FE7F8B">
      <w:pPr>
        <w:pStyle w:val="Heading4notes"/>
      </w:pPr>
      <w:r>
        <w:t>Outputs of the Department</w:t>
      </w:r>
    </w:p>
    <w:p w14:paraId="6BA2B92A" w14:textId="77777777" w:rsidR="00FE7F8B" w:rsidRDefault="00FE7F8B" w:rsidP="00FE7F8B">
      <w:pPr>
        <w:rPr>
          <w:rFonts w:cs="Arial"/>
          <w:b/>
          <w:bCs/>
          <w:sz w:val="22"/>
          <w:szCs w:val="19"/>
          <w:lang w:eastAsia="en-AU"/>
        </w:rPr>
      </w:pPr>
      <w:bookmarkStart w:id="47" w:name="_Ref399938695"/>
      <w:r>
        <w:t>Information about the Department’s output activities and the expenses, income, assets and liabilities which are reliably attributable to those output activities is set out in the Departmental outputs schedule (Note 2). Information about expenses, income, assets and liabilities administered by the Department are given in the schedule of administered items (Note 3).</w:t>
      </w:r>
    </w:p>
    <w:p w14:paraId="5CA66F4D" w14:textId="77777777" w:rsidR="00FE7F8B" w:rsidRDefault="00FE7F8B" w:rsidP="00AD641C">
      <w:pPr>
        <w:pStyle w:val="Heading3notesnumbered"/>
        <w:numPr>
          <w:ilvl w:val="0"/>
          <w:numId w:val="40"/>
        </w:numPr>
      </w:pPr>
      <w:r>
        <w:t>Scope and presentation of financial statements</w:t>
      </w:r>
      <w:bookmarkEnd w:id="47"/>
    </w:p>
    <w:p w14:paraId="7808BE4D" w14:textId="77777777" w:rsidR="00FE7F8B" w:rsidRDefault="00FE7F8B" w:rsidP="00FE7F8B">
      <w:pPr>
        <w:pStyle w:val="Heading4notes"/>
      </w:pPr>
      <w:r>
        <w:t>Comprehensive operating statement</w:t>
      </w:r>
    </w:p>
    <w:p w14:paraId="02798E4E" w14:textId="77777777" w:rsidR="00FE7F8B" w:rsidRDefault="00FE7F8B" w:rsidP="00FE7F8B">
      <w:pPr>
        <w:pStyle w:val="Normalbeforelist"/>
      </w:pPr>
      <w:r>
        <w:t>The comprehensive operating statement comprises three components, being:</w:t>
      </w:r>
    </w:p>
    <w:p w14:paraId="0C550368" w14:textId="77777777" w:rsidR="00FE7F8B" w:rsidRDefault="00FE7F8B" w:rsidP="00AD641C">
      <w:pPr>
        <w:pStyle w:val="Normallistbullet"/>
        <w:numPr>
          <w:ilvl w:val="0"/>
          <w:numId w:val="42"/>
        </w:numPr>
      </w:pPr>
      <w:r>
        <w:t>Net result from transactions (also termed net operating balance)</w:t>
      </w:r>
    </w:p>
    <w:p w14:paraId="347061AF" w14:textId="77777777" w:rsidR="00FE7F8B" w:rsidRDefault="00FE7F8B" w:rsidP="00AD641C">
      <w:pPr>
        <w:pStyle w:val="Normallistbullet"/>
        <w:numPr>
          <w:ilvl w:val="0"/>
          <w:numId w:val="42"/>
        </w:numPr>
      </w:pPr>
      <w:r>
        <w:t>Other economic flows included in net result</w:t>
      </w:r>
    </w:p>
    <w:p w14:paraId="56604A2F" w14:textId="77777777" w:rsidR="00FE7F8B" w:rsidRDefault="00FE7F8B" w:rsidP="00AD641C">
      <w:pPr>
        <w:pStyle w:val="Normallistbullet"/>
        <w:numPr>
          <w:ilvl w:val="0"/>
          <w:numId w:val="42"/>
        </w:numPr>
      </w:pPr>
      <w:r>
        <w:t>Other economic flows—other comprehensive income.</w:t>
      </w:r>
    </w:p>
    <w:p w14:paraId="470AD2F0" w14:textId="77777777" w:rsidR="00FE7F8B" w:rsidRDefault="00FE7F8B" w:rsidP="00FE7F8B">
      <w:pPr>
        <w:pStyle w:val="Normalafterlist"/>
      </w:pPr>
      <w:r>
        <w:t>The sum of the former two represents the net result, which is equivalent to profit or loss derived in accordance with AAS.</w:t>
      </w:r>
    </w:p>
    <w:p w14:paraId="054B2BE4" w14:textId="77777777" w:rsidR="00FE7F8B" w:rsidRDefault="00FE7F8B" w:rsidP="00FE7F8B">
      <w:pPr>
        <w:pStyle w:val="Normalafterlist"/>
      </w:pPr>
      <w:r>
        <w:t>Other economic flows are changes arising from market re-measurements. They include:</w:t>
      </w:r>
    </w:p>
    <w:p w14:paraId="2FDF701E" w14:textId="77777777" w:rsidR="00FE7F8B" w:rsidRDefault="00FE7F8B" w:rsidP="00AD641C">
      <w:pPr>
        <w:pStyle w:val="Normallistbullet"/>
        <w:numPr>
          <w:ilvl w:val="0"/>
          <w:numId w:val="42"/>
        </w:numPr>
      </w:pPr>
      <w:r>
        <w:t>gains and losses from disposals of non-financial assets</w:t>
      </w:r>
    </w:p>
    <w:p w14:paraId="29DD01C5" w14:textId="77777777" w:rsidR="00FE7F8B" w:rsidRDefault="00FE7F8B" w:rsidP="00AD641C">
      <w:pPr>
        <w:pStyle w:val="Normallistbullet"/>
        <w:numPr>
          <w:ilvl w:val="0"/>
          <w:numId w:val="42"/>
        </w:numPr>
      </w:pPr>
      <w:r>
        <w:t>revaluations and impairments of non-financial physical and intangible assets</w:t>
      </w:r>
    </w:p>
    <w:p w14:paraId="1E99B85D" w14:textId="77777777" w:rsidR="00FE7F8B" w:rsidRDefault="00FE7F8B" w:rsidP="00AD641C">
      <w:pPr>
        <w:pStyle w:val="Normallistbullet"/>
        <w:numPr>
          <w:ilvl w:val="0"/>
          <w:numId w:val="42"/>
        </w:numPr>
      </w:pPr>
      <w:r>
        <w:t>assets reinstated</w:t>
      </w:r>
    </w:p>
    <w:p w14:paraId="0A427A71" w14:textId="77777777" w:rsidR="00FE7F8B" w:rsidRDefault="00FE7F8B" w:rsidP="00AD641C">
      <w:pPr>
        <w:pStyle w:val="Normallistbullet"/>
        <w:numPr>
          <w:ilvl w:val="0"/>
          <w:numId w:val="42"/>
        </w:numPr>
      </w:pPr>
      <w:r>
        <w:t>fair value changes of financial instruments; and</w:t>
      </w:r>
    </w:p>
    <w:p w14:paraId="335FEC6F" w14:textId="77777777" w:rsidR="00FE7F8B" w:rsidRDefault="00FE7F8B" w:rsidP="00AD641C">
      <w:pPr>
        <w:pStyle w:val="Normallistbullet"/>
        <w:numPr>
          <w:ilvl w:val="0"/>
          <w:numId w:val="42"/>
        </w:numPr>
      </w:pPr>
      <w:proofErr w:type="gramStart"/>
      <w:r>
        <w:t>gains</w:t>
      </w:r>
      <w:proofErr w:type="gramEnd"/>
      <w:r>
        <w:t xml:space="preserve"> and losses from revaluation of long service leave liability.</w:t>
      </w:r>
    </w:p>
    <w:p w14:paraId="01FE3EB0" w14:textId="77777777" w:rsidR="00FE7F8B" w:rsidRDefault="00FE7F8B" w:rsidP="00FE7F8B">
      <w:pPr>
        <w:pStyle w:val="Normalafterlist"/>
      </w:pPr>
      <w:r>
        <w:t xml:space="preserve">This classification is consistent with the whole-of-government reporting format and is allowed under AASB 101 </w:t>
      </w:r>
      <w:r>
        <w:rPr>
          <w:i/>
        </w:rPr>
        <w:t>Presentation of Financial Statements</w:t>
      </w:r>
      <w:r>
        <w:t>.</w:t>
      </w:r>
    </w:p>
    <w:p w14:paraId="11B789AE" w14:textId="77777777" w:rsidR="00FE7F8B" w:rsidRDefault="00FE7F8B" w:rsidP="00FE7F8B">
      <w:pPr>
        <w:pStyle w:val="Heading4notes"/>
      </w:pPr>
      <w:r>
        <w:t>Balance sheet</w:t>
      </w:r>
    </w:p>
    <w:p w14:paraId="4929A457" w14:textId="77777777" w:rsidR="00FE7F8B" w:rsidRDefault="00FE7F8B" w:rsidP="00FE7F8B">
      <w:r>
        <w:t>Assets and liabilities are presented in liquidity order with assets aggregated into financial assets and non-financial assets.</w:t>
      </w:r>
    </w:p>
    <w:p w14:paraId="5D927D10" w14:textId="77777777" w:rsidR="00FE7F8B" w:rsidRDefault="00FE7F8B" w:rsidP="00FE7F8B">
      <w:r>
        <w:t>Current and non-current assets and liabilities are disclosed in the notes, where relevant. In general, non-current assets or liabilities are expected to be recovered or settled more than 12 months after the reporting period, except for the provisions of employee benefits, which are classified as current liabilities if the Department does not have the unconditional right to defer the settlement of the liabilities within 12 months after the end of the reporting period.</w:t>
      </w:r>
    </w:p>
    <w:p w14:paraId="57D4B863" w14:textId="77777777" w:rsidR="00FE7F8B" w:rsidRDefault="00FE7F8B" w:rsidP="00FE7F8B">
      <w:pPr>
        <w:pStyle w:val="Heading4notes"/>
      </w:pPr>
      <w:r>
        <w:t>Statement of changes in equity</w:t>
      </w:r>
    </w:p>
    <w:p w14:paraId="16B2852F" w14:textId="456B44D1" w:rsidR="00FE7F8B" w:rsidRDefault="00FE7F8B" w:rsidP="00FE7F8B">
      <w:r>
        <w:t xml:space="preserve">The statement of changes in equity presents reconciliations of each non-owner and owner equity opening balance at the beginning of the reporting period to the closing balance at the end of the reporting period. It also shows separately changes due to amounts recognised in the ‘Comprehensive result’ and amounts </w:t>
      </w:r>
      <w:r w:rsidR="002619FD">
        <w:t>related to ‘Transactions with owner in its capacity as owner’’</w:t>
      </w:r>
      <w:r>
        <w:t>.</w:t>
      </w:r>
    </w:p>
    <w:p w14:paraId="59AC2008" w14:textId="77777777" w:rsidR="00FE7F8B" w:rsidRDefault="00FE7F8B" w:rsidP="00FE7F8B">
      <w:pPr>
        <w:pStyle w:val="Heading4notes"/>
      </w:pPr>
      <w:r>
        <w:t>Cash flow statement</w:t>
      </w:r>
    </w:p>
    <w:p w14:paraId="3B55C972" w14:textId="77777777" w:rsidR="00FE7F8B" w:rsidRDefault="00FE7F8B" w:rsidP="00FE7F8B">
      <w:bookmarkStart w:id="48" w:name="Roundingofamounts"/>
      <w:r>
        <w:t xml:space="preserve">Cash flows are classified according to whether or not they arise from operating, investing or financing activities. This classification is consistent with requirements under AASB 107 </w:t>
      </w:r>
      <w:r>
        <w:rPr>
          <w:i/>
        </w:rPr>
        <w:t>Statement of Cash Flows</w:t>
      </w:r>
      <w:r>
        <w:t>.</w:t>
      </w:r>
    </w:p>
    <w:p w14:paraId="651DDB86" w14:textId="77777777" w:rsidR="00FE7F8B" w:rsidRDefault="00FE7F8B" w:rsidP="00FE7F8B">
      <w:r>
        <w:t>Proceeds from/payments for investments represent flows of schools’ term deposits with a maturity of three months or more.</w:t>
      </w:r>
    </w:p>
    <w:p w14:paraId="457B9DF6" w14:textId="77777777" w:rsidR="00FE7F8B" w:rsidRDefault="00FE7F8B" w:rsidP="00FE7F8B">
      <w:pPr>
        <w:pStyle w:val="Heading4notes"/>
      </w:pPr>
      <w:r>
        <w:t>Rounding of amounts</w:t>
      </w:r>
    </w:p>
    <w:p w14:paraId="3267D0FE" w14:textId="77777777" w:rsidR="00FE7F8B" w:rsidRDefault="00FE7F8B" w:rsidP="00FE7F8B">
      <w:pPr>
        <w:rPr>
          <w:rFonts w:cs="Arial"/>
          <w:b/>
          <w:bCs/>
          <w:sz w:val="22"/>
          <w:szCs w:val="19"/>
          <w:lang w:eastAsia="en-AU"/>
        </w:rPr>
      </w:pPr>
      <w:bookmarkStart w:id="49" w:name="_Ref399490628"/>
      <w:bookmarkEnd w:id="48"/>
      <w:r>
        <w:t>Amounts in the financial statements have been rounded to the nearest $100,000, unless otherwise stated. Figures in the financial statements may not equate due to rounding (Note 27—Style conventions).</w:t>
      </w:r>
    </w:p>
    <w:bookmarkEnd w:id="49"/>
    <w:p w14:paraId="53C965F5" w14:textId="77777777" w:rsidR="00FE7F8B" w:rsidRDefault="00FE7F8B" w:rsidP="00AD641C">
      <w:pPr>
        <w:pStyle w:val="Heading3notesnumbered"/>
        <w:numPr>
          <w:ilvl w:val="0"/>
          <w:numId w:val="40"/>
        </w:numPr>
      </w:pPr>
      <w:r>
        <w:t>Income from transactions</w:t>
      </w:r>
    </w:p>
    <w:p w14:paraId="70593EFE" w14:textId="77777777" w:rsidR="00FE7F8B" w:rsidRDefault="00FE7F8B" w:rsidP="00FE7F8B">
      <w:r>
        <w:t>Income is recognised to the extent that it is probable that the economic benefits will flow to the entity and the income can be reliably measured at fair value.</w:t>
      </w:r>
    </w:p>
    <w:p w14:paraId="2AD2920E" w14:textId="77777777" w:rsidR="00FE7F8B" w:rsidRDefault="00FE7F8B" w:rsidP="00FE7F8B">
      <w:pPr>
        <w:pStyle w:val="Heading4notes"/>
      </w:pPr>
      <w:r>
        <w:t>Appropriation income</w:t>
      </w:r>
    </w:p>
    <w:p w14:paraId="6B39FF9F" w14:textId="77777777" w:rsidR="00FE7F8B" w:rsidRDefault="00FE7F8B" w:rsidP="00FE7F8B">
      <w:r>
        <w:t xml:space="preserve">Appropriation income becomes controlled and is recognised by the Department when it is appropriated from the consolidated fund by the Treasurer and applied to the purposes defined under the relevant appropriations Act. Additionally, the Department is permitted under Section 29 of the </w:t>
      </w:r>
      <w:r>
        <w:rPr>
          <w:i/>
        </w:rPr>
        <w:t>Financial Management Act 1994</w:t>
      </w:r>
      <w:r>
        <w:t xml:space="preserve"> (FMA) to have certain income annotated to the annual appropriation. The income which forms part of a Section 29 agreement is recognised by the Department and the receipts paid into the consolidated fund as an administered item. At the point of income recognition, Section 29 provides for an equivalent amount to be added to the annual appropriation. Examples of receipts which can form part of a Section 29 agreement are Commonwealth specific purpose grants, the proceeds from the sale of assets and income from the sale of products and services.</w:t>
      </w:r>
    </w:p>
    <w:p w14:paraId="2B105D1E" w14:textId="77777777" w:rsidR="00FE7F8B" w:rsidRDefault="00FE7F8B" w:rsidP="00FE7F8B">
      <w:r>
        <w:t>Where applicable, amounts disclosed as income are net of returns, allowances, duties and taxes. All amounts of income over which the Department does not have control are disclosed as administered income in the schedule of administered income and expenses (Note 3). Income is recognised for each of the Department’s major activities as follows:</w:t>
      </w:r>
    </w:p>
    <w:p w14:paraId="2DD1002C" w14:textId="77777777" w:rsidR="00FE7F8B" w:rsidRDefault="00FE7F8B" w:rsidP="00FE7F8B">
      <w:pPr>
        <w:pStyle w:val="Heading4notes"/>
      </w:pPr>
      <w:r>
        <w:t>Output appropriations</w:t>
      </w:r>
    </w:p>
    <w:p w14:paraId="46005B45" w14:textId="77777777" w:rsidR="00FE7F8B" w:rsidRDefault="00FE7F8B" w:rsidP="00FE7F8B">
      <w:r>
        <w:t>Income from the outputs the Department provides to the Government is recognised when those outputs have been delivered and the relevant minister has certified delivery of those outputs in accordance with specified performance criteria.</w:t>
      </w:r>
    </w:p>
    <w:p w14:paraId="16BA4441" w14:textId="77777777" w:rsidR="00FE7F8B" w:rsidRDefault="00FE7F8B" w:rsidP="00FE7F8B">
      <w:pPr>
        <w:pStyle w:val="Heading4notes"/>
      </w:pPr>
      <w:r>
        <w:t>Special appropriations</w:t>
      </w:r>
    </w:p>
    <w:p w14:paraId="02D93175" w14:textId="68B1048B" w:rsidR="00FE7F8B" w:rsidRDefault="00FE7F8B" w:rsidP="00FE7F8B">
      <w:r>
        <w:t xml:space="preserve">Under Section 5.6.8 of the </w:t>
      </w:r>
      <w:r>
        <w:rPr>
          <w:i/>
        </w:rPr>
        <w:t>Education and Training Reform Act 2006</w:t>
      </w:r>
      <w:r>
        <w:t>, revenue related to Volunteer Workers</w:t>
      </w:r>
      <w:r w:rsidR="00EF11A2">
        <w:t>’</w:t>
      </w:r>
      <w:r>
        <w:t xml:space="preserve"> Compensation is recognised when the amount appropriated for that purpose is due and payable by the Department.</w:t>
      </w:r>
    </w:p>
    <w:p w14:paraId="153FE6E6" w14:textId="316AF122" w:rsidR="00FE7F8B" w:rsidRDefault="00FE7F8B" w:rsidP="00EF11A2">
      <w:pPr>
        <w:autoSpaceDE w:val="0"/>
        <w:autoSpaceDN w:val="0"/>
        <w:adjustRightInd w:val="0"/>
        <w:spacing w:after="0" w:line="240" w:lineRule="auto"/>
      </w:pPr>
      <w:r>
        <w:t xml:space="preserve">Under Section 10 of the </w:t>
      </w:r>
      <w:r>
        <w:rPr>
          <w:i/>
        </w:rPr>
        <w:t>Financial Management Act 1994</w:t>
      </w:r>
      <w:r>
        <w:t>, revenue related to the Commonwealth funding for Digital Education Revolution and Occasional Care is recognised when the amount appropriated for that purpose is due and payable by the Department</w:t>
      </w:r>
      <w:r>
        <w:rPr>
          <w:rFonts w:eastAsiaTheme="minorHAnsi" w:cs="Arial"/>
          <w:color w:val="auto"/>
          <w:sz w:val="18"/>
          <w:szCs w:val="18"/>
        </w:rPr>
        <w:t>.</w:t>
      </w:r>
    </w:p>
    <w:p w14:paraId="4F89B582" w14:textId="77777777" w:rsidR="00FE7F8B" w:rsidRDefault="00FE7F8B" w:rsidP="00FE7F8B">
      <w:pPr>
        <w:pStyle w:val="Heading4notes"/>
      </w:pPr>
      <w:r>
        <w:t>Interest</w:t>
      </w:r>
    </w:p>
    <w:p w14:paraId="71051FA7" w14:textId="77777777" w:rsidR="00FE7F8B" w:rsidRDefault="00FE7F8B" w:rsidP="00FE7F8B">
      <w:r>
        <w:t>Interest includes interest received on bank term deposits and other investments. The Department does not accrue for interest. Interest revenue is recognised upon receipt.</w:t>
      </w:r>
    </w:p>
    <w:p w14:paraId="6C9C4B4B" w14:textId="77777777" w:rsidR="00FE7F8B" w:rsidRDefault="00FE7F8B" w:rsidP="00FE7F8B">
      <w:pPr>
        <w:pStyle w:val="Heading4notes"/>
      </w:pPr>
      <w:r>
        <w:t>Grants</w:t>
      </w:r>
    </w:p>
    <w:p w14:paraId="43015F60" w14:textId="77777777" w:rsidR="00FE7F8B" w:rsidRDefault="00FE7F8B" w:rsidP="00FE7F8B">
      <w:r>
        <w:t>Income from grants (other than contributions by owners) is recognised when the Department obtains control over the contribution.</w:t>
      </w:r>
    </w:p>
    <w:p w14:paraId="26B4CBB4" w14:textId="77777777" w:rsidR="00FE7F8B" w:rsidRDefault="00FE7F8B" w:rsidP="00FE7F8B">
      <w:r>
        <w:t>Where such grants are payable into the consolidated fund, they are reported as administered income (Note 1(b) and 1(h)). For reciprocal grants (that is, equal value is given back by the Department to the provider), the Department is deemed to have assumed control when the Department has satisfied its performance obligations under the terms of the grant. For non-reciprocal grants, the Department is deemed to have assumed control when the grant is receivable or received. Conditional grants may be reciprocal or non-reciprocal depending on the terms of the grant.</w:t>
      </w:r>
    </w:p>
    <w:p w14:paraId="00F78C77" w14:textId="77777777" w:rsidR="00FE7F8B" w:rsidRDefault="00FE7F8B" w:rsidP="00FE7F8B">
      <w:pPr>
        <w:pStyle w:val="Heading4notes"/>
      </w:pPr>
      <w:r>
        <w:t>Sales of goods and services</w:t>
      </w:r>
    </w:p>
    <w:p w14:paraId="33D45D11" w14:textId="77777777" w:rsidR="00FE7F8B" w:rsidRDefault="00FE7F8B" w:rsidP="00FE7F8B">
      <w:pPr>
        <w:rPr>
          <w:rFonts w:eastAsiaTheme="majorEastAsia"/>
        </w:rPr>
      </w:pPr>
      <w:bookmarkStart w:id="50" w:name="_Ref399423934"/>
      <w:r>
        <w:rPr>
          <w:rFonts w:eastAsiaTheme="majorEastAsia"/>
        </w:rPr>
        <w:t>Income from the supply of services is recognised when:</w:t>
      </w:r>
    </w:p>
    <w:p w14:paraId="7503129E" w14:textId="77777777" w:rsidR="00FE7F8B" w:rsidRDefault="00FE7F8B" w:rsidP="00AD641C">
      <w:pPr>
        <w:pStyle w:val="Normallistbullet"/>
        <w:numPr>
          <w:ilvl w:val="0"/>
          <w:numId w:val="42"/>
        </w:numPr>
        <w:rPr>
          <w:rFonts w:eastAsiaTheme="majorEastAsia"/>
        </w:rPr>
      </w:pPr>
      <w:r>
        <w:rPr>
          <w:rFonts w:eastAsiaTheme="majorEastAsia"/>
        </w:rPr>
        <w:t>the amount of the income, stage of completion and transaction costs incurred can be reliably measured</w:t>
      </w:r>
    </w:p>
    <w:p w14:paraId="11EE1AA5" w14:textId="77777777" w:rsidR="00FE7F8B" w:rsidRDefault="00FE7F8B" w:rsidP="00AD641C">
      <w:pPr>
        <w:pStyle w:val="Normallistbullet"/>
        <w:numPr>
          <w:ilvl w:val="0"/>
          <w:numId w:val="42"/>
        </w:numPr>
        <w:rPr>
          <w:rFonts w:eastAsiaTheme="majorEastAsia"/>
        </w:rPr>
      </w:pPr>
      <w:proofErr w:type="gramStart"/>
      <w:r>
        <w:rPr>
          <w:rFonts w:eastAsiaTheme="majorEastAsia"/>
        </w:rPr>
        <w:t>it</w:t>
      </w:r>
      <w:proofErr w:type="gramEnd"/>
      <w:r>
        <w:rPr>
          <w:rFonts w:eastAsiaTheme="majorEastAsia"/>
        </w:rPr>
        <w:t xml:space="preserve"> is probable that the economic benefits associated with the transaction will flow to the Department.</w:t>
      </w:r>
    </w:p>
    <w:p w14:paraId="7680E2B6" w14:textId="77777777" w:rsidR="00FE7F8B" w:rsidRDefault="00FE7F8B" w:rsidP="00EF11A2">
      <w:pPr>
        <w:pStyle w:val="Heading5"/>
      </w:pPr>
      <w:r>
        <w:t>Income from sale of goods and services</w:t>
      </w:r>
    </w:p>
    <w:p w14:paraId="498657DA" w14:textId="77777777" w:rsidR="00FE7F8B" w:rsidRDefault="00FE7F8B" w:rsidP="00FE7F8B">
      <w:pPr>
        <w:rPr>
          <w:rFonts w:eastAsiaTheme="majorEastAsia"/>
        </w:rPr>
      </w:pPr>
      <w:proofErr w:type="gramStart"/>
      <w:r>
        <w:rPr>
          <w:rFonts w:eastAsiaTheme="majorEastAsia"/>
        </w:rPr>
        <w:t>Sales of goods and services income derived from schools includes</w:t>
      </w:r>
      <w:proofErr w:type="gramEnd"/>
      <w:r>
        <w:rPr>
          <w:rFonts w:eastAsiaTheme="majorEastAsia"/>
        </w:rPr>
        <w:t xml:space="preserve"> sales of classroom materials, before and after school care, and other trading operations.</w:t>
      </w:r>
    </w:p>
    <w:p w14:paraId="41E52A3A" w14:textId="77777777" w:rsidR="00FE7F8B" w:rsidRDefault="00FE7F8B" w:rsidP="00FE7F8B">
      <w:pPr>
        <w:autoSpaceDE w:val="0"/>
        <w:autoSpaceDN w:val="0"/>
        <w:adjustRightInd w:val="0"/>
        <w:spacing w:after="0" w:line="240" w:lineRule="auto"/>
        <w:rPr>
          <w:rFonts w:eastAsiaTheme="majorEastAsia"/>
        </w:rPr>
      </w:pPr>
      <w:r>
        <w:rPr>
          <w:rFonts w:eastAsiaTheme="majorEastAsia"/>
        </w:rPr>
        <w:t>Cash received in schools is recognised upon receipt by the school and is processed in accordance with controls established by the schools council.</w:t>
      </w:r>
    </w:p>
    <w:p w14:paraId="0F91B95B" w14:textId="77777777" w:rsidR="00FE7F8B" w:rsidRDefault="00FE7F8B" w:rsidP="00EF11A2">
      <w:pPr>
        <w:pStyle w:val="Heading5"/>
      </w:pPr>
      <w:r>
        <w:t>Other</w:t>
      </w:r>
    </w:p>
    <w:p w14:paraId="64809A12" w14:textId="77777777" w:rsidR="00FE7F8B" w:rsidRDefault="00FE7F8B" w:rsidP="00FE7F8B">
      <w:pPr>
        <w:rPr>
          <w:rFonts w:eastAsiaTheme="majorEastAsia"/>
        </w:rPr>
      </w:pPr>
      <w:r>
        <w:rPr>
          <w:rFonts w:eastAsiaTheme="majorEastAsia"/>
        </w:rPr>
        <w:t>Other income relates mainly to income derived from schools including parents’ voluntary contributions and other locally raised funds.</w:t>
      </w:r>
    </w:p>
    <w:p w14:paraId="34A37F5A" w14:textId="77777777" w:rsidR="00FE7F8B" w:rsidRDefault="00FE7F8B" w:rsidP="00FE7F8B">
      <w:pPr>
        <w:rPr>
          <w:rFonts w:eastAsiaTheme="majorEastAsia"/>
        </w:rPr>
      </w:pPr>
      <w:r>
        <w:rPr>
          <w:rFonts w:eastAsiaTheme="majorEastAsia"/>
        </w:rPr>
        <w:t>Income from the sale of goods and other income relates mainly to income derived from schools and is recognised when:</w:t>
      </w:r>
    </w:p>
    <w:p w14:paraId="7F597F3A" w14:textId="77777777" w:rsidR="00FE7F8B" w:rsidRDefault="00FE7F8B" w:rsidP="00AD641C">
      <w:pPr>
        <w:pStyle w:val="Normallistbullet"/>
        <w:numPr>
          <w:ilvl w:val="0"/>
          <w:numId w:val="42"/>
        </w:numPr>
        <w:rPr>
          <w:rFonts w:eastAsiaTheme="majorEastAsia"/>
        </w:rPr>
      </w:pPr>
      <w:r>
        <w:rPr>
          <w:rFonts w:eastAsiaTheme="majorEastAsia"/>
        </w:rPr>
        <w:t>the Department (or school) no longer has any of the significant risks and rewards of ownership of the goods transferred to the buyer;</w:t>
      </w:r>
    </w:p>
    <w:p w14:paraId="2772C49D" w14:textId="77777777" w:rsidR="00FE7F8B" w:rsidRDefault="00FE7F8B" w:rsidP="00AD641C">
      <w:pPr>
        <w:pStyle w:val="Normallistbullet"/>
        <w:numPr>
          <w:ilvl w:val="0"/>
          <w:numId w:val="42"/>
        </w:numPr>
        <w:rPr>
          <w:rFonts w:eastAsiaTheme="majorEastAsia"/>
        </w:rPr>
      </w:pPr>
      <w:r>
        <w:rPr>
          <w:rFonts w:eastAsiaTheme="majorEastAsia"/>
        </w:rPr>
        <w:t>the Department (or school) no longer has continuing involvement to the degree usually associated with ownership nor effective control over the goods sold;</w:t>
      </w:r>
    </w:p>
    <w:p w14:paraId="78ED8E47" w14:textId="77777777" w:rsidR="00FE7F8B" w:rsidRDefault="00FE7F8B" w:rsidP="00AD641C">
      <w:pPr>
        <w:pStyle w:val="Normallistbullet"/>
        <w:numPr>
          <w:ilvl w:val="0"/>
          <w:numId w:val="42"/>
        </w:numPr>
        <w:rPr>
          <w:rFonts w:eastAsiaTheme="majorEastAsia"/>
        </w:rPr>
      </w:pPr>
      <w:r>
        <w:rPr>
          <w:rFonts w:eastAsiaTheme="majorEastAsia"/>
        </w:rPr>
        <w:t>the amount of income, and the costs incurred or to be incurred in respect of the transactions, can be reliably measured; and</w:t>
      </w:r>
    </w:p>
    <w:p w14:paraId="4C78326D" w14:textId="77777777" w:rsidR="00FE7F8B" w:rsidRDefault="00FE7F8B" w:rsidP="00AD641C">
      <w:pPr>
        <w:pStyle w:val="Normallistbullet"/>
        <w:numPr>
          <w:ilvl w:val="0"/>
          <w:numId w:val="42"/>
        </w:numPr>
        <w:rPr>
          <w:rFonts w:eastAsiaTheme="majorEastAsia"/>
        </w:rPr>
      </w:pPr>
      <w:proofErr w:type="gramStart"/>
      <w:r>
        <w:rPr>
          <w:rFonts w:eastAsiaTheme="majorEastAsia"/>
        </w:rPr>
        <w:t>it</w:t>
      </w:r>
      <w:proofErr w:type="gramEnd"/>
      <w:r>
        <w:rPr>
          <w:rFonts w:eastAsiaTheme="majorEastAsia"/>
        </w:rPr>
        <w:t xml:space="preserve"> is probable that the economic benefits associated with the transaction will flow to the Department.</w:t>
      </w:r>
    </w:p>
    <w:p w14:paraId="3A336A85" w14:textId="77777777" w:rsidR="00FE7F8B" w:rsidRDefault="00FE7F8B" w:rsidP="00AD641C">
      <w:pPr>
        <w:pStyle w:val="Heading3notesnumbered"/>
        <w:numPr>
          <w:ilvl w:val="0"/>
          <w:numId w:val="40"/>
        </w:numPr>
      </w:pPr>
      <w:r>
        <w:t>Expenses from transactions</w:t>
      </w:r>
      <w:bookmarkEnd w:id="50"/>
    </w:p>
    <w:p w14:paraId="618A51DF" w14:textId="77777777" w:rsidR="00FE7F8B" w:rsidRDefault="00FE7F8B" w:rsidP="00FE7F8B">
      <w:r>
        <w:t>Expenses are recognised as they are incurred and reported in the financial year to which they relate.</w:t>
      </w:r>
    </w:p>
    <w:p w14:paraId="1273C4E3" w14:textId="77777777" w:rsidR="00FE7F8B" w:rsidRDefault="00FE7F8B" w:rsidP="00FE7F8B">
      <w:pPr>
        <w:pStyle w:val="Heading4notes"/>
      </w:pPr>
      <w:r>
        <w:t>Employee expenses</w:t>
      </w:r>
    </w:p>
    <w:p w14:paraId="7E54E904" w14:textId="77777777" w:rsidR="00FE7F8B" w:rsidRDefault="00FE7F8B" w:rsidP="00FE7F8B">
      <w:r>
        <w:t>See Note 1(l) regarding employee benefits.</w:t>
      </w:r>
    </w:p>
    <w:p w14:paraId="1A7C3345" w14:textId="77777777" w:rsidR="00FE7F8B" w:rsidRDefault="00FE7F8B" w:rsidP="00FE7F8B">
      <w:r>
        <w:t>These expenses include all forms of considerations (other than superannuation which is accounted for separately) given by the Department in exchange for service rendered by employees or for the termination of employment. This includes wages and salaries, fringe benefits tax, leave entitlements, termination payments and WorkCover premiums.</w:t>
      </w:r>
    </w:p>
    <w:p w14:paraId="29C79870" w14:textId="77777777" w:rsidR="00FE7F8B" w:rsidRDefault="00FE7F8B" w:rsidP="00FE7F8B">
      <w:pPr>
        <w:pStyle w:val="Heading4notes"/>
      </w:pPr>
      <w:r>
        <w:t>Superannuation</w:t>
      </w:r>
    </w:p>
    <w:p w14:paraId="692FC745" w14:textId="77777777" w:rsidR="00FE7F8B" w:rsidRDefault="00FE7F8B" w:rsidP="00FE7F8B">
      <w:r>
        <w:t>The amount recognised in the comprehensive operating statement is the employer contributions for members of both defined benefit and defined contribution superannuation plans that are paid or payable during the reporting period.</w:t>
      </w:r>
    </w:p>
    <w:p w14:paraId="68FC7FF3" w14:textId="706E4179" w:rsidR="00FE7F8B" w:rsidRDefault="00FE7F8B" w:rsidP="00FE7F8B">
      <w:r>
        <w:t>The Department of Treasury and Finance, in i</w:t>
      </w:r>
      <w:r w:rsidR="002619FD">
        <w:t>ts Administered note disclosure</w:t>
      </w:r>
      <w:r>
        <w:t xml:space="preserve">, discloses on behalf of the State as the sponsoring employer, the net defined benefit cost related to the members of these plans as an administered liability. See the Department of Treasury and Finance’s </w:t>
      </w:r>
      <w:r>
        <w:rPr>
          <w:i/>
        </w:rPr>
        <w:t>Annual Financial Statements</w:t>
      </w:r>
      <w:r>
        <w:t xml:space="preserve"> for more detailed disclosures in relation to these plans.</w:t>
      </w:r>
    </w:p>
    <w:p w14:paraId="39C57DF8" w14:textId="77777777" w:rsidR="00FE7F8B" w:rsidRDefault="00FE7F8B" w:rsidP="00FE7F8B">
      <w:pPr>
        <w:pStyle w:val="Heading4notes"/>
      </w:pPr>
      <w:r>
        <w:t>Depreciation and amortisation</w:t>
      </w:r>
    </w:p>
    <w:p w14:paraId="687E7420" w14:textId="77777777" w:rsidR="00FE7F8B" w:rsidRDefault="00FE7F8B" w:rsidP="00FE7F8B">
      <w:r>
        <w:t>All buildings, heritage buildings, plant and equipment and other non-financial physical assets (excluding items under operating leases and assets held-for-sale or distribution) that have a finite useful life are depreciated. Depreciation is generally calculated on a straight-line basis, at rates that allocate the asset’s value, less any estimated residual value, over its estimated useful life. Leasehold improvements are depreciated over the period of the lease or estimated useful life, whichever is the shorter, using the straight-line method.</w:t>
      </w:r>
    </w:p>
    <w:p w14:paraId="5639D214" w14:textId="77777777" w:rsidR="00FE7F8B" w:rsidRDefault="00FE7F8B" w:rsidP="00FE7F8B">
      <w:r>
        <w:t>The estimated useful lives, residual values and depreciation method are reviewed at the end of each annual reporting period, and adjustments are made where appropriate.</w:t>
      </w:r>
    </w:p>
    <w:p w14:paraId="033D3D09" w14:textId="77777777" w:rsidR="00FE7F8B" w:rsidRDefault="00FE7F8B" w:rsidP="00FE7F8B">
      <w:pPr>
        <w:spacing w:after="200" w:line="276" w:lineRule="auto"/>
      </w:pPr>
      <w:r>
        <w:br w:type="page"/>
      </w:r>
    </w:p>
    <w:p w14:paraId="5F5B27BB" w14:textId="77777777" w:rsidR="00FE7F8B" w:rsidRDefault="00FE7F8B" w:rsidP="00FE7F8B">
      <w:r>
        <w:t>The following are estimated useful lives for the different asset classes for both current and prior years.</w:t>
      </w:r>
    </w:p>
    <w:tbl>
      <w:tblPr>
        <w:tblW w:w="5000" w:type="pct"/>
        <w:tblBorders>
          <w:bottom w:val="single" w:sz="12" w:space="0" w:color="777777"/>
        </w:tblBorders>
        <w:tblCellMar>
          <w:left w:w="45" w:type="dxa"/>
          <w:right w:w="45" w:type="dxa"/>
        </w:tblCellMar>
        <w:tblLook w:val="04A0" w:firstRow="1" w:lastRow="0" w:firstColumn="1" w:lastColumn="0" w:noHBand="0" w:noVBand="1"/>
      </w:tblPr>
      <w:tblGrid>
        <w:gridCol w:w="5800"/>
        <w:gridCol w:w="1663"/>
      </w:tblGrid>
      <w:tr w:rsidR="00FE7F8B" w14:paraId="501362B6" w14:textId="77777777" w:rsidTr="00FE7F8B">
        <w:trPr>
          <w:cantSplit/>
        </w:trPr>
        <w:tc>
          <w:tcPr>
            <w:tcW w:w="3886" w:type="pct"/>
            <w:tcBorders>
              <w:top w:val="nil"/>
              <w:left w:val="nil"/>
              <w:bottom w:val="nil"/>
              <w:right w:val="nil"/>
            </w:tcBorders>
            <w:shd w:val="clear" w:color="auto" w:fill="777777"/>
            <w:vAlign w:val="bottom"/>
            <w:hideMark/>
          </w:tcPr>
          <w:p w14:paraId="47102A3F" w14:textId="77777777" w:rsidR="00FE7F8B" w:rsidRDefault="00FE7F8B">
            <w:pPr>
              <w:pStyle w:val="Tablecolumnheading"/>
            </w:pPr>
            <w:r>
              <w:t>Asset Class</w:t>
            </w:r>
          </w:p>
        </w:tc>
        <w:tc>
          <w:tcPr>
            <w:tcW w:w="1114" w:type="pct"/>
            <w:tcBorders>
              <w:top w:val="nil"/>
              <w:left w:val="nil"/>
              <w:bottom w:val="nil"/>
              <w:right w:val="nil"/>
            </w:tcBorders>
            <w:shd w:val="clear" w:color="auto" w:fill="777777"/>
            <w:hideMark/>
          </w:tcPr>
          <w:p w14:paraId="52318049" w14:textId="77777777" w:rsidR="00FE7F8B" w:rsidRDefault="00FE7F8B">
            <w:pPr>
              <w:pStyle w:val="Tablecolumnheading"/>
              <w:jc w:val="center"/>
            </w:pPr>
            <w:r>
              <w:t>Useful life</w:t>
            </w:r>
            <w:r>
              <w:br/>
              <w:t>Years</w:t>
            </w:r>
          </w:p>
        </w:tc>
      </w:tr>
      <w:tr w:rsidR="00FE7F8B" w14:paraId="425B614C" w14:textId="77777777" w:rsidTr="00FE7F8B">
        <w:trPr>
          <w:cantSplit/>
        </w:trPr>
        <w:tc>
          <w:tcPr>
            <w:tcW w:w="3886" w:type="pct"/>
            <w:tcBorders>
              <w:top w:val="nil"/>
              <w:left w:val="nil"/>
              <w:bottom w:val="nil"/>
              <w:right w:val="nil"/>
            </w:tcBorders>
            <w:vAlign w:val="center"/>
            <w:hideMark/>
          </w:tcPr>
          <w:p w14:paraId="12BEB311" w14:textId="77777777" w:rsidR="00FE7F8B" w:rsidRDefault="00FE7F8B">
            <w:pPr>
              <w:pStyle w:val="Tabletextnoindent"/>
            </w:pPr>
            <w:r>
              <w:t>Buildings</w:t>
            </w:r>
          </w:p>
        </w:tc>
        <w:tc>
          <w:tcPr>
            <w:tcW w:w="1114" w:type="pct"/>
            <w:tcBorders>
              <w:top w:val="nil"/>
              <w:left w:val="nil"/>
              <w:bottom w:val="nil"/>
              <w:right w:val="nil"/>
            </w:tcBorders>
            <w:vAlign w:val="bottom"/>
            <w:hideMark/>
          </w:tcPr>
          <w:p w14:paraId="38E84993" w14:textId="77777777" w:rsidR="00FE7F8B" w:rsidRDefault="00FE7F8B">
            <w:pPr>
              <w:pStyle w:val="TableTextFinancial"/>
              <w:jc w:val="center"/>
            </w:pPr>
            <w:r>
              <w:t>10–60</w:t>
            </w:r>
          </w:p>
        </w:tc>
      </w:tr>
      <w:tr w:rsidR="00FE7F8B" w14:paraId="5D43FD6D" w14:textId="77777777" w:rsidTr="00FE7F8B">
        <w:trPr>
          <w:cantSplit/>
        </w:trPr>
        <w:tc>
          <w:tcPr>
            <w:tcW w:w="3886" w:type="pct"/>
            <w:tcBorders>
              <w:top w:val="nil"/>
              <w:left w:val="nil"/>
              <w:bottom w:val="nil"/>
              <w:right w:val="nil"/>
            </w:tcBorders>
            <w:vAlign w:val="center"/>
            <w:hideMark/>
          </w:tcPr>
          <w:p w14:paraId="46B072BB" w14:textId="77777777" w:rsidR="00FE7F8B" w:rsidRDefault="00FE7F8B">
            <w:pPr>
              <w:pStyle w:val="Tabletextnoindent"/>
            </w:pPr>
            <w:r>
              <w:t>Heritage buildings</w:t>
            </w:r>
          </w:p>
        </w:tc>
        <w:tc>
          <w:tcPr>
            <w:tcW w:w="1114" w:type="pct"/>
            <w:tcBorders>
              <w:top w:val="nil"/>
              <w:left w:val="nil"/>
              <w:bottom w:val="nil"/>
              <w:right w:val="nil"/>
            </w:tcBorders>
            <w:vAlign w:val="bottom"/>
            <w:hideMark/>
          </w:tcPr>
          <w:p w14:paraId="7A2E4CC4" w14:textId="77777777" w:rsidR="00FE7F8B" w:rsidRDefault="00FE7F8B">
            <w:pPr>
              <w:pStyle w:val="TableTextFinancial"/>
              <w:jc w:val="center"/>
            </w:pPr>
            <w:r>
              <w:t>40–60</w:t>
            </w:r>
          </w:p>
        </w:tc>
      </w:tr>
      <w:tr w:rsidR="00FE7F8B" w14:paraId="113BADE4" w14:textId="77777777" w:rsidTr="00FE7F8B">
        <w:trPr>
          <w:cantSplit/>
        </w:trPr>
        <w:tc>
          <w:tcPr>
            <w:tcW w:w="3886" w:type="pct"/>
            <w:tcBorders>
              <w:top w:val="nil"/>
              <w:left w:val="nil"/>
              <w:bottom w:val="nil"/>
              <w:right w:val="nil"/>
            </w:tcBorders>
            <w:vAlign w:val="center"/>
            <w:hideMark/>
          </w:tcPr>
          <w:p w14:paraId="145E331D" w14:textId="77777777" w:rsidR="00FE7F8B" w:rsidRDefault="00FE7F8B">
            <w:pPr>
              <w:pStyle w:val="Tabletextnoindent"/>
            </w:pPr>
            <w:r>
              <w:t>Leasehold buildings</w:t>
            </w:r>
          </w:p>
        </w:tc>
        <w:tc>
          <w:tcPr>
            <w:tcW w:w="1114" w:type="pct"/>
            <w:tcBorders>
              <w:top w:val="nil"/>
              <w:left w:val="nil"/>
              <w:bottom w:val="nil"/>
              <w:right w:val="nil"/>
            </w:tcBorders>
            <w:vAlign w:val="bottom"/>
            <w:hideMark/>
          </w:tcPr>
          <w:p w14:paraId="7CDBA451" w14:textId="77777777" w:rsidR="00FE7F8B" w:rsidRDefault="00FE7F8B">
            <w:pPr>
              <w:pStyle w:val="TableTextFinancial"/>
              <w:jc w:val="center"/>
            </w:pPr>
            <w:r>
              <w:t>60</w:t>
            </w:r>
          </w:p>
        </w:tc>
      </w:tr>
      <w:tr w:rsidR="00FE7F8B" w14:paraId="7B064946" w14:textId="77777777" w:rsidTr="00FE7F8B">
        <w:trPr>
          <w:cantSplit/>
        </w:trPr>
        <w:tc>
          <w:tcPr>
            <w:tcW w:w="3886" w:type="pct"/>
            <w:tcBorders>
              <w:top w:val="nil"/>
              <w:left w:val="nil"/>
              <w:bottom w:val="nil"/>
              <w:right w:val="nil"/>
            </w:tcBorders>
            <w:vAlign w:val="center"/>
            <w:hideMark/>
          </w:tcPr>
          <w:p w14:paraId="398ABE0C" w14:textId="77777777" w:rsidR="00FE7F8B" w:rsidRDefault="00FE7F8B">
            <w:pPr>
              <w:pStyle w:val="Tabletextnoindent"/>
            </w:pPr>
            <w:r>
              <w:t>Leasehold improvements</w:t>
            </w:r>
          </w:p>
        </w:tc>
        <w:tc>
          <w:tcPr>
            <w:tcW w:w="1114" w:type="pct"/>
            <w:tcBorders>
              <w:top w:val="nil"/>
              <w:left w:val="nil"/>
              <w:bottom w:val="nil"/>
              <w:right w:val="nil"/>
            </w:tcBorders>
            <w:vAlign w:val="bottom"/>
            <w:hideMark/>
          </w:tcPr>
          <w:p w14:paraId="1AA9B15F" w14:textId="77777777" w:rsidR="00FE7F8B" w:rsidRDefault="00FE7F8B">
            <w:pPr>
              <w:pStyle w:val="TableTextFinancial"/>
              <w:jc w:val="center"/>
            </w:pPr>
            <w:r>
              <w:t>3–10</w:t>
            </w:r>
          </w:p>
        </w:tc>
      </w:tr>
      <w:tr w:rsidR="00FE7F8B" w14:paraId="5A623589" w14:textId="77777777" w:rsidTr="00FE7F8B">
        <w:trPr>
          <w:cantSplit/>
        </w:trPr>
        <w:tc>
          <w:tcPr>
            <w:tcW w:w="3886" w:type="pct"/>
            <w:tcBorders>
              <w:top w:val="nil"/>
              <w:left w:val="nil"/>
              <w:bottom w:val="nil"/>
              <w:right w:val="nil"/>
            </w:tcBorders>
            <w:vAlign w:val="center"/>
            <w:hideMark/>
          </w:tcPr>
          <w:p w14:paraId="3B35F260" w14:textId="77777777" w:rsidR="00FE7F8B" w:rsidRDefault="00FE7F8B">
            <w:pPr>
              <w:pStyle w:val="Tabletextnoindent"/>
            </w:pPr>
            <w:r>
              <w:t>Plant and equipment (including vehicles leased assets)</w:t>
            </w:r>
          </w:p>
        </w:tc>
        <w:tc>
          <w:tcPr>
            <w:tcW w:w="1114" w:type="pct"/>
            <w:tcBorders>
              <w:top w:val="nil"/>
              <w:left w:val="nil"/>
              <w:bottom w:val="nil"/>
              <w:right w:val="nil"/>
            </w:tcBorders>
            <w:vAlign w:val="bottom"/>
            <w:hideMark/>
          </w:tcPr>
          <w:p w14:paraId="1FA00EBD" w14:textId="77777777" w:rsidR="00FE7F8B" w:rsidRDefault="00FE7F8B">
            <w:pPr>
              <w:pStyle w:val="TableTextFinancial"/>
              <w:jc w:val="center"/>
            </w:pPr>
            <w:r>
              <w:t>3–10</w:t>
            </w:r>
          </w:p>
        </w:tc>
      </w:tr>
      <w:tr w:rsidR="00FE7F8B" w14:paraId="72FA5505" w14:textId="77777777" w:rsidTr="00FE7F8B">
        <w:trPr>
          <w:cantSplit/>
        </w:trPr>
        <w:tc>
          <w:tcPr>
            <w:tcW w:w="3886" w:type="pct"/>
            <w:tcBorders>
              <w:top w:val="nil"/>
              <w:left w:val="nil"/>
              <w:bottom w:val="single" w:sz="4" w:space="0" w:color="auto"/>
              <w:right w:val="nil"/>
            </w:tcBorders>
            <w:vAlign w:val="center"/>
            <w:hideMark/>
          </w:tcPr>
          <w:p w14:paraId="04ACB08D" w14:textId="77777777" w:rsidR="00FE7F8B" w:rsidRDefault="00FE7F8B">
            <w:pPr>
              <w:pStyle w:val="Tabletextnoindent"/>
            </w:pPr>
            <w:r>
              <w:t>Software</w:t>
            </w:r>
          </w:p>
        </w:tc>
        <w:tc>
          <w:tcPr>
            <w:tcW w:w="1114" w:type="pct"/>
            <w:tcBorders>
              <w:top w:val="nil"/>
              <w:left w:val="nil"/>
              <w:bottom w:val="single" w:sz="4" w:space="0" w:color="auto"/>
              <w:right w:val="nil"/>
            </w:tcBorders>
            <w:vAlign w:val="bottom"/>
            <w:hideMark/>
          </w:tcPr>
          <w:p w14:paraId="6FFDB449" w14:textId="77777777" w:rsidR="00FE7F8B" w:rsidRDefault="00FE7F8B">
            <w:pPr>
              <w:pStyle w:val="TableTextFinancial"/>
              <w:jc w:val="center"/>
            </w:pPr>
            <w:r>
              <w:t>3–10</w:t>
            </w:r>
          </w:p>
        </w:tc>
      </w:tr>
    </w:tbl>
    <w:p w14:paraId="089C8E71" w14:textId="77777777" w:rsidR="00FE7F8B" w:rsidRDefault="00FE7F8B" w:rsidP="00FE7F8B">
      <w:pPr>
        <w:pStyle w:val="Normalaftertable"/>
      </w:pPr>
      <w:r>
        <w:t>Land is considered to have an indefinite life and is not depreciated. Depreciation is not recognised in respect of land assets as their service potential has not, in any material sense, been consumed during the reporting period.</w:t>
      </w:r>
    </w:p>
    <w:p w14:paraId="79112EA2" w14:textId="77777777" w:rsidR="00FE7F8B" w:rsidRDefault="00FE7F8B" w:rsidP="00FE7F8B">
      <w:pPr>
        <w:rPr>
          <w:rFonts w:ascii="Times New Roman" w:hAnsi="Times New Roman"/>
          <w:sz w:val="24"/>
        </w:rPr>
      </w:pPr>
      <w:r>
        <w:t>Where items of buildings have separately identifiable components that have materially different useful lives and subject to regular replacement, those components are assigned useful lives distinct from the item of buildings to which they relate. For the Department, identifiable components include different building materials and structures such as an annex or a wing and landscaping for each site. These components are then depreciated separately in accordance with useful life of assets. The useful lives for these items are between 10 and 60 years.</w:t>
      </w:r>
    </w:p>
    <w:p w14:paraId="2336F5CA" w14:textId="77777777" w:rsidR="00FE7F8B" w:rsidRDefault="00FE7F8B" w:rsidP="00FE7F8B">
      <w:pPr>
        <w:rPr>
          <w:rFonts w:ascii="Times New Roman" w:hAnsi="Times New Roman"/>
          <w:sz w:val="24"/>
        </w:rPr>
      </w:pPr>
      <w:r>
        <w:t>Intangible produced assets with finite useful lives, i.e. capitalised software development costs (software), are amortised as an expense from transactions on a systematic (straight-line) basis over the asset’s useful life. Amortisation begins when the asset is available for use, that is, when it is in the location and condition necessary for it to be capable of operating in the manner intended by management. The amortisation period and the amortisation method for an intangible asset with a finite useful life are reviewed at least at the end of each annual reporting period.</w:t>
      </w:r>
    </w:p>
    <w:p w14:paraId="0E800075" w14:textId="77777777" w:rsidR="00FE7F8B" w:rsidRDefault="00FE7F8B" w:rsidP="00FE7F8B">
      <w:pPr>
        <w:pStyle w:val="Heading4notes"/>
      </w:pPr>
      <w:r>
        <w:t>Interest expense</w:t>
      </w:r>
    </w:p>
    <w:p w14:paraId="5F9E3336" w14:textId="77777777" w:rsidR="00FE7F8B" w:rsidRDefault="00FE7F8B" w:rsidP="00FE7F8B">
      <w:pPr>
        <w:rPr>
          <w:rFonts w:ascii="Times New Roman" w:hAnsi="Times New Roman"/>
          <w:sz w:val="24"/>
        </w:rPr>
      </w:pPr>
      <w:r>
        <w:t>Interest expense represents costs incurred in connection with borrowings. It includes interest on loans, interest components of finance lease repayments and amortisation of discounts or premiums in relation to borrowings.</w:t>
      </w:r>
    </w:p>
    <w:p w14:paraId="531F8CFC" w14:textId="77777777" w:rsidR="00FE7F8B" w:rsidRDefault="00FE7F8B" w:rsidP="00FE7F8B">
      <w:pPr>
        <w:rPr>
          <w:rFonts w:ascii="Times New Roman" w:hAnsi="Times New Roman"/>
          <w:sz w:val="24"/>
        </w:rPr>
      </w:pPr>
      <w:r>
        <w:t>Interest expenses are recognised as expenses in the period in which they are incurred.</w:t>
      </w:r>
    </w:p>
    <w:p w14:paraId="7C708EBD" w14:textId="77777777" w:rsidR="00FE7F8B" w:rsidRDefault="00FE7F8B" w:rsidP="00FE7F8B">
      <w:pPr>
        <w:pStyle w:val="Heading4notes"/>
      </w:pPr>
      <w:r>
        <w:t>Grants and other expense transfers</w:t>
      </w:r>
    </w:p>
    <w:p w14:paraId="0520D7C8" w14:textId="77777777" w:rsidR="00FE7F8B" w:rsidRDefault="00FE7F8B" w:rsidP="00FE7F8B">
      <w:pPr>
        <w:rPr>
          <w:rFonts w:ascii="Times New Roman" w:hAnsi="Times New Roman"/>
          <w:sz w:val="24"/>
        </w:rPr>
      </w:pPr>
      <w:r>
        <w:t>Grants and other expense transfers to third parties (other than contributions to owners) are recognised as an expense in the reporting period in which they are paid or payable. They include transactions such as grants and other transfer payments made to State-owned agencies, local government, non-government schools, and community groups.</w:t>
      </w:r>
    </w:p>
    <w:p w14:paraId="5802D584" w14:textId="77777777" w:rsidR="00FE7F8B" w:rsidRDefault="00FE7F8B" w:rsidP="00FE7F8B">
      <w:pPr>
        <w:pStyle w:val="Heading4notes"/>
      </w:pPr>
      <w:r>
        <w:t>Capital asset charge</w:t>
      </w:r>
    </w:p>
    <w:p w14:paraId="7FC61C30" w14:textId="77777777" w:rsidR="00FE7F8B" w:rsidRDefault="00FE7F8B" w:rsidP="00FE7F8B">
      <w:pPr>
        <w:rPr>
          <w:rFonts w:ascii="Times New Roman" w:hAnsi="Times New Roman"/>
          <w:sz w:val="24"/>
        </w:rPr>
      </w:pPr>
      <w:r>
        <w:t>The capital asset charge represents the opportunity cost of capital invested in the non-current physical assets used in the provision of outputs. The charge is calculated on the budgeted carrying amount of applicable non-current physical assets.</w:t>
      </w:r>
    </w:p>
    <w:p w14:paraId="6E346B93" w14:textId="77777777" w:rsidR="00FE7F8B" w:rsidRDefault="00FE7F8B" w:rsidP="00FE7F8B">
      <w:pPr>
        <w:pStyle w:val="Heading4notes"/>
      </w:pPr>
      <w:r>
        <w:t>Supplies and services</w:t>
      </w:r>
    </w:p>
    <w:p w14:paraId="6C0FD645" w14:textId="77777777" w:rsidR="00FE7F8B" w:rsidRDefault="00FE7F8B" w:rsidP="00FE7F8B">
      <w:pPr>
        <w:rPr>
          <w:rFonts w:ascii="Times New Roman" w:hAnsi="Times New Roman"/>
          <w:sz w:val="24"/>
        </w:rPr>
      </w:pPr>
      <w:r>
        <w:t>Supplies and services generally represent cost of goods sold and the day-to-day running costs, including school requisites and maintenance costs, incurred in the normal operations of the Department. These items are recognised as an expense in the reporting period in which they are incurred.</w:t>
      </w:r>
    </w:p>
    <w:p w14:paraId="369BF640" w14:textId="77777777" w:rsidR="00FE7F8B" w:rsidRDefault="00FE7F8B" w:rsidP="00FE7F8B">
      <w:pPr>
        <w:pStyle w:val="Heading4notes"/>
      </w:pPr>
      <w:r>
        <w:t>Other operating expenses</w:t>
      </w:r>
    </w:p>
    <w:p w14:paraId="1842BF5B" w14:textId="77777777" w:rsidR="00FE7F8B" w:rsidRDefault="00FE7F8B" w:rsidP="00FE7F8B">
      <w:r>
        <w:t>Other operating expenses generally represent the day-to-day running costs incurred in normal operations, and include:</w:t>
      </w:r>
    </w:p>
    <w:p w14:paraId="53B3D22F" w14:textId="77777777" w:rsidR="00FE7F8B" w:rsidRDefault="00FE7F8B" w:rsidP="00EF11A2">
      <w:pPr>
        <w:pStyle w:val="Heading5"/>
      </w:pPr>
      <w:r>
        <w:t>Bad and doubtful debts</w:t>
      </w:r>
    </w:p>
    <w:p w14:paraId="349343E5" w14:textId="77777777" w:rsidR="00FE7F8B" w:rsidRDefault="00FE7F8B" w:rsidP="00FE7F8B">
      <w:pPr>
        <w:rPr>
          <w:rFonts w:ascii="Times New Roman" w:hAnsi="Times New Roman"/>
          <w:sz w:val="24"/>
        </w:rPr>
      </w:pPr>
      <w:r>
        <w:t>Bad and doubtful debts are assessed on a regular basis. Those bad debts written off by mutual consent are classified as a transaction expense. Those written off unilaterally (not by mutual agreement between debtor and creditor) are classified as other economic flows.</w:t>
      </w:r>
    </w:p>
    <w:p w14:paraId="10A07479" w14:textId="77777777" w:rsidR="00FE7F8B" w:rsidRDefault="00FE7F8B" w:rsidP="00EF11A2">
      <w:pPr>
        <w:pStyle w:val="Heading5"/>
      </w:pPr>
      <w:r>
        <w:t>Fair value of assets and services provided free of charge or for nominal consideration</w:t>
      </w:r>
    </w:p>
    <w:p w14:paraId="76A0F5FC" w14:textId="77777777" w:rsidR="00FE7F8B" w:rsidRDefault="00FE7F8B" w:rsidP="00FE7F8B">
      <w:pPr>
        <w:rPr>
          <w:rFonts w:ascii="Times New Roman" w:hAnsi="Times New Roman"/>
          <w:sz w:val="24"/>
        </w:rPr>
      </w:pPr>
      <w:r>
        <w:t>Contributions of assets and services provided free of charge or for nominal consideration are recognised at their fair value when the transferee obtains control over them, irrespective of whether restrictions or conditions are imposed over the use of the contributions, unless received from another government department or agency as a consequence of a restructuring of administrative arrangements. In the latter case, such a transfer will be recognised at its carrying value.</w:t>
      </w:r>
    </w:p>
    <w:p w14:paraId="1809AEF3" w14:textId="77777777" w:rsidR="00FE7F8B" w:rsidRDefault="00FE7F8B" w:rsidP="00FE7F8B">
      <w:pPr>
        <w:rPr>
          <w:rFonts w:ascii="Times New Roman" w:hAnsi="Times New Roman"/>
          <w:sz w:val="24"/>
        </w:rPr>
      </w:pPr>
      <w:r>
        <w:t>Contributions in the form of services are only recognised when a fair value can be reliably determined and the services would have been purchased if not donated.</w:t>
      </w:r>
    </w:p>
    <w:p w14:paraId="4689510E" w14:textId="77777777" w:rsidR="00FE7F8B" w:rsidRDefault="00FE7F8B" w:rsidP="00AD641C">
      <w:pPr>
        <w:pStyle w:val="Heading3notesnumbered"/>
        <w:numPr>
          <w:ilvl w:val="0"/>
          <w:numId w:val="40"/>
        </w:numPr>
      </w:pPr>
      <w:bookmarkStart w:id="51" w:name="_Ref399423820"/>
      <w:r>
        <w:t xml:space="preserve">Other economic flows </w:t>
      </w:r>
      <w:bookmarkEnd w:id="51"/>
    </w:p>
    <w:p w14:paraId="1CF76971" w14:textId="77777777" w:rsidR="00FE7F8B" w:rsidRDefault="00FE7F8B" w:rsidP="00FE7F8B">
      <w:r>
        <w:t>Other economic flows measure the change in volume or value of assets or liabilities that do not result from transactions.</w:t>
      </w:r>
    </w:p>
    <w:p w14:paraId="5A94E858" w14:textId="77777777" w:rsidR="00FE7F8B" w:rsidRDefault="00FE7F8B" w:rsidP="00FE7F8B">
      <w:pPr>
        <w:pStyle w:val="Heading4notes"/>
      </w:pPr>
      <w:r>
        <w:t>Net gain</w:t>
      </w:r>
      <w:proofErr w:type="gramStart"/>
      <w:r>
        <w:t>/(</w:t>
      </w:r>
      <w:proofErr w:type="gramEnd"/>
      <w:r>
        <w:t>loss) on non-financial assets</w:t>
      </w:r>
    </w:p>
    <w:p w14:paraId="1DA25F13" w14:textId="77777777" w:rsidR="00FE7F8B" w:rsidRDefault="00FE7F8B" w:rsidP="00FE7F8B">
      <w:pPr>
        <w:pStyle w:val="Normalbeforelist"/>
      </w:pPr>
      <w:r>
        <w:t>Net gain</w:t>
      </w:r>
      <w:proofErr w:type="gramStart"/>
      <w:r>
        <w:t>/(</w:t>
      </w:r>
      <w:proofErr w:type="gramEnd"/>
      <w:r>
        <w:t>loss) on non-financial assets and liabilities includes realised and unrealised gains and losses as follows:</w:t>
      </w:r>
    </w:p>
    <w:p w14:paraId="79260CFA" w14:textId="77777777" w:rsidR="00FE7F8B" w:rsidRDefault="00FE7F8B" w:rsidP="00EF11A2">
      <w:pPr>
        <w:pStyle w:val="Heading5"/>
      </w:pPr>
      <w:r>
        <w:t>Revaluation gains</w:t>
      </w:r>
      <w:proofErr w:type="gramStart"/>
      <w:r>
        <w:t>/(</w:t>
      </w:r>
      <w:proofErr w:type="gramEnd"/>
      <w:r>
        <w:t>losses) of non-current physical assets</w:t>
      </w:r>
    </w:p>
    <w:p w14:paraId="43CCD20C" w14:textId="77777777" w:rsidR="00FE7F8B" w:rsidRDefault="00FE7F8B" w:rsidP="00FE7F8B">
      <w:bookmarkStart w:id="52" w:name="_Ref399935128"/>
      <w:r>
        <w:t>Refer to Note 1(k).</w:t>
      </w:r>
    </w:p>
    <w:p w14:paraId="23A300AF" w14:textId="77777777" w:rsidR="00FE7F8B" w:rsidRDefault="00FE7F8B" w:rsidP="00EF11A2">
      <w:pPr>
        <w:pStyle w:val="Heading5"/>
      </w:pPr>
      <w:r>
        <w:t>Net gain</w:t>
      </w:r>
      <w:proofErr w:type="gramStart"/>
      <w:r>
        <w:t>/(</w:t>
      </w:r>
      <w:proofErr w:type="gramEnd"/>
      <w:r>
        <w:t>loss) on disposal of non-financial assets</w:t>
      </w:r>
      <w:bookmarkEnd w:id="52"/>
    </w:p>
    <w:p w14:paraId="3F5E09BF" w14:textId="77777777" w:rsidR="00FE7F8B" w:rsidRDefault="00FE7F8B" w:rsidP="00FE7F8B">
      <w:bookmarkStart w:id="53" w:name="_Ref399935130"/>
      <w:r>
        <w:t>Any gain or loss on the disposal of non-financial assets is recognised at the date of disposal and is determined after deducting the proceeds from the carrying value of the asset at the time.</w:t>
      </w:r>
    </w:p>
    <w:p w14:paraId="15A8CBDE" w14:textId="77777777" w:rsidR="00FE7F8B" w:rsidRDefault="00FE7F8B" w:rsidP="00EF11A2">
      <w:pPr>
        <w:pStyle w:val="Heading5"/>
      </w:pPr>
      <w:r>
        <w:t>Impairment of non-financial assets</w:t>
      </w:r>
      <w:bookmarkEnd w:id="53"/>
    </w:p>
    <w:p w14:paraId="07A1B135" w14:textId="77777777" w:rsidR="00FE7F8B" w:rsidRDefault="00FE7F8B" w:rsidP="00FE7F8B">
      <w:r>
        <w:t>Intangible assets not yet available for use or with indefinite useful lives are tested annually for impairment and whenever there is an indication that the asset may be impaired.</w:t>
      </w:r>
    </w:p>
    <w:p w14:paraId="61180283" w14:textId="77777777" w:rsidR="00FE7F8B" w:rsidRDefault="00FE7F8B" w:rsidP="00FE7F8B">
      <w:r>
        <w:t>All other assets are assessed annually for indications of impairment, except for non-financial physical assets held for sale (Note 1(k)).</w:t>
      </w:r>
    </w:p>
    <w:p w14:paraId="712547A2" w14:textId="77777777" w:rsidR="00FE7F8B" w:rsidRDefault="00FE7F8B" w:rsidP="00FE7F8B">
      <w:r>
        <w:t>If there is an indication of impairment, the assets concerned are tested as to whether their carrying value exceeds their recoverable amount. Where an asset’s carrying value exceeds its recoverable amount, the difference is written off as other economic flow, except to the extent that the write-down can be debited to an asset revaluation surplus amount applicable to that class of asset.</w:t>
      </w:r>
    </w:p>
    <w:p w14:paraId="3E3A0F35" w14:textId="77777777" w:rsidR="00FE7F8B" w:rsidRDefault="00FE7F8B" w:rsidP="00FE7F8B">
      <w:r>
        <w:t>If there is an indication that there has been a reversal in the estimate of an asset’s recoverable amount since the last impairment loss was recognised, the carrying amount shall be increased to its recoverable amount. The impairment loss is reversed only to the extent that the asset’s carrying amount does not exceed the carrying amount that would have been determined, net of depreciation or amortisation, if no impairment loss had been recognised in prior years.</w:t>
      </w:r>
    </w:p>
    <w:p w14:paraId="546639BF" w14:textId="77777777" w:rsidR="00FE7F8B" w:rsidRDefault="00FE7F8B" w:rsidP="00FE7F8B">
      <w:r>
        <w:t>It is deemed that, in the event of the loss or destruction of an asset, the future economic benefits arising from the use of the asset will be replaced unless a specific decision to the contrary has been made. The recoverable amount for most assets is measured at the higher of depreciated replacement cost and fair value less costs to sell.</w:t>
      </w:r>
    </w:p>
    <w:p w14:paraId="70C237E4" w14:textId="77777777" w:rsidR="00FE7F8B" w:rsidRDefault="00FE7F8B" w:rsidP="00FE7F8B">
      <w:r>
        <w:t>See Note 1(k) in relation to the recognition and measurement of non-financial assets.</w:t>
      </w:r>
    </w:p>
    <w:p w14:paraId="65E7080F" w14:textId="77777777" w:rsidR="00FE7F8B" w:rsidRDefault="00FE7F8B" w:rsidP="00EF11A2">
      <w:pPr>
        <w:pStyle w:val="Heading5"/>
      </w:pPr>
      <w:r>
        <w:t>Assets previously not recognised</w:t>
      </w:r>
    </w:p>
    <w:p w14:paraId="6B2D0662" w14:textId="77777777" w:rsidR="00FE7F8B" w:rsidRDefault="00FE7F8B" w:rsidP="00FE7F8B">
      <w:r>
        <w:t>Where it is found that an asset has been omitted from the financial records, it is recognised as ‘assets previously not recognised’.</w:t>
      </w:r>
    </w:p>
    <w:p w14:paraId="395ABCC3" w14:textId="23A39260" w:rsidR="00FE7F8B" w:rsidRDefault="002619FD" w:rsidP="00FE7F8B">
      <w:pPr>
        <w:pStyle w:val="Heading4notes"/>
      </w:pPr>
      <w:r>
        <w:t>Net gain</w:t>
      </w:r>
      <w:proofErr w:type="gramStart"/>
      <w:r>
        <w:t>/(</w:t>
      </w:r>
      <w:proofErr w:type="gramEnd"/>
      <w:r w:rsidR="00FE7F8B">
        <w:t>loss</w:t>
      </w:r>
      <w:r>
        <w:t>)</w:t>
      </w:r>
      <w:r w:rsidR="00FE7F8B">
        <w:t xml:space="preserve"> on financial instruments</w:t>
      </w:r>
    </w:p>
    <w:p w14:paraId="690852B0" w14:textId="77777777" w:rsidR="00FE7F8B" w:rsidRDefault="00FE7F8B" w:rsidP="00FE7F8B">
      <w:r>
        <w:t>Net gain</w:t>
      </w:r>
      <w:proofErr w:type="gramStart"/>
      <w:r>
        <w:t>/(</w:t>
      </w:r>
      <w:proofErr w:type="gramEnd"/>
      <w:r>
        <w:t>loss) on financial instruments includes impairment and reversal of impairment for financial instruments at amortised cost.</w:t>
      </w:r>
    </w:p>
    <w:p w14:paraId="7F591F92" w14:textId="3282B479" w:rsidR="00FE7F8B" w:rsidRDefault="00FE7F8B" w:rsidP="00FE7F8B">
      <w:pPr>
        <w:pStyle w:val="Heading4notes"/>
      </w:pPr>
      <w:r>
        <w:t>Othe</w:t>
      </w:r>
      <w:r w:rsidR="002619FD">
        <w:t>r gains</w:t>
      </w:r>
      <w:proofErr w:type="gramStart"/>
      <w:r w:rsidR="002619FD">
        <w:t>/(</w:t>
      </w:r>
      <w:proofErr w:type="gramEnd"/>
      <w:r>
        <w:t>losses</w:t>
      </w:r>
      <w:r w:rsidR="002619FD">
        <w:t>)</w:t>
      </w:r>
      <w:r>
        <w:t xml:space="preserve"> from other economic flows</w:t>
      </w:r>
    </w:p>
    <w:p w14:paraId="191D2AFD" w14:textId="301FC75C" w:rsidR="00FE7F8B" w:rsidRDefault="00FE7F8B" w:rsidP="00FE7F8B">
      <w:pPr>
        <w:rPr>
          <w:rFonts w:cs="Arial"/>
          <w:b/>
          <w:bCs/>
          <w:sz w:val="22"/>
          <w:szCs w:val="19"/>
          <w:lang w:eastAsia="en-AU"/>
        </w:rPr>
      </w:pPr>
      <w:bookmarkStart w:id="54" w:name="_Ref399423255"/>
      <w:r>
        <w:t>Other gains</w:t>
      </w:r>
      <w:r w:rsidR="002619FD">
        <w:t>/(</w:t>
      </w:r>
      <w:r>
        <w:t>losses</w:t>
      </w:r>
      <w:r w:rsidR="002619FD">
        <w:t>)</w:t>
      </w:r>
      <w:r>
        <w:t xml:space="preserve"> from other economic flows include the gains or losses from the revaluation of the present value of the long service leave liability due to changes in the bond interest rate.</w:t>
      </w:r>
    </w:p>
    <w:p w14:paraId="0F06E4A2" w14:textId="77777777" w:rsidR="00FE7F8B" w:rsidRDefault="00FE7F8B" w:rsidP="00AD641C">
      <w:pPr>
        <w:pStyle w:val="Heading3notesnumbered"/>
        <w:numPr>
          <w:ilvl w:val="0"/>
          <w:numId w:val="40"/>
        </w:numPr>
      </w:pPr>
      <w:r>
        <w:t>Administered income</w:t>
      </w:r>
      <w:bookmarkEnd w:id="54"/>
    </w:p>
    <w:p w14:paraId="167DE196" w14:textId="77777777" w:rsidR="00FE7F8B" w:rsidRDefault="00FE7F8B" w:rsidP="00FE7F8B">
      <w:pPr>
        <w:pStyle w:val="Heading4notes"/>
      </w:pPr>
      <w:r>
        <w:t>Commonwealth grants</w:t>
      </w:r>
    </w:p>
    <w:p w14:paraId="7643FCF3" w14:textId="77777777" w:rsidR="00FE7F8B" w:rsidRDefault="00FE7F8B" w:rsidP="00FE7F8B">
      <w:bookmarkStart w:id="55" w:name="_Ref399423395"/>
      <w:r>
        <w:t>The Department’s administered grants mainly comprise funds provided by the Commonwealth to assist the State Government in meeting general or specific service delivery obligations, primarily for the purpose of aiding in the financing of the operations of the recipient, capital purposes and/or for on-passing to other recipients. The Department also receives on-passing grants from other jurisdictions. The Department does not have control over these grants and the income is not recognised in the Department’s financial statements. Administered grants are disclosed in the schedule of administered items in Note 3.</w:t>
      </w:r>
    </w:p>
    <w:p w14:paraId="294BDEBB" w14:textId="77777777" w:rsidR="00FE7F8B" w:rsidRDefault="00FE7F8B" w:rsidP="00FE7F8B">
      <w:pPr>
        <w:pStyle w:val="Heading4notes"/>
      </w:pPr>
      <w:r>
        <w:t>Other income</w:t>
      </w:r>
    </w:p>
    <w:p w14:paraId="5EAC6780" w14:textId="77777777" w:rsidR="00FE7F8B" w:rsidRDefault="00FE7F8B" w:rsidP="00FE7F8B">
      <w:pPr>
        <w:rPr>
          <w:rFonts w:cs="Arial"/>
          <w:b/>
          <w:bCs/>
          <w:sz w:val="22"/>
          <w:szCs w:val="19"/>
          <w:lang w:eastAsia="en-AU"/>
        </w:rPr>
      </w:pPr>
      <w:r>
        <w:t>Other income includes regulatory fees such as fees charged to schools for alarm call-out and quarterly monitoring fee for security service, contributions for Public Sector Commuter Club, and rental income from Victoria YMCA. The Department does not gain control over assets arising from these transactions, therefore no income is recognised in the Department’s financial statements.</w:t>
      </w:r>
    </w:p>
    <w:p w14:paraId="170B82DA" w14:textId="77777777" w:rsidR="00FE7F8B" w:rsidRDefault="00FE7F8B" w:rsidP="00AD641C">
      <w:pPr>
        <w:pStyle w:val="Heading3notesnumbered"/>
        <w:numPr>
          <w:ilvl w:val="0"/>
          <w:numId w:val="40"/>
        </w:numPr>
      </w:pPr>
      <w:r>
        <w:t>Financial instruments</w:t>
      </w:r>
      <w:bookmarkEnd w:id="55"/>
    </w:p>
    <w:p w14:paraId="2FA7A782" w14:textId="77777777" w:rsidR="00FE7F8B" w:rsidRDefault="00FE7F8B" w:rsidP="00FE7F8B">
      <w:r>
        <w:t xml:space="preserve">Financial instruments arise out of contractual agreements that give rise to a financial asset of one entity and a financial liability or equity instrument of another entity. Due to the nature of the Department’s activities, certain financial assets and financial liabilities arise under statute rather than a contract. Such financial assets and financial liabilities do not meet the definition of financial instruments in AASB 132 </w:t>
      </w:r>
      <w:r>
        <w:rPr>
          <w:i/>
        </w:rPr>
        <w:t>Financial Instruments: Presentation</w:t>
      </w:r>
      <w:r>
        <w:t>. For example, statutory receivables arising from taxes, fines and penalties do not meet the definition of financial instruments as they do not arise under contract.</w:t>
      </w:r>
    </w:p>
    <w:p w14:paraId="4DD1F68D" w14:textId="77777777" w:rsidR="00FE7F8B" w:rsidRDefault="00FE7F8B" w:rsidP="00FE7F8B">
      <w:r>
        <w:t>However, guarantees issued by the Treasurer on behalf of the Department are financial instruments because, although authorised under statute, the terms and conditions for each financial guarantee may vary and are subject to an agreement.</w:t>
      </w:r>
    </w:p>
    <w:p w14:paraId="0AEC4E47" w14:textId="77777777" w:rsidR="00FE7F8B" w:rsidRDefault="00FE7F8B" w:rsidP="00FE7F8B">
      <w:r>
        <w:t>Where relevant, for note disclosure purposes, a distinction is made between those financial assets and financial liabilities that meet the definition of financial instruments in accordance with AASB 132 and those that do not.</w:t>
      </w:r>
    </w:p>
    <w:p w14:paraId="26839F1C" w14:textId="77777777" w:rsidR="00FE7F8B" w:rsidRDefault="00FE7F8B" w:rsidP="00FE7F8B">
      <w:pPr>
        <w:rPr>
          <w:b/>
          <w:i/>
        </w:rPr>
      </w:pPr>
      <w:r>
        <w:t>The following refers to financial instruments unless otherwise stated.</w:t>
      </w:r>
    </w:p>
    <w:p w14:paraId="227BBA2F" w14:textId="77777777" w:rsidR="00FE7F8B" w:rsidRDefault="00FE7F8B" w:rsidP="00FE7F8B">
      <w:pPr>
        <w:pStyle w:val="Heading4notes"/>
      </w:pPr>
      <w:r>
        <w:t>Categories of non-derivative financial instruments</w:t>
      </w:r>
    </w:p>
    <w:p w14:paraId="7FA25BB6" w14:textId="77777777" w:rsidR="00FE7F8B" w:rsidRDefault="00FE7F8B" w:rsidP="00EF11A2">
      <w:pPr>
        <w:pStyle w:val="Heading5"/>
      </w:pPr>
      <w:r>
        <w:t>Loans and receivables</w:t>
      </w:r>
    </w:p>
    <w:p w14:paraId="12A54FA1" w14:textId="77777777" w:rsidR="00FE7F8B" w:rsidRDefault="00FE7F8B" w:rsidP="00FE7F8B">
      <w:bookmarkStart w:id="56" w:name="_Ref399423324"/>
      <w:r>
        <w:t>Loans and receivables are financial instrument assets with fixed and determinable payments that are not quoted on an active market. These assets are initially recognised at fair value plus any directly attributable transaction costs. Subsequent to initial measurement, loans and receivables are measured at amortised cost using the effective interest method, less any impairment.</w:t>
      </w:r>
    </w:p>
    <w:p w14:paraId="6AEC865D" w14:textId="77777777" w:rsidR="00FE7F8B" w:rsidRDefault="00FE7F8B" w:rsidP="00FE7F8B">
      <w:r>
        <w:t>The loans and receivables category includes cash and deposits (Note 1(j)), term deposits with maturity greater than three months, trade receivables, loans and other receivables; but not statutory receivables.</w:t>
      </w:r>
    </w:p>
    <w:p w14:paraId="0EEB8471" w14:textId="77777777" w:rsidR="00FE7F8B" w:rsidRDefault="00FE7F8B" w:rsidP="00FE7F8B">
      <w:r>
        <w:t>Fair value is determined in the manner described in Note 17.</w:t>
      </w:r>
    </w:p>
    <w:p w14:paraId="7C4490D4" w14:textId="77777777" w:rsidR="00FE7F8B" w:rsidRDefault="00FE7F8B" w:rsidP="00EF11A2">
      <w:pPr>
        <w:pStyle w:val="Heading5"/>
      </w:pPr>
      <w:r>
        <w:t>Financial liabilities at amortised cost</w:t>
      </w:r>
    </w:p>
    <w:p w14:paraId="6D75148B" w14:textId="77777777" w:rsidR="00FE7F8B" w:rsidRDefault="00FE7F8B" w:rsidP="00FE7F8B">
      <w:pPr>
        <w:rPr>
          <w:rFonts w:ascii="Times New Roman" w:hAnsi="Times New Roman"/>
          <w:sz w:val="24"/>
        </w:rPr>
      </w:pPr>
      <w:r>
        <w:t>Financial instrument liabilities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over the period of the interest bearing liability, using the effective interest rate method (Note 27).</w:t>
      </w:r>
    </w:p>
    <w:p w14:paraId="3FA1F854" w14:textId="77777777" w:rsidR="00FE7F8B" w:rsidRDefault="00FE7F8B" w:rsidP="00FE7F8B">
      <w:pPr>
        <w:rPr>
          <w:rFonts w:ascii="Times New Roman" w:hAnsi="Times New Roman"/>
          <w:sz w:val="24"/>
        </w:rPr>
      </w:pPr>
      <w:r>
        <w:t>Financial instrument liabilities measured at amortised cost include all of the Department’s contractual payables, advances received, and interest bearing arrangements other than those designated at fair value through profit or loss.</w:t>
      </w:r>
    </w:p>
    <w:p w14:paraId="43C094A5" w14:textId="77777777" w:rsidR="00FE7F8B" w:rsidRDefault="00FE7F8B" w:rsidP="00AD641C">
      <w:pPr>
        <w:pStyle w:val="Heading3notesnumbered"/>
        <w:numPr>
          <w:ilvl w:val="0"/>
          <w:numId w:val="40"/>
        </w:numPr>
      </w:pPr>
      <w:r>
        <w:t>Financial assets</w:t>
      </w:r>
      <w:bookmarkEnd w:id="56"/>
    </w:p>
    <w:p w14:paraId="4E134785" w14:textId="77777777" w:rsidR="00FE7F8B" w:rsidRDefault="00FE7F8B" w:rsidP="00FE7F8B">
      <w:pPr>
        <w:pStyle w:val="Heading4notes"/>
      </w:pPr>
      <w:r>
        <w:t>Cash and deposits</w:t>
      </w:r>
    </w:p>
    <w:p w14:paraId="54ABA164" w14:textId="77777777" w:rsidR="00FE7F8B" w:rsidRDefault="00FE7F8B" w:rsidP="00FE7F8B">
      <w:pPr>
        <w:rPr>
          <w:rFonts w:ascii="Times New Roman" w:hAnsi="Times New Roman"/>
          <w:sz w:val="24"/>
        </w:rPr>
      </w:pPr>
      <w:r>
        <w:t>Cash and deposits recognised on the balance sheet comprise cash on hand and cash at bank, deposits at call and those highly liquid investments with an original maturity of three months or less, which are held for the purpose of meeting short-term cash commitments rather than for investment purposes, and readily convertible to known amounts of cash with an insignificant risk of changes in value.</w:t>
      </w:r>
    </w:p>
    <w:p w14:paraId="575B5EA1" w14:textId="77777777" w:rsidR="00FE7F8B" w:rsidRDefault="00FE7F8B" w:rsidP="00FE7F8B">
      <w:pPr>
        <w:pStyle w:val="Heading4notes"/>
      </w:pPr>
      <w:r>
        <w:t>Receivables</w:t>
      </w:r>
    </w:p>
    <w:p w14:paraId="674A3681" w14:textId="77777777" w:rsidR="00FE7F8B" w:rsidRDefault="00FE7F8B" w:rsidP="00FE7F8B">
      <w:pPr>
        <w:pStyle w:val="Normalbeforelist"/>
      </w:pPr>
      <w:r>
        <w:t>Receivables consist of:</w:t>
      </w:r>
    </w:p>
    <w:p w14:paraId="2519E1E9" w14:textId="77777777" w:rsidR="00FE7F8B" w:rsidRDefault="00FE7F8B" w:rsidP="00AD641C">
      <w:pPr>
        <w:pStyle w:val="Normallistbullet"/>
        <w:numPr>
          <w:ilvl w:val="0"/>
          <w:numId w:val="42"/>
        </w:numPr>
      </w:pPr>
      <w:r>
        <w:t>statutory receivables, which include predominantly amounts owing from the Victorian Government and goods and services tax (GST) input tax credits recoverable</w:t>
      </w:r>
    </w:p>
    <w:p w14:paraId="6CFC6276" w14:textId="77777777" w:rsidR="00FE7F8B" w:rsidRDefault="00FE7F8B" w:rsidP="00AD641C">
      <w:pPr>
        <w:pStyle w:val="Normallistbullet"/>
        <w:numPr>
          <w:ilvl w:val="0"/>
          <w:numId w:val="42"/>
        </w:numPr>
      </w:pPr>
      <w:proofErr w:type="gramStart"/>
      <w:r>
        <w:t>contractual</w:t>
      </w:r>
      <w:proofErr w:type="gramEnd"/>
      <w:r>
        <w:t xml:space="preserve"> receivables, which include mainly debtors in relation to goods and services, loans to third parties, and finance lease receivables (Note 1(m)).</w:t>
      </w:r>
    </w:p>
    <w:p w14:paraId="295A3943" w14:textId="77777777" w:rsidR="00FE7F8B" w:rsidRDefault="00FE7F8B" w:rsidP="00FE7F8B">
      <w:pPr>
        <w:pStyle w:val="Normalafterlist"/>
        <w:rPr>
          <w:rFonts w:ascii="Times New Roman" w:hAnsi="Times New Roman"/>
          <w:sz w:val="24"/>
        </w:rPr>
      </w:pPr>
      <w:r>
        <w:t>Contractual receivables are classified as financial instruments (Note 1(i)). Statutory receivables are recognised and measured similarly to contractual receivables (except for impairment), but are not classified as financial instruments because they do not arise from a contract.</w:t>
      </w:r>
    </w:p>
    <w:p w14:paraId="05538481" w14:textId="77777777" w:rsidR="00FE7F8B" w:rsidRDefault="00FE7F8B" w:rsidP="00FE7F8B">
      <w:pPr>
        <w:rPr>
          <w:rFonts w:ascii="Times New Roman" w:hAnsi="Times New Roman"/>
          <w:sz w:val="24"/>
        </w:rPr>
      </w:pPr>
      <w:r>
        <w:t>An allowance for doubtful receivables is made when there is objective evidence that the debts may not be collected. Bad debts are written off when identified.</w:t>
      </w:r>
    </w:p>
    <w:p w14:paraId="700EEF13" w14:textId="77777777" w:rsidR="00FE7F8B" w:rsidRDefault="00FE7F8B" w:rsidP="00FE7F8B">
      <w:pPr>
        <w:pStyle w:val="Heading4notes"/>
      </w:pPr>
      <w:r>
        <w:t>Other financial assets</w:t>
      </w:r>
    </w:p>
    <w:p w14:paraId="07F69E2C" w14:textId="77777777" w:rsidR="00FE7F8B" w:rsidRDefault="00FE7F8B" w:rsidP="00FE7F8B">
      <w:pPr>
        <w:rPr>
          <w:rFonts w:ascii="Times New Roman" w:hAnsi="Times New Roman"/>
          <w:sz w:val="24"/>
        </w:rPr>
      </w:pPr>
      <w:r>
        <w:t>Other financial assets include term deposits with maturity greater than three months.</w:t>
      </w:r>
    </w:p>
    <w:p w14:paraId="1B1EB19D" w14:textId="77777777" w:rsidR="00FE7F8B" w:rsidRDefault="00FE7F8B" w:rsidP="00FE7F8B">
      <w:pPr>
        <w:pStyle w:val="Heading4notes"/>
      </w:pPr>
      <w:r>
        <w:t>Impairment of financial assets</w:t>
      </w:r>
    </w:p>
    <w:p w14:paraId="03908D49" w14:textId="77777777" w:rsidR="00FE7F8B" w:rsidRDefault="00FE7F8B" w:rsidP="00FE7F8B">
      <w:bookmarkStart w:id="57" w:name="_Ref399422636"/>
      <w:r>
        <w:t>At the end of each reporting period, the Department assesses whether there is objective evidence that a financial asset or group of financial assets is impaired. Objective evidence includes financial difficulties of the debtor, default payments and changes in debtor credit ratings. All financial assets, except those measured at fair value through profit or loss, are subject to annual review for impairment.</w:t>
      </w:r>
    </w:p>
    <w:p w14:paraId="5B88D44D" w14:textId="77777777" w:rsidR="00FE7F8B" w:rsidRDefault="00FE7F8B" w:rsidP="00FE7F8B">
      <w:r>
        <w:t xml:space="preserve">Receivables are assessed for bad and doubtful debts on a regular basis. Those bad debts considered as written off by mutual consent are classified as a transaction expense. Bad debts written off not by mutual consent and the allowance for doubtful receivables are classified as </w:t>
      </w:r>
      <w:proofErr w:type="gramStart"/>
      <w:r>
        <w:t>Other</w:t>
      </w:r>
      <w:proofErr w:type="gramEnd"/>
      <w:r>
        <w:t xml:space="preserve"> economic flows—other comprehensive income in the net result.</w:t>
      </w:r>
    </w:p>
    <w:p w14:paraId="2B458350" w14:textId="77777777" w:rsidR="00FE7F8B" w:rsidRDefault="00FE7F8B" w:rsidP="00FE7F8B">
      <w:r>
        <w:t>The amount of the allowance is the difference between the financial asset’s carrying amount and the present value of estimated future cash flows, discounted at the effective interest rate.</w:t>
      </w:r>
    </w:p>
    <w:p w14:paraId="24CB58C6" w14:textId="77777777" w:rsidR="00FE7F8B" w:rsidRDefault="00FE7F8B" w:rsidP="00FE7F8B">
      <w:pPr>
        <w:rPr>
          <w:rFonts w:cs="Arial"/>
          <w:b/>
          <w:bCs/>
          <w:sz w:val="22"/>
          <w:szCs w:val="19"/>
          <w:lang w:eastAsia="en-AU"/>
        </w:rPr>
      </w:pPr>
      <w:r>
        <w:t xml:space="preserve">In assessing impairment of statutory (non-contractual) financial assets which are not financial instruments, professional judgment is applied in assessing materiality and using estimates in accordance with AASB 136 </w:t>
      </w:r>
      <w:r>
        <w:rPr>
          <w:i/>
        </w:rPr>
        <w:t>Impairment of Assets</w:t>
      </w:r>
      <w:r>
        <w:t>.</w:t>
      </w:r>
    </w:p>
    <w:p w14:paraId="28196D10" w14:textId="77777777" w:rsidR="00FE7F8B" w:rsidRDefault="00FE7F8B" w:rsidP="00AD641C">
      <w:pPr>
        <w:pStyle w:val="Heading3notesnumbered"/>
        <w:numPr>
          <w:ilvl w:val="0"/>
          <w:numId w:val="40"/>
        </w:numPr>
      </w:pPr>
      <w:r>
        <w:t>Non-financial assets</w:t>
      </w:r>
      <w:bookmarkEnd w:id="57"/>
    </w:p>
    <w:p w14:paraId="7279BD13" w14:textId="77777777" w:rsidR="00FE7F8B" w:rsidRDefault="00FE7F8B" w:rsidP="00FE7F8B">
      <w:pPr>
        <w:pStyle w:val="Heading4notes"/>
      </w:pPr>
      <w:r>
        <w:t xml:space="preserve">Non-financial assets classified as held for sale </w:t>
      </w:r>
    </w:p>
    <w:p w14:paraId="43577FEF" w14:textId="77777777" w:rsidR="00FE7F8B" w:rsidRDefault="00FE7F8B" w:rsidP="00FE7F8B">
      <w:r>
        <w:t>Non-financial assets are treated as current and classified as held for sale if their carrying amount will be recovered principally through a sale transaction rather than through continuing use.</w:t>
      </w:r>
    </w:p>
    <w:p w14:paraId="0ED3BB62" w14:textId="77777777" w:rsidR="00FE7F8B" w:rsidRDefault="00FE7F8B" w:rsidP="00FE7F8B">
      <w:r>
        <w:t>This condition is regarded as met only when:</w:t>
      </w:r>
    </w:p>
    <w:p w14:paraId="6BC863FC" w14:textId="77777777" w:rsidR="00FE7F8B" w:rsidRDefault="00FE7F8B" w:rsidP="00AD641C">
      <w:pPr>
        <w:pStyle w:val="Normallistbullet"/>
        <w:numPr>
          <w:ilvl w:val="0"/>
          <w:numId w:val="42"/>
        </w:numPr>
      </w:pPr>
      <w:r>
        <w:t>the asset is available for immediate sale in the current condition; and</w:t>
      </w:r>
    </w:p>
    <w:p w14:paraId="01B09C08" w14:textId="77777777" w:rsidR="00FE7F8B" w:rsidRDefault="00FE7F8B" w:rsidP="00AD641C">
      <w:pPr>
        <w:pStyle w:val="Normallistbullet"/>
        <w:numPr>
          <w:ilvl w:val="0"/>
          <w:numId w:val="42"/>
        </w:numPr>
      </w:pPr>
      <w:proofErr w:type="gramStart"/>
      <w:r>
        <w:t>the</w:t>
      </w:r>
      <w:proofErr w:type="gramEnd"/>
      <w:r>
        <w:t xml:space="preserve"> sale is highly probable, the asset is actively marketed and the asset’s sale is expected to be completed within 12 months from the date of classification.</w:t>
      </w:r>
    </w:p>
    <w:p w14:paraId="6F5E9E85" w14:textId="77777777" w:rsidR="00FE7F8B" w:rsidRDefault="00FE7F8B" w:rsidP="00FE7F8B">
      <w:pPr>
        <w:pStyle w:val="Normalafterlist"/>
      </w:pPr>
      <w:r>
        <w:t>These non-financial physical assets, related liabilities and financial assets are measured at the lower of carrying amount and fair value less costs to sell, and are not subject to depreciation or amortisation.</w:t>
      </w:r>
    </w:p>
    <w:p w14:paraId="1BF43654" w14:textId="77777777" w:rsidR="00FE7F8B" w:rsidRDefault="00FE7F8B" w:rsidP="00FE7F8B">
      <w:pPr>
        <w:pStyle w:val="Heading4notes"/>
      </w:pPr>
      <w:r>
        <w:t>Property, plant and equipment</w:t>
      </w:r>
    </w:p>
    <w:p w14:paraId="02D4EF30" w14:textId="77777777" w:rsidR="00FE7F8B" w:rsidRDefault="00FE7F8B" w:rsidP="00FE7F8B">
      <w:r>
        <w:t>All non-financial physical assets, except land are measured initially at cost and subsequently revalued at fair value less accumulated depreciation and impairment. Where an asset is acquired for no or nominal consideration, the cost is the asset’s fair value at the date of acquisition. Assets transferred as part of a machinery of government change are transferred at their carrying amount.</w:t>
      </w:r>
    </w:p>
    <w:p w14:paraId="3DE8C088" w14:textId="77777777" w:rsidR="00FE7F8B" w:rsidRDefault="00FE7F8B" w:rsidP="00FE7F8B">
      <w:r>
        <w:t>The initial cost for non-financial physical assets under a finance lease (Note 1(m)) is measured at amounts equal to the fair value of the leased asset or, if lower, the present value of the minimum lease payments, each determined at the inception of the lease.</w:t>
      </w:r>
    </w:p>
    <w:p w14:paraId="252EEED0" w14:textId="77777777" w:rsidR="00FE7F8B" w:rsidRDefault="00FE7F8B" w:rsidP="00FE7F8B">
      <w:r>
        <w:t>Non-financial physical assets such as Crown land and heritage buildings are measured at fair value with regard to the property’s highest and best use after due consideration is made for any legal or constructive restrictions imposed on the asset, public announcements or commitments made in relation to the intended use of the asset. Theoretical opportunities that may be available in relation to the asset are not taken into account until it is virtually certain that the restrictions will no longer apply. Therefore, unless otherwise disclosed, the current use of these non-financial physical assets will be their highest and best uses.</w:t>
      </w:r>
    </w:p>
    <w:p w14:paraId="148C5E08" w14:textId="77777777" w:rsidR="00FE7F8B" w:rsidRDefault="00FE7F8B" w:rsidP="00FE7F8B">
      <w:r>
        <w:t>Land and buildings of the Department are considered as specialised land and buildings.</w:t>
      </w:r>
    </w:p>
    <w:p w14:paraId="680022C9" w14:textId="77777777" w:rsidR="00FE7F8B" w:rsidRDefault="00FE7F8B" w:rsidP="00FE7F8B">
      <w:r>
        <w:t>Specialised land has no feasible alternative use because it is restricted to only provide education services to the community group. There is also little or no observable market evidence of the market-selling price as a community service obligation (CSO) is applied to such assets.</w:t>
      </w:r>
    </w:p>
    <w:p w14:paraId="6843569A" w14:textId="77777777" w:rsidR="00FE7F8B" w:rsidRDefault="00FE7F8B" w:rsidP="00FE7F8B">
      <w:r>
        <w:t>Specialised buildings are buildings designed for a specific limited purpose. In the State Government Sector, these buildings include school sites and heritage/historic properties owned by the Department.</w:t>
      </w:r>
    </w:p>
    <w:p w14:paraId="7A5E4D20" w14:textId="77777777" w:rsidR="00FE7F8B" w:rsidRDefault="00FE7F8B" w:rsidP="00FE7F8B">
      <w:r>
        <w:t>Plant and equipment is capitalised when the individual asset value is $5,000 or greater.</w:t>
      </w:r>
    </w:p>
    <w:p w14:paraId="0EC1B625" w14:textId="77777777" w:rsidR="00FE7F8B" w:rsidRDefault="00FE7F8B" w:rsidP="00FE7F8B">
      <w:r>
        <w:t>The fair value of plant and equipment is normally determined by reference to the asset’s depreciated replacement cost.</w:t>
      </w:r>
    </w:p>
    <w:p w14:paraId="3875641C" w14:textId="77777777" w:rsidR="00FE7F8B" w:rsidRDefault="00FE7F8B" w:rsidP="00FE7F8B">
      <w:r>
        <w:t>Certain assets are acquired under finance leases, which may form part of a service concession arrangement (i.e. public private partnership). Refer to Notes 1(m) Leases and 1(o) Commitments for more information.</w:t>
      </w:r>
    </w:p>
    <w:p w14:paraId="0A8E68A2" w14:textId="77777777" w:rsidR="00FE7F8B" w:rsidRDefault="00FE7F8B" w:rsidP="00FE7F8B">
      <w:r>
        <w:t>The cost of constructed non-financial physical assets includes the cost of all materials used in construction, direct labour on the project, and an appropriate proportion of variable and fixed overheads.</w:t>
      </w:r>
    </w:p>
    <w:p w14:paraId="1450B5E4" w14:textId="100416B2" w:rsidR="00FE7F8B" w:rsidRDefault="00FE7F8B" w:rsidP="00FE7F8B">
      <w:r>
        <w:t>For the accounting policy on impairment of non-financial physical assets, refer to Note 1(g)</w:t>
      </w:r>
      <w:r w:rsidR="00DD6660">
        <w:t xml:space="preserve"> Impairment of </w:t>
      </w:r>
      <w:proofErr w:type="spellStart"/>
      <w:r w:rsidR="00DD6660">
        <w:t>non financial</w:t>
      </w:r>
      <w:proofErr w:type="spellEnd"/>
      <w:r w:rsidR="00DD6660">
        <w:t xml:space="preserve"> assets</w:t>
      </w:r>
      <w:r>
        <w:t>.</w:t>
      </w:r>
    </w:p>
    <w:p w14:paraId="775EB7A7" w14:textId="43435C19" w:rsidR="00FE7F8B" w:rsidRDefault="00FE7F8B" w:rsidP="00FE7F8B">
      <w:r>
        <w:t>More details about the valuation techniques and inputs used in determining the fair value of non-financial physical assets are discussed in Note 11</w:t>
      </w:r>
      <w:r w:rsidR="00DD6660">
        <w:t xml:space="preserve"> Property, plant and equipment</w:t>
      </w:r>
      <w:r>
        <w:t>.</w:t>
      </w:r>
    </w:p>
    <w:p w14:paraId="07B87AFB" w14:textId="77777777" w:rsidR="00FE7F8B" w:rsidRDefault="00FE7F8B" w:rsidP="00EF11A2">
      <w:pPr>
        <w:pStyle w:val="Heading5"/>
      </w:pPr>
      <w:r>
        <w:t>Leasehold improvements</w:t>
      </w:r>
    </w:p>
    <w:p w14:paraId="4B52A5A8" w14:textId="77777777" w:rsidR="00FE7F8B" w:rsidRDefault="00FE7F8B" w:rsidP="00FE7F8B">
      <w:r>
        <w:t>The cost of a leasehold improvement is capitalised as an asset and depreciated over the shorter of the remaining term of the lease or the estimated useful life of the improvements.</w:t>
      </w:r>
    </w:p>
    <w:p w14:paraId="3CA9F9E5" w14:textId="77777777" w:rsidR="00FE7F8B" w:rsidRDefault="00FE7F8B" w:rsidP="00EF11A2">
      <w:pPr>
        <w:pStyle w:val="Heading5"/>
      </w:pPr>
      <w:r>
        <w:t xml:space="preserve">Restrictive nature of heritage buildings and Crown land </w:t>
      </w:r>
    </w:p>
    <w:p w14:paraId="5FE49431" w14:textId="77777777" w:rsidR="00FE7F8B" w:rsidRDefault="00FE7F8B" w:rsidP="00FE7F8B">
      <w:r>
        <w:t>During the reporting period, the Department also held heritage buildings and other non-financial physical assets (including Crown land and infrastructure assets) that the Department intends to preserve because of their unique historical, cultural or environmental attributes.</w:t>
      </w:r>
    </w:p>
    <w:p w14:paraId="5F15F903" w14:textId="0A310753" w:rsidR="00FE7F8B" w:rsidRDefault="00FE7F8B" w:rsidP="00FE7F8B">
      <w:r>
        <w:t>The cost of some heritage and iconic assets may be the reproduction cost rather than the replacement cost if those assets’ service potential could only be replaced by reproducing them with the same materials. In addition, as there are limitations and restrictions imposed on those assets use and/or disposal, they may impact the fair value of those assets</w:t>
      </w:r>
      <w:r w:rsidR="00DD6660">
        <w:t>,</w:t>
      </w:r>
      <w:r>
        <w:t xml:space="preserve"> and should be taken into account when the fair value is determined.</w:t>
      </w:r>
    </w:p>
    <w:p w14:paraId="68FEC06E" w14:textId="77777777" w:rsidR="00FE7F8B" w:rsidRDefault="00FE7F8B" w:rsidP="00AD641C">
      <w:pPr>
        <w:pStyle w:val="Heading4"/>
        <w:numPr>
          <w:ilvl w:val="3"/>
          <w:numId w:val="58"/>
        </w:numPr>
      </w:pPr>
      <w:r>
        <w:t>Revaluations of non-financial physical assets</w:t>
      </w:r>
    </w:p>
    <w:p w14:paraId="10291BB9" w14:textId="77777777" w:rsidR="00FE7F8B" w:rsidRDefault="00FE7F8B" w:rsidP="00FE7F8B">
      <w:r>
        <w:t xml:space="preserve">Non-financial physical assets are measured at fair value on a cyclical basis, in accordance with Financial Reporting Direction (FRD) 103F Non-financial physical assets issued by the Minister for Finance. A full revaluation normally occurs every five years, based upon the asset’s government purpose classification but may occur more frequently if fair value assessments indicate material changes in values. Independent </w:t>
      </w:r>
      <w:proofErr w:type="spellStart"/>
      <w:r>
        <w:t>valuers</w:t>
      </w:r>
      <w:proofErr w:type="spellEnd"/>
      <w:r>
        <w:t xml:space="preserve"> are generally used to conduct these scheduled revaluations. Any interim revaluations are determined in accordance with the requirements of the FRD. Revaluation increases or decreases arise from differences between an asset’s carrying value and fair value.</w:t>
      </w:r>
    </w:p>
    <w:p w14:paraId="141940EE" w14:textId="77777777" w:rsidR="00FE7F8B" w:rsidRDefault="00FE7F8B" w:rsidP="00FE7F8B">
      <w:r>
        <w:t>In a non-revaluation year, land is measured at each reporting date by applying industry indices to the values to ensure there has been no material movement. Where there has been a material movement (more than 10 per cent), the fair value is adjusted accordingly.</w:t>
      </w:r>
    </w:p>
    <w:p w14:paraId="27DCB132" w14:textId="77777777" w:rsidR="00FE7F8B" w:rsidRDefault="00FE7F8B" w:rsidP="00FE7F8B">
      <w:r>
        <w:t>Net revaluation increases (where the carrying amount of a class of assets is increased as a result of a revaluation) are recognised in ‘other economic flows—other comprehensive income’ and accumulated in equity under the asset revaluation surplus. However, the net revaluation increase is recognised in the net result to the extent that it reverses a net revaluation decrease in respect of the same class of property, plant and equipment previously recognised as an expense (other economic flows) in the net result.</w:t>
      </w:r>
    </w:p>
    <w:p w14:paraId="5886909F" w14:textId="4DDD4B02" w:rsidR="00FE7F8B" w:rsidRDefault="00FE7F8B" w:rsidP="00FE7F8B">
      <w:r>
        <w:t>Net revaluat</w:t>
      </w:r>
      <w:r w:rsidR="002E3F40">
        <w:t>ion decrease is recognised in ‘o</w:t>
      </w:r>
      <w:r>
        <w:t>ther economic flows—other comprehensive income’ to the extent that a credit balance exists in the asset revaluation surplus in respect of the same class of property, plant and equipment. Otherwise, the net revaluation decreases are recognised immediately as other economic flows in the net result. The net reval</w:t>
      </w:r>
      <w:r w:rsidR="002E3F40">
        <w:t>uation decrease recognised in ‘o</w:t>
      </w:r>
      <w:r>
        <w:t>ther economic flows—other comprehensive income’ reduces the amount accumulated in equity under the asset revaluation surplus.</w:t>
      </w:r>
    </w:p>
    <w:p w14:paraId="3D670C36" w14:textId="77777777" w:rsidR="00FE7F8B" w:rsidRDefault="00FE7F8B" w:rsidP="00FE7F8B">
      <w:r>
        <w:t>Revaluation increases and decreases relating to individual assets within a class of property, plant and equipment, are offset against one another within that class but are not offset in respect of assets in different classes. The asset revaluation surplus is not transferred to accumulated funds on de-recognition of the relevant asset.</w:t>
      </w:r>
    </w:p>
    <w:p w14:paraId="354C5566" w14:textId="77777777" w:rsidR="00FE7F8B" w:rsidRDefault="00FE7F8B" w:rsidP="00EF11A2">
      <w:pPr>
        <w:pStyle w:val="Heading5"/>
      </w:pPr>
      <w:r>
        <w:t>Land</w:t>
      </w:r>
    </w:p>
    <w:p w14:paraId="4C750577" w14:textId="77777777" w:rsidR="00FE7F8B" w:rsidRDefault="00FE7F8B" w:rsidP="00FE7F8B">
      <w:r>
        <w:t>The market approach is also used for specialised land, although is adjusted for the community service obligation (CSO) to reflect the specialised nature of the land being valued.</w:t>
      </w:r>
    </w:p>
    <w:p w14:paraId="405F9726" w14:textId="77777777" w:rsidR="00FE7F8B" w:rsidRDefault="00FE7F8B" w:rsidP="00FE7F8B">
      <w:r>
        <w:t>The CSO is an adjustment for the difference in value between unrestricted assets (e.g. freehold land) and assets held by the public sector, taking into account any legal, financial or physical restrictions imposed on the use or sale of the assets. As adjustments of CSO are considered as significant unobservable inputs, specialised land is classified as Level 3 assets.</w:t>
      </w:r>
    </w:p>
    <w:p w14:paraId="2E365C61" w14:textId="77777777" w:rsidR="00FE7F8B" w:rsidRDefault="00FE7F8B" w:rsidP="00FE7F8B">
      <w:r>
        <w:t xml:space="preserve">An independent valuation of the Department’s specialised land was performed by the </w:t>
      </w:r>
      <w:proofErr w:type="spellStart"/>
      <w:r>
        <w:t>Valuer</w:t>
      </w:r>
      <w:proofErr w:type="spellEnd"/>
      <w:r>
        <w:t>-General Victoria. The valuation was performed using the market approach adjusted for CSO. The effective date of the valuation is 30 June 2016.</w:t>
      </w:r>
    </w:p>
    <w:p w14:paraId="7682CB54" w14:textId="77777777" w:rsidR="00FE7F8B" w:rsidRDefault="00FE7F8B" w:rsidP="00EF11A2">
      <w:pPr>
        <w:pStyle w:val="Heading5"/>
      </w:pPr>
      <w:r>
        <w:t>Buildings</w:t>
      </w:r>
    </w:p>
    <w:p w14:paraId="12BF4A68" w14:textId="77777777" w:rsidR="00FE7F8B" w:rsidRDefault="00FE7F8B" w:rsidP="00FE7F8B">
      <w:r>
        <w:t xml:space="preserve">The valuations are undertaken by the </w:t>
      </w:r>
      <w:proofErr w:type="spellStart"/>
      <w:r>
        <w:t>Valuer</w:t>
      </w:r>
      <w:proofErr w:type="spellEnd"/>
      <w:r>
        <w:t xml:space="preserve">-General Victoria in accordance with the Department’s policies. School buildings are specialised assets that are restricted to primarily providing education services, with some ancillary community services also provided. As such, there is generally little or no observable market-based evidence for determining the fair value of such assets. Accordingly, school buildings and other improvements are valued under the Depreciated Replacement Cost (DRC) method which represents the highest and best use under AASB 13 </w:t>
      </w:r>
      <w:r>
        <w:rPr>
          <w:i/>
        </w:rPr>
        <w:t>Fair Value Measurement</w:t>
      </w:r>
      <w:r>
        <w:t xml:space="preserve">. </w:t>
      </w:r>
    </w:p>
    <w:p w14:paraId="4F96390B" w14:textId="77777777" w:rsidR="00FE7F8B" w:rsidRDefault="00FE7F8B" w:rsidP="00FE7F8B">
      <w:r>
        <w:t>DRC is the current replacement cost of an asset less where applicable, accumulated depreciation calculated on the basis of such cost to reflect age and the already consumed or expired future economic benefits of the asset. For the majority of the Department’s specialised buildings, the depreciated replacement cost method is used, adjusting associated depreciation. Depreciation adjustments are considered as significant and unobservable inputs in nature, therefore these specialised buildings are classified as level 3 fair value measurements.</w:t>
      </w:r>
    </w:p>
    <w:p w14:paraId="51173CDA" w14:textId="77777777" w:rsidR="00FE7F8B" w:rsidRDefault="00FE7F8B" w:rsidP="00FE7F8B">
      <w:r>
        <w:t>Where assets acquired within 12 months of the relevant scheduled revaluation have not been revalued, the acquisition cost is deemed to be fair value.</w:t>
      </w:r>
    </w:p>
    <w:p w14:paraId="03865995" w14:textId="77777777" w:rsidR="00FE7F8B" w:rsidRDefault="00FE7F8B" w:rsidP="00FE7F8B">
      <w:r>
        <w:t xml:space="preserve">An independent valuation of the Department’s specialised buildings was performed by the </w:t>
      </w:r>
      <w:proofErr w:type="spellStart"/>
      <w:r>
        <w:t>Valuer</w:t>
      </w:r>
      <w:proofErr w:type="spellEnd"/>
      <w:r>
        <w:t>-General Victoria. The valuation was performed using the depreciated replacement cost approach. The effective date of the valuation is 30 June 2016.</w:t>
      </w:r>
    </w:p>
    <w:p w14:paraId="54274933" w14:textId="77777777" w:rsidR="00FE7F8B" w:rsidRDefault="00FE7F8B" w:rsidP="00EF11A2">
      <w:pPr>
        <w:pStyle w:val="Heading5"/>
      </w:pPr>
      <w:r>
        <w:t>Vehicles</w:t>
      </w:r>
    </w:p>
    <w:p w14:paraId="022FF97B" w14:textId="77777777" w:rsidR="00FE7F8B" w:rsidRDefault="00FE7F8B" w:rsidP="00FE7F8B">
      <w:r>
        <w:t>Vehicles are valued using the depreciated replacement cost method. The Department acquires new vehicles and at times disposes of them before the end of their economic life. The process of acquisition, use and disposal in the market is managed by experienced fleet managers in the Department who set relevant depreciation rates during use to reflect the utilisation of the vehicles.</w:t>
      </w:r>
    </w:p>
    <w:p w14:paraId="05828FE5" w14:textId="77777777" w:rsidR="00FE7F8B" w:rsidRDefault="00FE7F8B" w:rsidP="00AD641C">
      <w:pPr>
        <w:pStyle w:val="Heading4"/>
        <w:numPr>
          <w:ilvl w:val="3"/>
          <w:numId w:val="58"/>
        </w:numPr>
      </w:pPr>
      <w:r>
        <w:t>Plant and equipment</w:t>
      </w:r>
    </w:p>
    <w:p w14:paraId="7CD6FE1C" w14:textId="77777777" w:rsidR="00FE7F8B" w:rsidRDefault="00FE7F8B" w:rsidP="00FE7F8B">
      <w:r>
        <w:t>Plant and equipment assets are measured at fair value (equating to cost) less accumulated depreciation and impairment.</w:t>
      </w:r>
    </w:p>
    <w:p w14:paraId="5EDF78AA" w14:textId="77777777" w:rsidR="00FE7F8B" w:rsidRDefault="00FE7F8B" w:rsidP="00FE7F8B">
      <w:r>
        <w:t>The fair value of plant and equipment is normally determined by reference to the asset’s depreciated replacement cost. Existing depreciated historical cost is generally a reasonable approximation for depreciated replacement cost because of the short lives of the assets concerned.</w:t>
      </w:r>
    </w:p>
    <w:p w14:paraId="3E24F018" w14:textId="77777777" w:rsidR="00FE7F8B" w:rsidRDefault="00FE7F8B" w:rsidP="00FE7F8B">
      <w:r>
        <w:t>For the accounting policy on impairment of non-financial physical assets, see Impairment of non-financial assets under Net gain</w:t>
      </w:r>
      <w:proofErr w:type="gramStart"/>
      <w:r>
        <w:t>/(</w:t>
      </w:r>
      <w:proofErr w:type="gramEnd"/>
      <w:r>
        <w:t>loss) on disposal of non-financial assets in Note 1(g).</w:t>
      </w:r>
    </w:p>
    <w:p w14:paraId="2A1B967F" w14:textId="77777777" w:rsidR="00FE7F8B" w:rsidRDefault="00FE7F8B" w:rsidP="00FE7F8B">
      <w:pPr>
        <w:pStyle w:val="Heading4notes"/>
      </w:pPr>
      <w:r>
        <w:t>Non-financial physical assets arising from finance leases</w:t>
      </w:r>
    </w:p>
    <w:p w14:paraId="7F694E70" w14:textId="77777777" w:rsidR="00FE7F8B" w:rsidRDefault="00FE7F8B" w:rsidP="00FE7F8B">
      <w:r>
        <w:t>The initial cost for non-financial physical assets under a finance lease (Note 1(m)) is measured at amounts equal to the fair value of the leased asset or, if lower, the present value of the minimum lease payments, each determined at the inception of the lease.</w:t>
      </w:r>
    </w:p>
    <w:p w14:paraId="05F329C2" w14:textId="77777777" w:rsidR="00FE7F8B" w:rsidRDefault="00FE7F8B" w:rsidP="00FE7F8B">
      <w:r>
        <w:t>Certain assets are acquired under finance leases, which may form part of a service concession arrangement. See Note 1(m) and 1(o) in relation to such assets and arrangements.</w:t>
      </w:r>
    </w:p>
    <w:p w14:paraId="5C95AFBF" w14:textId="77777777" w:rsidR="00FE7F8B" w:rsidRDefault="00FE7F8B" w:rsidP="00FE7F8B">
      <w:pPr>
        <w:pStyle w:val="Heading4notes"/>
      </w:pPr>
      <w:r>
        <w:t>Intangibles</w:t>
      </w:r>
    </w:p>
    <w:p w14:paraId="75841C08" w14:textId="77777777" w:rsidR="00FE7F8B" w:rsidRDefault="00FE7F8B" w:rsidP="00FE7F8B">
      <w:r>
        <w:t>Intangible assets are initially recognised at cost. Subsequently, intangible assets with finite useful lives are carried at cost less accumulated depreciation/amortisation and accumulated impairment losses. Costs incurred subsequent to initial acquisition are capitalised when it is expected that additional future economic benefits will flow to the Department.</w:t>
      </w:r>
    </w:p>
    <w:p w14:paraId="68346374" w14:textId="77777777" w:rsidR="00FE7F8B" w:rsidRDefault="00FE7F8B" w:rsidP="00FE7F8B">
      <w:r>
        <w:t xml:space="preserve">When the recognition criteria in AASB 138 </w:t>
      </w:r>
      <w:r>
        <w:rPr>
          <w:i/>
        </w:rPr>
        <w:t>Intangible Assets</w:t>
      </w:r>
      <w:r>
        <w:t xml:space="preserve"> are met, internally generated intangible assets are recognised and measured at cost less accumulated depreciation/amortisation and impairment.</w:t>
      </w:r>
    </w:p>
    <w:p w14:paraId="3CD83F6B" w14:textId="77777777" w:rsidR="00FE7F8B" w:rsidRDefault="00FE7F8B" w:rsidP="00FE7F8B">
      <w:r>
        <w:t>See Note 1(f) and 1(g).</w:t>
      </w:r>
    </w:p>
    <w:p w14:paraId="4F05C363" w14:textId="77777777" w:rsidR="00FE7F8B" w:rsidRDefault="00FE7F8B" w:rsidP="00FE7F8B">
      <w:r>
        <w:t>Expenditure on research activities is recognised as an expense in the period in which it is incurred.</w:t>
      </w:r>
    </w:p>
    <w:p w14:paraId="2B258CCD" w14:textId="77777777" w:rsidR="00FE7F8B" w:rsidRDefault="00FE7F8B" w:rsidP="00FE7F8B">
      <w:r>
        <w:t>An internally-generated intangible asset arising from development (or from the development phase of an internal project) is recognised if, and only if, all of the following are demonstrated:</w:t>
      </w:r>
    </w:p>
    <w:p w14:paraId="5A975429" w14:textId="77777777" w:rsidR="00FE7F8B" w:rsidRDefault="00FE7F8B" w:rsidP="00AD641C">
      <w:pPr>
        <w:pStyle w:val="Normallistbullet"/>
        <w:numPr>
          <w:ilvl w:val="0"/>
          <w:numId w:val="42"/>
        </w:numPr>
      </w:pPr>
      <w:r>
        <w:t>the technical feasibility of completing the intangible asset so that it will be available for use or distribution</w:t>
      </w:r>
    </w:p>
    <w:p w14:paraId="7A8491DE" w14:textId="77777777" w:rsidR="00FE7F8B" w:rsidRDefault="00FE7F8B" w:rsidP="00AD641C">
      <w:pPr>
        <w:pStyle w:val="Normallistbullet"/>
        <w:numPr>
          <w:ilvl w:val="0"/>
          <w:numId w:val="42"/>
        </w:numPr>
      </w:pPr>
      <w:r>
        <w:t>an intention to complete the intangible asset and use or distribute it</w:t>
      </w:r>
    </w:p>
    <w:p w14:paraId="4ADCDDD8" w14:textId="77777777" w:rsidR="00FE7F8B" w:rsidRDefault="00FE7F8B" w:rsidP="00AD641C">
      <w:pPr>
        <w:pStyle w:val="Normallistbullet"/>
        <w:numPr>
          <w:ilvl w:val="0"/>
          <w:numId w:val="42"/>
        </w:numPr>
      </w:pPr>
      <w:r>
        <w:t>the ability to use or sell the intangible asset</w:t>
      </w:r>
    </w:p>
    <w:p w14:paraId="16378C66" w14:textId="77777777" w:rsidR="00FE7F8B" w:rsidRDefault="00FE7F8B" w:rsidP="00AD641C">
      <w:pPr>
        <w:pStyle w:val="Normallistbullet"/>
        <w:numPr>
          <w:ilvl w:val="0"/>
          <w:numId w:val="42"/>
        </w:numPr>
      </w:pPr>
      <w:r>
        <w:t>the intangible asset will generate probable future economic benefits</w:t>
      </w:r>
    </w:p>
    <w:p w14:paraId="6C11F23A" w14:textId="77777777" w:rsidR="00FE7F8B" w:rsidRDefault="00FE7F8B" w:rsidP="00AD641C">
      <w:pPr>
        <w:pStyle w:val="Normallistbullet"/>
        <w:numPr>
          <w:ilvl w:val="0"/>
          <w:numId w:val="42"/>
        </w:numPr>
      </w:pPr>
      <w:r>
        <w:t>the availability of adequate technical, financial and other resources to complete the development and to use or distribute the intangible asset</w:t>
      </w:r>
    </w:p>
    <w:p w14:paraId="07869EB9" w14:textId="77777777" w:rsidR="00FE7F8B" w:rsidRDefault="00FE7F8B" w:rsidP="00AD641C">
      <w:pPr>
        <w:pStyle w:val="Normallistbullet"/>
        <w:numPr>
          <w:ilvl w:val="0"/>
          <w:numId w:val="42"/>
        </w:numPr>
      </w:pPr>
      <w:proofErr w:type="gramStart"/>
      <w:r>
        <w:t>the</w:t>
      </w:r>
      <w:proofErr w:type="gramEnd"/>
      <w:r>
        <w:t xml:space="preserve"> ability to measure reliably the expenditure attributable to the intangible asset during its development.</w:t>
      </w:r>
    </w:p>
    <w:p w14:paraId="5283D83A" w14:textId="77777777" w:rsidR="00FE7F8B" w:rsidRDefault="00FE7F8B" w:rsidP="00FE7F8B">
      <w:pPr>
        <w:pStyle w:val="Heading4notes"/>
      </w:pPr>
      <w:r>
        <w:t>Other non-financial assets</w:t>
      </w:r>
    </w:p>
    <w:p w14:paraId="270B0BAE" w14:textId="77777777" w:rsidR="00FE7F8B" w:rsidRDefault="00FE7F8B" w:rsidP="00EF11A2">
      <w:pPr>
        <w:pStyle w:val="Heading5"/>
      </w:pPr>
      <w:r>
        <w:t>Prepayments</w:t>
      </w:r>
    </w:p>
    <w:p w14:paraId="6DCBC72F" w14:textId="77777777" w:rsidR="00FE7F8B" w:rsidRDefault="00FE7F8B" w:rsidP="00FE7F8B">
      <w:pPr>
        <w:rPr>
          <w:rFonts w:cs="Arial"/>
          <w:b/>
          <w:bCs/>
          <w:sz w:val="22"/>
          <w:szCs w:val="19"/>
          <w:lang w:eastAsia="en-AU"/>
        </w:rPr>
      </w:pPr>
      <w:bookmarkStart w:id="58" w:name="_Ref399422665"/>
      <w:r>
        <w:t>Other non-financial assets include prepayments which represent payments in advance of receipt of goods or services or that part of expenditure made in one accounting period covering a term extending beyond that period.</w:t>
      </w:r>
    </w:p>
    <w:p w14:paraId="3DA54006" w14:textId="77777777" w:rsidR="00FE7F8B" w:rsidRDefault="00FE7F8B" w:rsidP="00AD641C">
      <w:pPr>
        <w:pStyle w:val="Heading3notesnumbered"/>
        <w:numPr>
          <w:ilvl w:val="0"/>
          <w:numId w:val="40"/>
        </w:numPr>
      </w:pPr>
      <w:r>
        <w:t>Liabilities</w:t>
      </w:r>
      <w:bookmarkEnd w:id="58"/>
    </w:p>
    <w:p w14:paraId="0795FA07" w14:textId="77777777" w:rsidR="00FE7F8B" w:rsidRDefault="00FE7F8B" w:rsidP="00FE7F8B">
      <w:pPr>
        <w:pStyle w:val="Heading4notes"/>
      </w:pPr>
      <w:r>
        <w:t>Payables</w:t>
      </w:r>
    </w:p>
    <w:p w14:paraId="1FA59BD6" w14:textId="77777777" w:rsidR="00FE7F8B" w:rsidRDefault="00FE7F8B" w:rsidP="00FE7F8B">
      <w:pPr>
        <w:pStyle w:val="Normalbeforelist"/>
      </w:pPr>
      <w:r>
        <w:t>Payables consist of:</w:t>
      </w:r>
    </w:p>
    <w:p w14:paraId="2F582A8C" w14:textId="77777777" w:rsidR="00FE7F8B" w:rsidRDefault="00FE7F8B" w:rsidP="00AD641C">
      <w:pPr>
        <w:pStyle w:val="Normallistbullet"/>
        <w:numPr>
          <w:ilvl w:val="0"/>
          <w:numId w:val="42"/>
        </w:numPr>
      </w:pPr>
      <w:proofErr w:type="gramStart"/>
      <w:r>
        <w:t>contractual</w:t>
      </w:r>
      <w:proofErr w:type="gramEnd"/>
      <w:r>
        <w:t xml:space="preserve"> payables, such as accounts payable which represent liabilities for goods and services provided to the Department prior to the end of the financial year that are unpaid, and arise when the Department becomes obliged to make future payments in respect of the purchase of those goods and services. Contractual payables are classified as financial instruments and categorised as financial liabilities at amortised cost</w:t>
      </w:r>
    </w:p>
    <w:p w14:paraId="64651379" w14:textId="77777777" w:rsidR="00FE7F8B" w:rsidRDefault="00FE7F8B" w:rsidP="00AD641C">
      <w:pPr>
        <w:pStyle w:val="Normallistbullet"/>
        <w:numPr>
          <w:ilvl w:val="0"/>
          <w:numId w:val="42"/>
        </w:numPr>
      </w:pPr>
      <w:proofErr w:type="gramStart"/>
      <w:r>
        <w:t>statutory</w:t>
      </w:r>
      <w:proofErr w:type="gramEnd"/>
      <w:r>
        <w:t xml:space="preserve"> payables, such as GST and fringe benefits tax payables. Statutory payables are recognised and measured similarly to contractual payables, but are not classified as financial instruments and not included in the category of financial liabilities at amortised cost, because they do not arise from a contract.</w:t>
      </w:r>
    </w:p>
    <w:p w14:paraId="14A90843" w14:textId="77777777" w:rsidR="00FE7F8B" w:rsidRDefault="00FE7F8B" w:rsidP="00FE7F8B">
      <w:pPr>
        <w:pStyle w:val="Heading4notes"/>
      </w:pPr>
      <w:r>
        <w:t>Borrowings</w:t>
      </w:r>
    </w:p>
    <w:p w14:paraId="33AEBD1F" w14:textId="77777777" w:rsidR="00FE7F8B" w:rsidRDefault="00FE7F8B" w:rsidP="00FE7F8B">
      <w:pPr>
        <w:rPr>
          <w:rFonts w:ascii="Times New Roman" w:hAnsi="Times New Roman"/>
          <w:sz w:val="24"/>
        </w:rPr>
      </w:pPr>
      <w:r>
        <w:t>All interest bearing liabilities are initially recognised at the fair value of the consideration received; less directly attributable transaction costs (Note 1(m)).</w:t>
      </w:r>
    </w:p>
    <w:p w14:paraId="519A0C60" w14:textId="77777777" w:rsidR="00FE7F8B" w:rsidRDefault="00FE7F8B" w:rsidP="00FE7F8B">
      <w:pPr>
        <w:rPr>
          <w:rFonts w:ascii="Times New Roman" w:hAnsi="Times New Roman"/>
          <w:sz w:val="24"/>
        </w:rPr>
      </w:pPr>
      <w:r>
        <w:t>Subsequent to initial recognition, borrowings are measured at amortised cost with any difference between the initial recognised amount and the redemption value being recognised in net result over the period of the borrowing using the effective interest rate method.</w:t>
      </w:r>
    </w:p>
    <w:p w14:paraId="1DD9AEF8" w14:textId="77777777" w:rsidR="00FE7F8B" w:rsidRDefault="00FE7F8B" w:rsidP="00FE7F8B">
      <w:pPr>
        <w:pStyle w:val="Heading4notes"/>
      </w:pPr>
      <w:r>
        <w:t>Provisions</w:t>
      </w:r>
    </w:p>
    <w:p w14:paraId="431A2FBE" w14:textId="77777777" w:rsidR="00FE7F8B" w:rsidRDefault="00FE7F8B" w:rsidP="00FE7F8B">
      <w:pPr>
        <w:rPr>
          <w:rFonts w:ascii="Times New Roman" w:hAnsi="Times New Roman"/>
          <w:sz w:val="24"/>
        </w:rPr>
      </w:pPr>
      <w:r>
        <w:t>Provisions are recognised when the Department has a present obligation, the future sacrifice of economic benefits is probable, and the amount of the provision can be measured reliably.</w:t>
      </w:r>
    </w:p>
    <w:p w14:paraId="5EA66915" w14:textId="77777777" w:rsidR="00FE7F8B" w:rsidRDefault="00FE7F8B" w:rsidP="00FE7F8B">
      <w:pPr>
        <w:rPr>
          <w:rFonts w:ascii="Times New Roman" w:hAnsi="Times New Roman"/>
          <w:sz w:val="24"/>
        </w:rPr>
      </w:pPr>
      <w:r>
        <w:t>The amount recognised as a provision is the best estimate of the consideration required to settle the present obligation at the reporting date, taking into account the risks and uncertainties surrounding the obligation. Where a provision is measured using the cash flows estimated to settle the present obligation, its carrying amount is the present value of those cash flows, using a discount rate that reflects the time value of money and risks specific to the provision.</w:t>
      </w:r>
    </w:p>
    <w:p w14:paraId="311A3B66" w14:textId="77777777" w:rsidR="00FE7F8B" w:rsidRDefault="00FE7F8B" w:rsidP="00FE7F8B">
      <w:r>
        <w:t>When some or all of the economic benefits required to settle a provision are expected to be received from a third party, the receivable is recognised as an asset if it is virtually certain that recovery will be received and the amount of the receivable can be measured reliably.</w:t>
      </w:r>
    </w:p>
    <w:p w14:paraId="566579B1" w14:textId="77777777" w:rsidR="00FE7F8B" w:rsidRDefault="00FE7F8B" w:rsidP="00FE7F8B">
      <w:pPr>
        <w:pStyle w:val="Heading4notes"/>
      </w:pPr>
      <w:r>
        <w:t>Employee benefits</w:t>
      </w:r>
    </w:p>
    <w:p w14:paraId="0DFA59A4" w14:textId="77777777" w:rsidR="00FE7F8B" w:rsidRDefault="00FE7F8B" w:rsidP="00FE7F8B">
      <w:r>
        <w:t>Provision is made for benefits accruing to employees in respect of wages and salaries, annual leave and long service leave for services rendered to the reporting date.</w:t>
      </w:r>
    </w:p>
    <w:p w14:paraId="584D8FFD" w14:textId="77777777" w:rsidR="00FE7F8B" w:rsidRDefault="00FE7F8B" w:rsidP="00AD641C">
      <w:pPr>
        <w:pStyle w:val="Heading5"/>
        <w:numPr>
          <w:ilvl w:val="0"/>
          <w:numId w:val="43"/>
        </w:numPr>
      </w:pPr>
      <w:r>
        <w:t>Wages and salaries, and annual leave</w:t>
      </w:r>
    </w:p>
    <w:p w14:paraId="3299CB95" w14:textId="77777777" w:rsidR="00FE7F8B" w:rsidRDefault="00FE7F8B" w:rsidP="00FE7F8B">
      <w:r>
        <w:t>Liabilities for wages and salaries, including non-monetary benefits annual leave, are recognised in the provision for employee benefits as ‘current liabilities’, because the Department does not have an unconditional right to defer settlements of these liabilities.</w:t>
      </w:r>
    </w:p>
    <w:p w14:paraId="5123D178" w14:textId="77777777" w:rsidR="00FE7F8B" w:rsidRDefault="00FE7F8B" w:rsidP="00FE7F8B">
      <w:pPr>
        <w:rPr>
          <w:rFonts w:eastAsiaTheme="majorEastAsia" w:cstheme="majorBidi"/>
          <w:i/>
          <w:szCs w:val="22"/>
        </w:rPr>
      </w:pPr>
      <w:r>
        <w:t>Based upon the expectation of the timing of settlement, liabilities for annual leave are measured at present value, as the Department does not expect to wholly settle within 12 months.</w:t>
      </w:r>
    </w:p>
    <w:p w14:paraId="6627C73A" w14:textId="77777777" w:rsidR="00FE7F8B" w:rsidRDefault="00FE7F8B" w:rsidP="00AD641C">
      <w:pPr>
        <w:pStyle w:val="Heading5"/>
        <w:numPr>
          <w:ilvl w:val="0"/>
          <w:numId w:val="43"/>
        </w:numPr>
      </w:pPr>
      <w:r>
        <w:t>Long service leave</w:t>
      </w:r>
    </w:p>
    <w:p w14:paraId="1F12E5B9" w14:textId="77777777" w:rsidR="00FE7F8B" w:rsidRDefault="00FE7F8B" w:rsidP="00FE7F8B">
      <w:pPr>
        <w:rPr>
          <w:rFonts w:ascii="Times New Roman" w:hAnsi="Times New Roman"/>
          <w:sz w:val="24"/>
        </w:rPr>
      </w:pPr>
      <w:r>
        <w:t>Liability for long service leave is recognised in the provision for employee benefits.</w:t>
      </w:r>
    </w:p>
    <w:p w14:paraId="3303A208" w14:textId="77777777" w:rsidR="00FE7F8B" w:rsidRDefault="00FE7F8B" w:rsidP="00FE7F8B">
      <w:r>
        <w:t>Unconditional long service leave is disclosed in the notes to the financial statements as a current liability even where the Department does not expect to settle the liability within 12 months because it does not have the unconditional right to defer the settlement of the entitlement should an employee take leave within 12 months.</w:t>
      </w:r>
    </w:p>
    <w:p w14:paraId="2D6BCCBF" w14:textId="77777777" w:rsidR="00FE7F8B" w:rsidRDefault="00FE7F8B" w:rsidP="00FE7F8B">
      <w:r>
        <w:t>The components of this current long service leave liability are measured at:</w:t>
      </w:r>
    </w:p>
    <w:p w14:paraId="1B9A8BF0" w14:textId="77777777" w:rsidR="00FE7F8B" w:rsidRDefault="00FE7F8B" w:rsidP="00AD641C">
      <w:pPr>
        <w:pStyle w:val="Normallistbullet"/>
        <w:numPr>
          <w:ilvl w:val="0"/>
          <w:numId w:val="42"/>
        </w:numPr>
      </w:pPr>
      <w:r>
        <w:t xml:space="preserve">nominal value—if the Department expects to wholly settle within 12 months; and </w:t>
      </w:r>
    </w:p>
    <w:p w14:paraId="12F733C8" w14:textId="77777777" w:rsidR="00FE7F8B" w:rsidRDefault="00FE7F8B" w:rsidP="00AD641C">
      <w:pPr>
        <w:pStyle w:val="Normallistbullet"/>
        <w:numPr>
          <w:ilvl w:val="0"/>
          <w:numId w:val="42"/>
        </w:numPr>
      </w:pPr>
      <w:proofErr w:type="gramStart"/>
      <w:r>
        <w:t>present</w:t>
      </w:r>
      <w:proofErr w:type="gramEnd"/>
      <w:r>
        <w:t xml:space="preserve"> value—if the Department does not expect to wholly settle within 12 months.</w:t>
      </w:r>
    </w:p>
    <w:p w14:paraId="308A3EF9" w14:textId="77777777" w:rsidR="00FE7F8B" w:rsidRDefault="00FE7F8B" w:rsidP="00FE7F8B">
      <w:r>
        <w:t>Conditional long service leave is disclosed as a non-current liability. There is an unconditional right to defer the settlement of the entitlement until the employee has completed the requisite years of service. This non-current long service leave liability is measured at present value.</w:t>
      </w:r>
    </w:p>
    <w:p w14:paraId="429E9C97" w14:textId="77777777" w:rsidR="00FE7F8B" w:rsidRDefault="00FE7F8B" w:rsidP="00FE7F8B">
      <w:r>
        <w:t>Any gain or loss following revaluation of the present value of long service leave liability measured at present value is recognised in the ‘net result from transactions’, except to the extent that a gain or loss arises due to changes in bond interest rates for which it is then recognised as an other economic flow. See Note 1(g).</w:t>
      </w:r>
    </w:p>
    <w:p w14:paraId="59EA274B" w14:textId="77777777" w:rsidR="00FE7F8B" w:rsidRDefault="00FE7F8B" w:rsidP="00AD641C">
      <w:pPr>
        <w:pStyle w:val="Heading5"/>
        <w:numPr>
          <w:ilvl w:val="0"/>
          <w:numId w:val="43"/>
        </w:numPr>
      </w:pPr>
      <w:r>
        <w:t>Sabbatical leave</w:t>
      </w:r>
    </w:p>
    <w:p w14:paraId="06F24B4E" w14:textId="77777777" w:rsidR="00FE7F8B" w:rsidRDefault="00FE7F8B" w:rsidP="00FE7F8B">
      <w:r>
        <w:t>The Department’s sabbatical leave scheme provides an arrangement for staff members to fund their own leave. The scheme consists of two components:</w:t>
      </w:r>
    </w:p>
    <w:p w14:paraId="183FA7C2" w14:textId="77777777" w:rsidR="00FE7F8B" w:rsidRDefault="00FE7F8B" w:rsidP="00AD641C">
      <w:pPr>
        <w:pStyle w:val="Normallistbullet"/>
        <w:numPr>
          <w:ilvl w:val="0"/>
          <w:numId w:val="42"/>
        </w:numPr>
      </w:pPr>
      <w:r>
        <w:t>a work period (of four times the leave period requested) during which the staff member receives annual salary at a reduced rate of 80 per cent</w:t>
      </w:r>
    </w:p>
    <w:p w14:paraId="5D138EB3" w14:textId="77777777" w:rsidR="00FE7F8B" w:rsidRDefault="00FE7F8B" w:rsidP="00AD641C">
      <w:pPr>
        <w:pStyle w:val="Normallistbullet"/>
        <w:numPr>
          <w:ilvl w:val="0"/>
          <w:numId w:val="42"/>
        </w:numPr>
      </w:pPr>
      <w:proofErr w:type="gramStart"/>
      <w:r>
        <w:t>a</w:t>
      </w:r>
      <w:proofErr w:type="gramEnd"/>
      <w:r>
        <w:t xml:space="preserve"> leave period, immediately following the completion of the work period, during which the staff member receives the accumulated salary.</w:t>
      </w:r>
    </w:p>
    <w:p w14:paraId="52563EF8" w14:textId="77777777" w:rsidR="00FE7F8B" w:rsidRDefault="00FE7F8B" w:rsidP="00FE7F8B">
      <w:r>
        <w:t>Liability for sabbatical leave is recognised in the provision for sabbatical leave. The provision is calculated by adding up the unpaid portion of the accrued salaries of all staff members who have commenced the scheme, plus on-costs. It is updated each year to reflect the increase in salary accruals during the year less the amount of salaries paid out to staff that have commenced sabbatical leave.</w:t>
      </w:r>
    </w:p>
    <w:p w14:paraId="51BA970B" w14:textId="77777777" w:rsidR="00FE7F8B" w:rsidRDefault="00FE7F8B" w:rsidP="00FE7F8B">
      <w:pPr>
        <w:rPr>
          <w:rFonts w:ascii="Times New Roman" w:hAnsi="Times New Roman"/>
          <w:sz w:val="24"/>
        </w:rPr>
      </w:pPr>
      <w:r>
        <w:t>Based upon the expectation of the timing of settlement, liabilities for sabbatical leave are measured at present value, as the Department does not expect to wholly settle within 12 months.</w:t>
      </w:r>
    </w:p>
    <w:p w14:paraId="7E4170DC" w14:textId="77777777" w:rsidR="00FE7F8B" w:rsidRDefault="00FE7F8B" w:rsidP="00AD641C">
      <w:pPr>
        <w:pStyle w:val="Heading5"/>
        <w:numPr>
          <w:ilvl w:val="0"/>
          <w:numId w:val="43"/>
        </w:numPr>
      </w:pPr>
      <w:r>
        <w:t>Termination benefits</w:t>
      </w:r>
    </w:p>
    <w:p w14:paraId="2F93AF65" w14:textId="77777777" w:rsidR="00FE7F8B" w:rsidRDefault="00FE7F8B" w:rsidP="00FE7F8B">
      <w:r>
        <w:t>Termination benefits are payable when employment is terminated before the normal retirement date, or when an employee decides to accept an offer of benefits in exchange for the termination of employment. The Department recognises termination benefits when it is demonstrably committed to either terminating the employment of current employees according to a detailed formal plan without possibility of withdrawal or providing termination benefits as a result of an offer made to encourage voluntary redundancy. Benefits falling due more than 12 months after the end of the reporting period are discounted to present value.</w:t>
      </w:r>
    </w:p>
    <w:p w14:paraId="4FBC78C0" w14:textId="77777777" w:rsidR="00FE7F8B" w:rsidRDefault="00FE7F8B" w:rsidP="00241313">
      <w:pPr>
        <w:pStyle w:val="Heading5"/>
      </w:pPr>
      <w:r>
        <w:t>On-costs related to employee expenses</w:t>
      </w:r>
    </w:p>
    <w:p w14:paraId="0C714D66" w14:textId="1D0EC58B" w:rsidR="00FE7F8B" w:rsidRDefault="00FE7F8B" w:rsidP="00FE7F8B">
      <w:bookmarkStart w:id="59" w:name="_Ref399423475"/>
      <w:r>
        <w:t>On-costs (payroll tax, workers</w:t>
      </w:r>
      <w:r w:rsidR="00EF11A2">
        <w:t>’</w:t>
      </w:r>
      <w:r>
        <w:t xml:space="preserve"> compensation and superannuation) are recognised separately from provision for employee benefits.</w:t>
      </w:r>
    </w:p>
    <w:p w14:paraId="71B2E7E4" w14:textId="77777777" w:rsidR="00FE7F8B" w:rsidRDefault="00FE7F8B" w:rsidP="00FE7F8B">
      <w:pPr>
        <w:rPr>
          <w:rFonts w:cs="Arial"/>
          <w:b/>
          <w:bCs/>
          <w:sz w:val="22"/>
          <w:szCs w:val="19"/>
          <w:lang w:eastAsia="en-AU"/>
        </w:rPr>
      </w:pPr>
      <w:r>
        <w:t>The measurement of employee benefits on-costs mirrors the employee benefit provisions to which they relate, and therefore they are measured at present value as the Department does not expect to wholly settle within 12 months.</w:t>
      </w:r>
    </w:p>
    <w:p w14:paraId="77770B9D" w14:textId="77777777" w:rsidR="00FE7F8B" w:rsidRDefault="00FE7F8B" w:rsidP="00AD641C">
      <w:pPr>
        <w:pStyle w:val="Heading3notesnumbered"/>
        <w:numPr>
          <w:ilvl w:val="0"/>
          <w:numId w:val="40"/>
        </w:numPr>
        <w:ind w:left="360"/>
      </w:pPr>
      <w:r>
        <w:t xml:space="preserve"> Leases</w:t>
      </w:r>
      <w:bookmarkEnd w:id="59"/>
    </w:p>
    <w:p w14:paraId="2D05748E" w14:textId="77777777" w:rsidR="00FE7F8B" w:rsidRDefault="00FE7F8B" w:rsidP="00FE7F8B">
      <w:r>
        <w:t>A lease is a right to use an asset for an agreed period of time in exchange for payment.</w:t>
      </w:r>
    </w:p>
    <w:p w14:paraId="4555426E" w14:textId="77777777" w:rsidR="00FE7F8B" w:rsidRDefault="00FE7F8B" w:rsidP="00FE7F8B">
      <w:r>
        <w:t>Leases are classified at their inception as either operating or finance leases based on the economic substance of the agreement so as to reflect the risks and rewards incidental to ownership. Leases of property, plant and equipment are classified as finance infrastructure leases whenever the terms of the lease transfer substantially all the risks and rewards of ownership from the lessor to the lessee. For service concession arrangements (Note 1(q)), the commencement of the lease term is deemed to be the date of the asset is commissioned. All other leases are classified as operating leases.</w:t>
      </w:r>
    </w:p>
    <w:p w14:paraId="72E23D71" w14:textId="77777777" w:rsidR="00FE7F8B" w:rsidRDefault="00FE7F8B" w:rsidP="00FE7F8B">
      <w:pPr>
        <w:pStyle w:val="Heading4notes"/>
      </w:pPr>
      <w:r>
        <w:t>Finance leases</w:t>
      </w:r>
    </w:p>
    <w:p w14:paraId="6C5BFCD4" w14:textId="77777777" w:rsidR="00FE7F8B" w:rsidRDefault="00FE7F8B" w:rsidP="00241313">
      <w:pPr>
        <w:pStyle w:val="Heading5"/>
      </w:pPr>
      <w:r>
        <w:t>Department as lessee</w:t>
      </w:r>
    </w:p>
    <w:p w14:paraId="1FFF36B2" w14:textId="77777777" w:rsidR="00FE7F8B" w:rsidRDefault="00FE7F8B" w:rsidP="00FE7F8B">
      <w:r>
        <w:t>At the commencement of the lease term, finance leases are initially recognised as assets and liabilities at amounts equal to the fair value of the lease property or, if lower, the present value of the minimum lease payment, each determined at the inception of the lease. The lease asset is accounted for as a non-financial physical asset. If there is certainty that the Department will obtain the ownership of the lease asset by the end of the lease term, the asset shall be depreciated over the useful life of the asset. If there is no reasonable certainty that the lessee will obtain ownership by the end of the lease term, the asset shall be fully depreciated over the shorter of the lease term and its useful life.</w:t>
      </w:r>
    </w:p>
    <w:p w14:paraId="1CE210E0" w14:textId="77777777" w:rsidR="00FE7F8B" w:rsidRDefault="00FE7F8B" w:rsidP="00FE7F8B">
      <w:r>
        <w:t>Minimum finance lease payments are apportioned between reduction of the outstanding lease liability and periodic finance expense which is calculated using the interest rate implicit in the lease and charged directly to the comprehensive operating statement. Contingent rentals associated with finance leases are recognised as an expense in the period in which they are incurred.</w:t>
      </w:r>
    </w:p>
    <w:p w14:paraId="27AE1C6C" w14:textId="77777777" w:rsidR="00FE7F8B" w:rsidRDefault="00FE7F8B" w:rsidP="00FE7F8B">
      <w:pPr>
        <w:pStyle w:val="Heading4notes"/>
      </w:pPr>
      <w:r>
        <w:t>Operating leases</w:t>
      </w:r>
    </w:p>
    <w:p w14:paraId="5D8513CE" w14:textId="77777777" w:rsidR="00FE7F8B" w:rsidRDefault="00FE7F8B" w:rsidP="00241313">
      <w:pPr>
        <w:pStyle w:val="Heading5"/>
      </w:pPr>
      <w:r>
        <w:t>Department as lessor</w:t>
      </w:r>
    </w:p>
    <w:p w14:paraId="5555A4FE" w14:textId="77777777" w:rsidR="00FE7F8B" w:rsidRDefault="00FE7F8B" w:rsidP="00FE7F8B">
      <w:r>
        <w:t>Rental income from operating leases is recognised on a straight-line basis over the term of the relevant lease.</w:t>
      </w:r>
    </w:p>
    <w:p w14:paraId="51A79856" w14:textId="77777777" w:rsidR="00FE7F8B" w:rsidRDefault="00FE7F8B" w:rsidP="00FE7F8B">
      <w:r>
        <w:t>All incentives for the agreement of a new or renewed operating lease are recognised as an integral part of the net consideration agreed for the use of the leased asset, irrespective of the incentive’s nature or form or the timing of payments.</w:t>
      </w:r>
    </w:p>
    <w:p w14:paraId="258C02F2" w14:textId="77777777" w:rsidR="00FE7F8B" w:rsidRDefault="00FE7F8B" w:rsidP="00FE7F8B">
      <w:r>
        <w:t>In the event that lease incentives are given to the lessee, the aggregate cost of incentives is recognised as a reduction of rental income over the lease term, on a straight-line basis unless another systematic basis is more representative of the time pattern over which the economic benefit of the leased asset is diminished.</w:t>
      </w:r>
    </w:p>
    <w:p w14:paraId="0759C061" w14:textId="77777777" w:rsidR="00FE7F8B" w:rsidRDefault="00FE7F8B" w:rsidP="00241313">
      <w:pPr>
        <w:pStyle w:val="Heading5"/>
      </w:pPr>
      <w:r>
        <w:t>Department as lessee</w:t>
      </w:r>
    </w:p>
    <w:p w14:paraId="19360123" w14:textId="77777777" w:rsidR="00FE7F8B" w:rsidRDefault="00FE7F8B" w:rsidP="00FE7F8B">
      <w:r>
        <w:t>Operating lease payments, including any contingent rentals, are recognised as an expense in the comprehensive operating statement on a straight-line basis over the lease term, except where another systematic basis is more representative of the time pattern of the benefits derived from the use of the leased asset. The leased asset is not recognised in the balance sheet.</w:t>
      </w:r>
    </w:p>
    <w:p w14:paraId="47D66286" w14:textId="77777777" w:rsidR="00FE7F8B" w:rsidRDefault="00FE7F8B" w:rsidP="00FE7F8B">
      <w:r>
        <w:t>All incentives for the agreement of a new or renewed operating lease are recognised as an integral part of the net consideration agreed for the use of the leased asset, irrespective of the incentive’s nature or form or the timing of payments.</w:t>
      </w:r>
    </w:p>
    <w:p w14:paraId="068E7B1C" w14:textId="77777777" w:rsidR="00FE7F8B" w:rsidRDefault="00FE7F8B" w:rsidP="00FE7F8B">
      <w:r>
        <w:t>In the event that lease incentives are received to enter into operating leases, the aggregate cost of incentives is recognised as a reduction of rental expense over the lease term on a straight-line basis, unless another systematic basis is more representative of the time pattern in which economic benefits from the leased asset are consumed.</w:t>
      </w:r>
    </w:p>
    <w:p w14:paraId="23159F24" w14:textId="77777777" w:rsidR="00FE7F8B" w:rsidRDefault="00FE7F8B" w:rsidP="00AD641C">
      <w:pPr>
        <w:pStyle w:val="Heading3notesnumbered"/>
        <w:numPr>
          <w:ilvl w:val="0"/>
          <w:numId w:val="40"/>
        </w:numPr>
      </w:pPr>
      <w:r>
        <w:t>Equity</w:t>
      </w:r>
    </w:p>
    <w:p w14:paraId="0F86E3E0" w14:textId="77777777" w:rsidR="00FE7F8B" w:rsidRDefault="00FE7F8B" w:rsidP="00FE7F8B">
      <w:pPr>
        <w:pStyle w:val="Heading4notes"/>
      </w:pPr>
      <w:r>
        <w:t>Contributions by owners</w:t>
      </w:r>
    </w:p>
    <w:p w14:paraId="44E0B9E7" w14:textId="77777777" w:rsidR="00FE7F8B" w:rsidRDefault="00FE7F8B" w:rsidP="00FE7F8B">
      <w:r>
        <w:t xml:space="preserve">Consistent with the requirements of AASB 1004 </w:t>
      </w:r>
      <w:r>
        <w:rPr>
          <w:i/>
        </w:rPr>
        <w:t>Contributions</w:t>
      </w:r>
      <w:r>
        <w:t>, contributions by owners (that is, contributed capital and its repayment) are treated as equity transactions and, therefore, do not form part of the income and expenses of the Department.</w:t>
      </w:r>
    </w:p>
    <w:p w14:paraId="7C48AF3A" w14:textId="77777777" w:rsidR="00FE7F8B" w:rsidRDefault="00FE7F8B" w:rsidP="00FE7F8B">
      <w:r>
        <w:t>Additions to net assets which have been designated as contributions by owners are recognised as contributed capital. Other transfers that are in the nature of contributions or distributions have also been designated as contributions by owners.</w:t>
      </w:r>
    </w:p>
    <w:p w14:paraId="0B773BE2" w14:textId="77777777" w:rsidR="00FE7F8B" w:rsidRDefault="00FE7F8B" w:rsidP="00FE7F8B">
      <w:r>
        <w:t>Transfers of net assets arising from administrative restructurings are treated as distributions to or contributions by owners. Transfers of net liabilities arising from administrative restructurings are treated as distributions to owners.</w:t>
      </w:r>
    </w:p>
    <w:p w14:paraId="784111A8" w14:textId="77777777" w:rsidR="00FE7F8B" w:rsidRDefault="00FE7F8B" w:rsidP="00AD641C">
      <w:pPr>
        <w:pStyle w:val="Heading3notesnumbered"/>
        <w:numPr>
          <w:ilvl w:val="0"/>
          <w:numId w:val="40"/>
        </w:numPr>
      </w:pPr>
      <w:bookmarkStart w:id="60" w:name="_Ref399423908"/>
      <w:r>
        <w:t>Commitments</w:t>
      </w:r>
      <w:bookmarkEnd w:id="60"/>
    </w:p>
    <w:p w14:paraId="734F61F3" w14:textId="77777777" w:rsidR="00FE7F8B" w:rsidRDefault="00FE7F8B" w:rsidP="00FE7F8B">
      <w:pPr>
        <w:rPr>
          <w:rFonts w:cs="Arial"/>
          <w:b/>
          <w:bCs/>
          <w:sz w:val="22"/>
          <w:szCs w:val="19"/>
          <w:lang w:eastAsia="en-AU"/>
        </w:rPr>
      </w:pPr>
      <w:bookmarkStart w:id="61" w:name="_Ref399939174"/>
      <w:r>
        <w:t>Commitments for future expenditure include operating and capital commitments arising from contracts. These commitments are disclosed by way of note (Note 22) at their nominal value and inclusive of GST payable. These future expenditures cease to be disclosed as commitments once the related liabilities are recognised in the balance sheet.</w:t>
      </w:r>
    </w:p>
    <w:p w14:paraId="476D944C" w14:textId="77777777" w:rsidR="00FE7F8B" w:rsidRDefault="00FE7F8B" w:rsidP="00AD641C">
      <w:pPr>
        <w:pStyle w:val="Heading3notesnumbered"/>
        <w:numPr>
          <w:ilvl w:val="0"/>
          <w:numId w:val="40"/>
        </w:numPr>
      </w:pPr>
      <w:r>
        <w:t>Contingent assets and contingent liabilities</w:t>
      </w:r>
      <w:bookmarkEnd w:id="61"/>
    </w:p>
    <w:p w14:paraId="51DF0C89" w14:textId="77777777" w:rsidR="00FE7F8B" w:rsidRDefault="00FE7F8B" w:rsidP="00FE7F8B">
      <w:r>
        <w:t>Contingent assets and contingent liabilities are not recognised in the balance sheet, but are disclosed by way of a note (Note 21) and, if quantifiable, are measured at nominal value. Contingent assets and liabilities are presented inclusive of GST receivable or payable respectively.</w:t>
      </w:r>
    </w:p>
    <w:p w14:paraId="74F0D74E" w14:textId="19485F56" w:rsidR="00FE7F8B" w:rsidRDefault="00F57B33" w:rsidP="00AD641C">
      <w:pPr>
        <w:pStyle w:val="Heading3notesnumbered"/>
        <w:numPr>
          <w:ilvl w:val="0"/>
          <w:numId w:val="40"/>
        </w:numPr>
      </w:pPr>
      <w:bookmarkStart w:id="62" w:name="_Ref399424089"/>
      <w:r>
        <w:t>Public Private Partnerships (S</w:t>
      </w:r>
      <w:r w:rsidR="00FE7F8B">
        <w:t>ervice concession arrangements)</w:t>
      </w:r>
      <w:bookmarkEnd w:id="62"/>
    </w:p>
    <w:p w14:paraId="5680CEFC" w14:textId="77777777" w:rsidR="00FE7F8B" w:rsidRDefault="00FE7F8B" w:rsidP="00FE7F8B">
      <w:r>
        <w:t>The Department sometimes enters into arrangements with private sector participants, to design and construct or upgrade an asset used to provide public services. These arrangements are typically complex and usually include the provision of operational and maintenance services for a specified period of time. These arrangements are often referred to as either public-private partnerships or service concession arrangements.</w:t>
      </w:r>
    </w:p>
    <w:p w14:paraId="269178EF" w14:textId="77777777" w:rsidR="00FE7F8B" w:rsidRDefault="00FE7F8B" w:rsidP="00FE7F8B">
      <w:r>
        <w:t>The Department’s service concession arrangements pay the operator over the period of the arrangement, subject to specified performance criteria being met. At the date of commitment to the principal provisions of the arrangement, these estimated periodic payments are allocated between a component related to the design and construction or upgrading of the asset and components related to the ongoing operation and maintenance of the asset.</w:t>
      </w:r>
    </w:p>
    <w:p w14:paraId="35D92511" w14:textId="77777777" w:rsidR="00FE7F8B" w:rsidRDefault="00FE7F8B" w:rsidP="00FE7F8B">
      <w:r>
        <w:t>The former component is accounted for as a lease payment (Note 1(m)). The remaining components are accounted for as commitments for operating costs (Note 1(o)), which are expensed in the comprehensive operating statement as they are incurred.</w:t>
      </w:r>
    </w:p>
    <w:p w14:paraId="666FD883" w14:textId="77777777" w:rsidR="00FE7F8B" w:rsidRDefault="00FE7F8B" w:rsidP="00AD641C">
      <w:pPr>
        <w:pStyle w:val="Heading3notesnumbered"/>
        <w:numPr>
          <w:ilvl w:val="0"/>
          <w:numId w:val="40"/>
        </w:numPr>
      </w:pPr>
      <w:r>
        <w:t>Accounting for goods and services tax</w:t>
      </w:r>
    </w:p>
    <w:p w14:paraId="6BD20389" w14:textId="77777777" w:rsidR="00FE7F8B" w:rsidRDefault="00FE7F8B" w:rsidP="00FE7F8B">
      <w:r>
        <w:t>Income, expenses and assets are recognised net of the amount of associated GST, unless the GST incurred is not recoverable from the taxation authority. In this case, the GST payable is recognised as part of the cost of acquisition of the asset or as part of the expense.</w:t>
      </w:r>
    </w:p>
    <w:p w14:paraId="72DE98D3" w14:textId="77777777" w:rsidR="00FE7F8B" w:rsidRDefault="00FE7F8B" w:rsidP="00FE7F8B">
      <w:r>
        <w:t>Receivables and payables are stated inclusive of the amount of GST receivable or payable. The net amount of GST recoverable from, or payable to, the taxation authority is included with other receivables or payables in the balance sheet.</w:t>
      </w:r>
    </w:p>
    <w:p w14:paraId="6099D2CF" w14:textId="77777777" w:rsidR="00FE7F8B" w:rsidRDefault="00FE7F8B" w:rsidP="00FE7F8B">
      <w:r>
        <w:t>Cash flows are presented on a gross basis. The GST components of cash flows arising from investing or financing activities which are recoverable from, or payable to the taxation authority, are presented as operating cash flow.</w:t>
      </w:r>
    </w:p>
    <w:p w14:paraId="0839284B" w14:textId="77777777" w:rsidR="00FE7F8B" w:rsidRDefault="00FE7F8B" w:rsidP="00FE7F8B">
      <w:r>
        <w:t>Commitments and contingent assets and liabilities are also stated inclusive of GST (Note 1(o) and 1(p)).</w:t>
      </w:r>
    </w:p>
    <w:p w14:paraId="13CB779A" w14:textId="77777777" w:rsidR="00FE7F8B" w:rsidRDefault="00FE7F8B" w:rsidP="00AD641C">
      <w:pPr>
        <w:pStyle w:val="Heading3notesnumbered"/>
        <w:numPr>
          <w:ilvl w:val="0"/>
          <w:numId w:val="40"/>
        </w:numPr>
      </w:pPr>
      <w:r>
        <w:t>Foreign currency</w:t>
      </w:r>
    </w:p>
    <w:p w14:paraId="7FB804D1" w14:textId="77777777" w:rsidR="00FE7F8B" w:rsidRDefault="00FE7F8B" w:rsidP="00FE7F8B">
      <w:r>
        <w:t>All foreign currency transactions during the financial year are brought to account using the exchange rate in effect at the date of the transaction. Foreign monetary items at reporting date are translated at the exchange rate existing at reporting date.</w:t>
      </w:r>
    </w:p>
    <w:p w14:paraId="519DB6C4" w14:textId="77777777" w:rsidR="00FE7F8B" w:rsidRDefault="00FE7F8B" w:rsidP="00AD641C">
      <w:pPr>
        <w:pStyle w:val="Heading3notesnumbered"/>
        <w:numPr>
          <w:ilvl w:val="0"/>
          <w:numId w:val="40"/>
        </w:numPr>
      </w:pPr>
      <w:r>
        <w:t>Events after reporting date</w:t>
      </w:r>
    </w:p>
    <w:p w14:paraId="2A796C53" w14:textId="50EFAF87" w:rsidR="00FE7F8B" w:rsidRDefault="00FE7F8B" w:rsidP="00FE7F8B">
      <w:r>
        <w:t>Assets, lia</w:t>
      </w:r>
      <w:r w:rsidR="00F57B33">
        <w:t>bilities, income or expenses</w:t>
      </w:r>
      <w:r>
        <w:t xml:space="preserve"> arise from past transactions or other past events. Where the transactions result from an agreement between the Department and other parties, the transactions are only recognised when the agreement is irrevocable at or before balance date. Adjustments are made to amounts recognised in the financial statements for events which occur after the reporting date and before the date the statements are authorised for issue, where those events provide information about conditions which existed at the reporting date. Note disclosure is made about events between the balance date and the date the statements are authorised for issue where the events relate to conditions which arose after the reporting date that are considered to be of material interest.</w:t>
      </w:r>
    </w:p>
    <w:p w14:paraId="0F3D6DF1" w14:textId="1C451656" w:rsidR="00FE7F8B" w:rsidRDefault="00FE7F8B" w:rsidP="00AD641C">
      <w:pPr>
        <w:pStyle w:val="Heading3notesnumbered"/>
        <w:numPr>
          <w:ilvl w:val="0"/>
          <w:numId w:val="40"/>
        </w:numPr>
      </w:pPr>
      <w:r>
        <w:t>Correction of prior year</w:t>
      </w:r>
      <w:r w:rsidR="00F57B33">
        <w:t xml:space="preserve"> errors</w:t>
      </w:r>
    </w:p>
    <w:p w14:paraId="42AF7C76" w14:textId="77777777" w:rsidR="00FE7F8B" w:rsidRDefault="00FE7F8B" w:rsidP="00FE7F8B">
      <w:pPr>
        <w:pStyle w:val="Heading4notes"/>
      </w:pPr>
      <w:r>
        <w:t>(i) Property, plant and equipment</w:t>
      </w:r>
    </w:p>
    <w:p w14:paraId="61468066" w14:textId="77777777" w:rsidR="00FE7F8B" w:rsidRDefault="00FE7F8B" w:rsidP="00FE7F8B">
      <w:r>
        <w:t>For the financial report for the year ended 30 June 2015, the Victorian Auditor - General’s Office (VAGO) issued a disclaimer of opinion, partly due to asset balances. VAGO identified that the Department had not maintained proper accounts and records to support its property, plant and equipment balances.</w:t>
      </w:r>
    </w:p>
    <w:p w14:paraId="68B8B879" w14:textId="77777777" w:rsidR="00FE7F8B" w:rsidRDefault="00FE7F8B" w:rsidP="00FE7F8B">
      <w:r>
        <w:t>In response, the Department has allocated dedicated resources to review the property, plant and equipment balances including undertaking a full asset revaluation (Note 1 (k)).</w:t>
      </w:r>
    </w:p>
    <w:p w14:paraId="1189D79F" w14:textId="77777777" w:rsidR="00FE7F8B" w:rsidRDefault="00FE7F8B" w:rsidP="00FE7F8B">
      <w:r>
        <w:t>In addition, the review identified that corrections were required to the Department’s property, plant and equipment work in progress balances, and the accounting treatment for trade training centres, plant and equipment, intangibles and non-financial assets classified as held for sale.</w:t>
      </w:r>
    </w:p>
    <w:p w14:paraId="7021A42F" w14:textId="77777777" w:rsidR="00FE7F8B" w:rsidRDefault="00FE7F8B" w:rsidP="00FE7F8B">
      <w:r>
        <w:t>The Department has undertaken detailed analysis over the historical transactions that form part of the Department's property, plant and equipment, and non-financial assets classified as held for sale balances.</w:t>
      </w:r>
    </w:p>
    <w:p w14:paraId="55A48C78" w14:textId="77777777" w:rsidR="00FE7F8B" w:rsidRDefault="00FE7F8B" w:rsidP="00FE7F8B">
      <w:r>
        <w:t>The analysis has been undertaken based on available transactions and supporting evidence. Where appropriate, judgements and estimates have been used to determine the corrections required to ensure the 30 June 2016 closing balances are fairly reported.</w:t>
      </w:r>
    </w:p>
    <w:p w14:paraId="24ADB8ED" w14:textId="77777777" w:rsidR="00FE7F8B" w:rsidRDefault="00FE7F8B" w:rsidP="00FE7F8B">
      <w:r>
        <w:t>The work in progress balance corrections, for buildings, plant and equipment, and intangibles, specifically related to the requirement to capitalise completed assets from the work in progress account and the recognition of the associated depreciation expenditure. In addition, some of the work in progress balances have been deemed to be operating in nature and therefore have been expensed to the Operating Statement in the current year expenditure and to Equity (Accumulated Surplus/ (deficit)) in the Balance Sheet where it related to prior year expenditure.</w:t>
      </w:r>
    </w:p>
    <w:p w14:paraId="379C3410" w14:textId="77777777" w:rsidR="00FE7F8B" w:rsidRDefault="00FE7F8B" w:rsidP="00FE7F8B">
      <w:r>
        <w:t>The Department has identified that for the Trade Training Centre program, a Federal Government initiative project managed by schools, there was inconsistent accounting treatments for the:</w:t>
      </w:r>
    </w:p>
    <w:p w14:paraId="7E862D17" w14:textId="77777777" w:rsidR="00FE7F8B" w:rsidRDefault="00FE7F8B" w:rsidP="00AD641C">
      <w:pPr>
        <w:pStyle w:val="Normallistbullet"/>
        <w:numPr>
          <w:ilvl w:val="0"/>
          <w:numId w:val="42"/>
        </w:numPr>
      </w:pPr>
      <w:r>
        <w:t>recognition of assets constructed in this program</w:t>
      </w:r>
    </w:p>
    <w:p w14:paraId="7C7CBF0B" w14:textId="77777777" w:rsidR="00FE7F8B" w:rsidRDefault="00FE7F8B" w:rsidP="00AD641C">
      <w:pPr>
        <w:pStyle w:val="Normallistbullet"/>
        <w:numPr>
          <w:ilvl w:val="0"/>
          <w:numId w:val="42"/>
        </w:numPr>
      </w:pPr>
      <w:r>
        <w:t>recognition of grant income by the schools</w:t>
      </w:r>
    </w:p>
    <w:p w14:paraId="58B9F438" w14:textId="77777777" w:rsidR="00FE7F8B" w:rsidRDefault="00FE7F8B" w:rsidP="00AD641C">
      <w:pPr>
        <w:pStyle w:val="Normallistbullet"/>
        <w:numPr>
          <w:ilvl w:val="0"/>
          <w:numId w:val="42"/>
        </w:numPr>
      </w:pPr>
      <w:proofErr w:type="gramStart"/>
      <w:r>
        <w:t>determination</w:t>
      </w:r>
      <w:proofErr w:type="gramEnd"/>
      <w:r>
        <w:t xml:space="preserve"> of the control of assets, in some instances the funding passed through Government schools for assets that are situated on third party sites such as TAFEs or Catholic schools.</w:t>
      </w:r>
    </w:p>
    <w:p w14:paraId="70DADF7C" w14:textId="77777777" w:rsidR="00FE7F8B" w:rsidRDefault="00FE7F8B" w:rsidP="00FE7F8B">
      <w:r>
        <w:t>Based on analysis performed on the Trade Training Centre program that was delivered through 42 lead schools, it was determined that there were errors in the accounting for the program and financial statement adjustments are necessary.</w:t>
      </w:r>
    </w:p>
    <w:p w14:paraId="17BC7B68" w14:textId="77777777" w:rsidR="00FE7F8B" w:rsidRDefault="00FE7F8B" w:rsidP="00FE7F8B">
      <w:r>
        <w:t>The Department has identified that in the prior year not all non-financial assets classified as held for sale met the recognition requirements of AASB 5 Non-current Assets Held for Sale and Discontinued Operations. The Department has ensured these requirements have been met in the current financial year.</w:t>
      </w:r>
    </w:p>
    <w:p w14:paraId="34D6F2DD" w14:textId="77777777" w:rsidR="00FE7F8B" w:rsidRDefault="00FE7F8B" w:rsidP="00FE7F8B">
      <w:r>
        <w:t>The Department has commenced implementation of significantly improved processes for the ongoing management of property, plant and equipment balances.</w:t>
      </w:r>
    </w:p>
    <w:p w14:paraId="352FD6F6" w14:textId="77777777" w:rsidR="00FE7F8B" w:rsidRDefault="00FE7F8B" w:rsidP="00FE7F8B">
      <w:r>
        <w:t>It is impracticable to restate the opening positions of the property, plant and equipment, and non-financial assets classified as held for sale balances, as well as any related balance (such as depreciation, reserves or accumulated surpluses). That is, opening position at 1 July 2014, and the comparative position as at 30 June 2015. Restatement is impracticable due to the following:</w:t>
      </w:r>
    </w:p>
    <w:p w14:paraId="07566A92" w14:textId="77777777" w:rsidR="00FE7F8B" w:rsidRDefault="00FE7F8B" w:rsidP="00AD641C">
      <w:pPr>
        <w:pStyle w:val="Normallistbullet"/>
        <w:numPr>
          <w:ilvl w:val="0"/>
          <w:numId w:val="42"/>
        </w:numPr>
      </w:pPr>
      <w:r>
        <w:t>many of the errors, in most instances, originally arose several years past</w:t>
      </w:r>
    </w:p>
    <w:p w14:paraId="1943164B" w14:textId="77777777" w:rsidR="00FE7F8B" w:rsidRDefault="00FE7F8B" w:rsidP="00AD641C">
      <w:pPr>
        <w:pStyle w:val="Normallistbullet"/>
        <w:numPr>
          <w:ilvl w:val="0"/>
          <w:numId w:val="42"/>
        </w:numPr>
      </w:pPr>
      <w:r>
        <w:t>there have been limitations in gathering supporting evidence, as it has not been available for aged transactions</w:t>
      </w:r>
    </w:p>
    <w:p w14:paraId="3DBAF803" w14:textId="77777777" w:rsidR="00FE7F8B" w:rsidRDefault="00FE7F8B" w:rsidP="00AD641C">
      <w:pPr>
        <w:pStyle w:val="Normallistbullet"/>
        <w:numPr>
          <w:ilvl w:val="0"/>
          <w:numId w:val="42"/>
        </w:numPr>
      </w:pPr>
      <w:proofErr w:type="gramStart"/>
      <w:r>
        <w:t>the</w:t>
      </w:r>
      <w:proofErr w:type="gramEnd"/>
      <w:r>
        <w:t xml:space="preserve"> volume of issues, and thereby corrections, is high at a transactional level.</w:t>
      </w:r>
    </w:p>
    <w:p w14:paraId="48C970D8" w14:textId="77777777" w:rsidR="00FE7F8B" w:rsidRDefault="00FE7F8B" w:rsidP="00FE7F8B">
      <w:r>
        <w:t>Based on the work performed for Property, Plant and Equipment, it was determined that the net impact of the errors (corrected in the current year only) which require adjusting is as follows:</w:t>
      </w:r>
    </w:p>
    <w:p w14:paraId="72FADB91" w14:textId="77777777" w:rsidR="00FE7F8B" w:rsidRDefault="00FE7F8B" w:rsidP="00AD641C">
      <w:pPr>
        <w:pStyle w:val="Normallistbullet"/>
        <w:numPr>
          <w:ilvl w:val="0"/>
          <w:numId w:val="42"/>
        </w:numPr>
      </w:pPr>
      <w:r>
        <w:rPr>
          <w:rFonts w:cs="Arial"/>
          <w:sz w:val="18"/>
          <w:szCs w:val="18"/>
          <w:lang w:val="en-US"/>
        </w:rPr>
        <w:t>d</w:t>
      </w:r>
      <w:proofErr w:type="spellStart"/>
      <w:r>
        <w:t>ecrease</w:t>
      </w:r>
      <w:proofErr w:type="spellEnd"/>
      <w:r>
        <w:t xml:space="preserve"> to intangible assets $4.2 million (assets)</w:t>
      </w:r>
    </w:p>
    <w:p w14:paraId="1CC6465C" w14:textId="77777777" w:rsidR="00FE7F8B" w:rsidRDefault="00FE7F8B" w:rsidP="00AD641C">
      <w:pPr>
        <w:pStyle w:val="Normallistbullet"/>
        <w:numPr>
          <w:ilvl w:val="0"/>
          <w:numId w:val="42"/>
        </w:numPr>
      </w:pPr>
      <w:r>
        <w:t>decrease to property, plant and equipment of $99.4 million (assets)</w:t>
      </w:r>
    </w:p>
    <w:p w14:paraId="7D85F47C" w14:textId="77777777" w:rsidR="00FE7F8B" w:rsidRDefault="00FE7F8B" w:rsidP="00AD641C">
      <w:pPr>
        <w:pStyle w:val="Normallistbullet"/>
        <w:numPr>
          <w:ilvl w:val="0"/>
          <w:numId w:val="42"/>
        </w:numPr>
      </w:pPr>
      <w:r>
        <w:t>increase to accumulated surplus/(deficit) of $61.8 million (equity)</w:t>
      </w:r>
    </w:p>
    <w:p w14:paraId="17013AAD" w14:textId="77777777" w:rsidR="00FE7F8B" w:rsidRDefault="00FE7F8B" w:rsidP="00AD641C">
      <w:pPr>
        <w:pStyle w:val="Normallistbullet"/>
        <w:numPr>
          <w:ilvl w:val="0"/>
          <w:numId w:val="42"/>
        </w:numPr>
      </w:pPr>
      <w:proofErr w:type="gramStart"/>
      <w:r>
        <w:t>decrease</w:t>
      </w:r>
      <w:proofErr w:type="gramEnd"/>
      <w:r>
        <w:t xml:space="preserve"> to asset revaluation reserve of $165.4 million (equity).</w:t>
      </w:r>
    </w:p>
    <w:p w14:paraId="2534BB9E" w14:textId="77777777" w:rsidR="00FE7F8B" w:rsidRDefault="00FE7F8B" w:rsidP="00FE7F8B">
      <w:r>
        <w:t>All adjustments were processed against the opening balances of the current financial year, 1 July 2015.</w:t>
      </w:r>
    </w:p>
    <w:p w14:paraId="730E5BC9" w14:textId="77777777" w:rsidR="00FE7F8B" w:rsidRDefault="00FE7F8B" w:rsidP="00AD641C">
      <w:pPr>
        <w:pStyle w:val="Heading3notesnumbered"/>
        <w:numPr>
          <w:ilvl w:val="0"/>
          <w:numId w:val="40"/>
        </w:numPr>
      </w:pPr>
      <w:r>
        <w:t>Reclassification of financial information</w:t>
      </w:r>
    </w:p>
    <w:p w14:paraId="08E4217D" w14:textId="77777777" w:rsidR="00FE7F8B" w:rsidRDefault="00FE7F8B" w:rsidP="00FE7F8B">
      <w:r>
        <w:t>The Department has elected to reclassify some items in the financial statements for the year ended 30 June 2016 to appropriately reflect the nature of transactions. This has had an impact on the comparative information presented in the financial statements. The reclassification of comparative financial information is as followed:</w:t>
      </w:r>
    </w:p>
    <w:p w14:paraId="68C0C2D0" w14:textId="45AE2FFC" w:rsidR="00241313" w:rsidRDefault="00241313" w:rsidP="00241313">
      <w:pPr>
        <w:pStyle w:val="Heading4notes"/>
      </w:pPr>
      <w:r>
        <w:t>(i)</w:t>
      </w:r>
      <w:r w:rsidRPr="00241313">
        <w:t xml:space="preserve"> </w:t>
      </w:r>
      <w:r>
        <w:t>Motor vehicle sold under finance lease</w:t>
      </w:r>
    </w:p>
    <w:p w14:paraId="0103050D" w14:textId="6CDCAC09" w:rsidR="00FE7F8B" w:rsidRDefault="00FE7F8B" w:rsidP="00FE7F8B">
      <w:r>
        <w:t>The Department has reclassified the value of motor vehicle sold under finance lease from supplies and services to net gain</w:t>
      </w:r>
      <w:proofErr w:type="gramStart"/>
      <w:r>
        <w:t>/(</w:t>
      </w:r>
      <w:proofErr w:type="gramEnd"/>
      <w:r>
        <w:t>loss) on non-financial assets.</w:t>
      </w:r>
    </w:p>
    <w:p w14:paraId="6BE58475" w14:textId="77777777" w:rsidR="00FE7F8B" w:rsidRDefault="00FE7F8B" w:rsidP="00FE7F8B">
      <w:r>
        <w:t>The following 2015 comparative balances have been restated:</w:t>
      </w:r>
    </w:p>
    <w:p w14:paraId="5F177A4F" w14:textId="77777777" w:rsidR="00FE7F8B" w:rsidRDefault="00FE7F8B" w:rsidP="00AD641C">
      <w:pPr>
        <w:pStyle w:val="Normallistbullet"/>
        <w:numPr>
          <w:ilvl w:val="0"/>
          <w:numId w:val="42"/>
        </w:numPr>
      </w:pPr>
      <w:r>
        <w:t>decrease to supplies and services of $2.5 million (expenses)</w:t>
      </w:r>
    </w:p>
    <w:p w14:paraId="22BC0D2E" w14:textId="77777777" w:rsidR="00FE7F8B" w:rsidRDefault="00FE7F8B" w:rsidP="00AD641C">
      <w:pPr>
        <w:pStyle w:val="Normallistbullet"/>
        <w:numPr>
          <w:ilvl w:val="0"/>
          <w:numId w:val="42"/>
        </w:numPr>
      </w:pPr>
      <w:proofErr w:type="gramStart"/>
      <w:r>
        <w:t>decrease</w:t>
      </w:r>
      <w:proofErr w:type="gramEnd"/>
      <w:r>
        <w:t xml:space="preserve"> to net gain/(loss) on non-financial assets of $2.5 million (other economic flows included in net result).</w:t>
      </w:r>
    </w:p>
    <w:p w14:paraId="747FCC18" w14:textId="193E8601" w:rsidR="00241313" w:rsidRDefault="00241313" w:rsidP="00241313">
      <w:pPr>
        <w:pStyle w:val="Heading4notes"/>
      </w:pPr>
      <w:r>
        <w:t>(ii)</w:t>
      </w:r>
      <w:r w:rsidRPr="00241313">
        <w:t xml:space="preserve"> </w:t>
      </w:r>
      <w:r>
        <w:t>Conveyance and Education Maintenance Allowance payments</w:t>
      </w:r>
    </w:p>
    <w:p w14:paraId="03CCC37B" w14:textId="5C383CC2" w:rsidR="00FE7F8B" w:rsidRDefault="00FE7F8B" w:rsidP="00FE7F8B">
      <w:r>
        <w:t>The Department has separated Education Maintenance Allowance payments and Conveyance payments in Note 4. The reclassification has no impact on the overall balance of expenses.</w:t>
      </w:r>
    </w:p>
    <w:p w14:paraId="6173FDA7" w14:textId="77777777" w:rsidR="00FE7F8B" w:rsidRDefault="00FE7F8B" w:rsidP="00FE7F8B">
      <w:pPr>
        <w:pStyle w:val="Heading4notes"/>
      </w:pPr>
      <w:r>
        <w:t>(iii) Other IT related expenses</w:t>
      </w:r>
    </w:p>
    <w:p w14:paraId="39D6E3CF" w14:textId="77777777" w:rsidR="00FE7F8B" w:rsidRDefault="00FE7F8B" w:rsidP="00FE7F8B">
      <w:r>
        <w:t>The Department has reclassified other IT related expenses from other expenses in Note 4. The reclassification has no impact on the overall balance of expenses.</w:t>
      </w:r>
    </w:p>
    <w:p w14:paraId="03EE4482" w14:textId="77777777" w:rsidR="00FE7F8B" w:rsidRDefault="00FE7F8B" w:rsidP="00FE7F8B">
      <w:r>
        <w:t>The following 2015 comparative balances have been restated:</w:t>
      </w:r>
    </w:p>
    <w:p w14:paraId="66C6ED91" w14:textId="2D6B6339" w:rsidR="00FE7F8B" w:rsidRDefault="00FE7F8B" w:rsidP="00AD641C">
      <w:pPr>
        <w:pStyle w:val="Normallistbullet"/>
        <w:numPr>
          <w:ilvl w:val="0"/>
          <w:numId w:val="42"/>
        </w:numPr>
      </w:pPr>
      <w:r>
        <w:t>increase in other IT related expenses of $105.6</w:t>
      </w:r>
      <w:r w:rsidR="00C935E2">
        <w:t xml:space="preserve"> </w:t>
      </w:r>
      <w:r>
        <w:t>m</w:t>
      </w:r>
      <w:r w:rsidR="00C935E2">
        <w:t>illion</w:t>
      </w:r>
      <w:r>
        <w:t xml:space="preserve"> (expenses)</w:t>
      </w:r>
    </w:p>
    <w:p w14:paraId="7894B24F" w14:textId="4B0FA87C" w:rsidR="00FE7F8B" w:rsidRDefault="00FE7F8B" w:rsidP="00AD641C">
      <w:pPr>
        <w:pStyle w:val="Normallistbullet"/>
        <w:numPr>
          <w:ilvl w:val="0"/>
          <w:numId w:val="42"/>
        </w:numPr>
      </w:pPr>
      <w:proofErr w:type="gramStart"/>
      <w:r>
        <w:t>decrease</w:t>
      </w:r>
      <w:proofErr w:type="gramEnd"/>
      <w:r>
        <w:t xml:space="preserve"> in other expenses of $105.6</w:t>
      </w:r>
      <w:r w:rsidR="00C935E2">
        <w:t xml:space="preserve"> </w:t>
      </w:r>
      <w:r>
        <w:t>m</w:t>
      </w:r>
      <w:r w:rsidR="00C935E2">
        <w:t>illion</w:t>
      </w:r>
      <w:r>
        <w:t xml:space="preserve"> (expenses).</w:t>
      </w:r>
    </w:p>
    <w:p w14:paraId="7B896A58" w14:textId="77777777" w:rsidR="00FE7F8B" w:rsidRDefault="00FE7F8B" w:rsidP="00FE7F8B">
      <w:pPr>
        <w:pStyle w:val="Heading4notes"/>
      </w:pPr>
      <w:proofErr w:type="gramStart"/>
      <w:r>
        <w:t xml:space="preserve">(iv) </w:t>
      </w:r>
      <w:r>
        <w:rPr>
          <w:rFonts w:cs="Arial"/>
          <w:iCs/>
          <w:sz w:val="18"/>
          <w:szCs w:val="18"/>
          <w:lang w:val="en-US"/>
        </w:rPr>
        <w:t>Purchase</w:t>
      </w:r>
      <w:proofErr w:type="gramEnd"/>
      <w:r>
        <w:rPr>
          <w:rFonts w:cs="Arial"/>
          <w:iCs/>
          <w:sz w:val="18"/>
          <w:szCs w:val="18"/>
          <w:lang w:val="en-US"/>
        </w:rPr>
        <w:t xml:space="preserve"> of other non-financial assets</w:t>
      </w:r>
    </w:p>
    <w:p w14:paraId="61C1B6AA" w14:textId="77777777" w:rsidR="00FE7F8B" w:rsidRDefault="00FE7F8B" w:rsidP="00FE7F8B">
      <w:r>
        <w:rPr>
          <w:rFonts w:cs="Arial"/>
          <w:sz w:val="18"/>
          <w:szCs w:val="18"/>
          <w:lang w:val="en-US"/>
        </w:rPr>
        <w:t>The Department has reclassified purchase of other non-financial assets to purchase of non-financial assets in the cash flow statements. The reclassification has no impact on the overall movement of cash flows from investing activities.</w:t>
      </w:r>
    </w:p>
    <w:p w14:paraId="5F898BF8" w14:textId="77777777" w:rsidR="00FE7F8B" w:rsidRDefault="00FE7F8B" w:rsidP="00FE7F8B">
      <w:r>
        <w:t>The following 2015 comparative balances have been restated:</w:t>
      </w:r>
    </w:p>
    <w:p w14:paraId="3ACB9EBB" w14:textId="5594E208" w:rsidR="00FE7F8B" w:rsidRDefault="00FE7F8B" w:rsidP="00AD641C">
      <w:pPr>
        <w:pStyle w:val="Normallistbullet"/>
        <w:numPr>
          <w:ilvl w:val="0"/>
          <w:numId w:val="42"/>
        </w:numPr>
      </w:pPr>
      <w:r>
        <w:rPr>
          <w:rFonts w:cs="Arial"/>
          <w:sz w:val="18"/>
          <w:szCs w:val="18"/>
          <w:lang w:val="en-US"/>
        </w:rPr>
        <w:t>increase in purchase of non-financial assets of $11.0</w:t>
      </w:r>
      <w:r w:rsidR="00C935E2">
        <w:rPr>
          <w:rFonts w:cs="Arial"/>
          <w:sz w:val="18"/>
          <w:szCs w:val="18"/>
          <w:lang w:val="en-US"/>
        </w:rPr>
        <w:t xml:space="preserve"> </w:t>
      </w:r>
      <w:r>
        <w:rPr>
          <w:rFonts w:cs="Arial"/>
          <w:sz w:val="18"/>
          <w:szCs w:val="18"/>
          <w:lang w:val="en-US"/>
        </w:rPr>
        <w:t>m</w:t>
      </w:r>
      <w:r w:rsidR="00C935E2">
        <w:rPr>
          <w:rFonts w:cs="Arial"/>
          <w:sz w:val="18"/>
          <w:szCs w:val="18"/>
          <w:lang w:val="en-US"/>
        </w:rPr>
        <w:t>illion</w:t>
      </w:r>
      <w:r>
        <w:rPr>
          <w:rFonts w:cs="Arial"/>
          <w:sz w:val="18"/>
          <w:szCs w:val="18"/>
          <w:lang w:val="en-US"/>
        </w:rPr>
        <w:t xml:space="preserve"> (cash flows from investing activities</w:t>
      </w:r>
      <w:r>
        <w:t>)</w:t>
      </w:r>
    </w:p>
    <w:p w14:paraId="30954C84" w14:textId="061E8F58" w:rsidR="00FE7F8B" w:rsidRDefault="00FE7F8B" w:rsidP="00AD641C">
      <w:pPr>
        <w:pStyle w:val="Normallistbullet"/>
        <w:numPr>
          <w:ilvl w:val="0"/>
          <w:numId w:val="42"/>
        </w:numPr>
      </w:pPr>
      <w:r>
        <w:rPr>
          <w:rFonts w:cs="Arial"/>
          <w:sz w:val="18"/>
          <w:szCs w:val="18"/>
          <w:lang w:val="en-US"/>
        </w:rPr>
        <w:t>decrease in purchase of other non-financial assets of $11.0</w:t>
      </w:r>
      <w:r w:rsidR="00C935E2">
        <w:rPr>
          <w:rFonts w:cs="Arial"/>
          <w:sz w:val="18"/>
          <w:szCs w:val="18"/>
          <w:lang w:val="en-US"/>
        </w:rPr>
        <w:t xml:space="preserve"> </w:t>
      </w:r>
      <w:r>
        <w:rPr>
          <w:rFonts w:cs="Arial"/>
          <w:sz w:val="18"/>
          <w:szCs w:val="18"/>
          <w:lang w:val="en-US"/>
        </w:rPr>
        <w:t>m</w:t>
      </w:r>
      <w:r w:rsidR="00C935E2">
        <w:rPr>
          <w:rFonts w:cs="Arial"/>
          <w:sz w:val="18"/>
          <w:szCs w:val="18"/>
          <w:lang w:val="en-US"/>
        </w:rPr>
        <w:t>illion</w:t>
      </w:r>
      <w:r>
        <w:rPr>
          <w:rFonts w:cs="Arial"/>
          <w:sz w:val="18"/>
          <w:szCs w:val="18"/>
          <w:lang w:val="en-US"/>
        </w:rPr>
        <w:t xml:space="preserve"> (cash flows from investing activities</w:t>
      </w:r>
      <w:r>
        <w:t>)</w:t>
      </w:r>
    </w:p>
    <w:p w14:paraId="6AA542F6" w14:textId="77777777" w:rsidR="00FE7F8B" w:rsidRDefault="00FE7F8B" w:rsidP="00AD641C">
      <w:pPr>
        <w:pStyle w:val="Heading3notesnumbered"/>
        <w:numPr>
          <w:ilvl w:val="0"/>
          <w:numId w:val="40"/>
        </w:numPr>
      </w:pPr>
      <w:r>
        <w:t>Australian Accounting Standards and interpretation issues that are not yet effective</w:t>
      </w:r>
    </w:p>
    <w:p w14:paraId="6106BD7E" w14:textId="77777777" w:rsidR="00FE7F8B" w:rsidRDefault="00FE7F8B" w:rsidP="00FE7F8B">
      <w:r>
        <w:t>Certain new Australian Accounting Standards and interpretations have been published that are not mandatory for the 30 June 2016 reporting period. The Department of Treasury and Finance assesses the impact of these new standards and advises the Department of their applicability and early adoption where applicable.</w:t>
      </w:r>
    </w:p>
    <w:p w14:paraId="5AA07AB7" w14:textId="77777777" w:rsidR="00FE7F8B" w:rsidRDefault="00FE7F8B" w:rsidP="00FE7F8B">
      <w:r>
        <w:t>As at 30 June 2016, the following Australian Accounting Standards have been issued by the AASB, but are not mandatory for financial year ending 30 June 2016. The Department has not, and does not intend to, adopt these standards early.</w:t>
      </w:r>
    </w:p>
    <w:p w14:paraId="5990A68E" w14:textId="77777777" w:rsidR="00FE7F8B" w:rsidRDefault="00FE7F8B" w:rsidP="00FE7F8B">
      <w:pPr>
        <w:spacing w:after="200" w:line="276" w:lineRule="auto"/>
      </w:pPr>
      <w:r>
        <w:br w:type="page"/>
      </w:r>
    </w:p>
    <w:tbl>
      <w:tblPr>
        <w:tblW w:w="7380" w:type="dxa"/>
        <w:tblBorders>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1532"/>
        <w:gridCol w:w="2298"/>
        <w:gridCol w:w="1135"/>
        <w:gridCol w:w="2415"/>
      </w:tblGrid>
      <w:tr w:rsidR="00FE7F8B" w14:paraId="0DB6E788" w14:textId="77777777" w:rsidTr="00FE7F8B">
        <w:trPr>
          <w:tblHeader/>
        </w:trPr>
        <w:tc>
          <w:tcPr>
            <w:tcW w:w="1531" w:type="dxa"/>
            <w:tcBorders>
              <w:top w:val="nil"/>
              <w:left w:val="nil"/>
              <w:bottom w:val="nil"/>
              <w:right w:val="nil"/>
            </w:tcBorders>
            <w:shd w:val="clear" w:color="auto" w:fill="7F7F7F" w:themeFill="text1" w:themeFillTint="80"/>
            <w:hideMark/>
          </w:tcPr>
          <w:p w14:paraId="1D527AE4" w14:textId="77777777" w:rsidR="00FE7F8B" w:rsidRDefault="00FE7F8B">
            <w:pPr>
              <w:pStyle w:val="Tablecolumnheading"/>
              <w:jc w:val="center"/>
            </w:pPr>
            <w:r>
              <w:t>Standard/</w:t>
            </w:r>
            <w:r>
              <w:br/>
            </w:r>
            <w:r>
              <w:rPr>
                <w:lang w:eastAsia="en-AU"/>
              </w:rPr>
              <w:t>Interpretation</w:t>
            </w:r>
          </w:p>
        </w:tc>
        <w:tc>
          <w:tcPr>
            <w:tcW w:w="2297" w:type="dxa"/>
            <w:tcBorders>
              <w:top w:val="nil"/>
              <w:left w:val="nil"/>
              <w:bottom w:val="nil"/>
              <w:right w:val="nil"/>
            </w:tcBorders>
            <w:shd w:val="clear" w:color="auto" w:fill="7F7F7F" w:themeFill="text1" w:themeFillTint="80"/>
            <w:hideMark/>
          </w:tcPr>
          <w:p w14:paraId="0041467D" w14:textId="77777777" w:rsidR="00FE7F8B" w:rsidRDefault="00FE7F8B">
            <w:pPr>
              <w:pStyle w:val="Tablecolumnheading"/>
              <w:jc w:val="center"/>
            </w:pPr>
            <w:r>
              <w:rPr>
                <w:lang w:eastAsia="en-AU"/>
              </w:rPr>
              <w:t>Summary</w:t>
            </w:r>
          </w:p>
        </w:tc>
        <w:tc>
          <w:tcPr>
            <w:tcW w:w="1134" w:type="dxa"/>
            <w:tcBorders>
              <w:top w:val="nil"/>
              <w:left w:val="nil"/>
              <w:bottom w:val="nil"/>
              <w:right w:val="nil"/>
            </w:tcBorders>
            <w:shd w:val="clear" w:color="auto" w:fill="7F7F7F" w:themeFill="text1" w:themeFillTint="80"/>
            <w:hideMark/>
          </w:tcPr>
          <w:p w14:paraId="6339CBBA" w14:textId="77777777" w:rsidR="00FE7F8B" w:rsidRDefault="00FE7F8B">
            <w:pPr>
              <w:pStyle w:val="Tablecolumnheading"/>
              <w:jc w:val="center"/>
            </w:pPr>
            <w:r>
              <w:rPr>
                <w:lang w:eastAsia="en-AU"/>
              </w:rPr>
              <w:t>Applicable for annual reporting periods beginning on</w:t>
            </w:r>
          </w:p>
        </w:tc>
        <w:tc>
          <w:tcPr>
            <w:tcW w:w="2414" w:type="dxa"/>
            <w:tcBorders>
              <w:top w:val="nil"/>
              <w:left w:val="nil"/>
              <w:bottom w:val="nil"/>
              <w:right w:val="nil"/>
            </w:tcBorders>
            <w:shd w:val="clear" w:color="auto" w:fill="7F7F7F" w:themeFill="text1" w:themeFillTint="80"/>
            <w:hideMark/>
          </w:tcPr>
          <w:p w14:paraId="3B497FC1" w14:textId="77777777" w:rsidR="00FE7F8B" w:rsidRDefault="00FE7F8B">
            <w:pPr>
              <w:pStyle w:val="Tablecolumnheading"/>
              <w:jc w:val="center"/>
            </w:pPr>
            <w:r>
              <w:rPr>
                <w:lang w:eastAsia="en-AU"/>
              </w:rPr>
              <w:t xml:space="preserve">Impact on public </w:t>
            </w:r>
            <w:r>
              <w:rPr>
                <w:lang w:eastAsia="en-AU"/>
              </w:rPr>
              <w:br/>
              <w:t>sector entity financial statements</w:t>
            </w:r>
          </w:p>
        </w:tc>
      </w:tr>
      <w:tr w:rsidR="00FE7F8B" w14:paraId="742FC523" w14:textId="77777777" w:rsidTr="00FE7F8B">
        <w:tc>
          <w:tcPr>
            <w:tcW w:w="1531" w:type="dxa"/>
            <w:tcBorders>
              <w:top w:val="nil"/>
              <w:left w:val="nil"/>
              <w:bottom w:val="single" w:sz="4" w:space="0" w:color="auto"/>
              <w:right w:val="nil"/>
            </w:tcBorders>
            <w:hideMark/>
          </w:tcPr>
          <w:p w14:paraId="3CDD0CC5" w14:textId="77777777" w:rsidR="00FE7F8B" w:rsidRDefault="00FE7F8B">
            <w:pPr>
              <w:pStyle w:val="Tabletext"/>
              <w:rPr>
                <w:b/>
              </w:rPr>
            </w:pPr>
            <w:r>
              <w:rPr>
                <w:b/>
              </w:rPr>
              <w:t xml:space="preserve">AASB 9 </w:t>
            </w:r>
            <w:r>
              <w:rPr>
                <w:b/>
                <w:i/>
              </w:rPr>
              <w:t>Financial Instruments</w:t>
            </w:r>
          </w:p>
        </w:tc>
        <w:tc>
          <w:tcPr>
            <w:tcW w:w="2297" w:type="dxa"/>
            <w:tcBorders>
              <w:top w:val="nil"/>
              <w:left w:val="nil"/>
              <w:bottom w:val="single" w:sz="4" w:space="0" w:color="auto"/>
              <w:right w:val="nil"/>
            </w:tcBorders>
            <w:hideMark/>
          </w:tcPr>
          <w:p w14:paraId="073FBC88" w14:textId="77777777" w:rsidR="00FE7F8B" w:rsidRDefault="00FE7F8B">
            <w:pPr>
              <w:pStyle w:val="Tabletextnoindent"/>
            </w:pPr>
            <w:r>
              <w:t>The key changes include the simplified requirements for the classification and measurement of financial assets, a new hedging accounting model and a revised impairment loss model to recognise impairment losses earlier, as opposed to the current approach that recognises impairment only when incurred.</w:t>
            </w:r>
          </w:p>
        </w:tc>
        <w:tc>
          <w:tcPr>
            <w:tcW w:w="1134" w:type="dxa"/>
            <w:tcBorders>
              <w:top w:val="nil"/>
              <w:left w:val="nil"/>
              <w:bottom w:val="single" w:sz="4" w:space="0" w:color="auto"/>
              <w:right w:val="nil"/>
            </w:tcBorders>
            <w:hideMark/>
          </w:tcPr>
          <w:p w14:paraId="33307484" w14:textId="77777777" w:rsidR="00FE7F8B" w:rsidRDefault="00FE7F8B">
            <w:pPr>
              <w:pStyle w:val="Tabletextnoindent"/>
              <w:jc w:val="center"/>
            </w:pPr>
            <w:r>
              <w:t>1 January 2018</w:t>
            </w:r>
          </w:p>
        </w:tc>
        <w:tc>
          <w:tcPr>
            <w:tcW w:w="2414" w:type="dxa"/>
            <w:tcBorders>
              <w:top w:val="nil"/>
              <w:left w:val="nil"/>
              <w:bottom w:val="single" w:sz="4" w:space="0" w:color="auto"/>
              <w:right w:val="nil"/>
            </w:tcBorders>
            <w:hideMark/>
          </w:tcPr>
          <w:p w14:paraId="64F2ADE3" w14:textId="77777777" w:rsidR="00FE7F8B" w:rsidRDefault="00FE7F8B">
            <w:pPr>
              <w:pStyle w:val="Tabletextnoindent"/>
            </w:pPr>
            <w:r>
              <w:t>The assessment has identified that the financial impact of available for sale (AFS) assets will now be reported through other comprehensive income (OCI) and no longer recycled to the profit and loss.</w:t>
            </w:r>
          </w:p>
          <w:p w14:paraId="4D05D7AC" w14:textId="77777777" w:rsidR="00FE7F8B" w:rsidRDefault="00FE7F8B">
            <w:pPr>
              <w:pStyle w:val="Tabletextnoindent"/>
            </w:pPr>
            <w:r>
              <w:t>While the preliminary assessment has not identified any material impact arising from AASB 9, it will continue to be monitored and assessed.</w:t>
            </w:r>
          </w:p>
        </w:tc>
      </w:tr>
      <w:tr w:rsidR="00FE7F8B" w14:paraId="0C3EAAB0" w14:textId="77777777" w:rsidTr="00FE7F8B">
        <w:tc>
          <w:tcPr>
            <w:tcW w:w="1531" w:type="dxa"/>
            <w:tcBorders>
              <w:top w:val="single" w:sz="4" w:space="0" w:color="auto"/>
              <w:left w:val="nil"/>
              <w:bottom w:val="single" w:sz="4" w:space="0" w:color="auto"/>
              <w:right w:val="nil"/>
            </w:tcBorders>
            <w:hideMark/>
          </w:tcPr>
          <w:p w14:paraId="67AABFE1" w14:textId="77777777" w:rsidR="00FE7F8B" w:rsidRDefault="00FE7F8B">
            <w:pPr>
              <w:pStyle w:val="Tabletext"/>
              <w:rPr>
                <w:b/>
              </w:rPr>
            </w:pPr>
            <w:r>
              <w:rPr>
                <w:b/>
              </w:rPr>
              <w:t xml:space="preserve">AASB 2010–7 </w:t>
            </w:r>
            <w:r>
              <w:rPr>
                <w:b/>
                <w:i/>
              </w:rPr>
              <w:t>Amendments to Australian Accounting Standards arising from AASB 9</w:t>
            </w:r>
            <w:r>
              <w:rPr>
                <w:b/>
              </w:rPr>
              <w:t xml:space="preserve"> (December 2010)</w:t>
            </w:r>
            <w:r>
              <w:rPr>
                <w:b/>
              </w:rPr>
              <w:br/>
            </w:r>
          </w:p>
        </w:tc>
        <w:tc>
          <w:tcPr>
            <w:tcW w:w="2297" w:type="dxa"/>
            <w:tcBorders>
              <w:top w:val="single" w:sz="4" w:space="0" w:color="auto"/>
              <w:left w:val="nil"/>
              <w:bottom w:val="single" w:sz="4" w:space="0" w:color="auto"/>
              <w:right w:val="nil"/>
            </w:tcBorders>
            <w:hideMark/>
          </w:tcPr>
          <w:p w14:paraId="1C9017CC" w14:textId="77777777" w:rsidR="00FE7F8B" w:rsidRDefault="00FE7F8B">
            <w:pPr>
              <w:pStyle w:val="Tabletextnoindent"/>
            </w:pPr>
            <w:r>
              <w:t>The requirements for classifying and measuring financial liabilities were added to AASB 9. The existing requirements for the classification of financial liabilities and the ability to use the fair value option have been retained. However, where the fair value option is used for financial liabilities the change in fair value is accounted for as follows:</w:t>
            </w:r>
          </w:p>
          <w:p w14:paraId="5EEDA6A7" w14:textId="77777777" w:rsidR="00FE7F8B" w:rsidRDefault="00FE7F8B" w:rsidP="00AD641C">
            <w:pPr>
              <w:pStyle w:val="Tablebullet"/>
              <w:numPr>
                <w:ilvl w:val="0"/>
                <w:numId w:val="41"/>
              </w:numPr>
              <w:ind w:left="113" w:hanging="113"/>
              <w:rPr>
                <w:lang w:eastAsia="en-US"/>
              </w:rPr>
            </w:pPr>
            <w:r>
              <w:rPr>
                <w:lang w:eastAsia="en-US"/>
              </w:rPr>
              <w:t xml:space="preserve">The change in fair value attributable to changes in credit risk is presented in other comprehensive income (OCI); and </w:t>
            </w:r>
          </w:p>
          <w:p w14:paraId="5E1F41B0" w14:textId="77777777" w:rsidR="00FE7F8B" w:rsidRDefault="00FE7F8B" w:rsidP="00AD641C">
            <w:pPr>
              <w:pStyle w:val="Tablebullet"/>
              <w:numPr>
                <w:ilvl w:val="0"/>
                <w:numId w:val="41"/>
              </w:numPr>
              <w:ind w:left="113" w:hanging="113"/>
              <w:rPr>
                <w:lang w:eastAsia="en-US"/>
              </w:rPr>
            </w:pPr>
            <w:r>
              <w:rPr>
                <w:lang w:eastAsia="en-US"/>
              </w:rPr>
              <w:t>Other fair value changes are presented in profit and loss. If this approach creates or enlarges an accounting mismatch in the profit or loss, the effect of the changes in credit risk are also presented in profit or loss.</w:t>
            </w:r>
          </w:p>
        </w:tc>
        <w:tc>
          <w:tcPr>
            <w:tcW w:w="1134" w:type="dxa"/>
            <w:tcBorders>
              <w:top w:val="single" w:sz="4" w:space="0" w:color="auto"/>
              <w:left w:val="nil"/>
              <w:bottom w:val="single" w:sz="4" w:space="0" w:color="auto"/>
              <w:right w:val="nil"/>
            </w:tcBorders>
            <w:hideMark/>
          </w:tcPr>
          <w:p w14:paraId="7027E1CA" w14:textId="77777777" w:rsidR="00FE7F8B" w:rsidRDefault="00FE7F8B">
            <w:pPr>
              <w:pStyle w:val="Tabletextnoindent"/>
              <w:jc w:val="center"/>
            </w:pPr>
            <w:r>
              <w:t>1 January 2018</w:t>
            </w:r>
          </w:p>
        </w:tc>
        <w:tc>
          <w:tcPr>
            <w:tcW w:w="2414" w:type="dxa"/>
            <w:tcBorders>
              <w:top w:val="single" w:sz="4" w:space="0" w:color="auto"/>
              <w:left w:val="nil"/>
              <w:bottom w:val="single" w:sz="4" w:space="0" w:color="auto"/>
              <w:right w:val="nil"/>
            </w:tcBorders>
            <w:hideMark/>
          </w:tcPr>
          <w:p w14:paraId="450DEEF4" w14:textId="77777777" w:rsidR="00FE7F8B" w:rsidRDefault="00FE7F8B">
            <w:pPr>
              <w:pStyle w:val="Tabletextnoindent"/>
              <w:rPr>
                <w:rFonts w:ascii="Times New Roman" w:hAnsi="Times New Roman" w:cs="Times New Roman"/>
                <w:sz w:val="24"/>
                <w:szCs w:val="24"/>
              </w:rPr>
            </w:pPr>
            <w:r>
              <w:t>The assessment has identified that the amendments are likely to result in earlier recognition of impairment losses and at more regular intervals.</w:t>
            </w:r>
          </w:p>
          <w:p w14:paraId="4294E81F" w14:textId="77777777" w:rsidR="00FE7F8B" w:rsidRDefault="00FE7F8B">
            <w:pPr>
              <w:pStyle w:val="Tabletextnoindent"/>
              <w:rPr>
                <w:rFonts w:ascii="Times New Roman" w:hAnsi="Times New Roman" w:cs="Times New Roman"/>
                <w:sz w:val="24"/>
                <w:szCs w:val="24"/>
              </w:rPr>
            </w:pPr>
            <w:r>
              <w:t>Changes in own credit risk in respect of liabilities designated at fair value through profit and loss will now be presented within other comprehensive income (OCI).</w:t>
            </w:r>
          </w:p>
          <w:p w14:paraId="6599D32A" w14:textId="77777777" w:rsidR="00FE7F8B" w:rsidRDefault="00FE7F8B">
            <w:pPr>
              <w:pStyle w:val="Tabletextnoindent"/>
            </w:pPr>
            <w:r>
              <w:t xml:space="preserve">Hedge accounting will be more closely aligned with common risk management practices making it easier to have an effective hedge. </w:t>
            </w:r>
          </w:p>
          <w:p w14:paraId="5946CD4B" w14:textId="77777777" w:rsidR="00FE7F8B" w:rsidRDefault="00FE7F8B">
            <w:pPr>
              <w:pStyle w:val="Tabletextnoindent"/>
            </w:pPr>
            <w:r>
              <w:t>For entities with significant lending activities, an overhaul of related systems and processes may be needed.</w:t>
            </w:r>
          </w:p>
        </w:tc>
      </w:tr>
      <w:tr w:rsidR="00FE7F8B" w14:paraId="327BDB1E" w14:textId="77777777" w:rsidTr="00FE7F8B">
        <w:tc>
          <w:tcPr>
            <w:tcW w:w="1531" w:type="dxa"/>
            <w:tcBorders>
              <w:top w:val="single" w:sz="4" w:space="0" w:color="auto"/>
              <w:left w:val="nil"/>
              <w:bottom w:val="single" w:sz="4" w:space="0" w:color="auto"/>
              <w:right w:val="nil"/>
            </w:tcBorders>
            <w:hideMark/>
          </w:tcPr>
          <w:p w14:paraId="5B26DFC1" w14:textId="77777777" w:rsidR="00FE7F8B" w:rsidRDefault="00FE7F8B">
            <w:pPr>
              <w:pStyle w:val="Tabletext"/>
              <w:rPr>
                <w:b/>
                <w:i/>
              </w:rPr>
            </w:pPr>
            <w:r>
              <w:rPr>
                <w:b/>
              </w:rPr>
              <w:t xml:space="preserve">AASB 2014–1 </w:t>
            </w:r>
            <w:r>
              <w:rPr>
                <w:b/>
                <w:i/>
              </w:rPr>
              <w:t xml:space="preserve">Amendments to Australian Accounting Standards </w:t>
            </w:r>
          </w:p>
          <w:p w14:paraId="7D62C354" w14:textId="77777777" w:rsidR="00FE7F8B" w:rsidRDefault="00FE7F8B">
            <w:pPr>
              <w:pStyle w:val="Tabletext"/>
              <w:rPr>
                <w:b/>
              </w:rPr>
            </w:pPr>
            <w:r>
              <w:rPr>
                <w:b/>
                <w:i/>
              </w:rPr>
              <w:t>[Part E Financial Instruments]</w:t>
            </w:r>
          </w:p>
        </w:tc>
        <w:tc>
          <w:tcPr>
            <w:tcW w:w="2297" w:type="dxa"/>
            <w:tcBorders>
              <w:top w:val="single" w:sz="4" w:space="0" w:color="auto"/>
              <w:left w:val="nil"/>
              <w:bottom w:val="single" w:sz="4" w:space="0" w:color="auto"/>
              <w:right w:val="nil"/>
            </w:tcBorders>
            <w:hideMark/>
          </w:tcPr>
          <w:p w14:paraId="50EC7403" w14:textId="77777777" w:rsidR="00FE7F8B" w:rsidRDefault="00FE7F8B">
            <w:pPr>
              <w:pStyle w:val="Tabletextnoindent"/>
            </w:pPr>
            <w:r>
              <w:t>Amends various AASs to reflect the AASB's decision to defer the mandatory application date of AASB 9 to annual reporting periods beginning on or after 1 January 2018 as a consequence of Chapter 6 Hedge Accounting, and to amend reduced disclosure requirements.</w:t>
            </w:r>
          </w:p>
        </w:tc>
        <w:tc>
          <w:tcPr>
            <w:tcW w:w="1134" w:type="dxa"/>
            <w:tcBorders>
              <w:top w:val="single" w:sz="4" w:space="0" w:color="auto"/>
              <w:left w:val="nil"/>
              <w:bottom w:val="single" w:sz="4" w:space="0" w:color="auto"/>
              <w:right w:val="nil"/>
            </w:tcBorders>
            <w:hideMark/>
          </w:tcPr>
          <w:p w14:paraId="1A2B72BB" w14:textId="77777777" w:rsidR="00FE7F8B" w:rsidRDefault="00FE7F8B">
            <w:pPr>
              <w:pStyle w:val="Tabletextnoindent"/>
              <w:jc w:val="center"/>
            </w:pPr>
            <w:r>
              <w:t>1 January 2018</w:t>
            </w:r>
          </w:p>
        </w:tc>
        <w:tc>
          <w:tcPr>
            <w:tcW w:w="2414" w:type="dxa"/>
            <w:tcBorders>
              <w:top w:val="single" w:sz="4" w:space="0" w:color="auto"/>
              <w:left w:val="nil"/>
              <w:bottom w:val="single" w:sz="4" w:space="0" w:color="auto"/>
              <w:right w:val="nil"/>
            </w:tcBorders>
            <w:hideMark/>
          </w:tcPr>
          <w:p w14:paraId="0FDD2908" w14:textId="29E28853" w:rsidR="00FE7F8B" w:rsidRDefault="00FE7F8B">
            <w:pPr>
              <w:pStyle w:val="Tabletextnoindent"/>
            </w:pPr>
            <w:r>
              <w:t>This amending standard will defer the application period of AASB 9 to the 2018</w:t>
            </w:r>
            <w:r w:rsidR="00241313">
              <w:t>–</w:t>
            </w:r>
            <w:r>
              <w:t>19 reporting period in accordance with the transition requirements.</w:t>
            </w:r>
          </w:p>
        </w:tc>
      </w:tr>
      <w:tr w:rsidR="00FE7F8B" w14:paraId="05D7D8E7" w14:textId="77777777" w:rsidTr="0005782C">
        <w:trPr>
          <w:cantSplit/>
        </w:trPr>
        <w:tc>
          <w:tcPr>
            <w:tcW w:w="1531" w:type="dxa"/>
            <w:tcBorders>
              <w:top w:val="single" w:sz="4" w:space="0" w:color="auto"/>
              <w:left w:val="nil"/>
              <w:bottom w:val="nil"/>
              <w:right w:val="nil"/>
            </w:tcBorders>
            <w:hideMark/>
          </w:tcPr>
          <w:p w14:paraId="5491E51D" w14:textId="77777777" w:rsidR="00FE7F8B" w:rsidRDefault="00FE7F8B">
            <w:pPr>
              <w:pStyle w:val="Tabletext"/>
              <w:rPr>
                <w:b/>
              </w:rPr>
            </w:pPr>
            <w:r>
              <w:rPr>
                <w:b/>
              </w:rPr>
              <w:t xml:space="preserve">AASB 2014–7 </w:t>
            </w:r>
            <w:r>
              <w:rPr>
                <w:b/>
                <w:i/>
              </w:rPr>
              <w:t>Amendments to Australian Accounting Standards arising from AASB 9</w:t>
            </w:r>
          </w:p>
        </w:tc>
        <w:tc>
          <w:tcPr>
            <w:tcW w:w="2297" w:type="dxa"/>
            <w:tcBorders>
              <w:top w:val="single" w:sz="4" w:space="0" w:color="auto"/>
              <w:left w:val="nil"/>
              <w:bottom w:val="nil"/>
              <w:right w:val="nil"/>
            </w:tcBorders>
            <w:hideMark/>
          </w:tcPr>
          <w:p w14:paraId="7C0F73DB" w14:textId="77777777" w:rsidR="00FE7F8B" w:rsidRDefault="00FE7F8B">
            <w:pPr>
              <w:pStyle w:val="Tabletextnoindent"/>
            </w:pPr>
            <w:r>
              <w:t>Amends various AASs to incorporate the consequential amendments arising from the issuance of AASB 9.</w:t>
            </w:r>
          </w:p>
        </w:tc>
        <w:tc>
          <w:tcPr>
            <w:tcW w:w="1134" w:type="dxa"/>
            <w:tcBorders>
              <w:top w:val="single" w:sz="4" w:space="0" w:color="auto"/>
              <w:left w:val="nil"/>
              <w:bottom w:val="nil"/>
              <w:right w:val="nil"/>
            </w:tcBorders>
            <w:hideMark/>
          </w:tcPr>
          <w:p w14:paraId="77DC8F18" w14:textId="77777777" w:rsidR="00FE7F8B" w:rsidRDefault="00FE7F8B">
            <w:pPr>
              <w:pStyle w:val="Tabletextnoindent"/>
              <w:jc w:val="center"/>
            </w:pPr>
            <w:r>
              <w:t>1 January 2018</w:t>
            </w:r>
          </w:p>
        </w:tc>
        <w:tc>
          <w:tcPr>
            <w:tcW w:w="2414" w:type="dxa"/>
            <w:tcBorders>
              <w:top w:val="single" w:sz="4" w:space="0" w:color="auto"/>
              <w:left w:val="nil"/>
              <w:bottom w:val="nil"/>
              <w:right w:val="nil"/>
            </w:tcBorders>
            <w:hideMark/>
          </w:tcPr>
          <w:p w14:paraId="636A7358" w14:textId="77777777" w:rsidR="00FE7F8B" w:rsidRDefault="00FE7F8B">
            <w:pPr>
              <w:pStyle w:val="Tabletextnoindent"/>
            </w:pPr>
            <w:r>
              <w:t>The assessment has indicated that there will be no significant impact for the public sector.</w:t>
            </w:r>
          </w:p>
        </w:tc>
      </w:tr>
      <w:tr w:rsidR="00FE7F8B" w14:paraId="4A568289" w14:textId="77777777" w:rsidTr="0005782C">
        <w:trPr>
          <w:cantSplit/>
        </w:trPr>
        <w:tc>
          <w:tcPr>
            <w:tcW w:w="1531" w:type="dxa"/>
            <w:tcBorders>
              <w:top w:val="nil"/>
              <w:left w:val="nil"/>
              <w:bottom w:val="single" w:sz="4" w:space="0" w:color="auto"/>
              <w:right w:val="nil"/>
            </w:tcBorders>
            <w:hideMark/>
          </w:tcPr>
          <w:p w14:paraId="44A8D8E7" w14:textId="6055E81C" w:rsidR="00FE7F8B" w:rsidRDefault="00FE7F8B">
            <w:pPr>
              <w:pStyle w:val="Tabletext"/>
              <w:rPr>
                <w:b/>
              </w:rPr>
            </w:pPr>
            <w:r w:rsidRPr="00D22909">
              <w:rPr>
                <w:b/>
              </w:rPr>
              <w:t xml:space="preserve">AASB 14 </w:t>
            </w:r>
            <w:r w:rsidRPr="00D22909">
              <w:rPr>
                <w:b/>
                <w:i/>
              </w:rPr>
              <w:t xml:space="preserve">Regulatory Deferral Accounts </w:t>
            </w:r>
            <w:r w:rsidR="0005782C" w:rsidRPr="00D22909">
              <w:rPr>
                <w:b/>
                <w:vertAlign w:val="superscript"/>
              </w:rPr>
              <w:t>1</w:t>
            </w:r>
            <w:r w:rsidR="00BD47E9">
              <w:rPr>
                <w:rStyle w:val="FootnoteReference"/>
                <w:b/>
              </w:rPr>
              <w:footnoteReference w:id="4"/>
            </w:r>
          </w:p>
        </w:tc>
        <w:tc>
          <w:tcPr>
            <w:tcW w:w="2297" w:type="dxa"/>
            <w:tcBorders>
              <w:top w:val="nil"/>
              <w:left w:val="nil"/>
              <w:bottom w:val="single" w:sz="4" w:space="0" w:color="auto"/>
              <w:right w:val="nil"/>
            </w:tcBorders>
            <w:hideMark/>
          </w:tcPr>
          <w:p w14:paraId="1C95FE98" w14:textId="77777777" w:rsidR="00FE7F8B" w:rsidRDefault="00FE7F8B">
            <w:pPr>
              <w:pStyle w:val="Tabletextnoindent"/>
            </w:pPr>
            <w:r>
              <w:t>AASB 14 permits first-time adopters of Australian Accounting Standards who conduct rate-regulated activities to continue to account for amounts related to rate regulation in accordance with their previous GAAP.</w:t>
            </w:r>
          </w:p>
        </w:tc>
        <w:tc>
          <w:tcPr>
            <w:tcW w:w="1134" w:type="dxa"/>
            <w:tcBorders>
              <w:top w:val="nil"/>
              <w:left w:val="nil"/>
              <w:bottom w:val="single" w:sz="4" w:space="0" w:color="auto"/>
              <w:right w:val="nil"/>
            </w:tcBorders>
            <w:hideMark/>
          </w:tcPr>
          <w:p w14:paraId="4154DD8B" w14:textId="77777777" w:rsidR="00FE7F8B" w:rsidRDefault="00FE7F8B">
            <w:pPr>
              <w:pStyle w:val="Tabletextnoindent"/>
              <w:jc w:val="center"/>
            </w:pPr>
            <w:r>
              <w:t>1 January 2016</w:t>
            </w:r>
          </w:p>
        </w:tc>
        <w:tc>
          <w:tcPr>
            <w:tcW w:w="2414" w:type="dxa"/>
            <w:tcBorders>
              <w:top w:val="nil"/>
              <w:left w:val="nil"/>
              <w:bottom w:val="single" w:sz="4" w:space="0" w:color="auto"/>
              <w:right w:val="nil"/>
            </w:tcBorders>
            <w:hideMark/>
          </w:tcPr>
          <w:p w14:paraId="6FC3EC8B" w14:textId="77777777" w:rsidR="00FE7F8B" w:rsidRDefault="00FE7F8B">
            <w:pPr>
              <w:pStyle w:val="Tabletextnoindent"/>
            </w:pPr>
            <w:r>
              <w:t>The assessment has indicated that there is no expected impact, as those that conduct rate-regulated activities have already adopted Australian Accounting Standards.</w:t>
            </w:r>
          </w:p>
        </w:tc>
      </w:tr>
      <w:tr w:rsidR="00FE7F8B" w14:paraId="23998153" w14:textId="77777777" w:rsidTr="00FE7F8B">
        <w:tc>
          <w:tcPr>
            <w:tcW w:w="1531" w:type="dxa"/>
            <w:tcBorders>
              <w:top w:val="single" w:sz="4" w:space="0" w:color="auto"/>
              <w:left w:val="nil"/>
              <w:bottom w:val="single" w:sz="4" w:space="0" w:color="auto"/>
              <w:right w:val="nil"/>
            </w:tcBorders>
            <w:hideMark/>
          </w:tcPr>
          <w:p w14:paraId="73DAAD4A" w14:textId="77777777" w:rsidR="00FE7F8B" w:rsidRDefault="00FE7F8B">
            <w:pPr>
              <w:pStyle w:val="Tabletext"/>
              <w:rPr>
                <w:b/>
              </w:rPr>
            </w:pPr>
            <w:r>
              <w:rPr>
                <w:b/>
              </w:rPr>
              <w:t xml:space="preserve">AASB 15 </w:t>
            </w:r>
            <w:r>
              <w:rPr>
                <w:b/>
                <w:i/>
              </w:rPr>
              <w:t>Revenue from Contracts with Customers</w:t>
            </w:r>
          </w:p>
        </w:tc>
        <w:tc>
          <w:tcPr>
            <w:tcW w:w="2297" w:type="dxa"/>
            <w:tcBorders>
              <w:top w:val="single" w:sz="4" w:space="0" w:color="auto"/>
              <w:left w:val="nil"/>
              <w:bottom w:val="single" w:sz="4" w:space="0" w:color="auto"/>
              <w:right w:val="nil"/>
            </w:tcBorders>
          </w:tcPr>
          <w:p w14:paraId="2736E2D3" w14:textId="77777777" w:rsidR="00FE7F8B" w:rsidRDefault="00FE7F8B">
            <w:pPr>
              <w:pStyle w:val="Tabletextnoindent"/>
              <w:rPr>
                <w:rFonts w:ascii="Times New Roman" w:hAnsi="Times New Roman" w:cs="Times New Roman"/>
                <w:sz w:val="24"/>
                <w:szCs w:val="24"/>
              </w:rPr>
            </w:pPr>
            <w:r>
              <w:t>The core principle of AASB 15 requires an entity to recognise revenue when the entity satisfies a performance obligation by transferring a promised good or service to a customer.</w:t>
            </w:r>
          </w:p>
          <w:p w14:paraId="7FA884B3" w14:textId="77777777" w:rsidR="00FE7F8B" w:rsidRDefault="00FE7F8B">
            <w:pPr>
              <w:pStyle w:val="Tabletextnoindent"/>
            </w:pPr>
          </w:p>
        </w:tc>
        <w:tc>
          <w:tcPr>
            <w:tcW w:w="1134" w:type="dxa"/>
            <w:tcBorders>
              <w:top w:val="single" w:sz="4" w:space="0" w:color="auto"/>
              <w:left w:val="nil"/>
              <w:bottom w:val="single" w:sz="4" w:space="0" w:color="auto"/>
              <w:right w:val="nil"/>
            </w:tcBorders>
            <w:hideMark/>
          </w:tcPr>
          <w:p w14:paraId="7EF7D53D" w14:textId="77777777" w:rsidR="00FE7F8B" w:rsidRDefault="00FE7F8B">
            <w:pPr>
              <w:pStyle w:val="Tabletextnoindent"/>
              <w:jc w:val="center"/>
            </w:pPr>
            <w:r>
              <w:t>1 January 2018</w:t>
            </w:r>
          </w:p>
        </w:tc>
        <w:tc>
          <w:tcPr>
            <w:tcW w:w="2414" w:type="dxa"/>
            <w:tcBorders>
              <w:top w:val="single" w:sz="4" w:space="0" w:color="auto"/>
              <w:left w:val="nil"/>
              <w:bottom w:val="single" w:sz="4" w:space="0" w:color="auto"/>
              <w:right w:val="nil"/>
            </w:tcBorders>
            <w:hideMark/>
          </w:tcPr>
          <w:p w14:paraId="04BC7C13" w14:textId="77777777" w:rsidR="00FE7F8B" w:rsidRDefault="00FE7F8B">
            <w:pPr>
              <w:pStyle w:val="Tabletextnoindent"/>
            </w:pPr>
            <w:r>
              <w:t>The changes in revenue recognition requirements in AASB 15 may result in changes to the timing and amount of revenue recorded in the financial statements. The Standard will also require additional disclosures on service revenue and contract modifications.</w:t>
            </w:r>
          </w:p>
          <w:p w14:paraId="4DF0A291" w14:textId="77777777" w:rsidR="00FE7F8B" w:rsidRDefault="00FE7F8B">
            <w:pPr>
              <w:pStyle w:val="Tabletextnoindent"/>
            </w:pPr>
            <w:r>
              <w:t>A potential impact will be the upfront recognition of revenue from licences that cover multiple reporting periods. Revenue that was deferred and amortised over a period may now need to be recognised immediately as a transitional adjustment against the opening retained earnings if there are no former performance obligations outstanding.</w:t>
            </w:r>
          </w:p>
        </w:tc>
      </w:tr>
      <w:tr w:rsidR="00FE7F8B" w14:paraId="04312F86" w14:textId="77777777" w:rsidTr="00FE7F8B">
        <w:tc>
          <w:tcPr>
            <w:tcW w:w="1531" w:type="dxa"/>
            <w:tcBorders>
              <w:top w:val="single" w:sz="4" w:space="0" w:color="auto"/>
              <w:left w:val="nil"/>
              <w:bottom w:val="single" w:sz="4" w:space="0" w:color="auto"/>
              <w:right w:val="nil"/>
            </w:tcBorders>
            <w:hideMark/>
          </w:tcPr>
          <w:p w14:paraId="53030F2A" w14:textId="77777777" w:rsidR="00FE7F8B" w:rsidRDefault="00FE7F8B">
            <w:pPr>
              <w:pStyle w:val="Tabletext"/>
              <w:rPr>
                <w:b/>
              </w:rPr>
            </w:pPr>
            <w:r>
              <w:rPr>
                <w:b/>
              </w:rPr>
              <w:t xml:space="preserve">AASB 2014–5 </w:t>
            </w:r>
            <w:r>
              <w:rPr>
                <w:b/>
                <w:i/>
              </w:rPr>
              <w:t>Amendments to Australian Accounting Standards arising from AASB 15</w:t>
            </w:r>
          </w:p>
        </w:tc>
        <w:tc>
          <w:tcPr>
            <w:tcW w:w="2297" w:type="dxa"/>
            <w:tcBorders>
              <w:top w:val="single" w:sz="4" w:space="0" w:color="auto"/>
              <w:left w:val="nil"/>
              <w:bottom w:val="single" w:sz="4" w:space="0" w:color="auto"/>
              <w:right w:val="nil"/>
            </w:tcBorders>
            <w:hideMark/>
          </w:tcPr>
          <w:p w14:paraId="37699912" w14:textId="77777777" w:rsidR="00FE7F8B" w:rsidRDefault="00FE7F8B">
            <w:pPr>
              <w:pStyle w:val="Tabletextnoindent"/>
              <w:rPr>
                <w:rFonts w:ascii="Times New Roman" w:hAnsi="Times New Roman" w:cs="Times New Roman"/>
                <w:sz w:val="24"/>
                <w:szCs w:val="24"/>
              </w:rPr>
            </w:pPr>
            <w:r>
              <w:t>Amends the measurement of trade receivables and the recognition of dividends.</w:t>
            </w:r>
          </w:p>
          <w:p w14:paraId="69222712" w14:textId="77777777" w:rsidR="00FE7F8B" w:rsidRDefault="00FE7F8B">
            <w:pPr>
              <w:pStyle w:val="Tabletextnoindent"/>
              <w:rPr>
                <w:rFonts w:ascii="Times New Roman" w:hAnsi="Times New Roman" w:cs="Times New Roman"/>
                <w:sz w:val="24"/>
                <w:szCs w:val="24"/>
              </w:rPr>
            </w:pPr>
            <w:r>
              <w:t>Trade receivables that do not have a significant financing component, are to be measured at their transaction price, at initial recognition.</w:t>
            </w:r>
          </w:p>
          <w:p w14:paraId="5E41CE14" w14:textId="77777777" w:rsidR="00FE7F8B" w:rsidRDefault="00FE7F8B">
            <w:pPr>
              <w:pStyle w:val="Tabletextnoindent"/>
              <w:rPr>
                <w:rFonts w:ascii="Times New Roman" w:hAnsi="Times New Roman" w:cs="Times New Roman"/>
                <w:sz w:val="24"/>
                <w:szCs w:val="24"/>
              </w:rPr>
            </w:pPr>
            <w:r>
              <w:t>Dividends are recognised in the profit and loss only when:</w:t>
            </w:r>
          </w:p>
          <w:p w14:paraId="1D8BCEBA" w14:textId="77777777" w:rsidR="00FE7F8B" w:rsidRDefault="00FE7F8B" w:rsidP="00AD641C">
            <w:pPr>
              <w:pStyle w:val="Tablebullet"/>
              <w:numPr>
                <w:ilvl w:val="0"/>
                <w:numId w:val="41"/>
              </w:numPr>
              <w:ind w:left="113" w:hanging="113"/>
              <w:rPr>
                <w:lang w:eastAsia="en-US"/>
              </w:rPr>
            </w:pPr>
            <w:r>
              <w:rPr>
                <w:lang w:eastAsia="en-US"/>
              </w:rPr>
              <w:t>the entity’s right to receive payment of the dividend is established</w:t>
            </w:r>
          </w:p>
          <w:p w14:paraId="178679E8" w14:textId="77777777" w:rsidR="00FE7F8B" w:rsidRDefault="00FE7F8B" w:rsidP="00AD641C">
            <w:pPr>
              <w:pStyle w:val="Tablebullet"/>
              <w:numPr>
                <w:ilvl w:val="0"/>
                <w:numId w:val="41"/>
              </w:numPr>
              <w:ind w:left="113" w:hanging="113"/>
              <w:rPr>
                <w:lang w:eastAsia="en-US"/>
              </w:rPr>
            </w:pPr>
            <w:r>
              <w:rPr>
                <w:lang w:eastAsia="en-US"/>
              </w:rPr>
              <w:t>it is probable that the economic benefits associated with the dividend will flow to the entity; and</w:t>
            </w:r>
          </w:p>
          <w:p w14:paraId="1CFF85EF" w14:textId="77777777" w:rsidR="00FE7F8B" w:rsidRDefault="00FE7F8B" w:rsidP="00AD641C">
            <w:pPr>
              <w:pStyle w:val="Tablebullet"/>
              <w:numPr>
                <w:ilvl w:val="0"/>
                <w:numId w:val="41"/>
              </w:numPr>
              <w:ind w:left="113" w:hanging="113"/>
              <w:rPr>
                <w:lang w:eastAsia="en-US"/>
              </w:rPr>
            </w:pPr>
            <w:proofErr w:type="gramStart"/>
            <w:r>
              <w:rPr>
                <w:lang w:eastAsia="en-US"/>
              </w:rPr>
              <w:t>the</w:t>
            </w:r>
            <w:proofErr w:type="gramEnd"/>
            <w:r>
              <w:rPr>
                <w:lang w:eastAsia="en-US"/>
              </w:rPr>
              <w:t xml:space="preserve"> amount can be measured reliably.</w:t>
            </w:r>
          </w:p>
        </w:tc>
        <w:tc>
          <w:tcPr>
            <w:tcW w:w="1134" w:type="dxa"/>
            <w:tcBorders>
              <w:top w:val="single" w:sz="4" w:space="0" w:color="auto"/>
              <w:left w:val="nil"/>
              <w:bottom w:val="single" w:sz="4" w:space="0" w:color="auto"/>
              <w:right w:val="nil"/>
            </w:tcBorders>
            <w:hideMark/>
          </w:tcPr>
          <w:p w14:paraId="11C1F4B3" w14:textId="77777777" w:rsidR="00FE7F8B" w:rsidRDefault="00FE7F8B">
            <w:pPr>
              <w:pStyle w:val="Tabletextnoindent"/>
              <w:jc w:val="center"/>
            </w:pPr>
            <w:r>
              <w:t>1 January 2017, except amendments to AASB 9 (December 2009) and AASB 9 (December 2010) apply from 1 January 2018.</w:t>
            </w:r>
          </w:p>
        </w:tc>
        <w:tc>
          <w:tcPr>
            <w:tcW w:w="2414" w:type="dxa"/>
            <w:tcBorders>
              <w:top w:val="single" w:sz="4" w:space="0" w:color="auto"/>
              <w:left w:val="nil"/>
              <w:bottom w:val="single" w:sz="4" w:space="0" w:color="auto"/>
              <w:right w:val="nil"/>
            </w:tcBorders>
            <w:hideMark/>
          </w:tcPr>
          <w:p w14:paraId="58D52675" w14:textId="77777777" w:rsidR="00FE7F8B" w:rsidRDefault="00FE7F8B">
            <w:pPr>
              <w:pStyle w:val="Tabletextnoindent"/>
            </w:pPr>
            <w:r>
              <w:t>The assessment has indicated that there will be no significant impact for the public sector.</w:t>
            </w:r>
          </w:p>
        </w:tc>
      </w:tr>
      <w:tr w:rsidR="00FE7F8B" w14:paraId="52612A27" w14:textId="77777777" w:rsidTr="0005782C">
        <w:trPr>
          <w:cantSplit/>
        </w:trPr>
        <w:tc>
          <w:tcPr>
            <w:tcW w:w="1531" w:type="dxa"/>
            <w:tcBorders>
              <w:top w:val="single" w:sz="4" w:space="0" w:color="auto"/>
              <w:left w:val="nil"/>
              <w:bottom w:val="nil"/>
              <w:right w:val="nil"/>
            </w:tcBorders>
            <w:hideMark/>
          </w:tcPr>
          <w:p w14:paraId="6DF8D310" w14:textId="77777777" w:rsidR="00FE7F8B" w:rsidRDefault="00FE7F8B">
            <w:pPr>
              <w:pStyle w:val="Tabletext"/>
              <w:rPr>
                <w:b/>
              </w:rPr>
            </w:pPr>
            <w:r>
              <w:rPr>
                <w:b/>
              </w:rPr>
              <w:t xml:space="preserve">AASB 2015–8 </w:t>
            </w:r>
            <w:r>
              <w:rPr>
                <w:b/>
                <w:i/>
              </w:rPr>
              <w:t>Amendments to Australian Accounting Standards—Effective Date of AASB 15</w:t>
            </w:r>
          </w:p>
        </w:tc>
        <w:tc>
          <w:tcPr>
            <w:tcW w:w="2297" w:type="dxa"/>
            <w:tcBorders>
              <w:top w:val="single" w:sz="4" w:space="0" w:color="auto"/>
              <w:left w:val="nil"/>
              <w:bottom w:val="nil"/>
              <w:right w:val="nil"/>
            </w:tcBorders>
            <w:hideMark/>
          </w:tcPr>
          <w:p w14:paraId="7DC5ED2B" w14:textId="77777777" w:rsidR="00FE7F8B" w:rsidRDefault="00FE7F8B">
            <w:pPr>
              <w:pStyle w:val="Tabletextnoindent"/>
            </w:pPr>
            <w:r>
              <w:t>This Standard defers the mandatory effective date of AASB 15 from 1 January 2017 to 1 January 2018.</w:t>
            </w:r>
          </w:p>
        </w:tc>
        <w:tc>
          <w:tcPr>
            <w:tcW w:w="1134" w:type="dxa"/>
            <w:tcBorders>
              <w:top w:val="single" w:sz="4" w:space="0" w:color="auto"/>
              <w:left w:val="nil"/>
              <w:bottom w:val="nil"/>
              <w:right w:val="nil"/>
            </w:tcBorders>
            <w:hideMark/>
          </w:tcPr>
          <w:p w14:paraId="2D287B3D" w14:textId="77777777" w:rsidR="00FE7F8B" w:rsidRDefault="00FE7F8B">
            <w:pPr>
              <w:pStyle w:val="Tabletextnoindent"/>
              <w:jc w:val="center"/>
            </w:pPr>
            <w:r>
              <w:t>1 January 2018</w:t>
            </w:r>
          </w:p>
        </w:tc>
        <w:tc>
          <w:tcPr>
            <w:tcW w:w="2414" w:type="dxa"/>
            <w:tcBorders>
              <w:top w:val="single" w:sz="4" w:space="0" w:color="auto"/>
              <w:left w:val="nil"/>
              <w:bottom w:val="nil"/>
              <w:right w:val="nil"/>
            </w:tcBorders>
            <w:hideMark/>
          </w:tcPr>
          <w:p w14:paraId="050CAD4E" w14:textId="77777777" w:rsidR="00FE7F8B" w:rsidRDefault="00FE7F8B">
            <w:pPr>
              <w:pStyle w:val="Tabletextnoindent"/>
            </w:pPr>
            <w:r>
              <w:t>This amending standard will defer the application period of AASB 15 to the 2018–19 reporting period in accordance with the transition requirements.</w:t>
            </w:r>
          </w:p>
        </w:tc>
      </w:tr>
      <w:tr w:rsidR="00FE7F8B" w14:paraId="7116D6F2" w14:textId="77777777" w:rsidTr="0005782C">
        <w:trPr>
          <w:cantSplit/>
        </w:trPr>
        <w:tc>
          <w:tcPr>
            <w:tcW w:w="1531" w:type="dxa"/>
            <w:tcBorders>
              <w:top w:val="nil"/>
              <w:left w:val="nil"/>
              <w:bottom w:val="single" w:sz="4" w:space="0" w:color="auto"/>
              <w:right w:val="nil"/>
            </w:tcBorders>
            <w:hideMark/>
          </w:tcPr>
          <w:p w14:paraId="749B096F" w14:textId="77777777" w:rsidR="00FE7F8B" w:rsidRDefault="00FE7F8B">
            <w:pPr>
              <w:pStyle w:val="Tabletext"/>
              <w:rPr>
                <w:b/>
              </w:rPr>
            </w:pPr>
            <w:r>
              <w:rPr>
                <w:b/>
              </w:rPr>
              <w:t xml:space="preserve">AASB 2016–3 </w:t>
            </w:r>
            <w:r>
              <w:rPr>
                <w:b/>
                <w:i/>
              </w:rPr>
              <w:t>Amendments to Australian Accounting Standards—Clarifications to AASB 15</w:t>
            </w:r>
          </w:p>
        </w:tc>
        <w:tc>
          <w:tcPr>
            <w:tcW w:w="2297" w:type="dxa"/>
            <w:tcBorders>
              <w:top w:val="nil"/>
              <w:left w:val="nil"/>
              <w:bottom w:val="single" w:sz="4" w:space="0" w:color="auto"/>
              <w:right w:val="nil"/>
            </w:tcBorders>
            <w:hideMark/>
          </w:tcPr>
          <w:p w14:paraId="7AC5DD68" w14:textId="77777777" w:rsidR="00FE7F8B" w:rsidRDefault="00FE7F8B">
            <w:pPr>
              <w:pStyle w:val="Tabletextnoindent"/>
            </w:pPr>
            <w:r>
              <w:t xml:space="preserve">This Standard amends AASB 15 to clarify the requirements on identifying performance obligations, principal versus agent considerations and the timing of recognising revenue from granting a licence. The amendments require: </w:t>
            </w:r>
          </w:p>
          <w:p w14:paraId="13CBE92D" w14:textId="77777777" w:rsidR="00FE7F8B" w:rsidRDefault="00FE7F8B" w:rsidP="00AD641C">
            <w:pPr>
              <w:pStyle w:val="Tablebullet"/>
              <w:numPr>
                <w:ilvl w:val="0"/>
                <w:numId w:val="41"/>
              </w:numPr>
              <w:ind w:left="113" w:hanging="113"/>
              <w:rPr>
                <w:lang w:eastAsia="en-US"/>
              </w:rPr>
            </w:pPr>
            <w:r>
              <w:rPr>
                <w:lang w:eastAsia="en-US"/>
              </w:rPr>
              <w:t>A promise to transfer to a customer a good or service that is ‘distinct’ to be recognised as a separate performance obligation</w:t>
            </w:r>
          </w:p>
          <w:p w14:paraId="10BD29B5" w14:textId="77777777" w:rsidR="00FE7F8B" w:rsidRDefault="00FE7F8B" w:rsidP="00AD641C">
            <w:pPr>
              <w:pStyle w:val="Tablebullet"/>
              <w:numPr>
                <w:ilvl w:val="0"/>
                <w:numId w:val="41"/>
              </w:numPr>
              <w:ind w:left="113" w:hanging="113"/>
              <w:rPr>
                <w:lang w:eastAsia="en-US"/>
              </w:rPr>
            </w:pPr>
            <w:r>
              <w:rPr>
                <w:lang w:eastAsia="en-US"/>
              </w:rPr>
              <w:t>for items purchased online, the entity is a principal if it obtains control of the good or service prior to transferring to the customer; and</w:t>
            </w:r>
          </w:p>
          <w:p w14:paraId="43F5CDBC" w14:textId="77777777" w:rsidR="00FE7F8B" w:rsidRDefault="00FE7F8B" w:rsidP="00AD641C">
            <w:pPr>
              <w:pStyle w:val="Tablebullet"/>
              <w:numPr>
                <w:ilvl w:val="0"/>
                <w:numId w:val="41"/>
              </w:numPr>
              <w:ind w:left="113" w:hanging="113"/>
              <w:rPr>
                <w:lang w:eastAsia="en-US"/>
              </w:rPr>
            </w:pPr>
            <w:proofErr w:type="gramStart"/>
            <w:r>
              <w:rPr>
                <w:lang w:eastAsia="en-US"/>
              </w:rPr>
              <w:t>for</w:t>
            </w:r>
            <w:proofErr w:type="gramEnd"/>
            <w:r>
              <w:rPr>
                <w:lang w:eastAsia="en-US"/>
              </w:rPr>
              <w:t xml:space="preserve"> licences identified as being distinct from other goods or services in a contract, entities need to determine whether the licence transfers to the customer over time (right to use) or at a point in time (right to access).</w:t>
            </w:r>
          </w:p>
        </w:tc>
        <w:tc>
          <w:tcPr>
            <w:tcW w:w="1134" w:type="dxa"/>
            <w:tcBorders>
              <w:top w:val="nil"/>
              <w:left w:val="nil"/>
              <w:bottom w:val="single" w:sz="4" w:space="0" w:color="auto"/>
              <w:right w:val="nil"/>
            </w:tcBorders>
            <w:hideMark/>
          </w:tcPr>
          <w:p w14:paraId="47E27BFD" w14:textId="77777777" w:rsidR="00FE7F8B" w:rsidRDefault="00FE7F8B">
            <w:pPr>
              <w:pStyle w:val="Tabletextnoindent"/>
              <w:jc w:val="center"/>
            </w:pPr>
            <w:r>
              <w:t>1 January 2018</w:t>
            </w:r>
          </w:p>
        </w:tc>
        <w:tc>
          <w:tcPr>
            <w:tcW w:w="2414" w:type="dxa"/>
            <w:tcBorders>
              <w:top w:val="nil"/>
              <w:left w:val="nil"/>
              <w:bottom w:val="single" w:sz="4" w:space="0" w:color="auto"/>
              <w:right w:val="nil"/>
            </w:tcBorders>
            <w:hideMark/>
          </w:tcPr>
          <w:p w14:paraId="56BB78D1" w14:textId="77777777" w:rsidR="00FE7F8B" w:rsidRDefault="00FE7F8B">
            <w:pPr>
              <w:pStyle w:val="Tabletextnoindent"/>
            </w:pPr>
            <w:r>
              <w:t>The assessment has indicated that there will be no significant impact for the public sector, other than the impact identified in AASB 15.</w:t>
            </w:r>
          </w:p>
        </w:tc>
      </w:tr>
      <w:tr w:rsidR="00FE7F8B" w14:paraId="60BC8F3E" w14:textId="77777777" w:rsidTr="0005782C">
        <w:tc>
          <w:tcPr>
            <w:tcW w:w="1531" w:type="dxa"/>
            <w:tcBorders>
              <w:top w:val="single" w:sz="4" w:space="0" w:color="auto"/>
              <w:left w:val="nil"/>
              <w:bottom w:val="nil"/>
              <w:right w:val="nil"/>
            </w:tcBorders>
            <w:hideMark/>
          </w:tcPr>
          <w:p w14:paraId="1440E6C5" w14:textId="77777777" w:rsidR="00FE7F8B" w:rsidRDefault="00FE7F8B">
            <w:pPr>
              <w:pStyle w:val="Tabletext"/>
              <w:rPr>
                <w:b/>
              </w:rPr>
            </w:pPr>
            <w:r>
              <w:rPr>
                <w:b/>
              </w:rPr>
              <w:t xml:space="preserve">AASB 16 </w:t>
            </w:r>
            <w:r>
              <w:rPr>
                <w:b/>
                <w:i/>
              </w:rPr>
              <w:t>Leases</w:t>
            </w:r>
          </w:p>
        </w:tc>
        <w:tc>
          <w:tcPr>
            <w:tcW w:w="2297" w:type="dxa"/>
            <w:tcBorders>
              <w:top w:val="single" w:sz="4" w:space="0" w:color="auto"/>
              <w:left w:val="nil"/>
              <w:bottom w:val="nil"/>
              <w:right w:val="nil"/>
            </w:tcBorders>
            <w:hideMark/>
          </w:tcPr>
          <w:p w14:paraId="18E1D9ED" w14:textId="77777777" w:rsidR="00FE7F8B" w:rsidRDefault="00FE7F8B">
            <w:pPr>
              <w:pStyle w:val="Tabletextnoindent"/>
            </w:pPr>
            <w:r>
              <w:t>The key changes introduced by AASB 16 include the recognition of most operating leases (which are currently not recognised) on balance sheet.</w:t>
            </w:r>
          </w:p>
        </w:tc>
        <w:tc>
          <w:tcPr>
            <w:tcW w:w="1134" w:type="dxa"/>
            <w:tcBorders>
              <w:top w:val="single" w:sz="4" w:space="0" w:color="auto"/>
              <w:left w:val="nil"/>
              <w:bottom w:val="nil"/>
              <w:right w:val="nil"/>
            </w:tcBorders>
            <w:hideMark/>
          </w:tcPr>
          <w:p w14:paraId="2B722214" w14:textId="77777777" w:rsidR="00FE7F8B" w:rsidRDefault="00FE7F8B">
            <w:pPr>
              <w:pStyle w:val="Tabletextnoindent"/>
              <w:jc w:val="center"/>
            </w:pPr>
            <w:r>
              <w:t>1 January 2019</w:t>
            </w:r>
          </w:p>
        </w:tc>
        <w:tc>
          <w:tcPr>
            <w:tcW w:w="2414" w:type="dxa"/>
            <w:tcBorders>
              <w:top w:val="single" w:sz="4" w:space="0" w:color="auto"/>
              <w:left w:val="nil"/>
              <w:bottom w:val="nil"/>
              <w:right w:val="nil"/>
            </w:tcBorders>
            <w:hideMark/>
          </w:tcPr>
          <w:p w14:paraId="54922FF5" w14:textId="01440AC4" w:rsidR="00FE7F8B" w:rsidRDefault="00FE7F8B">
            <w:pPr>
              <w:pStyle w:val="Tabletextnoindent"/>
              <w:rPr>
                <w:rFonts w:ascii="Times New Roman" w:hAnsi="Times New Roman" w:cs="Times New Roman"/>
                <w:sz w:val="24"/>
                <w:szCs w:val="24"/>
              </w:rPr>
            </w:pPr>
            <w:r>
              <w:t>The assessment has indicated that as most operating leases will be recognised on the balance sheet</w:t>
            </w:r>
            <w:r w:rsidR="00BD47E9">
              <w:t>.</w:t>
            </w:r>
            <w:r>
              <w:t xml:space="preserve"> </w:t>
            </w:r>
          </w:p>
          <w:p w14:paraId="0746A9EA" w14:textId="77777777" w:rsidR="00FE7F8B" w:rsidRDefault="00FE7F8B">
            <w:pPr>
              <w:pStyle w:val="Tabletextnoindent"/>
              <w:rPr>
                <w:rFonts w:ascii="Times New Roman" w:hAnsi="Times New Roman" w:cs="Times New Roman"/>
                <w:sz w:val="24"/>
                <w:szCs w:val="24"/>
              </w:rPr>
            </w:pPr>
            <w:r>
              <w:t>Depreciation of lease assets and interest on lease liabilities will be recognised in the income statement with marginal impact on the operating surplus.</w:t>
            </w:r>
          </w:p>
          <w:p w14:paraId="3CF13CAA" w14:textId="77777777" w:rsidR="00FE7F8B" w:rsidRDefault="00FE7F8B">
            <w:pPr>
              <w:pStyle w:val="Tabletextnoindent"/>
            </w:pPr>
            <w:r>
              <w:t xml:space="preserve">The amounts of cash paid for the principal portion of the lease liability will be presented within financing activities and the amounts paid for the interest portion will be presented within operating activities in the cash flow statement. </w:t>
            </w:r>
          </w:p>
          <w:p w14:paraId="0DB12A9D" w14:textId="77777777" w:rsidR="00FE7F8B" w:rsidRDefault="00FE7F8B">
            <w:pPr>
              <w:pStyle w:val="Tabletextnoindent"/>
            </w:pPr>
            <w:r>
              <w:t>No change for lessors.</w:t>
            </w:r>
          </w:p>
        </w:tc>
      </w:tr>
      <w:tr w:rsidR="00FE7F8B" w14:paraId="6BE830E5" w14:textId="77777777" w:rsidTr="0005782C">
        <w:trPr>
          <w:cantSplit/>
        </w:trPr>
        <w:tc>
          <w:tcPr>
            <w:tcW w:w="1531" w:type="dxa"/>
            <w:tcBorders>
              <w:top w:val="nil"/>
              <w:left w:val="nil"/>
              <w:bottom w:val="single" w:sz="4" w:space="0" w:color="auto"/>
              <w:right w:val="nil"/>
            </w:tcBorders>
            <w:hideMark/>
          </w:tcPr>
          <w:p w14:paraId="3CD01EEE" w14:textId="77777777" w:rsidR="00FE7F8B" w:rsidRDefault="00FE7F8B">
            <w:pPr>
              <w:pStyle w:val="Tabletext"/>
              <w:rPr>
                <w:b/>
              </w:rPr>
            </w:pPr>
            <w:r>
              <w:rPr>
                <w:b/>
              </w:rPr>
              <w:t xml:space="preserve">AASB 2014–4 </w:t>
            </w:r>
            <w:r>
              <w:rPr>
                <w:b/>
                <w:i/>
              </w:rPr>
              <w:t xml:space="preserve">Amendments to Australian Accounting Standards—Clarification of Acceptable Methods of Depreciation and Amortisation </w:t>
            </w:r>
            <w:r>
              <w:rPr>
                <w:b/>
              </w:rPr>
              <w:t>[AASB 116 &amp; AASB 138]</w:t>
            </w:r>
          </w:p>
        </w:tc>
        <w:tc>
          <w:tcPr>
            <w:tcW w:w="2297" w:type="dxa"/>
            <w:tcBorders>
              <w:top w:val="nil"/>
              <w:left w:val="nil"/>
              <w:bottom w:val="single" w:sz="4" w:space="0" w:color="auto"/>
              <w:right w:val="nil"/>
            </w:tcBorders>
            <w:hideMark/>
          </w:tcPr>
          <w:p w14:paraId="173F6F66" w14:textId="77777777" w:rsidR="00FE7F8B" w:rsidRDefault="00FE7F8B">
            <w:pPr>
              <w:pStyle w:val="Tabletextnoindent"/>
              <w:rPr>
                <w:rFonts w:ascii="Times New Roman" w:hAnsi="Times New Roman" w:cs="Times New Roman"/>
                <w:sz w:val="24"/>
                <w:szCs w:val="24"/>
              </w:rPr>
            </w:pPr>
            <w:r>
              <w:t xml:space="preserve">Amends AASB 116 </w:t>
            </w:r>
            <w:r>
              <w:rPr>
                <w:i/>
              </w:rPr>
              <w:t>Property, Plant and Equipment</w:t>
            </w:r>
            <w:r>
              <w:t xml:space="preserve"> and AASB 138 </w:t>
            </w:r>
            <w:r>
              <w:rPr>
                <w:i/>
              </w:rPr>
              <w:t>Intangible Assets</w:t>
            </w:r>
            <w:r>
              <w:t xml:space="preserve"> to:</w:t>
            </w:r>
          </w:p>
          <w:p w14:paraId="77A154D9" w14:textId="77777777" w:rsidR="00FE7F8B" w:rsidRDefault="00FE7F8B" w:rsidP="00AD641C">
            <w:pPr>
              <w:pStyle w:val="Tablebullet"/>
              <w:numPr>
                <w:ilvl w:val="0"/>
                <w:numId w:val="41"/>
              </w:numPr>
              <w:ind w:left="113" w:hanging="113"/>
              <w:rPr>
                <w:lang w:eastAsia="en-US"/>
              </w:rPr>
            </w:pPr>
            <w:r>
              <w:rPr>
                <w:lang w:eastAsia="en-US"/>
              </w:rPr>
              <w:t>establish the principle for the basis of depreciation and amortisation as being the expected pattern of consumption of the future economic benefits of an asset</w:t>
            </w:r>
          </w:p>
          <w:p w14:paraId="0340FCE6" w14:textId="77777777" w:rsidR="00FE7F8B" w:rsidRDefault="00FE7F8B" w:rsidP="00AD641C">
            <w:pPr>
              <w:pStyle w:val="Tablebullet"/>
              <w:numPr>
                <w:ilvl w:val="0"/>
                <w:numId w:val="41"/>
              </w:numPr>
              <w:ind w:left="113" w:hanging="113"/>
              <w:rPr>
                <w:lang w:eastAsia="en-US"/>
              </w:rPr>
            </w:pPr>
            <w:proofErr w:type="gramStart"/>
            <w:r>
              <w:rPr>
                <w:lang w:eastAsia="en-US"/>
              </w:rPr>
              <w:t>prohibit</w:t>
            </w:r>
            <w:proofErr w:type="gramEnd"/>
            <w:r>
              <w:rPr>
                <w:lang w:eastAsia="en-US"/>
              </w:rPr>
              <w:t xml:space="preserve"> the use of revenue-based methods to calculate the depreciation or amortisation of an asset, tangible or intangible, because revenue generally reflects the pattern of economic benefits that are generated from operating the business, rather than the consumption through the use of the asset.</w:t>
            </w:r>
          </w:p>
        </w:tc>
        <w:tc>
          <w:tcPr>
            <w:tcW w:w="1134" w:type="dxa"/>
            <w:tcBorders>
              <w:top w:val="nil"/>
              <w:left w:val="nil"/>
              <w:bottom w:val="single" w:sz="4" w:space="0" w:color="auto"/>
              <w:right w:val="nil"/>
            </w:tcBorders>
            <w:hideMark/>
          </w:tcPr>
          <w:p w14:paraId="6F32C4F7" w14:textId="77777777" w:rsidR="00FE7F8B" w:rsidRDefault="00FE7F8B">
            <w:pPr>
              <w:pStyle w:val="Tabletextnoindent"/>
              <w:jc w:val="center"/>
            </w:pPr>
            <w:r>
              <w:t>1 January 2016</w:t>
            </w:r>
          </w:p>
        </w:tc>
        <w:tc>
          <w:tcPr>
            <w:tcW w:w="2414" w:type="dxa"/>
            <w:tcBorders>
              <w:top w:val="nil"/>
              <w:left w:val="nil"/>
              <w:bottom w:val="single" w:sz="4" w:space="0" w:color="auto"/>
              <w:right w:val="nil"/>
            </w:tcBorders>
            <w:hideMark/>
          </w:tcPr>
          <w:p w14:paraId="09BB2788" w14:textId="77777777" w:rsidR="00FE7F8B" w:rsidRDefault="00FE7F8B">
            <w:pPr>
              <w:pStyle w:val="Tabletextnoindent"/>
            </w:pPr>
            <w:r>
              <w:t xml:space="preserve">The assessment has indicated that there is </w:t>
            </w:r>
            <w:proofErr w:type="gramStart"/>
            <w:r>
              <w:t>no expected impact as the revenue-based method is not used for depreciation and amortisation</w:t>
            </w:r>
            <w:proofErr w:type="gramEnd"/>
            <w:r>
              <w:t>.</w:t>
            </w:r>
          </w:p>
        </w:tc>
      </w:tr>
      <w:tr w:rsidR="00FE7F8B" w14:paraId="169F2C18" w14:textId="77777777" w:rsidTr="00FE7F8B">
        <w:tc>
          <w:tcPr>
            <w:tcW w:w="1531" w:type="dxa"/>
            <w:tcBorders>
              <w:top w:val="single" w:sz="4" w:space="0" w:color="auto"/>
              <w:left w:val="nil"/>
              <w:bottom w:val="single" w:sz="4" w:space="0" w:color="auto"/>
              <w:right w:val="nil"/>
            </w:tcBorders>
            <w:hideMark/>
          </w:tcPr>
          <w:p w14:paraId="45A8ACA3" w14:textId="77777777" w:rsidR="00FE7F8B" w:rsidRDefault="00FE7F8B">
            <w:pPr>
              <w:pStyle w:val="Tabletext"/>
              <w:rPr>
                <w:b/>
              </w:rPr>
            </w:pPr>
            <w:r>
              <w:rPr>
                <w:b/>
              </w:rPr>
              <w:t xml:space="preserve">AASB 2014-9 </w:t>
            </w:r>
            <w:r>
              <w:rPr>
                <w:b/>
                <w:i/>
              </w:rPr>
              <w:t xml:space="preserve">Amendments to Australian Accounting Standards—Equity Method in Separate Financial Statements </w:t>
            </w:r>
            <w:r>
              <w:rPr>
                <w:b/>
              </w:rPr>
              <w:t>[AASB 1, 127 &amp; 128]</w:t>
            </w:r>
          </w:p>
        </w:tc>
        <w:tc>
          <w:tcPr>
            <w:tcW w:w="2297" w:type="dxa"/>
            <w:tcBorders>
              <w:top w:val="single" w:sz="4" w:space="0" w:color="auto"/>
              <w:left w:val="nil"/>
              <w:bottom w:val="single" w:sz="4" w:space="0" w:color="auto"/>
              <w:right w:val="nil"/>
            </w:tcBorders>
            <w:hideMark/>
          </w:tcPr>
          <w:p w14:paraId="72F3D555" w14:textId="77777777" w:rsidR="00FE7F8B" w:rsidRDefault="00FE7F8B">
            <w:pPr>
              <w:pStyle w:val="Tabletextnoindent"/>
            </w:pPr>
            <w:r>
              <w:t xml:space="preserve">Amends AASB 127 </w:t>
            </w:r>
            <w:r>
              <w:rPr>
                <w:i/>
              </w:rPr>
              <w:t>Separate Financial Statements</w:t>
            </w:r>
            <w:r>
              <w:t xml:space="preserve"> to allow entities to use the equity method of accounting for investments in subsidiaries, joint ventures and associates in their separate financial statements.</w:t>
            </w:r>
          </w:p>
        </w:tc>
        <w:tc>
          <w:tcPr>
            <w:tcW w:w="1134" w:type="dxa"/>
            <w:tcBorders>
              <w:top w:val="single" w:sz="4" w:space="0" w:color="auto"/>
              <w:left w:val="nil"/>
              <w:bottom w:val="single" w:sz="4" w:space="0" w:color="auto"/>
              <w:right w:val="nil"/>
            </w:tcBorders>
            <w:hideMark/>
          </w:tcPr>
          <w:p w14:paraId="0F4C2235" w14:textId="77777777" w:rsidR="00FE7F8B" w:rsidRDefault="00FE7F8B">
            <w:pPr>
              <w:pStyle w:val="Tabletextnoindent"/>
              <w:jc w:val="center"/>
            </w:pPr>
            <w:r>
              <w:t>1 January 2016</w:t>
            </w:r>
          </w:p>
        </w:tc>
        <w:tc>
          <w:tcPr>
            <w:tcW w:w="2414" w:type="dxa"/>
            <w:tcBorders>
              <w:top w:val="single" w:sz="4" w:space="0" w:color="auto"/>
              <w:left w:val="nil"/>
              <w:bottom w:val="single" w:sz="4" w:space="0" w:color="auto"/>
              <w:right w:val="nil"/>
            </w:tcBorders>
            <w:hideMark/>
          </w:tcPr>
          <w:p w14:paraId="76C8F656" w14:textId="77777777" w:rsidR="00FE7F8B" w:rsidRDefault="00FE7F8B">
            <w:pPr>
              <w:pStyle w:val="Tabletextnoindent"/>
            </w:pPr>
            <w:r>
              <w:t>The assessment indicates that there is no expected impact as the entity will continue to account for the investments in subsidiaries, joint ventures and associates using the cost method as mandated if separate financial statements are presented in accordance with FRD 113A.</w:t>
            </w:r>
          </w:p>
        </w:tc>
      </w:tr>
      <w:tr w:rsidR="00FE7F8B" w14:paraId="4B76B5EC" w14:textId="77777777" w:rsidTr="0005782C">
        <w:tc>
          <w:tcPr>
            <w:tcW w:w="1531" w:type="dxa"/>
            <w:tcBorders>
              <w:top w:val="single" w:sz="4" w:space="0" w:color="auto"/>
              <w:left w:val="nil"/>
              <w:bottom w:val="nil"/>
              <w:right w:val="nil"/>
            </w:tcBorders>
            <w:hideMark/>
          </w:tcPr>
          <w:p w14:paraId="736B4917" w14:textId="77777777" w:rsidR="00FE7F8B" w:rsidRDefault="00FE7F8B">
            <w:pPr>
              <w:pStyle w:val="Tabletext"/>
              <w:rPr>
                <w:b/>
              </w:rPr>
            </w:pPr>
            <w:r>
              <w:rPr>
                <w:b/>
              </w:rPr>
              <w:t xml:space="preserve">AASB 2014- 10 </w:t>
            </w:r>
            <w:r>
              <w:rPr>
                <w:b/>
                <w:i/>
              </w:rPr>
              <w:t>Amendments to Australian Accounting Standards—Sale or Contribution of Assets between an Investor and its Associate or Joint Venture</w:t>
            </w:r>
            <w:r>
              <w:rPr>
                <w:b/>
              </w:rPr>
              <w:t xml:space="preserve"> [AASB 10 &amp; AASB 128]</w:t>
            </w:r>
          </w:p>
        </w:tc>
        <w:tc>
          <w:tcPr>
            <w:tcW w:w="2297" w:type="dxa"/>
            <w:tcBorders>
              <w:top w:val="single" w:sz="4" w:space="0" w:color="auto"/>
              <w:left w:val="nil"/>
              <w:bottom w:val="nil"/>
              <w:right w:val="nil"/>
            </w:tcBorders>
            <w:hideMark/>
          </w:tcPr>
          <w:p w14:paraId="75DFF648" w14:textId="77777777" w:rsidR="00FE7F8B" w:rsidRDefault="00FE7F8B">
            <w:pPr>
              <w:pStyle w:val="Tabletextnoindent"/>
            </w:pPr>
            <w:r>
              <w:t xml:space="preserve">AASB 2014-10 amends AASB 10 </w:t>
            </w:r>
            <w:r w:rsidRPr="00BD47E9">
              <w:rPr>
                <w:i/>
              </w:rPr>
              <w:t>Consolidated Financial Statements</w:t>
            </w:r>
            <w:r>
              <w:t xml:space="preserve"> and AASB 128 </w:t>
            </w:r>
            <w:r w:rsidRPr="00BD47E9">
              <w:rPr>
                <w:i/>
              </w:rPr>
              <w:t>Investments in Associate</w:t>
            </w:r>
            <w:r>
              <w:t>s to ensure consistent treatment in dealing with the sale or contribution of assets between an investor and its associate or joint venture. The amendments require that:</w:t>
            </w:r>
          </w:p>
          <w:p w14:paraId="2BF81CF9" w14:textId="77777777" w:rsidR="00FE7F8B" w:rsidRDefault="00FE7F8B" w:rsidP="00AD641C">
            <w:pPr>
              <w:pStyle w:val="Tablebullet"/>
              <w:numPr>
                <w:ilvl w:val="0"/>
                <w:numId w:val="41"/>
              </w:numPr>
              <w:ind w:left="113" w:hanging="113"/>
              <w:rPr>
                <w:lang w:eastAsia="en-US"/>
              </w:rPr>
            </w:pPr>
            <w:r>
              <w:rPr>
                <w:lang w:eastAsia="en-US"/>
              </w:rPr>
              <w:t>a full gain or loss to be recognised by the investor when a transaction involves a business (whether it is housed in a subsidiary or not); and</w:t>
            </w:r>
          </w:p>
          <w:p w14:paraId="687C36D3" w14:textId="77777777" w:rsidR="00FE7F8B" w:rsidRDefault="00FE7F8B" w:rsidP="00AD641C">
            <w:pPr>
              <w:pStyle w:val="Tablebullet"/>
              <w:numPr>
                <w:ilvl w:val="0"/>
                <w:numId w:val="41"/>
              </w:numPr>
              <w:ind w:left="113" w:hanging="113"/>
              <w:rPr>
                <w:lang w:eastAsia="en-US"/>
              </w:rPr>
            </w:pPr>
            <w:proofErr w:type="gramStart"/>
            <w:r>
              <w:rPr>
                <w:lang w:eastAsia="en-US"/>
              </w:rPr>
              <w:t>a</w:t>
            </w:r>
            <w:proofErr w:type="gramEnd"/>
            <w:r>
              <w:rPr>
                <w:lang w:eastAsia="en-US"/>
              </w:rPr>
              <w:t xml:space="preserve"> partial gain or loss to be recognised by the parent when a transaction involves assets that do not constitute a business, even if these assets are housed in a subsidiary.</w:t>
            </w:r>
          </w:p>
        </w:tc>
        <w:tc>
          <w:tcPr>
            <w:tcW w:w="1134" w:type="dxa"/>
            <w:tcBorders>
              <w:top w:val="single" w:sz="4" w:space="0" w:color="auto"/>
              <w:left w:val="nil"/>
              <w:bottom w:val="nil"/>
              <w:right w:val="nil"/>
            </w:tcBorders>
            <w:hideMark/>
          </w:tcPr>
          <w:p w14:paraId="0050299A" w14:textId="77777777" w:rsidR="00FE7F8B" w:rsidRDefault="00FE7F8B">
            <w:pPr>
              <w:pStyle w:val="Tabletextnoindent"/>
              <w:jc w:val="center"/>
            </w:pPr>
            <w:r>
              <w:t>1 January 2016</w:t>
            </w:r>
          </w:p>
        </w:tc>
        <w:tc>
          <w:tcPr>
            <w:tcW w:w="2414" w:type="dxa"/>
            <w:tcBorders>
              <w:top w:val="single" w:sz="4" w:space="0" w:color="auto"/>
              <w:left w:val="nil"/>
              <w:bottom w:val="nil"/>
              <w:right w:val="nil"/>
            </w:tcBorders>
            <w:hideMark/>
          </w:tcPr>
          <w:p w14:paraId="1E58B078" w14:textId="77777777" w:rsidR="00FE7F8B" w:rsidRDefault="00FE7F8B">
            <w:pPr>
              <w:pStyle w:val="Tabletextnoindent"/>
            </w:pPr>
            <w:r>
              <w:t>The assessment has indicated that there is limited impact, as the revisions to AASB 10 and AASB 128 are guidance in nature.</w:t>
            </w:r>
          </w:p>
        </w:tc>
      </w:tr>
      <w:tr w:rsidR="00FE7F8B" w14:paraId="4E01CAF4" w14:textId="77777777" w:rsidTr="0005782C">
        <w:trPr>
          <w:cantSplit/>
        </w:trPr>
        <w:tc>
          <w:tcPr>
            <w:tcW w:w="1531" w:type="dxa"/>
            <w:tcBorders>
              <w:top w:val="nil"/>
              <w:left w:val="nil"/>
              <w:bottom w:val="single" w:sz="4" w:space="0" w:color="auto"/>
              <w:right w:val="nil"/>
            </w:tcBorders>
            <w:hideMark/>
          </w:tcPr>
          <w:p w14:paraId="242E0E28" w14:textId="77777777" w:rsidR="00FE7F8B" w:rsidRDefault="00FE7F8B">
            <w:pPr>
              <w:pStyle w:val="Tabletext"/>
              <w:rPr>
                <w:b/>
              </w:rPr>
            </w:pPr>
            <w:r>
              <w:rPr>
                <w:b/>
              </w:rPr>
              <w:t xml:space="preserve">AASB 2015-1 </w:t>
            </w:r>
            <w:r>
              <w:rPr>
                <w:b/>
                <w:i/>
              </w:rPr>
              <w:t>Amendments to Australian Accounting Standards—Annual Improvements to Australian Accounting Standards 2012–2014 Cycle</w:t>
            </w:r>
            <w:r>
              <w:rPr>
                <w:b/>
              </w:rPr>
              <w:t xml:space="preserve"> [AASB 1, AASB 2, AASB 3, AASB 5, AASB 7, AASB 11, AASB 110, AASB 119, AASB 121, AASB 133, AASB 134, AASB 137 &amp; AASB 140]</w:t>
            </w:r>
          </w:p>
        </w:tc>
        <w:tc>
          <w:tcPr>
            <w:tcW w:w="2297" w:type="dxa"/>
            <w:tcBorders>
              <w:top w:val="nil"/>
              <w:left w:val="nil"/>
              <w:bottom w:val="single" w:sz="4" w:space="0" w:color="auto"/>
              <w:right w:val="nil"/>
            </w:tcBorders>
            <w:hideMark/>
          </w:tcPr>
          <w:p w14:paraId="15E1CBD5" w14:textId="77777777" w:rsidR="00FE7F8B" w:rsidRDefault="00FE7F8B">
            <w:pPr>
              <w:pStyle w:val="Tabletextnoindent"/>
            </w:pPr>
            <w:r>
              <w:t xml:space="preserve">Amends the methods of disposal in AASB 5 </w:t>
            </w:r>
            <w:r>
              <w:rPr>
                <w:i/>
              </w:rPr>
              <w:t xml:space="preserve">Non-current Assets </w:t>
            </w:r>
            <w:r w:rsidRPr="00BD47E9">
              <w:rPr>
                <w:i/>
              </w:rPr>
              <w:t>held for sale and discontinued operations</w:t>
            </w:r>
            <w:r>
              <w:t>.</w:t>
            </w:r>
          </w:p>
          <w:p w14:paraId="12555FCE" w14:textId="77777777" w:rsidR="00FE7F8B" w:rsidRDefault="00FE7F8B">
            <w:pPr>
              <w:pStyle w:val="Tabletextnoindent"/>
            </w:pPr>
            <w:r>
              <w:t xml:space="preserve">Amends AASB 7 </w:t>
            </w:r>
            <w:r>
              <w:rPr>
                <w:i/>
              </w:rPr>
              <w:t xml:space="preserve">Financial Instruments </w:t>
            </w:r>
            <w:r>
              <w:t>by including further guidance on servicing contracts.</w:t>
            </w:r>
          </w:p>
        </w:tc>
        <w:tc>
          <w:tcPr>
            <w:tcW w:w="1134" w:type="dxa"/>
            <w:tcBorders>
              <w:top w:val="nil"/>
              <w:left w:val="nil"/>
              <w:bottom w:val="single" w:sz="4" w:space="0" w:color="auto"/>
              <w:right w:val="nil"/>
            </w:tcBorders>
            <w:hideMark/>
          </w:tcPr>
          <w:p w14:paraId="704928DE" w14:textId="77777777" w:rsidR="00FE7F8B" w:rsidRDefault="00FE7F8B">
            <w:pPr>
              <w:pStyle w:val="Tabletextnoindent"/>
              <w:jc w:val="center"/>
            </w:pPr>
            <w:r>
              <w:t>1 January 2016</w:t>
            </w:r>
          </w:p>
        </w:tc>
        <w:tc>
          <w:tcPr>
            <w:tcW w:w="2414" w:type="dxa"/>
            <w:tcBorders>
              <w:top w:val="nil"/>
              <w:left w:val="nil"/>
              <w:bottom w:val="single" w:sz="4" w:space="0" w:color="auto"/>
              <w:right w:val="nil"/>
            </w:tcBorders>
            <w:hideMark/>
          </w:tcPr>
          <w:p w14:paraId="41B1ADFB" w14:textId="77777777" w:rsidR="00FE7F8B" w:rsidRDefault="00FE7F8B">
            <w:pPr>
              <w:pStyle w:val="Tabletextnoindent"/>
            </w:pPr>
            <w:r>
              <w:t xml:space="preserve">The assessment has indicated that when an asset (or disposal group) is reclassified from ‘held to sale’ to ‘held for distribution’, or vice versa, the asset does not have to be reinstated in the financial statements. </w:t>
            </w:r>
          </w:p>
          <w:p w14:paraId="586C4E39" w14:textId="77777777" w:rsidR="00FE7F8B" w:rsidRDefault="00FE7F8B">
            <w:pPr>
              <w:pStyle w:val="Tabletextnoindent"/>
            </w:pPr>
            <w:r>
              <w:t>Entities will be required to disclose all types of continuing involvement the entity still has when transferring a financial asset to a third party under conditions which allow it to derecognise the asset.</w:t>
            </w:r>
          </w:p>
        </w:tc>
      </w:tr>
      <w:tr w:rsidR="00FE7F8B" w14:paraId="2097B520" w14:textId="77777777" w:rsidTr="00FE7F8B">
        <w:tc>
          <w:tcPr>
            <w:tcW w:w="1531" w:type="dxa"/>
            <w:tcBorders>
              <w:top w:val="single" w:sz="4" w:space="0" w:color="auto"/>
              <w:left w:val="nil"/>
              <w:bottom w:val="single" w:sz="4" w:space="0" w:color="auto"/>
              <w:right w:val="nil"/>
            </w:tcBorders>
            <w:hideMark/>
          </w:tcPr>
          <w:p w14:paraId="35D3E236" w14:textId="77777777" w:rsidR="00FE7F8B" w:rsidRDefault="00FE7F8B">
            <w:pPr>
              <w:pStyle w:val="Tabletext"/>
              <w:rPr>
                <w:b/>
              </w:rPr>
            </w:pPr>
            <w:r>
              <w:rPr>
                <w:b/>
              </w:rPr>
              <w:t xml:space="preserve">AASB 2015-6 </w:t>
            </w:r>
            <w:r>
              <w:rPr>
                <w:b/>
                <w:i/>
              </w:rPr>
              <w:t>Amendments to Australian Accounting Standards—Extending Related Party Disclosures to Not-for-Profit Public Sector Entities</w:t>
            </w:r>
            <w:r>
              <w:rPr>
                <w:b/>
              </w:rPr>
              <w:t xml:space="preserve"> [AASB 10, AASB 124 &amp; AASB 1049]</w:t>
            </w:r>
          </w:p>
        </w:tc>
        <w:tc>
          <w:tcPr>
            <w:tcW w:w="2297" w:type="dxa"/>
            <w:tcBorders>
              <w:top w:val="single" w:sz="4" w:space="0" w:color="auto"/>
              <w:left w:val="nil"/>
              <w:bottom w:val="single" w:sz="4" w:space="0" w:color="auto"/>
              <w:right w:val="nil"/>
            </w:tcBorders>
            <w:hideMark/>
          </w:tcPr>
          <w:p w14:paraId="1C99F6DA" w14:textId="77777777" w:rsidR="00FE7F8B" w:rsidRDefault="00FE7F8B">
            <w:pPr>
              <w:pStyle w:val="Tabletextnoindent"/>
            </w:pPr>
            <w:r>
              <w:t xml:space="preserve">The Amendments extend the scope of AASB 124 </w:t>
            </w:r>
            <w:r>
              <w:rPr>
                <w:i/>
              </w:rPr>
              <w:t>Related Party Disclosures</w:t>
            </w:r>
            <w:r>
              <w:t xml:space="preserve"> </w:t>
            </w:r>
            <w:r>
              <w:rPr>
                <w:i/>
              </w:rPr>
              <w:t>to Not-for-Profit Public Sector Entities</w:t>
            </w:r>
            <w:r>
              <w:t xml:space="preserve">. </w:t>
            </w:r>
            <w:proofErr w:type="gramStart"/>
            <w:r>
              <w:t>A guidance</w:t>
            </w:r>
            <w:proofErr w:type="gramEnd"/>
            <w:r>
              <w:t xml:space="preserve"> has been included to assist the application of the Standard by not-for-profit public sector entities.</w:t>
            </w:r>
          </w:p>
        </w:tc>
        <w:tc>
          <w:tcPr>
            <w:tcW w:w="1134" w:type="dxa"/>
            <w:tcBorders>
              <w:top w:val="single" w:sz="4" w:space="0" w:color="auto"/>
              <w:left w:val="nil"/>
              <w:bottom w:val="single" w:sz="4" w:space="0" w:color="auto"/>
              <w:right w:val="nil"/>
            </w:tcBorders>
            <w:hideMark/>
          </w:tcPr>
          <w:p w14:paraId="599FDCBD" w14:textId="77777777" w:rsidR="00FE7F8B" w:rsidRDefault="00FE7F8B">
            <w:pPr>
              <w:pStyle w:val="Tabletextnoindent"/>
              <w:jc w:val="center"/>
            </w:pPr>
            <w:r>
              <w:t>1 January 2016</w:t>
            </w:r>
          </w:p>
        </w:tc>
        <w:tc>
          <w:tcPr>
            <w:tcW w:w="2414" w:type="dxa"/>
            <w:tcBorders>
              <w:top w:val="single" w:sz="4" w:space="0" w:color="auto"/>
              <w:left w:val="nil"/>
              <w:bottom w:val="single" w:sz="4" w:space="0" w:color="auto"/>
              <w:right w:val="nil"/>
            </w:tcBorders>
            <w:hideMark/>
          </w:tcPr>
          <w:p w14:paraId="64E42CCE" w14:textId="74A2CAD5" w:rsidR="00FE7F8B" w:rsidRDefault="00FE7F8B">
            <w:pPr>
              <w:pStyle w:val="Tabletextnoindent"/>
            </w:pPr>
            <w:r>
              <w:t>The amending standard will result in extended disclosures on the entity</w:t>
            </w:r>
            <w:r w:rsidR="00241313">
              <w:t>’</w:t>
            </w:r>
            <w:r>
              <w:t>s key management personnel (KMP), and the related party transactions.</w:t>
            </w:r>
          </w:p>
        </w:tc>
      </w:tr>
      <w:tr w:rsidR="00FE7F8B" w14:paraId="4DBF407E" w14:textId="77777777" w:rsidTr="00FE7F8B">
        <w:tc>
          <w:tcPr>
            <w:tcW w:w="1531" w:type="dxa"/>
            <w:tcBorders>
              <w:top w:val="single" w:sz="4" w:space="0" w:color="auto"/>
              <w:left w:val="nil"/>
              <w:bottom w:val="single" w:sz="4" w:space="0" w:color="auto"/>
              <w:right w:val="nil"/>
            </w:tcBorders>
            <w:hideMark/>
          </w:tcPr>
          <w:p w14:paraId="770C61BE" w14:textId="77777777" w:rsidR="00FE7F8B" w:rsidRDefault="00FE7F8B">
            <w:pPr>
              <w:pStyle w:val="Tabletext"/>
            </w:pPr>
            <w:r>
              <w:rPr>
                <w:b/>
              </w:rPr>
              <w:t xml:space="preserve">AASB 2016-4 </w:t>
            </w:r>
            <w:r>
              <w:rPr>
                <w:b/>
                <w:i/>
              </w:rPr>
              <w:t>Amendments to Australian Accounting Standards</w:t>
            </w:r>
            <w:r>
              <w:rPr>
                <w:i/>
              </w:rPr>
              <w:t>—</w:t>
            </w:r>
            <w:r>
              <w:rPr>
                <w:b/>
                <w:i/>
              </w:rPr>
              <w:t>Recoverable Amount of Non-Cash-Generating Specialised Assets of Not-for-Profit Entities</w:t>
            </w:r>
            <w:r>
              <w:t xml:space="preserve"> </w:t>
            </w:r>
          </w:p>
        </w:tc>
        <w:tc>
          <w:tcPr>
            <w:tcW w:w="2297" w:type="dxa"/>
            <w:tcBorders>
              <w:top w:val="single" w:sz="4" w:space="0" w:color="auto"/>
              <w:left w:val="nil"/>
              <w:bottom w:val="single" w:sz="4" w:space="0" w:color="auto"/>
              <w:right w:val="nil"/>
            </w:tcBorders>
            <w:hideMark/>
          </w:tcPr>
          <w:p w14:paraId="310E9D0D" w14:textId="77777777" w:rsidR="00FE7F8B" w:rsidRDefault="00FE7F8B">
            <w:pPr>
              <w:pStyle w:val="Tabletextnoindent"/>
            </w:pPr>
            <w:r>
              <w:t xml:space="preserve">The standard amends AASB 136 </w:t>
            </w:r>
            <w:r>
              <w:rPr>
                <w:i/>
              </w:rPr>
              <w:t>Impairment of Assets</w:t>
            </w:r>
            <w:r>
              <w:t xml:space="preserve"> to remove references to using depreciated replacement cost (DRC) as a measure of value in use for not-for-profit entities.</w:t>
            </w:r>
          </w:p>
        </w:tc>
        <w:tc>
          <w:tcPr>
            <w:tcW w:w="1134" w:type="dxa"/>
            <w:tcBorders>
              <w:top w:val="single" w:sz="4" w:space="0" w:color="auto"/>
              <w:left w:val="nil"/>
              <w:bottom w:val="single" w:sz="4" w:space="0" w:color="auto"/>
              <w:right w:val="nil"/>
            </w:tcBorders>
            <w:hideMark/>
          </w:tcPr>
          <w:p w14:paraId="18ABCC46" w14:textId="77777777" w:rsidR="00FE7F8B" w:rsidRDefault="00FE7F8B">
            <w:pPr>
              <w:pStyle w:val="Tabletextnoindent"/>
              <w:jc w:val="center"/>
            </w:pPr>
            <w:r>
              <w:t>1 January 2017</w:t>
            </w:r>
          </w:p>
        </w:tc>
        <w:tc>
          <w:tcPr>
            <w:tcW w:w="2414" w:type="dxa"/>
            <w:tcBorders>
              <w:top w:val="single" w:sz="4" w:space="0" w:color="auto"/>
              <w:left w:val="nil"/>
              <w:bottom w:val="single" w:sz="4" w:space="0" w:color="auto"/>
              <w:right w:val="nil"/>
            </w:tcBorders>
            <w:hideMark/>
          </w:tcPr>
          <w:p w14:paraId="11C85706" w14:textId="77777777" w:rsidR="00FE7F8B" w:rsidRDefault="00FE7F8B">
            <w:pPr>
              <w:pStyle w:val="Tabletextnoindent"/>
            </w:pPr>
            <w:r>
              <w:t>The assessment has indicated that there is minimal impact. Given the specialised nature and restrictions of public sector assets, the existing use is presumed to be the highest and best use (HBU)</w:t>
            </w:r>
            <w:proofErr w:type="gramStart"/>
            <w:r>
              <w:t>,</w:t>
            </w:r>
            <w:proofErr w:type="gramEnd"/>
            <w:r>
              <w:t xml:space="preserve"> hence current replacement cost under AASB 13 </w:t>
            </w:r>
            <w:r w:rsidRPr="00BD47E9">
              <w:rPr>
                <w:i/>
              </w:rPr>
              <w:t>Fair Value</w:t>
            </w:r>
            <w:r>
              <w:t xml:space="preserve"> </w:t>
            </w:r>
            <w:r w:rsidRPr="00BD47E9">
              <w:rPr>
                <w:i/>
              </w:rPr>
              <w:t>Measurement</w:t>
            </w:r>
            <w:r>
              <w:t xml:space="preserve"> is the same as the depreciated replacement cost concept under AASB 136.</w:t>
            </w:r>
          </w:p>
        </w:tc>
      </w:tr>
    </w:tbl>
    <w:p w14:paraId="3D1A0E45" w14:textId="77777777" w:rsidR="00FE7F8B" w:rsidRPr="0005782C" w:rsidRDefault="00FE7F8B" w:rsidP="0005782C">
      <w:pPr>
        <w:pStyle w:val="DETFootnoteTextforobjectivestablesOHStable"/>
        <w:spacing w:after="60"/>
        <w:ind w:left="0" w:firstLine="0"/>
        <w:rPr>
          <w:rFonts w:ascii="Times New Roman" w:hAnsi="Times New Roman"/>
          <w:sz w:val="14"/>
          <w:szCs w:val="14"/>
        </w:rPr>
      </w:pPr>
      <w:r w:rsidRPr="0005782C">
        <w:rPr>
          <w:sz w:val="14"/>
          <w:szCs w:val="14"/>
        </w:rPr>
        <w:t>In addition to the new standards and amendments above, the AASB has issued a list of other amending standards that are not effective for the 2015-16 reporting period (as listed below). In general, these amending standards include editorial and references changes that are expected to have insignificant impacts on public sector reporting.</w:t>
      </w:r>
    </w:p>
    <w:p w14:paraId="2BA24782" w14:textId="07896367" w:rsidR="00FE7F8B" w:rsidRPr="0005782C" w:rsidRDefault="00FE7F8B" w:rsidP="0005782C">
      <w:pPr>
        <w:pStyle w:val="DETFootnoteTextforobjectivestablesOHStable"/>
        <w:ind w:left="0" w:firstLine="0"/>
        <w:rPr>
          <w:i/>
          <w:sz w:val="14"/>
          <w:szCs w:val="14"/>
        </w:rPr>
      </w:pPr>
      <w:r w:rsidRPr="0005782C">
        <w:rPr>
          <w:sz w:val="14"/>
          <w:szCs w:val="14"/>
        </w:rPr>
        <w:t xml:space="preserve">AASB 1056 </w:t>
      </w:r>
      <w:r w:rsidRPr="0005782C">
        <w:rPr>
          <w:i/>
          <w:sz w:val="14"/>
          <w:szCs w:val="14"/>
        </w:rPr>
        <w:t>Superannuation Entities</w:t>
      </w:r>
      <w:r w:rsidRPr="0005782C">
        <w:rPr>
          <w:rFonts w:ascii="Times New Roman" w:hAnsi="Times New Roman"/>
          <w:sz w:val="14"/>
          <w:szCs w:val="14"/>
        </w:rPr>
        <w:br/>
      </w:r>
      <w:r w:rsidRPr="00D22909">
        <w:rPr>
          <w:sz w:val="14"/>
          <w:szCs w:val="14"/>
        </w:rPr>
        <w:t xml:space="preserve">AASB 1057 </w:t>
      </w:r>
      <w:r w:rsidRPr="00D22909">
        <w:rPr>
          <w:i/>
          <w:sz w:val="14"/>
          <w:szCs w:val="14"/>
        </w:rPr>
        <w:t>Application of Australian Accounting Standards</w:t>
      </w:r>
      <w:r w:rsidRPr="00D22909">
        <w:rPr>
          <w:rFonts w:ascii="Times New Roman" w:hAnsi="Times New Roman"/>
          <w:sz w:val="14"/>
          <w:szCs w:val="14"/>
        </w:rPr>
        <w:br/>
      </w:r>
      <w:r w:rsidRPr="00D22909">
        <w:rPr>
          <w:sz w:val="14"/>
          <w:szCs w:val="14"/>
        </w:rPr>
        <w:t>AASB 2014</w:t>
      </w:r>
      <w:r w:rsidR="00241313" w:rsidRPr="00D22909">
        <w:rPr>
          <w:sz w:val="14"/>
          <w:szCs w:val="14"/>
        </w:rPr>
        <w:t>–</w:t>
      </w:r>
      <w:r w:rsidRPr="00D22909">
        <w:rPr>
          <w:sz w:val="14"/>
          <w:szCs w:val="14"/>
        </w:rPr>
        <w:t xml:space="preserve">1 </w:t>
      </w:r>
      <w:r w:rsidRPr="00D22909">
        <w:rPr>
          <w:i/>
          <w:sz w:val="14"/>
          <w:szCs w:val="14"/>
        </w:rPr>
        <w:t>Amendments to Australian Accounting Standards [PART D—Consequential Amendments arising from AASB 14 Regulatory Deferral Accounts only</w:t>
      </w:r>
      <w:r w:rsidRPr="00D22909">
        <w:rPr>
          <w:sz w:val="14"/>
          <w:szCs w:val="14"/>
        </w:rPr>
        <w:t xml:space="preserve">] </w:t>
      </w:r>
      <w:r w:rsidR="0005782C" w:rsidRPr="00D22909">
        <w:rPr>
          <w:rStyle w:val="FootnoteReference"/>
          <w:rFonts w:ascii="Times New Roman" w:hAnsi="Times New Roman"/>
          <w:sz w:val="14"/>
          <w:szCs w:val="14"/>
        </w:rPr>
        <w:footnoteReference w:id="5"/>
      </w:r>
      <w:r w:rsidRPr="00D22909">
        <w:rPr>
          <w:rFonts w:ascii="Times New Roman" w:hAnsi="Times New Roman"/>
          <w:sz w:val="14"/>
          <w:szCs w:val="14"/>
        </w:rPr>
        <w:br/>
      </w:r>
      <w:r w:rsidRPr="00D22909">
        <w:rPr>
          <w:sz w:val="14"/>
          <w:szCs w:val="14"/>
        </w:rPr>
        <w:t>AASB 2014</w:t>
      </w:r>
      <w:r w:rsidR="00241313" w:rsidRPr="00D22909">
        <w:rPr>
          <w:sz w:val="14"/>
          <w:szCs w:val="14"/>
        </w:rPr>
        <w:t>–</w:t>
      </w:r>
      <w:r w:rsidRPr="00D22909">
        <w:rPr>
          <w:sz w:val="14"/>
          <w:szCs w:val="14"/>
        </w:rPr>
        <w:t xml:space="preserve">3 </w:t>
      </w:r>
      <w:r w:rsidRPr="00D22909">
        <w:rPr>
          <w:i/>
          <w:sz w:val="14"/>
          <w:szCs w:val="14"/>
        </w:rPr>
        <w:t xml:space="preserve">Amendments to Australian Accounting Standards—Accounting for Acquisitions of Interests in Joint Operations </w:t>
      </w:r>
      <w:r w:rsidRPr="00D22909">
        <w:rPr>
          <w:sz w:val="14"/>
          <w:szCs w:val="14"/>
        </w:rPr>
        <w:t>[AASB 1 &amp; AASB 11]</w:t>
      </w:r>
      <w:r w:rsidRPr="00D22909">
        <w:rPr>
          <w:rFonts w:ascii="Times New Roman" w:hAnsi="Times New Roman"/>
          <w:sz w:val="14"/>
          <w:szCs w:val="14"/>
        </w:rPr>
        <w:br/>
      </w:r>
      <w:r w:rsidRPr="00D22909">
        <w:rPr>
          <w:sz w:val="14"/>
          <w:szCs w:val="14"/>
        </w:rPr>
        <w:t>AASB 2014</w:t>
      </w:r>
      <w:r w:rsidR="00241313" w:rsidRPr="00D22909">
        <w:rPr>
          <w:sz w:val="14"/>
          <w:szCs w:val="14"/>
        </w:rPr>
        <w:t>–</w:t>
      </w:r>
      <w:r w:rsidRPr="00D22909">
        <w:rPr>
          <w:sz w:val="14"/>
          <w:szCs w:val="14"/>
        </w:rPr>
        <w:t xml:space="preserve">6 </w:t>
      </w:r>
      <w:r w:rsidRPr="00D22909">
        <w:rPr>
          <w:i/>
          <w:sz w:val="14"/>
          <w:szCs w:val="14"/>
        </w:rPr>
        <w:t>Amendments to Australian Accounting Standards—Agriculture: Bearer Plants</w:t>
      </w:r>
      <w:r w:rsidRPr="00D22909">
        <w:rPr>
          <w:sz w:val="14"/>
          <w:szCs w:val="14"/>
        </w:rPr>
        <w:t xml:space="preserve"> [AASB 101, AASB 116, AASB 117, AASB 123, AASB 136, AASB 140 &amp; AASB 141]</w:t>
      </w:r>
      <w:r w:rsidRPr="00D22909">
        <w:rPr>
          <w:rFonts w:ascii="Times New Roman" w:hAnsi="Times New Roman"/>
          <w:sz w:val="14"/>
          <w:szCs w:val="14"/>
        </w:rPr>
        <w:br/>
      </w:r>
      <w:r w:rsidRPr="00D22909">
        <w:rPr>
          <w:sz w:val="14"/>
          <w:szCs w:val="14"/>
        </w:rPr>
        <w:t>AASB 2015</w:t>
      </w:r>
      <w:r w:rsidR="00241313" w:rsidRPr="00D22909">
        <w:rPr>
          <w:sz w:val="14"/>
          <w:szCs w:val="14"/>
        </w:rPr>
        <w:t>–</w:t>
      </w:r>
      <w:r w:rsidRPr="00D22909">
        <w:rPr>
          <w:sz w:val="14"/>
          <w:szCs w:val="14"/>
        </w:rPr>
        <w:t xml:space="preserve">2 </w:t>
      </w:r>
      <w:r w:rsidRPr="00D22909">
        <w:rPr>
          <w:i/>
          <w:sz w:val="14"/>
          <w:szCs w:val="14"/>
        </w:rPr>
        <w:t>Amendments to Australian Accounting Standards—Disclosure Initiative: Amendments to AASB 101</w:t>
      </w:r>
      <w:r w:rsidRPr="00D22909">
        <w:rPr>
          <w:sz w:val="14"/>
          <w:szCs w:val="14"/>
        </w:rPr>
        <w:t xml:space="preserve"> [AASB 7, AASB 101, AASB 134 &amp; AASB 1049]</w:t>
      </w:r>
      <w:r w:rsidRPr="00D22909">
        <w:rPr>
          <w:rFonts w:ascii="Times New Roman" w:hAnsi="Times New Roman"/>
          <w:sz w:val="14"/>
          <w:szCs w:val="14"/>
        </w:rPr>
        <w:br/>
      </w:r>
      <w:r w:rsidRPr="00D22909">
        <w:rPr>
          <w:sz w:val="14"/>
          <w:szCs w:val="14"/>
        </w:rPr>
        <w:t>AASB 2015</w:t>
      </w:r>
      <w:r w:rsidR="00241313" w:rsidRPr="00D22909">
        <w:rPr>
          <w:sz w:val="14"/>
          <w:szCs w:val="14"/>
        </w:rPr>
        <w:t>–</w:t>
      </w:r>
      <w:r w:rsidRPr="00D22909">
        <w:rPr>
          <w:sz w:val="14"/>
          <w:szCs w:val="14"/>
        </w:rPr>
        <w:t xml:space="preserve">5 </w:t>
      </w:r>
      <w:r w:rsidRPr="00D22909">
        <w:rPr>
          <w:i/>
          <w:sz w:val="14"/>
          <w:szCs w:val="14"/>
        </w:rPr>
        <w:t>Amendments to Australian Accounting Standards—Investment Entities: Applying the Consolidation Exception</w:t>
      </w:r>
      <w:r w:rsidRPr="00D22909">
        <w:rPr>
          <w:sz w:val="14"/>
          <w:szCs w:val="14"/>
        </w:rPr>
        <w:t xml:space="preserve"> [AASB 10, AASB 12, AASB 128] </w:t>
      </w:r>
      <w:r w:rsidRPr="00D22909">
        <w:rPr>
          <w:sz w:val="14"/>
          <w:szCs w:val="14"/>
          <w:vertAlign w:val="superscript"/>
        </w:rPr>
        <w:t>1</w:t>
      </w:r>
      <w:r w:rsidRPr="00D22909">
        <w:rPr>
          <w:rFonts w:ascii="Times New Roman" w:hAnsi="Times New Roman"/>
          <w:sz w:val="14"/>
          <w:szCs w:val="14"/>
        </w:rPr>
        <w:br/>
      </w:r>
      <w:r w:rsidRPr="00D22909">
        <w:rPr>
          <w:sz w:val="14"/>
          <w:szCs w:val="14"/>
        </w:rPr>
        <w:t>AASB 2015</w:t>
      </w:r>
      <w:r w:rsidR="00241313" w:rsidRPr="00D22909">
        <w:rPr>
          <w:sz w:val="14"/>
          <w:szCs w:val="14"/>
        </w:rPr>
        <w:t>–</w:t>
      </w:r>
      <w:r w:rsidRPr="00D22909">
        <w:rPr>
          <w:sz w:val="14"/>
          <w:szCs w:val="14"/>
        </w:rPr>
        <w:t xml:space="preserve">9 </w:t>
      </w:r>
      <w:r w:rsidRPr="00D22909">
        <w:rPr>
          <w:i/>
          <w:sz w:val="14"/>
          <w:szCs w:val="14"/>
        </w:rPr>
        <w:t>Amendments</w:t>
      </w:r>
      <w:r w:rsidRPr="0005782C">
        <w:rPr>
          <w:i/>
          <w:sz w:val="14"/>
          <w:szCs w:val="14"/>
        </w:rPr>
        <w:t xml:space="preserve"> to Australian Accounting Standards—Scope and Application Paragraphs</w:t>
      </w:r>
      <w:r w:rsidRPr="0005782C">
        <w:rPr>
          <w:sz w:val="14"/>
          <w:szCs w:val="14"/>
        </w:rPr>
        <w:t xml:space="preserve"> [AASB 8, AASB 133 &amp; AASB 1057]</w:t>
      </w:r>
      <w:r w:rsidRPr="0005782C">
        <w:rPr>
          <w:rFonts w:ascii="Times New Roman" w:hAnsi="Times New Roman"/>
          <w:sz w:val="14"/>
          <w:szCs w:val="14"/>
        </w:rPr>
        <w:br/>
      </w:r>
      <w:r w:rsidRPr="0005782C">
        <w:rPr>
          <w:sz w:val="14"/>
          <w:szCs w:val="14"/>
        </w:rPr>
        <w:t>AASB 2015</w:t>
      </w:r>
      <w:r w:rsidR="00241313" w:rsidRPr="0005782C">
        <w:rPr>
          <w:sz w:val="14"/>
          <w:szCs w:val="14"/>
        </w:rPr>
        <w:t>–</w:t>
      </w:r>
      <w:r w:rsidRPr="0005782C">
        <w:rPr>
          <w:sz w:val="14"/>
          <w:szCs w:val="14"/>
        </w:rPr>
        <w:t xml:space="preserve">10 </w:t>
      </w:r>
      <w:r w:rsidRPr="0005782C">
        <w:rPr>
          <w:i/>
          <w:sz w:val="14"/>
          <w:szCs w:val="14"/>
        </w:rPr>
        <w:t>Amendments to Australian Accounting Standards—Effective Date of Amendments to AASB 10 and AASB 128</w:t>
      </w:r>
      <w:r w:rsidRPr="0005782C">
        <w:rPr>
          <w:rFonts w:ascii="Times New Roman" w:hAnsi="Times New Roman"/>
          <w:sz w:val="14"/>
          <w:szCs w:val="14"/>
        </w:rPr>
        <w:br/>
      </w:r>
      <w:r w:rsidRPr="0005782C">
        <w:rPr>
          <w:sz w:val="14"/>
          <w:szCs w:val="14"/>
        </w:rPr>
        <w:t>AASB 2016</w:t>
      </w:r>
      <w:r w:rsidR="00241313" w:rsidRPr="0005782C">
        <w:rPr>
          <w:sz w:val="14"/>
          <w:szCs w:val="14"/>
        </w:rPr>
        <w:t>–</w:t>
      </w:r>
      <w:r w:rsidRPr="0005782C">
        <w:rPr>
          <w:sz w:val="14"/>
          <w:szCs w:val="14"/>
        </w:rPr>
        <w:t xml:space="preserve">1 </w:t>
      </w:r>
      <w:r w:rsidRPr="0005782C">
        <w:rPr>
          <w:i/>
          <w:sz w:val="14"/>
          <w:szCs w:val="14"/>
        </w:rPr>
        <w:t>Amendments to Australian Accounting Standards—Recognition of Deferred Tax Assets for Unrealised Losses</w:t>
      </w:r>
      <w:r w:rsidRPr="0005782C">
        <w:rPr>
          <w:sz w:val="14"/>
          <w:szCs w:val="14"/>
        </w:rPr>
        <w:t xml:space="preserve"> [AASB 112] </w:t>
      </w:r>
      <w:r w:rsidRPr="0005782C">
        <w:rPr>
          <w:rFonts w:ascii="Times New Roman" w:hAnsi="Times New Roman"/>
          <w:sz w:val="14"/>
          <w:szCs w:val="14"/>
        </w:rPr>
        <w:br/>
      </w:r>
      <w:r w:rsidRPr="0005782C">
        <w:rPr>
          <w:sz w:val="14"/>
          <w:szCs w:val="14"/>
        </w:rPr>
        <w:t>AASB 2016</w:t>
      </w:r>
      <w:r w:rsidR="00241313" w:rsidRPr="0005782C">
        <w:rPr>
          <w:sz w:val="14"/>
          <w:szCs w:val="14"/>
        </w:rPr>
        <w:t>–</w:t>
      </w:r>
      <w:r w:rsidRPr="0005782C">
        <w:rPr>
          <w:sz w:val="14"/>
          <w:szCs w:val="14"/>
        </w:rPr>
        <w:t xml:space="preserve">2 </w:t>
      </w:r>
      <w:r w:rsidRPr="0005782C">
        <w:rPr>
          <w:i/>
          <w:sz w:val="14"/>
          <w:szCs w:val="14"/>
        </w:rPr>
        <w:t>Amendments to Australian Accounting Standards—Disclosure Initiative: Amendments to AASB 107</w:t>
      </w:r>
    </w:p>
    <w:p w14:paraId="47E2D028" w14:textId="77777777" w:rsidR="00FE7F8B" w:rsidRDefault="00FE7F8B" w:rsidP="00AD641C">
      <w:pPr>
        <w:pStyle w:val="Heading2notes"/>
        <w:numPr>
          <w:ilvl w:val="0"/>
          <w:numId w:val="39"/>
        </w:numPr>
      </w:pPr>
      <w:bookmarkStart w:id="63" w:name="_Toc461176291"/>
      <w:bookmarkStart w:id="64" w:name="_Toc399491059"/>
      <w:bookmarkStart w:id="65" w:name="_Ref399422752"/>
      <w:r>
        <w:t>Departmental (controlled) outputs</w:t>
      </w:r>
      <w:bookmarkEnd w:id="63"/>
      <w:bookmarkEnd w:id="64"/>
      <w:bookmarkEnd w:id="65"/>
    </w:p>
    <w:p w14:paraId="63585FC0" w14:textId="77777777" w:rsidR="00FE7F8B" w:rsidRDefault="00FE7F8B" w:rsidP="00FE7F8B">
      <w:r>
        <w:t>A description of departmental outputs performed during the year ended 30 June 2016, and the objectives of these outputs, are summarised below.</w:t>
      </w:r>
    </w:p>
    <w:p w14:paraId="505E450E" w14:textId="77777777" w:rsidR="00FE7F8B" w:rsidRDefault="00FE7F8B" w:rsidP="00AD641C">
      <w:pPr>
        <w:pStyle w:val="Heading3notesnumbered"/>
        <w:numPr>
          <w:ilvl w:val="0"/>
          <w:numId w:val="44"/>
        </w:numPr>
      </w:pPr>
      <w:r>
        <w:t>Strategy, Review and Regulation</w:t>
      </w:r>
    </w:p>
    <w:p w14:paraId="4B8C1109" w14:textId="77777777" w:rsidR="00FE7F8B" w:rsidRDefault="00FE7F8B" w:rsidP="00FE7F8B">
      <w:r>
        <w:t xml:space="preserve">The strategy, review and regulation output group </w:t>
      </w:r>
      <w:proofErr w:type="gramStart"/>
      <w:r>
        <w:t>develops,</w:t>
      </w:r>
      <w:proofErr w:type="gramEnd"/>
      <w:r>
        <w:t xml:space="preserve"> plans and monitors strategic policy settings across all stages of learning. It also includes inter-governmental negotiations as well as research, data and performance evaluations. This output group also supports regulation that ensures quality education and training is delivered and contributes to all the Department’s objectives of achievement, engagement, wellbeing and productivity.</w:t>
      </w:r>
    </w:p>
    <w:p w14:paraId="57767623" w14:textId="77777777" w:rsidR="00FE7F8B" w:rsidRDefault="00FE7F8B" w:rsidP="00AD641C">
      <w:pPr>
        <w:pStyle w:val="Heading3notesnumbered"/>
        <w:numPr>
          <w:ilvl w:val="0"/>
          <w:numId w:val="40"/>
        </w:numPr>
      </w:pPr>
      <w:r>
        <w:t>Early Childhood Development</w:t>
      </w:r>
    </w:p>
    <w:p w14:paraId="769EFDD2" w14:textId="77777777" w:rsidR="00FE7F8B" w:rsidRDefault="00FE7F8B" w:rsidP="00FE7F8B">
      <w:r>
        <w:t>The early childhood development output group provides funding for a range of services that support children in the early years, including kindergarten and children’s services, maternal and child health, and early intervention services for children with a disability. These outputs make a significant contribution to the Government’s key outcomes in early childhood services. This output group and its outputs contribute towards providing and improving services to support all the Department’s objectives of achievement, engagement, wellbeing and productivity.</w:t>
      </w:r>
    </w:p>
    <w:p w14:paraId="4C7C4AB6" w14:textId="77777777" w:rsidR="00FE7F8B" w:rsidRDefault="00FE7F8B" w:rsidP="00AD641C">
      <w:pPr>
        <w:pStyle w:val="Heading3notesnumbered"/>
        <w:numPr>
          <w:ilvl w:val="0"/>
          <w:numId w:val="40"/>
        </w:numPr>
      </w:pPr>
      <w:r>
        <w:t>School Education</w:t>
      </w:r>
    </w:p>
    <w:p w14:paraId="574B17D6" w14:textId="77777777" w:rsidR="00FE7F8B" w:rsidRDefault="00FE7F8B" w:rsidP="00FE7F8B">
      <w:r>
        <w:t>The school education output group consists of two outputs. The School Education—primary output provides services to develop essential skills and learning experiences to engage young minds in the primary sector. The School Education—secondary output delivers services to consolidate literacy and numeracy competencies including creative and critical thinking, as well as physical, social, emotional and intellectual development in adolescence. It also provides education services as well as varied pathways and support for transition across sectors to further study or employment. This output group contributes towards providing and improving services to support all the Department’s objectives of achievement, engagement, wellbeing and productivity.</w:t>
      </w:r>
    </w:p>
    <w:p w14:paraId="76DE3FE9" w14:textId="77777777" w:rsidR="00FE7F8B" w:rsidRDefault="00FE7F8B" w:rsidP="00FE7F8B">
      <w:pPr>
        <w:pStyle w:val="Heading4notes"/>
      </w:pPr>
      <w:r>
        <w:t>School Education—primary</w:t>
      </w:r>
    </w:p>
    <w:p w14:paraId="4746BF50" w14:textId="1161880D" w:rsidR="00FE7F8B" w:rsidRDefault="00FE7F8B" w:rsidP="00FE7F8B">
      <w:r>
        <w:t>This output provides education and other associated services designed to improve the quality of learning of students i</w:t>
      </w:r>
      <w:r w:rsidR="002E3F40">
        <w:t>n Prep to Y</w:t>
      </w:r>
      <w:r>
        <w:t>ear 6 in government and non-government schools.</w:t>
      </w:r>
    </w:p>
    <w:p w14:paraId="002628AC" w14:textId="77777777" w:rsidR="00FE7F8B" w:rsidRDefault="00FE7F8B" w:rsidP="00FE7F8B">
      <w:pPr>
        <w:pStyle w:val="Heading4notes"/>
      </w:pPr>
      <w:r>
        <w:t>School Education—secondary</w:t>
      </w:r>
    </w:p>
    <w:p w14:paraId="52F30255" w14:textId="374B6AB7" w:rsidR="00FE7F8B" w:rsidRDefault="00FE7F8B" w:rsidP="00FE7F8B">
      <w:r>
        <w:t>This output involves provision of education and other associated services designed to improve the quality of student learning</w:t>
      </w:r>
      <w:r w:rsidR="002E3F40">
        <w:t xml:space="preserve"> and transition of students in </w:t>
      </w:r>
      <w:r w:rsidR="00A71C13">
        <w:t>Y</w:t>
      </w:r>
      <w:r>
        <w:t>ear 7 to 12 in government and non-government schools. It also covers the provision of cross-sectoral services to improve the transition to further education, training and employment.</w:t>
      </w:r>
    </w:p>
    <w:p w14:paraId="4FAD6B65" w14:textId="77777777" w:rsidR="00FE7F8B" w:rsidRDefault="00FE7F8B" w:rsidP="00AD641C">
      <w:pPr>
        <w:pStyle w:val="Heading3notesnumbered"/>
        <w:numPr>
          <w:ilvl w:val="0"/>
          <w:numId w:val="40"/>
        </w:numPr>
      </w:pPr>
      <w:r>
        <w:t>Higher Education and Skills</w:t>
      </w:r>
    </w:p>
    <w:p w14:paraId="4AFDD4DD" w14:textId="77777777" w:rsidR="00FE7F8B" w:rsidRDefault="00FE7F8B" w:rsidP="00FE7F8B">
      <w:r>
        <w:t xml:space="preserve">The higher education and skills output supports Victorians to gain the skills and capabilities essential for a rewarding life and helps create a globally competitive workforce. This output includes the functions of system design, market facilitation, </w:t>
      </w:r>
      <w:proofErr w:type="gramStart"/>
      <w:r>
        <w:t>consumer</w:t>
      </w:r>
      <w:proofErr w:type="gramEnd"/>
      <w:r>
        <w:t xml:space="preserve"> information, contracting and monitoring of vocational education and training services. It also involves the development and implementation of effective strategies for accredited and pre-accredited vocational education and training through adult community education. This output group contributes towards providing and improving services to support all the Department’s objectives of achievement, engagement, wellbeing and productivity.</w:t>
      </w:r>
    </w:p>
    <w:p w14:paraId="06DBED98" w14:textId="77777777" w:rsidR="00FE7F8B" w:rsidRDefault="00FE7F8B" w:rsidP="00AD641C">
      <w:pPr>
        <w:pStyle w:val="Heading3notesnumbered"/>
        <w:numPr>
          <w:ilvl w:val="0"/>
          <w:numId w:val="40"/>
        </w:numPr>
      </w:pPr>
      <w:r>
        <w:t>Support Services Delivery</w:t>
      </w:r>
    </w:p>
    <w:p w14:paraId="3E368263" w14:textId="77777777" w:rsidR="00FE7F8B" w:rsidRDefault="00FE7F8B" w:rsidP="00FE7F8B">
      <w:r>
        <w:t>The support services delivery output group covers the Regional Support Group and provides student welfare and support, education maintenance allowance, student transport (excluding transport for special needs students) and health services. This output group contributes towards providing and improving services to support all the Department’s objectives of achievement, engagement, wellbeing and productivity.</w:t>
      </w:r>
    </w:p>
    <w:p w14:paraId="4C34E336" w14:textId="77777777" w:rsidR="00FE7F8B" w:rsidRDefault="00FE7F8B" w:rsidP="00AD641C">
      <w:pPr>
        <w:pStyle w:val="Heading3notesnumbered"/>
        <w:numPr>
          <w:ilvl w:val="0"/>
          <w:numId w:val="40"/>
        </w:numPr>
      </w:pPr>
      <w:r>
        <w:t>Support for Students with Disabilities</w:t>
      </w:r>
    </w:p>
    <w:p w14:paraId="23FD60E4" w14:textId="77777777" w:rsidR="00FE7F8B" w:rsidRDefault="00FE7F8B" w:rsidP="00FE7F8B">
      <w:r>
        <w:t>The support for students with disabilities output group covers the Program for Students with Disabilities, transport for special need students and welfare and support services for students with special needs. This output group contributes towards providing and improving services to support all the Department’s objectives of achievement, engagement, wellbeing and productivity.</w:t>
      </w:r>
    </w:p>
    <w:p w14:paraId="4A7ACF3D" w14:textId="77777777" w:rsidR="00FE7F8B" w:rsidRDefault="00FE7F8B" w:rsidP="00FE7F8B">
      <w:pPr>
        <w:spacing w:after="200" w:line="276" w:lineRule="auto"/>
      </w:pPr>
      <w:r>
        <w:br w:type="page"/>
      </w:r>
    </w:p>
    <w:p w14:paraId="4B0F0968" w14:textId="77777777" w:rsidR="00FE7F8B" w:rsidRDefault="00FE7F8B" w:rsidP="00FE7F8B">
      <w:pPr>
        <w:pStyle w:val="Caption"/>
      </w:pPr>
      <w:r>
        <w:t xml:space="preserve">Table </w:t>
      </w:r>
      <w:fldSimple w:instr=" SEQ Table \* ARABIC ">
        <w:r w:rsidR="00B60957">
          <w:rPr>
            <w:noProof/>
          </w:rPr>
          <w:t>1</w:t>
        </w:r>
      </w:fldSimple>
      <w:r>
        <w:t>—Departmental outputs schedule—controlled income and expenses for the year ended 30 June 2016</w:t>
      </w:r>
    </w:p>
    <w:tbl>
      <w:tblPr>
        <w:tblW w:w="5030" w:type="pct"/>
        <w:tblLayout w:type="fixed"/>
        <w:tblLook w:val="04A0" w:firstRow="1" w:lastRow="0" w:firstColumn="1" w:lastColumn="0" w:noHBand="0" w:noVBand="1"/>
      </w:tblPr>
      <w:tblGrid>
        <w:gridCol w:w="2465"/>
        <w:gridCol w:w="191"/>
        <w:gridCol w:w="652"/>
        <w:gridCol w:w="30"/>
        <w:gridCol w:w="643"/>
        <w:gridCol w:w="27"/>
        <w:gridCol w:w="14"/>
        <w:gridCol w:w="57"/>
        <w:gridCol w:w="610"/>
        <w:gridCol w:w="29"/>
        <w:gridCol w:w="14"/>
        <w:gridCol w:w="15"/>
        <w:gridCol w:w="65"/>
        <w:gridCol w:w="622"/>
        <w:gridCol w:w="9"/>
        <w:gridCol w:w="32"/>
        <w:gridCol w:w="59"/>
        <w:gridCol w:w="565"/>
        <w:gridCol w:w="54"/>
        <w:gridCol w:w="8"/>
        <w:gridCol w:w="597"/>
        <w:gridCol w:w="9"/>
        <w:gridCol w:w="102"/>
        <w:gridCol w:w="42"/>
        <w:gridCol w:w="621"/>
      </w:tblGrid>
      <w:tr w:rsidR="007F3724" w14:paraId="15498854" w14:textId="77777777" w:rsidTr="007F3724">
        <w:trPr>
          <w:tblHeader/>
        </w:trPr>
        <w:tc>
          <w:tcPr>
            <w:tcW w:w="1764" w:type="pct"/>
            <w:gridSpan w:val="2"/>
            <w:shd w:val="clear" w:color="auto" w:fill="7F7F7F" w:themeFill="text1" w:themeFillTint="80"/>
            <w:tcMar>
              <w:top w:w="0" w:type="dxa"/>
              <w:left w:w="57" w:type="dxa"/>
              <w:bottom w:w="0" w:type="dxa"/>
              <w:right w:w="57" w:type="dxa"/>
            </w:tcMar>
            <w:vAlign w:val="bottom"/>
          </w:tcPr>
          <w:p w14:paraId="1AE8B0F4" w14:textId="77777777" w:rsidR="00FE7F8B" w:rsidRDefault="00FE7F8B">
            <w:pPr>
              <w:pStyle w:val="Tabletextoutputs"/>
              <w:rPr>
                <w:b/>
                <w:color w:val="FFFFFF" w:themeColor="background1"/>
                <w:lang w:eastAsia="en-US"/>
              </w:rPr>
            </w:pPr>
          </w:p>
        </w:tc>
        <w:tc>
          <w:tcPr>
            <w:tcW w:w="453" w:type="pct"/>
            <w:gridSpan w:val="2"/>
            <w:shd w:val="clear" w:color="auto" w:fill="7F7F7F" w:themeFill="text1" w:themeFillTint="80"/>
            <w:tcMar>
              <w:top w:w="0" w:type="dxa"/>
              <w:left w:w="57" w:type="dxa"/>
              <w:bottom w:w="0" w:type="dxa"/>
              <w:right w:w="57" w:type="dxa"/>
            </w:tcMar>
            <w:hideMark/>
          </w:tcPr>
          <w:p w14:paraId="6BD92FC5"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Strategy, Review</w:t>
            </w:r>
            <w:r w:rsidRPr="001F3461">
              <w:rPr>
                <w:b/>
                <w:color w:val="FFFFFF" w:themeColor="background1"/>
                <w:sz w:val="14"/>
                <w:szCs w:val="14"/>
                <w:lang w:eastAsia="en-US"/>
              </w:rPr>
              <w:br/>
              <w:t>and Regulation</w:t>
            </w:r>
          </w:p>
        </w:tc>
        <w:tc>
          <w:tcPr>
            <w:tcW w:w="492" w:type="pct"/>
            <w:gridSpan w:val="4"/>
            <w:shd w:val="clear" w:color="auto" w:fill="7F7F7F" w:themeFill="text1" w:themeFillTint="80"/>
            <w:tcMar>
              <w:top w:w="0" w:type="dxa"/>
              <w:left w:w="57" w:type="dxa"/>
              <w:bottom w:w="0" w:type="dxa"/>
              <w:right w:w="57" w:type="dxa"/>
            </w:tcMar>
            <w:hideMark/>
          </w:tcPr>
          <w:p w14:paraId="060A7C13"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Early Childhood Develop</w:t>
            </w:r>
            <w:r w:rsidRPr="001F3461">
              <w:rPr>
                <w:b/>
                <w:color w:val="FFFFFF" w:themeColor="background1"/>
                <w:sz w:val="14"/>
                <w:szCs w:val="14"/>
                <w:lang w:eastAsia="en-US"/>
              </w:rPr>
              <w:softHyphen/>
              <w:t>ment</w:t>
            </w:r>
          </w:p>
        </w:tc>
        <w:tc>
          <w:tcPr>
            <w:tcW w:w="486" w:type="pct"/>
            <w:gridSpan w:val="5"/>
            <w:shd w:val="clear" w:color="auto" w:fill="7F7F7F" w:themeFill="text1" w:themeFillTint="80"/>
            <w:tcMar>
              <w:top w:w="0" w:type="dxa"/>
              <w:left w:w="57" w:type="dxa"/>
              <w:bottom w:w="0" w:type="dxa"/>
              <w:right w:w="57" w:type="dxa"/>
            </w:tcMar>
            <w:hideMark/>
          </w:tcPr>
          <w:p w14:paraId="5B46A0C5"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School Education</w:t>
            </w:r>
          </w:p>
        </w:tc>
        <w:tc>
          <w:tcPr>
            <w:tcW w:w="479" w:type="pct"/>
            <w:gridSpan w:val="4"/>
            <w:shd w:val="clear" w:color="auto" w:fill="7F7F7F" w:themeFill="text1" w:themeFillTint="80"/>
            <w:tcMar>
              <w:top w:w="0" w:type="dxa"/>
              <w:left w:w="57" w:type="dxa"/>
              <w:bottom w:w="0" w:type="dxa"/>
              <w:right w:w="57" w:type="dxa"/>
            </w:tcMar>
            <w:hideMark/>
          </w:tcPr>
          <w:p w14:paraId="3F92846D"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Higher Education and Skills</w:t>
            </w:r>
          </w:p>
        </w:tc>
        <w:tc>
          <w:tcPr>
            <w:tcW w:w="411" w:type="pct"/>
            <w:gridSpan w:val="2"/>
            <w:shd w:val="clear" w:color="auto" w:fill="7F7F7F" w:themeFill="text1" w:themeFillTint="80"/>
            <w:tcMar>
              <w:top w:w="0" w:type="dxa"/>
              <w:left w:w="57" w:type="dxa"/>
              <w:bottom w:w="0" w:type="dxa"/>
              <w:right w:w="57" w:type="dxa"/>
            </w:tcMar>
            <w:hideMark/>
          </w:tcPr>
          <w:p w14:paraId="72EF21C9"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Support Services Delivery</w:t>
            </w:r>
          </w:p>
        </w:tc>
        <w:tc>
          <w:tcPr>
            <w:tcW w:w="503" w:type="pct"/>
            <w:gridSpan w:val="5"/>
            <w:shd w:val="clear" w:color="auto" w:fill="7F7F7F" w:themeFill="text1" w:themeFillTint="80"/>
            <w:tcMar>
              <w:top w:w="0" w:type="dxa"/>
              <w:left w:w="57" w:type="dxa"/>
              <w:bottom w:w="0" w:type="dxa"/>
              <w:right w:w="57" w:type="dxa"/>
            </w:tcMar>
            <w:hideMark/>
          </w:tcPr>
          <w:p w14:paraId="5AF01434"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Support for Students with Disabilities</w:t>
            </w:r>
          </w:p>
        </w:tc>
        <w:tc>
          <w:tcPr>
            <w:tcW w:w="413" w:type="pct"/>
            <w:shd w:val="clear" w:color="auto" w:fill="7F7F7F" w:themeFill="text1" w:themeFillTint="80"/>
            <w:tcMar>
              <w:top w:w="0" w:type="dxa"/>
              <w:left w:w="57" w:type="dxa"/>
              <w:bottom w:w="0" w:type="dxa"/>
              <w:right w:w="57" w:type="dxa"/>
            </w:tcMar>
            <w:hideMark/>
          </w:tcPr>
          <w:p w14:paraId="4743F637" w14:textId="77777777" w:rsidR="00FE7F8B" w:rsidRPr="001F3461" w:rsidRDefault="00FE7F8B">
            <w:pPr>
              <w:pStyle w:val="Tabletextoutputs"/>
              <w:jc w:val="center"/>
              <w:rPr>
                <w:b/>
                <w:color w:val="FFFFFF" w:themeColor="background1"/>
                <w:sz w:val="14"/>
                <w:szCs w:val="14"/>
                <w:lang w:eastAsia="en-US"/>
              </w:rPr>
            </w:pPr>
            <w:r w:rsidRPr="001F3461">
              <w:rPr>
                <w:b/>
                <w:color w:val="FFFFFF" w:themeColor="background1"/>
                <w:sz w:val="14"/>
                <w:szCs w:val="14"/>
                <w:lang w:eastAsia="en-US"/>
              </w:rPr>
              <w:t>Depart</w:t>
            </w:r>
            <w:r w:rsidRPr="001F3461">
              <w:rPr>
                <w:b/>
                <w:color w:val="FFFFFF" w:themeColor="background1"/>
                <w:sz w:val="14"/>
                <w:szCs w:val="14"/>
                <w:lang w:eastAsia="en-US"/>
              </w:rPr>
              <w:softHyphen/>
              <w:t>mental total</w:t>
            </w:r>
          </w:p>
        </w:tc>
      </w:tr>
      <w:tr w:rsidR="007F3724" w14:paraId="7989D5A3" w14:textId="77777777" w:rsidTr="007F3724">
        <w:tc>
          <w:tcPr>
            <w:tcW w:w="1764" w:type="pct"/>
            <w:gridSpan w:val="2"/>
            <w:shd w:val="clear" w:color="auto" w:fill="7F7F7F" w:themeFill="text1" w:themeFillTint="80"/>
            <w:vAlign w:val="bottom"/>
          </w:tcPr>
          <w:p w14:paraId="40FFCB05" w14:textId="77777777" w:rsidR="00FE7F8B" w:rsidRDefault="00FE7F8B">
            <w:pPr>
              <w:pStyle w:val="Tabletextoutputs"/>
              <w:rPr>
                <w:b/>
                <w:color w:val="FFFFFF" w:themeColor="background1"/>
                <w:lang w:eastAsia="en-US"/>
              </w:rPr>
            </w:pPr>
          </w:p>
        </w:tc>
        <w:tc>
          <w:tcPr>
            <w:tcW w:w="453" w:type="pct"/>
            <w:gridSpan w:val="2"/>
            <w:shd w:val="clear" w:color="auto" w:fill="7F7F7F" w:themeFill="text1" w:themeFillTint="80"/>
            <w:hideMark/>
          </w:tcPr>
          <w:p w14:paraId="301C43C0"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92" w:type="pct"/>
            <w:gridSpan w:val="4"/>
            <w:shd w:val="clear" w:color="auto" w:fill="7F7F7F" w:themeFill="text1" w:themeFillTint="80"/>
            <w:hideMark/>
          </w:tcPr>
          <w:p w14:paraId="475FFAC9"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86" w:type="pct"/>
            <w:gridSpan w:val="5"/>
            <w:shd w:val="clear" w:color="auto" w:fill="7F7F7F" w:themeFill="text1" w:themeFillTint="80"/>
            <w:hideMark/>
          </w:tcPr>
          <w:p w14:paraId="4824C949"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79" w:type="pct"/>
            <w:gridSpan w:val="4"/>
            <w:shd w:val="clear" w:color="auto" w:fill="7F7F7F" w:themeFill="text1" w:themeFillTint="80"/>
            <w:hideMark/>
          </w:tcPr>
          <w:p w14:paraId="464ACE4F"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11" w:type="pct"/>
            <w:gridSpan w:val="2"/>
            <w:shd w:val="clear" w:color="auto" w:fill="7F7F7F" w:themeFill="text1" w:themeFillTint="80"/>
            <w:hideMark/>
          </w:tcPr>
          <w:p w14:paraId="3ED98FE8"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03" w:type="pct"/>
            <w:gridSpan w:val="5"/>
            <w:shd w:val="clear" w:color="auto" w:fill="7F7F7F" w:themeFill="text1" w:themeFillTint="80"/>
            <w:hideMark/>
          </w:tcPr>
          <w:p w14:paraId="3B727DA4"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13" w:type="pct"/>
            <w:shd w:val="clear" w:color="auto" w:fill="7F7F7F" w:themeFill="text1" w:themeFillTint="80"/>
            <w:hideMark/>
          </w:tcPr>
          <w:p w14:paraId="324AC58F" w14:textId="77777777" w:rsidR="00FE7F8B" w:rsidRDefault="00FE7F8B">
            <w:pPr>
              <w:pStyle w:val="Tabletextoutputs"/>
              <w:jc w:val="center"/>
              <w:rPr>
                <w:b/>
                <w:color w:val="FFFFFF" w:themeColor="background1"/>
                <w:lang w:eastAsia="en-US"/>
              </w:rPr>
            </w:pPr>
            <w:r>
              <w:rPr>
                <w:b/>
                <w:color w:val="FFFFFF" w:themeColor="background1"/>
                <w:lang w:eastAsia="en-US"/>
              </w:rPr>
              <w:t>$m</w:t>
            </w:r>
          </w:p>
        </w:tc>
      </w:tr>
      <w:tr w:rsidR="00FE7F8B" w14:paraId="21458612" w14:textId="77777777" w:rsidTr="007F3724">
        <w:trPr>
          <w:trHeight w:val="255"/>
        </w:trPr>
        <w:tc>
          <w:tcPr>
            <w:tcW w:w="5000" w:type="pct"/>
            <w:gridSpan w:val="25"/>
            <w:shd w:val="clear" w:color="auto" w:fill="FFFFFF"/>
            <w:noWrap/>
            <w:vAlign w:val="bottom"/>
            <w:hideMark/>
          </w:tcPr>
          <w:p w14:paraId="37D5D47D" w14:textId="77777777" w:rsidR="00FE7F8B" w:rsidRDefault="00FE7F8B">
            <w:pPr>
              <w:pStyle w:val="Tabletextoutputs"/>
              <w:rPr>
                <w:b/>
                <w:lang w:eastAsia="en-US"/>
              </w:rPr>
            </w:pPr>
            <w:r>
              <w:rPr>
                <w:b/>
                <w:lang w:eastAsia="en-US"/>
              </w:rPr>
              <w:t>Income from transactions</w:t>
            </w:r>
          </w:p>
        </w:tc>
      </w:tr>
      <w:tr w:rsidR="007F3724" w14:paraId="7FFA3BB2" w14:textId="77777777" w:rsidTr="007F3724">
        <w:trPr>
          <w:trHeight w:val="210"/>
        </w:trPr>
        <w:tc>
          <w:tcPr>
            <w:tcW w:w="1637" w:type="pct"/>
            <w:shd w:val="clear" w:color="auto" w:fill="FFFFFF"/>
            <w:vAlign w:val="center"/>
            <w:hideMark/>
          </w:tcPr>
          <w:p w14:paraId="03351F09" w14:textId="77777777" w:rsidR="00FE7F8B" w:rsidRDefault="00FE7F8B">
            <w:pPr>
              <w:pStyle w:val="Tabletextoutputstight"/>
              <w:rPr>
                <w:lang w:eastAsia="en-US"/>
              </w:rPr>
            </w:pPr>
            <w:r>
              <w:rPr>
                <w:lang w:eastAsia="en-US"/>
              </w:rPr>
              <w:t>Output appropriations</w:t>
            </w:r>
          </w:p>
        </w:tc>
        <w:tc>
          <w:tcPr>
            <w:tcW w:w="580" w:type="pct"/>
            <w:gridSpan w:val="3"/>
            <w:shd w:val="clear" w:color="auto" w:fill="F2F2F2" w:themeFill="background1" w:themeFillShade="F2"/>
            <w:vAlign w:val="bottom"/>
            <w:hideMark/>
          </w:tcPr>
          <w:p w14:paraId="27F43C1E" w14:textId="77777777" w:rsidR="00FE7F8B" w:rsidRDefault="00FE7F8B">
            <w:pPr>
              <w:pStyle w:val="Tabletextoutputstight"/>
              <w:jc w:val="right"/>
              <w:rPr>
                <w:lang w:eastAsia="en-US"/>
              </w:rPr>
            </w:pPr>
            <w:r>
              <w:rPr>
                <w:lang w:eastAsia="en-US"/>
              </w:rPr>
              <w:t>84.6</w:t>
            </w:r>
          </w:p>
        </w:tc>
        <w:tc>
          <w:tcPr>
            <w:tcW w:w="445" w:type="pct"/>
            <w:gridSpan w:val="2"/>
            <w:vAlign w:val="bottom"/>
            <w:hideMark/>
          </w:tcPr>
          <w:p w14:paraId="5FB305F1" w14:textId="77777777" w:rsidR="00FE7F8B" w:rsidRDefault="00FE7F8B">
            <w:pPr>
              <w:pStyle w:val="Tabletextoutputstight"/>
              <w:jc w:val="right"/>
              <w:rPr>
                <w:lang w:eastAsia="en-US"/>
              </w:rPr>
            </w:pPr>
            <w:r>
              <w:rPr>
                <w:lang w:eastAsia="en-US"/>
              </w:rPr>
              <w:t>532.9</w:t>
            </w:r>
          </w:p>
        </w:tc>
        <w:tc>
          <w:tcPr>
            <w:tcW w:w="452" w:type="pct"/>
            <w:gridSpan w:val="3"/>
            <w:shd w:val="clear" w:color="auto" w:fill="F2F2F2" w:themeFill="background1" w:themeFillShade="F2"/>
            <w:vAlign w:val="bottom"/>
            <w:hideMark/>
          </w:tcPr>
          <w:p w14:paraId="71F7E47C" w14:textId="77777777" w:rsidR="00FE7F8B" w:rsidRDefault="00FE7F8B">
            <w:pPr>
              <w:pStyle w:val="Tabletextoutputstight"/>
              <w:jc w:val="right"/>
              <w:rPr>
                <w:lang w:eastAsia="en-US"/>
              </w:rPr>
            </w:pPr>
            <w:r>
              <w:rPr>
                <w:lang w:val="en-US" w:eastAsia="en-US"/>
              </w:rPr>
              <w:t>7,774.1</w:t>
            </w:r>
          </w:p>
        </w:tc>
        <w:tc>
          <w:tcPr>
            <w:tcW w:w="521" w:type="pct"/>
            <w:gridSpan w:val="7"/>
            <w:vAlign w:val="bottom"/>
            <w:hideMark/>
          </w:tcPr>
          <w:p w14:paraId="4E056581" w14:textId="77777777" w:rsidR="00FE7F8B" w:rsidRDefault="00FE7F8B">
            <w:pPr>
              <w:pStyle w:val="Tabletextoutputstight"/>
              <w:jc w:val="right"/>
              <w:rPr>
                <w:lang w:eastAsia="en-US"/>
              </w:rPr>
            </w:pPr>
            <w:r>
              <w:rPr>
                <w:lang w:val="en-US" w:eastAsia="en-US"/>
              </w:rPr>
              <w:t>1,578.8</w:t>
            </w:r>
          </w:p>
        </w:tc>
        <w:tc>
          <w:tcPr>
            <w:tcW w:w="455" w:type="pct"/>
            <w:gridSpan w:val="4"/>
            <w:shd w:val="clear" w:color="auto" w:fill="F2F2F2" w:themeFill="background1" w:themeFillShade="F2"/>
            <w:vAlign w:val="bottom"/>
            <w:hideMark/>
          </w:tcPr>
          <w:p w14:paraId="4013D477" w14:textId="77777777" w:rsidR="00FE7F8B" w:rsidRDefault="00FE7F8B">
            <w:pPr>
              <w:pStyle w:val="Tabletextoutputstight"/>
              <w:jc w:val="right"/>
              <w:rPr>
                <w:lang w:eastAsia="en-US"/>
              </w:rPr>
            </w:pPr>
            <w:r>
              <w:rPr>
                <w:lang w:eastAsia="en-US"/>
              </w:rPr>
              <w:t>342.3</w:t>
            </w:r>
          </w:p>
        </w:tc>
        <w:tc>
          <w:tcPr>
            <w:tcW w:w="402" w:type="pct"/>
            <w:gridSpan w:val="2"/>
            <w:vAlign w:val="bottom"/>
            <w:hideMark/>
          </w:tcPr>
          <w:p w14:paraId="53CAA176" w14:textId="77777777" w:rsidR="00FE7F8B" w:rsidRDefault="00FE7F8B">
            <w:pPr>
              <w:pStyle w:val="Tabletextoutputstight"/>
              <w:jc w:val="right"/>
              <w:rPr>
                <w:lang w:eastAsia="en-US"/>
              </w:rPr>
            </w:pPr>
            <w:r>
              <w:rPr>
                <w:lang w:eastAsia="en-US"/>
              </w:rPr>
              <w:t>859.3</w:t>
            </w:r>
          </w:p>
        </w:tc>
        <w:tc>
          <w:tcPr>
            <w:tcW w:w="508" w:type="pct"/>
            <w:gridSpan w:val="3"/>
            <w:shd w:val="clear" w:color="auto" w:fill="F2F2F2" w:themeFill="background1" w:themeFillShade="F2"/>
            <w:vAlign w:val="bottom"/>
            <w:hideMark/>
          </w:tcPr>
          <w:p w14:paraId="1FA1099B" w14:textId="77777777" w:rsidR="00FE7F8B" w:rsidRDefault="00FE7F8B">
            <w:pPr>
              <w:pStyle w:val="Tabletextoutputstight"/>
              <w:jc w:val="right"/>
              <w:rPr>
                <w:lang w:eastAsia="en-US"/>
              </w:rPr>
            </w:pPr>
            <w:r>
              <w:rPr>
                <w:b/>
                <w:lang w:eastAsia="en-US"/>
              </w:rPr>
              <w:t>11,172.0</w:t>
            </w:r>
          </w:p>
        </w:tc>
      </w:tr>
      <w:tr w:rsidR="007F3724" w14:paraId="360F3251" w14:textId="77777777" w:rsidTr="007F3724">
        <w:trPr>
          <w:trHeight w:val="210"/>
        </w:trPr>
        <w:tc>
          <w:tcPr>
            <w:tcW w:w="1637" w:type="pct"/>
            <w:shd w:val="clear" w:color="auto" w:fill="FFFFFF"/>
            <w:vAlign w:val="center"/>
            <w:hideMark/>
          </w:tcPr>
          <w:p w14:paraId="3DD12B4D" w14:textId="77777777" w:rsidR="00FE7F8B" w:rsidRDefault="00FE7F8B">
            <w:pPr>
              <w:pStyle w:val="Tabletextoutputstight"/>
              <w:rPr>
                <w:lang w:eastAsia="en-US"/>
              </w:rPr>
            </w:pPr>
            <w:r>
              <w:rPr>
                <w:lang w:eastAsia="en-US"/>
              </w:rPr>
              <w:t>Special appropriations</w:t>
            </w:r>
          </w:p>
        </w:tc>
        <w:tc>
          <w:tcPr>
            <w:tcW w:w="580" w:type="pct"/>
            <w:gridSpan w:val="3"/>
            <w:shd w:val="clear" w:color="auto" w:fill="F2F2F2" w:themeFill="background1" w:themeFillShade="F2"/>
            <w:vAlign w:val="bottom"/>
            <w:hideMark/>
          </w:tcPr>
          <w:p w14:paraId="1C770AC2" w14:textId="77777777" w:rsidR="00FE7F8B" w:rsidRDefault="00FE7F8B">
            <w:pPr>
              <w:pStyle w:val="Tabletextoutputstight"/>
              <w:jc w:val="right"/>
              <w:rPr>
                <w:lang w:eastAsia="en-US"/>
              </w:rPr>
            </w:pPr>
            <w:r>
              <w:rPr>
                <w:lang w:eastAsia="en-US"/>
              </w:rPr>
              <w:t>-</w:t>
            </w:r>
          </w:p>
        </w:tc>
        <w:tc>
          <w:tcPr>
            <w:tcW w:w="445" w:type="pct"/>
            <w:gridSpan w:val="2"/>
            <w:vAlign w:val="bottom"/>
            <w:hideMark/>
          </w:tcPr>
          <w:p w14:paraId="1DE46987" w14:textId="77777777" w:rsidR="00FE7F8B" w:rsidRDefault="00FE7F8B">
            <w:pPr>
              <w:pStyle w:val="Tabletextoutputstight"/>
              <w:jc w:val="right"/>
              <w:rPr>
                <w:lang w:eastAsia="en-US"/>
              </w:rPr>
            </w:pPr>
            <w:r>
              <w:rPr>
                <w:lang w:eastAsia="en-US"/>
              </w:rPr>
              <w:t>1.1</w:t>
            </w:r>
          </w:p>
        </w:tc>
        <w:tc>
          <w:tcPr>
            <w:tcW w:w="452" w:type="pct"/>
            <w:gridSpan w:val="3"/>
            <w:shd w:val="clear" w:color="auto" w:fill="F2F2F2" w:themeFill="background1" w:themeFillShade="F2"/>
            <w:vAlign w:val="bottom"/>
            <w:hideMark/>
          </w:tcPr>
          <w:p w14:paraId="5EB12A98" w14:textId="77777777" w:rsidR="00FE7F8B" w:rsidRDefault="00FE7F8B">
            <w:pPr>
              <w:pStyle w:val="Tabletextoutputstight"/>
              <w:jc w:val="right"/>
              <w:rPr>
                <w:lang w:eastAsia="en-US"/>
              </w:rPr>
            </w:pPr>
            <w:r>
              <w:rPr>
                <w:lang w:val="en-US" w:eastAsia="en-US"/>
              </w:rPr>
              <w:t>20.9</w:t>
            </w:r>
          </w:p>
        </w:tc>
        <w:tc>
          <w:tcPr>
            <w:tcW w:w="521" w:type="pct"/>
            <w:gridSpan w:val="7"/>
            <w:vAlign w:val="bottom"/>
            <w:hideMark/>
          </w:tcPr>
          <w:p w14:paraId="4DBBFF28" w14:textId="77777777" w:rsidR="00FE7F8B" w:rsidRDefault="00FE7F8B">
            <w:pPr>
              <w:pStyle w:val="Tabletextoutputstight"/>
              <w:jc w:val="right"/>
              <w:rPr>
                <w:lang w:eastAsia="en-US"/>
              </w:rPr>
            </w:pPr>
            <w:r>
              <w:rPr>
                <w:lang w:val="en-US" w:eastAsia="en-US"/>
              </w:rPr>
              <w:t>-</w:t>
            </w:r>
          </w:p>
        </w:tc>
        <w:tc>
          <w:tcPr>
            <w:tcW w:w="455" w:type="pct"/>
            <w:gridSpan w:val="4"/>
            <w:shd w:val="clear" w:color="auto" w:fill="F2F2F2" w:themeFill="background1" w:themeFillShade="F2"/>
            <w:vAlign w:val="bottom"/>
            <w:hideMark/>
          </w:tcPr>
          <w:p w14:paraId="403877A0" w14:textId="77777777" w:rsidR="00FE7F8B" w:rsidRDefault="00FE7F8B">
            <w:pPr>
              <w:pStyle w:val="Tabletextoutputstight"/>
              <w:jc w:val="right"/>
              <w:rPr>
                <w:lang w:eastAsia="en-US"/>
              </w:rPr>
            </w:pPr>
            <w:r>
              <w:rPr>
                <w:lang w:eastAsia="en-US"/>
              </w:rPr>
              <w:t>-</w:t>
            </w:r>
          </w:p>
        </w:tc>
        <w:tc>
          <w:tcPr>
            <w:tcW w:w="402" w:type="pct"/>
            <w:gridSpan w:val="2"/>
            <w:vAlign w:val="bottom"/>
            <w:hideMark/>
          </w:tcPr>
          <w:p w14:paraId="515203A6" w14:textId="77777777" w:rsidR="00FE7F8B" w:rsidRDefault="00FE7F8B">
            <w:pPr>
              <w:pStyle w:val="Tabletextoutputstight"/>
              <w:jc w:val="right"/>
              <w:rPr>
                <w:lang w:eastAsia="en-US"/>
              </w:rPr>
            </w:pPr>
            <w:r>
              <w:rPr>
                <w:lang w:eastAsia="en-US"/>
              </w:rPr>
              <w:t>-</w:t>
            </w:r>
          </w:p>
        </w:tc>
        <w:tc>
          <w:tcPr>
            <w:tcW w:w="508" w:type="pct"/>
            <w:gridSpan w:val="3"/>
            <w:shd w:val="clear" w:color="auto" w:fill="F2F2F2" w:themeFill="background1" w:themeFillShade="F2"/>
            <w:vAlign w:val="bottom"/>
            <w:hideMark/>
          </w:tcPr>
          <w:p w14:paraId="5262DEEE" w14:textId="77777777" w:rsidR="00FE7F8B" w:rsidRDefault="00FE7F8B">
            <w:pPr>
              <w:pStyle w:val="Tabletextoutputstight"/>
              <w:jc w:val="right"/>
              <w:rPr>
                <w:lang w:eastAsia="en-US"/>
              </w:rPr>
            </w:pPr>
            <w:r>
              <w:rPr>
                <w:b/>
                <w:lang w:eastAsia="en-US"/>
              </w:rPr>
              <w:t>22.0</w:t>
            </w:r>
          </w:p>
        </w:tc>
      </w:tr>
      <w:tr w:rsidR="007F3724" w14:paraId="3A479BFC" w14:textId="77777777" w:rsidTr="007F3724">
        <w:trPr>
          <w:trHeight w:val="210"/>
        </w:trPr>
        <w:tc>
          <w:tcPr>
            <w:tcW w:w="1637" w:type="pct"/>
            <w:shd w:val="clear" w:color="auto" w:fill="FFFFFF"/>
            <w:noWrap/>
            <w:vAlign w:val="bottom"/>
            <w:hideMark/>
          </w:tcPr>
          <w:p w14:paraId="000A2FD0" w14:textId="77777777" w:rsidR="00FE7F8B" w:rsidRDefault="00FE7F8B">
            <w:pPr>
              <w:pStyle w:val="Tabletextoutputstight"/>
              <w:rPr>
                <w:lang w:eastAsia="en-US"/>
              </w:rPr>
            </w:pPr>
            <w:r>
              <w:rPr>
                <w:lang w:eastAsia="en-US"/>
              </w:rPr>
              <w:t>Interest</w:t>
            </w:r>
          </w:p>
        </w:tc>
        <w:tc>
          <w:tcPr>
            <w:tcW w:w="580" w:type="pct"/>
            <w:gridSpan w:val="3"/>
            <w:shd w:val="clear" w:color="auto" w:fill="F2F2F2" w:themeFill="background1" w:themeFillShade="F2"/>
            <w:vAlign w:val="bottom"/>
            <w:hideMark/>
          </w:tcPr>
          <w:p w14:paraId="21D8DEA2" w14:textId="77777777" w:rsidR="00FE7F8B" w:rsidRDefault="00FE7F8B">
            <w:pPr>
              <w:pStyle w:val="Tabletextoutputstight"/>
              <w:jc w:val="right"/>
              <w:rPr>
                <w:lang w:eastAsia="en-US"/>
              </w:rPr>
            </w:pPr>
            <w:r>
              <w:rPr>
                <w:lang w:eastAsia="en-US"/>
              </w:rPr>
              <w:t>-</w:t>
            </w:r>
          </w:p>
        </w:tc>
        <w:tc>
          <w:tcPr>
            <w:tcW w:w="445" w:type="pct"/>
            <w:gridSpan w:val="2"/>
            <w:vAlign w:val="bottom"/>
            <w:hideMark/>
          </w:tcPr>
          <w:p w14:paraId="17E1BCCE" w14:textId="77777777" w:rsidR="00FE7F8B" w:rsidRDefault="00FE7F8B">
            <w:pPr>
              <w:pStyle w:val="Tabletextoutputstight"/>
              <w:jc w:val="right"/>
              <w:rPr>
                <w:lang w:eastAsia="en-US"/>
              </w:rPr>
            </w:pPr>
            <w:r>
              <w:rPr>
                <w:lang w:eastAsia="en-US"/>
              </w:rPr>
              <w:t>-</w:t>
            </w:r>
          </w:p>
        </w:tc>
        <w:tc>
          <w:tcPr>
            <w:tcW w:w="452" w:type="pct"/>
            <w:gridSpan w:val="3"/>
            <w:shd w:val="clear" w:color="auto" w:fill="F2F2F2" w:themeFill="background1" w:themeFillShade="F2"/>
            <w:vAlign w:val="bottom"/>
            <w:hideMark/>
          </w:tcPr>
          <w:p w14:paraId="4A14E4AE" w14:textId="77777777" w:rsidR="00FE7F8B" w:rsidRDefault="00FE7F8B">
            <w:pPr>
              <w:pStyle w:val="Tabletextoutputstight"/>
              <w:jc w:val="right"/>
              <w:rPr>
                <w:lang w:eastAsia="en-US"/>
              </w:rPr>
            </w:pPr>
            <w:r>
              <w:rPr>
                <w:lang w:val="en-US" w:eastAsia="en-US"/>
              </w:rPr>
              <w:t>17.2</w:t>
            </w:r>
          </w:p>
        </w:tc>
        <w:tc>
          <w:tcPr>
            <w:tcW w:w="521" w:type="pct"/>
            <w:gridSpan w:val="7"/>
            <w:vAlign w:val="bottom"/>
            <w:hideMark/>
          </w:tcPr>
          <w:p w14:paraId="1E95C9BE" w14:textId="77777777" w:rsidR="00FE7F8B" w:rsidRDefault="00FE7F8B">
            <w:pPr>
              <w:pStyle w:val="Tabletextoutputstight"/>
              <w:jc w:val="right"/>
              <w:rPr>
                <w:lang w:eastAsia="en-US"/>
              </w:rPr>
            </w:pPr>
            <w:r>
              <w:rPr>
                <w:lang w:val="en-US" w:eastAsia="en-US"/>
              </w:rPr>
              <w:t>-</w:t>
            </w:r>
          </w:p>
        </w:tc>
        <w:tc>
          <w:tcPr>
            <w:tcW w:w="455" w:type="pct"/>
            <w:gridSpan w:val="4"/>
            <w:shd w:val="clear" w:color="auto" w:fill="F2F2F2" w:themeFill="background1" w:themeFillShade="F2"/>
            <w:vAlign w:val="bottom"/>
            <w:hideMark/>
          </w:tcPr>
          <w:p w14:paraId="73695264" w14:textId="77777777" w:rsidR="00FE7F8B" w:rsidRDefault="00FE7F8B">
            <w:pPr>
              <w:pStyle w:val="Tabletextoutputstight"/>
              <w:jc w:val="right"/>
              <w:rPr>
                <w:lang w:eastAsia="en-US"/>
              </w:rPr>
            </w:pPr>
            <w:r>
              <w:rPr>
                <w:lang w:eastAsia="en-US"/>
              </w:rPr>
              <w:t>-</w:t>
            </w:r>
          </w:p>
        </w:tc>
        <w:tc>
          <w:tcPr>
            <w:tcW w:w="402" w:type="pct"/>
            <w:gridSpan w:val="2"/>
            <w:vAlign w:val="bottom"/>
            <w:hideMark/>
          </w:tcPr>
          <w:p w14:paraId="2A8AB466" w14:textId="77777777" w:rsidR="00FE7F8B" w:rsidRDefault="00FE7F8B">
            <w:pPr>
              <w:pStyle w:val="Tabletextoutputstight"/>
              <w:jc w:val="right"/>
              <w:rPr>
                <w:lang w:eastAsia="en-US"/>
              </w:rPr>
            </w:pPr>
            <w:r>
              <w:rPr>
                <w:lang w:eastAsia="en-US"/>
              </w:rPr>
              <w:t>-</w:t>
            </w:r>
          </w:p>
        </w:tc>
        <w:tc>
          <w:tcPr>
            <w:tcW w:w="508" w:type="pct"/>
            <w:gridSpan w:val="3"/>
            <w:shd w:val="clear" w:color="auto" w:fill="F2F2F2" w:themeFill="background1" w:themeFillShade="F2"/>
            <w:vAlign w:val="bottom"/>
            <w:hideMark/>
          </w:tcPr>
          <w:p w14:paraId="26378074" w14:textId="77777777" w:rsidR="00FE7F8B" w:rsidRDefault="00FE7F8B">
            <w:pPr>
              <w:pStyle w:val="Tabletextoutputstight"/>
              <w:jc w:val="right"/>
              <w:rPr>
                <w:lang w:eastAsia="en-US"/>
              </w:rPr>
            </w:pPr>
            <w:r>
              <w:rPr>
                <w:b/>
                <w:lang w:eastAsia="en-US"/>
              </w:rPr>
              <w:t>17.2</w:t>
            </w:r>
          </w:p>
        </w:tc>
      </w:tr>
      <w:tr w:rsidR="007F3724" w14:paraId="5E2D173C" w14:textId="77777777" w:rsidTr="007F3724">
        <w:trPr>
          <w:trHeight w:val="210"/>
        </w:trPr>
        <w:tc>
          <w:tcPr>
            <w:tcW w:w="1637" w:type="pct"/>
            <w:shd w:val="clear" w:color="auto" w:fill="FFFFFF"/>
            <w:noWrap/>
            <w:vAlign w:val="bottom"/>
            <w:hideMark/>
          </w:tcPr>
          <w:p w14:paraId="6837F513" w14:textId="77777777" w:rsidR="00FE7F8B" w:rsidRDefault="00FE7F8B">
            <w:pPr>
              <w:pStyle w:val="Tabletextoutputstight"/>
              <w:rPr>
                <w:lang w:eastAsia="en-US"/>
              </w:rPr>
            </w:pPr>
            <w:r>
              <w:rPr>
                <w:lang w:eastAsia="en-US"/>
              </w:rPr>
              <w:t>Grants</w:t>
            </w:r>
          </w:p>
        </w:tc>
        <w:tc>
          <w:tcPr>
            <w:tcW w:w="580" w:type="pct"/>
            <w:gridSpan w:val="3"/>
            <w:shd w:val="clear" w:color="auto" w:fill="F2F2F2" w:themeFill="background1" w:themeFillShade="F2"/>
            <w:vAlign w:val="bottom"/>
            <w:hideMark/>
          </w:tcPr>
          <w:p w14:paraId="45C1D4A3" w14:textId="77777777" w:rsidR="00FE7F8B" w:rsidRDefault="00FE7F8B">
            <w:pPr>
              <w:pStyle w:val="Tabletextoutputstight"/>
              <w:jc w:val="right"/>
              <w:rPr>
                <w:lang w:eastAsia="en-US"/>
              </w:rPr>
            </w:pPr>
            <w:r>
              <w:rPr>
                <w:lang w:eastAsia="en-US"/>
              </w:rPr>
              <w:t>0.4</w:t>
            </w:r>
          </w:p>
        </w:tc>
        <w:tc>
          <w:tcPr>
            <w:tcW w:w="445" w:type="pct"/>
            <w:gridSpan w:val="2"/>
            <w:vAlign w:val="bottom"/>
            <w:hideMark/>
          </w:tcPr>
          <w:p w14:paraId="380738EC" w14:textId="77777777" w:rsidR="00FE7F8B" w:rsidRDefault="00FE7F8B">
            <w:pPr>
              <w:pStyle w:val="Tabletextoutputstight"/>
              <w:jc w:val="right"/>
              <w:rPr>
                <w:lang w:eastAsia="en-US"/>
              </w:rPr>
            </w:pPr>
            <w:r>
              <w:rPr>
                <w:lang w:eastAsia="en-US"/>
              </w:rPr>
              <w:t>0.4</w:t>
            </w:r>
          </w:p>
        </w:tc>
        <w:tc>
          <w:tcPr>
            <w:tcW w:w="452" w:type="pct"/>
            <w:gridSpan w:val="3"/>
            <w:shd w:val="clear" w:color="auto" w:fill="F2F2F2" w:themeFill="background1" w:themeFillShade="F2"/>
            <w:vAlign w:val="bottom"/>
            <w:hideMark/>
          </w:tcPr>
          <w:p w14:paraId="081F890F" w14:textId="77777777" w:rsidR="00FE7F8B" w:rsidRDefault="00FE7F8B">
            <w:pPr>
              <w:pStyle w:val="Tabletextoutputstight"/>
              <w:jc w:val="right"/>
              <w:rPr>
                <w:lang w:eastAsia="en-US"/>
              </w:rPr>
            </w:pPr>
            <w:r>
              <w:rPr>
                <w:lang w:val="en-US" w:eastAsia="en-US"/>
              </w:rPr>
              <w:t>22.4</w:t>
            </w:r>
          </w:p>
        </w:tc>
        <w:tc>
          <w:tcPr>
            <w:tcW w:w="521" w:type="pct"/>
            <w:gridSpan w:val="7"/>
            <w:vAlign w:val="bottom"/>
            <w:hideMark/>
          </w:tcPr>
          <w:p w14:paraId="3CD9B753" w14:textId="77777777" w:rsidR="00FE7F8B" w:rsidRDefault="00FE7F8B">
            <w:pPr>
              <w:pStyle w:val="Tabletextoutputstight"/>
              <w:jc w:val="right"/>
              <w:rPr>
                <w:lang w:eastAsia="en-US"/>
              </w:rPr>
            </w:pPr>
            <w:r>
              <w:rPr>
                <w:lang w:val="en-US" w:eastAsia="en-US"/>
              </w:rPr>
              <w:t>0.2</w:t>
            </w:r>
          </w:p>
        </w:tc>
        <w:tc>
          <w:tcPr>
            <w:tcW w:w="455" w:type="pct"/>
            <w:gridSpan w:val="4"/>
            <w:shd w:val="clear" w:color="auto" w:fill="F2F2F2" w:themeFill="background1" w:themeFillShade="F2"/>
            <w:vAlign w:val="bottom"/>
            <w:hideMark/>
          </w:tcPr>
          <w:p w14:paraId="075AD1CF" w14:textId="77777777" w:rsidR="00FE7F8B" w:rsidRDefault="00FE7F8B">
            <w:pPr>
              <w:pStyle w:val="Tabletextoutputstight"/>
              <w:jc w:val="right"/>
              <w:rPr>
                <w:lang w:eastAsia="en-US"/>
              </w:rPr>
            </w:pPr>
            <w:r>
              <w:rPr>
                <w:lang w:eastAsia="en-US"/>
              </w:rPr>
              <w:t>-</w:t>
            </w:r>
          </w:p>
        </w:tc>
        <w:tc>
          <w:tcPr>
            <w:tcW w:w="402" w:type="pct"/>
            <w:gridSpan w:val="2"/>
            <w:vAlign w:val="bottom"/>
            <w:hideMark/>
          </w:tcPr>
          <w:p w14:paraId="422F9FD5" w14:textId="77777777" w:rsidR="00FE7F8B" w:rsidRDefault="00FE7F8B">
            <w:pPr>
              <w:pStyle w:val="Tabletextoutputstight"/>
              <w:jc w:val="right"/>
              <w:rPr>
                <w:lang w:eastAsia="en-US"/>
              </w:rPr>
            </w:pPr>
            <w:r>
              <w:rPr>
                <w:lang w:eastAsia="en-US"/>
              </w:rPr>
              <w:t>-</w:t>
            </w:r>
          </w:p>
        </w:tc>
        <w:tc>
          <w:tcPr>
            <w:tcW w:w="508" w:type="pct"/>
            <w:gridSpan w:val="3"/>
            <w:shd w:val="clear" w:color="auto" w:fill="F2F2F2" w:themeFill="background1" w:themeFillShade="F2"/>
            <w:vAlign w:val="bottom"/>
            <w:hideMark/>
          </w:tcPr>
          <w:p w14:paraId="3813799C" w14:textId="77777777" w:rsidR="00FE7F8B" w:rsidRDefault="00FE7F8B">
            <w:pPr>
              <w:pStyle w:val="Tabletextoutputstight"/>
              <w:jc w:val="right"/>
              <w:rPr>
                <w:lang w:eastAsia="en-US"/>
              </w:rPr>
            </w:pPr>
            <w:r>
              <w:rPr>
                <w:b/>
                <w:lang w:eastAsia="en-US"/>
              </w:rPr>
              <w:t>23.4</w:t>
            </w:r>
          </w:p>
        </w:tc>
      </w:tr>
      <w:tr w:rsidR="007F3724" w14:paraId="46B8C1E3" w14:textId="77777777" w:rsidTr="007F3724">
        <w:trPr>
          <w:trHeight w:val="210"/>
        </w:trPr>
        <w:tc>
          <w:tcPr>
            <w:tcW w:w="1637" w:type="pct"/>
            <w:shd w:val="clear" w:color="auto" w:fill="FFFFFF"/>
            <w:noWrap/>
            <w:vAlign w:val="bottom"/>
            <w:hideMark/>
          </w:tcPr>
          <w:p w14:paraId="02E1302B" w14:textId="77777777" w:rsidR="00FE7F8B" w:rsidRDefault="00FE7F8B">
            <w:pPr>
              <w:pStyle w:val="Tabletextoutputstight"/>
              <w:rPr>
                <w:lang w:eastAsia="en-US"/>
              </w:rPr>
            </w:pPr>
            <w:r>
              <w:rPr>
                <w:lang w:eastAsia="en-US"/>
              </w:rPr>
              <w:t>Sales of goods and services</w:t>
            </w:r>
          </w:p>
        </w:tc>
        <w:tc>
          <w:tcPr>
            <w:tcW w:w="580" w:type="pct"/>
            <w:gridSpan w:val="3"/>
            <w:shd w:val="clear" w:color="auto" w:fill="F2F2F2" w:themeFill="background1" w:themeFillShade="F2"/>
            <w:vAlign w:val="bottom"/>
            <w:hideMark/>
          </w:tcPr>
          <w:p w14:paraId="14018D28" w14:textId="77777777" w:rsidR="00FE7F8B" w:rsidRDefault="00FE7F8B">
            <w:pPr>
              <w:pStyle w:val="Tabletextoutputstight"/>
              <w:jc w:val="right"/>
              <w:rPr>
                <w:lang w:eastAsia="en-US"/>
              </w:rPr>
            </w:pPr>
            <w:r>
              <w:rPr>
                <w:lang w:eastAsia="en-US"/>
              </w:rPr>
              <w:t>1.7</w:t>
            </w:r>
          </w:p>
        </w:tc>
        <w:tc>
          <w:tcPr>
            <w:tcW w:w="445" w:type="pct"/>
            <w:gridSpan w:val="2"/>
            <w:vAlign w:val="bottom"/>
            <w:hideMark/>
          </w:tcPr>
          <w:p w14:paraId="1A90FF78" w14:textId="77777777" w:rsidR="00FE7F8B" w:rsidRDefault="00FE7F8B">
            <w:pPr>
              <w:pStyle w:val="Tabletextoutputstight"/>
              <w:jc w:val="right"/>
              <w:rPr>
                <w:lang w:eastAsia="en-US"/>
              </w:rPr>
            </w:pPr>
            <w:r>
              <w:rPr>
                <w:lang w:eastAsia="en-US"/>
              </w:rPr>
              <w:t>0.1</w:t>
            </w:r>
          </w:p>
        </w:tc>
        <w:tc>
          <w:tcPr>
            <w:tcW w:w="452" w:type="pct"/>
            <w:gridSpan w:val="3"/>
            <w:shd w:val="clear" w:color="auto" w:fill="F2F2F2" w:themeFill="background1" w:themeFillShade="F2"/>
            <w:vAlign w:val="bottom"/>
            <w:hideMark/>
          </w:tcPr>
          <w:p w14:paraId="47A55118" w14:textId="77777777" w:rsidR="00FE7F8B" w:rsidRDefault="00FE7F8B">
            <w:pPr>
              <w:pStyle w:val="Tabletextoutputstight"/>
              <w:jc w:val="right"/>
              <w:rPr>
                <w:lang w:eastAsia="en-US"/>
              </w:rPr>
            </w:pPr>
            <w:r>
              <w:rPr>
                <w:lang w:val="en-US" w:eastAsia="en-US"/>
              </w:rPr>
              <w:t>206.6</w:t>
            </w:r>
          </w:p>
        </w:tc>
        <w:tc>
          <w:tcPr>
            <w:tcW w:w="521" w:type="pct"/>
            <w:gridSpan w:val="7"/>
            <w:vAlign w:val="bottom"/>
            <w:hideMark/>
          </w:tcPr>
          <w:p w14:paraId="2C24EFE5" w14:textId="77777777" w:rsidR="00FE7F8B" w:rsidRDefault="00FE7F8B">
            <w:pPr>
              <w:pStyle w:val="Tabletextoutputstight"/>
              <w:jc w:val="right"/>
              <w:rPr>
                <w:lang w:eastAsia="en-US"/>
              </w:rPr>
            </w:pPr>
            <w:r>
              <w:rPr>
                <w:lang w:val="en-US" w:eastAsia="en-US"/>
              </w:rPr>
              <w:t>0.3</w:t>
            </w:r>
          </w:p>
        </w:tc>
        <w:tc>
          <w:tcPr>
            <w:tcW w:w="455" w:type="pct"/>
            <w:gridSpan w:val="4"/>
            <w:shd w:val="clear" w:color="auto" w:fill="F2F2F2" w:themeFill="background1" w:themeFillShade="F2"/>
            <w:vAlign w:val="bottom"/>
            <w:hideMark/>
          </w:tcPr>
          <w:p w14:paraId="2013E66E" w14:textId="77777777" w:rsidR="00FE7F8B" w:rsidRDefault="00FE7F8B">
            <w:pPr>
              <w:pStyle w:val="Tabletextoutputstight"/>
              <w:jc w:val="right"/>
              <w:rPr>
                <w:lang w:eastAsia="en-US"/>
              </w:rPr>
            </w:pPr>
            <w:r>
              <w:rPr>
                <w:lang w:eastAsia="en-US"/>
              </w:rPr>
              <w:t>-</w:t>
            </w:r>
          </w:p>
        </w:tc>
        <w:tc>
          <w:tcPr>
            <w:tcW w:w="402" w:type="pct"/>
            <w:gridSpan w:val="2"/>
            <w:vAlign w:val="bottom"/>
            <w:hideMark/>
          </w:tcPr>
          <w:p w14:paraId="367BD351" w14:textId="77777777" w:rsidR="00FE7F8B" w:rsidRDefault="00FE7F8B">
            <w:pPr>
              <w:pStyle w:val="Tabletextoutputstight"/>
              <w:jc w:val="right"/>
              <w:rPr>
                <w:lang w:eastAsia="en-US"/>
              </w:rPr>
            </w:pPr>
            <w:r>
              <w:rPr>
                <w:lang w:eastAsia="en-US"/>
              </w:rPr>
              <w:t>0.9</w:t>
            </w:r>
          </w:p>
        </w:tc>
        <w:tc>
          <w:tcPr>
            <w:tcW w:w="508" w:type="pct"/>
            <w:gridSpan w:val="3"/>
            <w:shd w:val="clear" w:color="auto" w:fill="F2F2F2" w:themeFill="background1" w:themeFillShade="F2"/>
            <w:vAlign w:val="bottom"/>
            <w:hideMark/>
          </w:tcPr>
          <w:p w14:paraId="47669D99" w14:textId="77777777" w:rsidR="00FE7F8B" w:rsidRDefault="00FE7F8B">
            <w:pPr>
              <w:pStyle w:val="Tabletextoutputstight"/>
              <w:jc w:val="right"/>
              <w:rPr>
                <w:lang w:eastAsia="en-US"/>
              </w:rPr>
            </w:pPr>
            <w:r>
              <w:rPr>
                <w:b/>
                <w:lang w:eastAsia="en-US"/>
              </w:rPr>
              <w:t>209.6</w:t>
            </w:r>
          </w:p>
        </w:tc>
      </w:tr>
      <w:tr w:rsidR="007F3724" w14:paraId="1DD01C8D" w14:textId="77777777" w:rsidTr="007F3724">
        <w:trPr>
          <w:trHeight w:val="210"/>
        </w:trPr>
        <w:tc>
          <w:tcPr>
            <w:tcW w:w="1637" w:type="pct"/>
            <w:tcBorders>
              <w:top w:val="nil"/>
              <w:left w:val="nil"/>
              <w:bottom w:val="single" w:sz="4" w:space="0" w:color="auto"/>
              <w:right w:val="nil"/>
            </w:tcBorders>
            <w:shd w:val="clear" w:color="auto" w:fill="FFFFFF"/>
            <w:vAlign w:val="center"/>
            <w:hideMark/>
          </w:tcPr>
          <w:p w14:paraId="38F2E9FF" w14:textId="77777777" w:rsidR="00FE7F8B" w:rsidRDefault="00FE7F8B">
            <w:pPr>
              <w:pStyle w:val="Tabletextoutputstight"/>
              <w:rPr>
                <w:lang w:eastAsia="en-US"/>
              </w:rPr>
            </w:pPr>
            <w:r>
              <w:rPr>
                <w:lang w:eastAsia="en-US"/>
              </w:rPr>
              <w:t>Other income</w:t>
            </w:r>
          </w:p>
        </w:tc>
        <w:tc>
          <w:tcPr>
            <w:tcW w:w="580" w:type="pct"/>
            <w:gridSpan w:val="3"/>
            <w:tcBorders>
              <w:top w:val="nil"/>
              <w:left w:val="nil"/>
              <w:bottom w:val="single" w:sz="4" w:space="0" w:color="auto"/>
              <w:right w:val="nil"/>
            </w:tcBorders>
            <w:shd w:val="clear" w:color="auto" w:fill="F2F2F2" w:themeFill="background1" w:themeFillShade="F2"/>
            <w:vAlign w:val="bottom"/>
            <w:hideMark/>
          </w:tcPr>
          <w:p w14:paraId="5A07AEE1" w14:textId="77777777" w:rsidR="00FE7F8B" w:rsidRDefault="00FE7F8B">
            <w:pPr>
              <w:pStyle w:val="Tabletextoutputstight"/>
              <w:jc w:val="right"/>
              <w:rPr>
                <w:lang w:eastAsia="en-US"/>
              </w:rPr>
            </w:pPr>
            <w:r>
              <w:rPr>
                <w:lang w:eastAsia="en-US"/>
              </w:rPr>
              <w:t>1.4</w:t>
            </w:r>
          </w:p>
        </w:tc>
        <w:tc>
          <w:tcPr>
            <w:tcW w:w="445" w:type="pct"/>
            <w:gridSpan w:val="2"/>
            <w:tcBorders>
              <w:top w:val="nil"/>
              <w:left w:val="nil"/>
              <w:bottom w:val="single" w:sz="4" w:space="0" w:color="auto"/>
              <w:right w:val="nil"/>
            </w:tcBorders>
            <w:vAlign w:val="bottom"/>
            <w:hideMark/>
          </w:tcPr>
          <w:p w14:paraId="73CCE65F" w14:textId="77777777" w:rsidR="00FE7F8B" w:rsidRDefault="00FE7F8B">
            <w:pPr>
              <w:pStyle w:val="Tabletextoutputstight"/>
              <w:jc w:val="right"/>
              <w:rPr>
                <w:lang w:eastAsia="en-US"/>
              </w:rPr>
            </w:pPr>
            <w:r>
              <w:rPr>
                <w:lang w:eastAsia="en-US"/>
              </w:rPr>
              <w:t>-</w:t>
            </w:r>
          </w:p>
        </w:tc>
        <w:tc>
          <w:tcPr>
            <w:tcW w:w="452" w:type="pct"/>
            <w:gridSpan w:val="3"/>
            <w:tcBorders>
              <w:top w:val="nil"/>
              <w:left w:val="nil"/>
              <w:bottom w:val="single" w:sz="4" w:space="0" w:color="auto"/>
              <w:right w:val="nil"/>
            </w:tcBorders>
            <w:shd w:val="clear" w:color="auto" w:fill="F2F2F2" w:themeFill="background1" w:themeFillShade="F2"/>
            <w:vAlign w:val="bottom"/>
            <w:hideMark/>
          </w:tcPr>
          <w:p w14:paraId="16AEB54A" w14:textId="77777777" w:rsidR="00FE7F8B" w:rsidRDefault="00FE7F8B">
            <w:pPr>
              <w:pStyle w:val="Tabletextoutputstight"/>
              <w:jc w:val="right"/>
              <w:rPr>
                <w:lang w:eastAsia="en-US"/>
              </w:rPr>
            </w:pPr>
            <w:r>
              <w:rPr>
                <w:lang w:val="en-US" w:eastAsia="en-US"/>
              </w:rPr>
              <w:t>524.4</w:t>
            </w:r>
          </w:p>
        </w:tc>
        <w:tc>
          <w:tcPr>
            <w:tcW w:w="521" w:type="pct"/>
            <w:gridSpan w:val="7"/>
            <w:tcBorders>
              <w:top w:val="nil"/>
              <w:left w:val="nil"/>
              <w:bottom w:val="single" w:sz="4" w:space="0" w:color="auto"/>
              <w:right w:val="nil"/>
            </w:tcBorders>
            <w:vAlign w:val="bottom"/>
            <w:hideMark/>
          </w:tcPr>
          <w:p w14:paraId="476D8537" w14:textId="77777777" w:rsidR="00FE7F8B" w:rsidRDefault="00FE7F8B">
            <w:pPr>
              <w:pStyle w:val="Tabletextoutputstight"/>
              <w:jc w:val="right"/>
              <w:rPr>
                <w:lang w:eastAsia="en-US"/>
              </w:rPr>
            </w:pPr>
            <w:r>
              <w:rPr>
                <w:lang w:val="en-US" w:eastAsia="en-US"/>
              </w:rPr>
              <w:t>0.2</w:t>
            </w:r>
          </w:p>
        </w:tc>
        <w:tc>
          <w:tcPr>
            <w:tcW w:w="455" w:type="pct"/>
            <w:gridSpan w:val="4"/>
            <w:tcBorders>
              <w:top w:val="nil"/>
              <w:left w:val="nil"/>
              <w:bottom w:val="single" w:sz="4" w:space="0" w:color="auto"/>
              <w:right w:val="nil"/>
            </w:tcBorders>
            <w:shd w:val="clear" w:color="auto" w:fill="F2F2F2" w:themeFill="background1" w:themeFillShade="F2"/>
            <w:vAlign w:val="bottom"/>
            <w:hideMark/>
          </w:tcPr>
          <w:p w14:paraId="4F9C64B3" w14:textId="77777777" w:rsidR="00FE7F8B" w:rsidRDefault="00FE7F8B">
            <w:pPr>
              <w:pStyle w:val="Tabletextoutputstight"/>
              <w:jc w:val="right"/>
              <w:rPr>
                <w:lang w:eastAsia="en-US"/>
              </w:rPr>
            </w:pPr>
            <w:r>
              <w:rPr>
                <w:lang w:eastAsia="en-US"/>
              </w:rPr>
              <w:t>0.6</w:t>
            </w:r>
          </w:p>
        </w:tc>
        <w:tc>
          <w:tcPr>
            <w:tcW w:w="402" w:type="pct"/>
            <w:gridSpan w:val="2"/>
            <w:tcBorders>
              <w:top w:val="nil"/>
              <w:left w:val="nil"/>
              <w:bottom w:val="single" w:sz="4" w:space="0" w:color="auto"/>
              <w:right w:val="nil"/>
            </w:tcBorders>
            <w:vAlign w:val="bottom"/>
            <w:hideMark/>
          </w:tcPr>
          <w:p w14:paraId="3DCFF913" w14:textId="77777777" w:rsidR="00FE7F8B" w:rsidRDefault="00FE7F8B">
            <w:pPr>
              <w:pStyle w:val="Tabletextoutputstight"/>
              <w:jc w:val="right"/>
              <w:rPr>
                <w:lang w:eastAsia="en-US"/>
              </w:rPr>
            </w:pPr>
            <w:r>
              <w:rPr>
                <w:lang w:eastAsia="en-US"/>
              </w:rPr>
              <w:t>0.1</w:t>
            </w:r>
          </w:p>
        </w:tc>
        <w:tc>
          <w:tcPr>
            <w:tcW w:w="508" w:type="pct"/>
            <w:gridSpan w:val="3"/>
            <w:tcBorders>
              <w:top w:val="nil"/>
              <w:left w:val="nil"/>
              <w:bottom w:val="single" w:sz="4" w:space="0" w:color="auto"/>
              <w:right w:val="nil"/>
            </w:tcBorders>
            <w:shd w:val="clear" w:color="auto" w:fill="F2F2F2" w:themeFill="background1" w:themeFillShade="F2"/>
            <w:vAlign w:val="bottom"/>
            <w:hideMark/>
          </w:tcPr>
          <w:p w14:paraId="6E9323C5" w14:textId="77777777" w:rsidR="00FE7F8B" w:rsidRDefault="00FE7F8B">
            <w:pPr>
              <w:pStyle w:val="Tabletextoutputstight"/>
              <w:jc w:val="right"/>
              <w:rPr>
                <w:lang w:eastAsia="en-US"/>
              </w:rPr>
            </w:pPr>
            <w:r>
              <w:rPr>
                <w:b/>
                <w:lang w:eastAsia="en-US"/>
              </w:rPr>
              <w:t>526.7</w:t>
            </w:r>
          </w:p>
        </w:tc>
      </w:tr>
      <w:tr w:rsidR="007F3724" w14:paraId="13A9AD26" w14:textId="77777777" w:rsidTr="007F3724">
        <w:trPr>
          <w:trHeight w:val="240"/>
        </w:trPr>
        <w:tc>
          <w:tcPr>
            <w:tcW w:w="1637" w:type="pct"/>
            <w:tcBorders>
              <w:top w:val="single" w:sz="4" w:space="0" w:color="auto"/>
              <w:left w:val="nil"/>
              <w:bottom w:val="single" w:sz="4" w:space="0" w:color="auto"/>
              <w:right w:val="nil"/>
            </w:tcBorders>
            <w:shd w:val="clear" w:color="auto" w:fill="FFFFFF"/>
            <w:noWrap/>
            <w:vAlign w:val="bottom"/>
            <w:hideMark/>
          </w:tcPr>
          <w:p w14:paraId="53E41AEC" w14:textId="77777777" w:rsidR="00FE7F8B" w:rsidRDefault="00FE7F8B">
            <w:pPr>
              <w:pStyle w:val="Tabletextoutputs"/>
              <w:rPr>
                <w:b/>
                <w:lang w:eastAsia="en-US"/>
              </w:rPr>
            </w:pPr>
            <w:r>
              <w:rPr>
                <w:b/>
                <w:lang w:eastAsia="en-US"/>
              </w:rPr>
              <w:t>Total income from transactions</w:t>
            </w:r>
          </w:p>
        </w:tc>
        <w:tc>
          <w:tcPr>
            <w:tcW w:w="580" w:type="pct"/>
            <w:gridSpan w:val="3"/>
            <w:tcBorders>
              <w:top w:val="single" w:sz="4" w:space="0" w:color="auto"/>
              <w:left w:val="nil"/>
              <w:bottom w:val="single" w:sz="4" w:space="0" w:color="auto"/>
              <w:right w:val="nil"/>
            </w:tcBorders>
            <w:shd w:val="clear" w:color="auto" w:fill="F2F2F2" w:themeFill="background1" w:themeFillShade="F2"/>
            <w:vAlign w:val="bottom"/>
            <w:hideMark/>
          </w:tcPr>
          <w:p w14:paraId="70E9B76F" w14:textId="77777777" w:rsidR="00FE7F8B" w:rsidRDefault="00FE7F8B">
            <w:pPr>
              <w:pStyle w:val="Tabletextoutputs"/>
              <w:jc w:val="right"/>
              <w:rPr>
                <w:b/>
                <w:lang w:eastAsia="en-US"/>
              </w:rPr>
            </w:pPr>
            <w:r>
              <w:rPr>
                <w:b/>
                <w:lang w:eastAsia="en-US"/>
              </w:rPr>
              <w:t>88.1</w:t>
            </w:r>
          </w:p>
        </w:tc>
        <w:tc>
          <w:tcPr>
            <w:tcW w:w="445" w:type="pct"/>
            <w:gridSpan w:val="2"/>
            <w:tcBorders>
              <w:top w:val="single" w:sz="4" w:space="0" w:color="auto"/>
              <w:left w:val="nil"/>
              <w:bottom w:val="single" w:sz="4" w:space="0" w:color="auto"/>
              <w:right w:val="nil"/>
            </w:tcBorders>
            <w:vAlign w:val="bottom"/>
            <w:hideMark/>
          </w:tcPr>
          <w:p w14:paraId="512F0626" w14:textId="77777777" w:rsidR="00FE7F8B" w:rsidRDefault="00FE7F8B">
            <w:pPr>
              <w:pStyle w:val="Tabletextoutputs"/>
              <w:jc w:val="right"/>
              <w:rPr>
                <w:b/>
                <w:lang w:eastAsia="en-US"/>
              </w:rPr>
            </w:pPr>
            <w:r>
              <w:rPr>
                <w:b/>
                <w:lang w:eastAsia="en-US"/>
              </w:rPr>
              <w:t>534.5</w:t>
            </w:r>
          </w:p>
        </w:tc>
        <w:tc>
          <w:tcPr>
            <w:tcW w:w="452" w:type="pct"/>
            <w:gridSpan w:val="3"/>
            <w:tcBorders>
              <w:top w:val="single" w:sz="4" w:space="0" w:color="auto"/>
              <w:left w:val="nil"/>
              <w:bottom w:val="single" w:sz="4" w:space="0" w:color="auto"/>
              <w:right w:val="nil"/>
            </w:tcBorders>
            <w:shd w:val="clear" w:color="auto" w:fill="F2F2F2" w:themeFill="background1" w:themeFillShade="F2"/>
            <w:vAlign w:val="bottom"/>
            <w:hideMark/>
          </w:tcPr>
          <w:p w14:paraId="140BBE24" w14:textId="77777777" w:rsidR="00FE7F8B" w:rsidRDefault="00FE7F8B">
            <w:pPr>
              <w:pStyle w:val="Tabletextoutputs"/>
              <w:jc w:val="right"/>
              <w:rPr>
                <w:b/>
                <w:lang w:eastAsia="en-US"/>
              </w:rPr>
            </w:pPr>
            <w:r>
              <w:rPr>
                <w:b/>
                <w:bCs/>
                <w:lang w:val="en-US" w:eastAsia="en-US"/>
              </w:rPr>
              <w:t>8,565.6</w:t>
            </w:r>
          </w:p>
        </w:tc>
        <w:tc>
          <w:tcPr>
            <w:tcW w:w="521" w:type="pct"/>
            <w:gridSpan w:val="7"/>
            <w:tcBorders>
              <w:top w:val="single" w:sz="4" w:space="0" w:color="auto"/>
              <w:left w:val="nil"/>
              <w:bottom w:val="single" w:sz="4" w:space="0" w:color="auto"/>
              <w:right w:val="nil"/>
            </w:tcBorders>
            <w:vAlign w:val="bottom"/>
            <w:hideMark/>
          </w:tcPr>
          <w:p w14:paraId="218A38DB" w14:textId="77777777" w:rsidR="00FE7F8B" w:rsidRDefault="00FE7F8B">
            <w:pPr>
              <w:pStyle w:val="Tabletextoutputs"/>
              <w:jc w:val="right"/>
              <w:rPr>
                <w:b/>
                <w:lang w:eastAsia="en-US"/>
              </w:rPr>
            </w:pPr>
            <w:r>
              <w:rPr>
                <w:b/>
                <w:bCs/>
                <w:lang w:val="en-US" w:eastAsia="en-US"/>
              </w:rPr>
              <w:t>1,579.5</w:t>
            </w:r>
          </w:p>
        </w:tc>
        <w:tc>
          <w:tcPr>
            <w:tcW w:w="455"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4EB3F1DD" w14:textId="77777777" w:rsidR="00FE7F8B" w:rsidRDefault="00FE7F8B">
            <w:pPr>
              <w:pStyle w:val="Tabletextoutputs"/>
              <w:jc w:val="right"/>
              <w:rPr>
                <w:b/>
                <w:lang w:eastAsia="en-US"/>
              </w:rPr>
            </w:pPr>
            <w:r>
              <w:rPr>
                <w:b/>
                <w:lang w:eastAsia="en-US"/>
              </w:rPr>
              <w:t>342.9</w:t>
            </w:r>
          </w:p>
        </w:tc>
        <w:tc>
          <w:tcPr>
            <w:tcW w:w="402" w:type="pct"/>
            <w:gridSpan w:val="2"/>
            <w:tcBorders>
              <w:top w:val="single" w:sz="4" w:space="0" w:color="auto"/>
              <w:left w:val="nil"/>
              <w:bottom w:val="single" w:sz="4" w:space="0" w:color="auto"/>
              <w:right w:val="nil"/>
            </w:tcBorders>
            <w:vAlign w:val="bottom"/>
            <w:hideMark/>
          </w:tcPr>
          <w:p w14:paraId="68528FFD" w14:textId="77777777" w:rsidR="00FE7F8B" w:rsidRDefault="00FE7F8B">
            <w:pPr>
              <w:pStyle w:val="Tabletextoutputs"/>
              <w:jc w:val="right"/>
              <w:rPr>
                <w:b/>
                <w:lang w:eastAsia="en-US"/>
              </w:rPr>
            </w:pPr>
            <w:r>
              <w:rPr>
                <w:b/>
                <w:lang w:eastAsia="en-US"/>
              </w:rPr>
              <w:t>860.3</w:t>
            </w:r>
          </w:p>
        </w:tc>
        <w:tc>
          <w:tcPr>
            <w:tcW w:w="508" w:type="pct"/>
            <w:gridSpan w:val="3"/>
            <w:tcBorders>
              <w:top w:val="single" w:sz="4" w:space="0" w:color="auto"/>
              <w:left w:val="nil"/>
              <w:bottom w:val="single" w:sz="4" w:space="0" w:color="auto"/>
              <w:right w:val="nil"/>
            </w:tcBorders>
            <w:shd w:val="clear" w:color="auto" w:fill="F2F2F2" w:themeFill="background1" w:themeFillShade="F2"/>
            <w:vAlign w:val="bottom"/>
            <w:hideMark/>
          </w:tcPr>
          <w:p w14:paraId="426ABB8B" w14:textId="77777777" w:rsidR="00FE7F8B" w:rsidRDefault="00FE7F8B">
            <w:pPr>
              <w:pStyle w:val="Tabletextoutputs"/>
              <w:jc w:val="right"/>
              <w:rPr>
                <w:b/>
                <w:lang w:eastAsia="en-US"/>
              </w:rPr>
            </w:pPr>
            <w:r>
              <w:rPr>
                <w:b/>
                <w:lang w:eastAsia="en-US"/>
              </w:rPr>
              <w:t>11,970.9</w:t>
            </w:r>
          </w:p>
        </w:tc>
      </w:tr>
      <w:tr w:rsidR="00FE7F8B" w14:paraId="745CDA53" w14:textId="77777777" w:rsidTr="007F3724">
        <w:trPr>
          <w:trHeight w:val="340"/>
        </w:trPr>
        <w:tc>
          <w:tcPr>
            <w:tcW w:w="5000" w:type="pct"/>
            <w:gridSpan w:val="25"/>
            <w:tcBorders>
              <w:top w:val="single" w:sz="4" w:space="0" w:color="auto"/>
              <w:left w:val="nil"/>
              <w:bottom w:val="nil"/>
              <w:right w:val="nil"/>
            </w:tcBorders>
            <w:shd w:val="clear" w:color="auto" w:fill="FFFFFF"/>
            <w:vAlign w:val="center"/>
            <w:hideMark/>
          </w:tcPr>
          <w:p w14:paraId="6F6442A0" w14:textId="77777777" w:rsidR="00FE7F8B" w:rsidRDefault="00FE7F8B">
            <w:pPr>
              <w:pStyle w:val="Tabletextoutputs"/>
              <w:rPr>
                <w:b/>
                <w:lang w:eastAsia="en-US"/>
              </w:rPr>
            </w:pPr>
            <w:r>
              <w:rPr>
                <w:b/>
                <w:lang w:eastAsia="en-US"/>
              </w:rPr>
              <w:t>Expenses from transactions</w:t>
            </w:r>
          </w:p>
        </w:tc>
      </w:tr>
      <w:tr w:rsidR="007F3724" w14:paraId="535105A5" w14:textId="77777777" w:rsidTr="007F3724">
        <w:trPr>
          <w:trHeight w:val="210"/>
        </w:trPr>
        <w:tc>
          <w:tcPr>
            <w:tcW w:w="1637" w:type="pct"/>
            <w:shd w:val="clear" w:color="auto" w:fill="FFFFFF"/>
            <w:vAlign w:val="center"/>
            <w:hideMark/>
          </w:tcPr>
          <w:p w14:paraId="29309911" w14:textId="77777777" w:rsidR="00FE7F8B" w:rsidRDefault="00FE7F8B">
            <w:pPr>
              <w:pStyle w:val="Tabletextoutputstight"/>
              <w:rPr>
                <w:lang w:eastAsia="en-US"/>
              </w:rPr>
            </w:pPr>
            <w:r>
              <w:rPr>
                <w:lang w:eastAsia="en-US"/>
              </w:rPr>
              <w:t>Employee expenses</w:t>
            </w:r>
          </w:p>
        </w:tc>
        <w:tc>
          <w:tcPr>
            <w:tcW w:w="560" w:type="pct"/>
            <w:gridSpan w:val="2"/>
            <w:shd w:val="clear" w:color="auto" w:fill="F2F2F2" w:themeFill="background1" w:themeFillShade="F2"/>
            <w:vAlign w:val="bottom"/>
            <w:hideMark/>
          </w:tcPr>
          <w:p w14:paraId="486CDED7" w14:textId="77777777" w:rsidR="00FE7F8B" w:rsidRDefault="00FE7F8B">
            <w:pPr>
              <w:pStyle w:val="Tabletextoutputstight"/>
              <w:jc w:val="right"/>
              <w:rPr>
                <w:lang w:eastAsia="en-US"/>
              </w:rPr>
            </w:pPr>
            <w:r>
              <w:rPr>
                <w:lang w:eastAsia="en-US"/>
              </w:rPr>
              <w:t>(44.6)</w:t>
            </w:r>
          </w:p>
        </w:tc>
        <w:tc>
          <w:tcPr>
            <w:tcW w:w="447" w:type="pct"/>
            <w:gridSpan w:val="2"/>
            <w:vAlign w:val="bottom"/>
            <w:hideMark/>
          </w:tcPr>
          <w:p w14:paraId="13ADCAC1" w14:textId="77777777" w:rsidR="00FE7F8B" w:rsidRDefault="00FE7F8B">
            <w:pPr>
              <w:pStyle w:val="Tabletextoutputstight"/>
              <w:jc w:val="right"/>
              <w:rPr>
                <w:lang w:eastAsia="en-US"/>
              </w:rPr>
            </w:pPr>
            <w:r>
              <w:rPr>
                <w:lang w:val="en-US" w:eastAsia="en-US"/>
              </w:rPr>
              <w:t>(42.3)</w:t>
            </w:r>
          </w:p>
        </w:tc>
        <w:tc>
          <w:tcPr>
            <w:tcW w:w="508" w:type="pct"/>
            <w:gridSpan w:val="7"/>
            <w:shd w:val="clear" w:color="auto" w:fill="F2F2F2" w:themeFill="background1" w:themeFillShade="F2"/>
            <w:vAlign w:val="bottom"/>
            <w:hideMark/>
          </w:tcPr>
          <w:p w14:paraId="0D481021" w14:textId="77777777" w:rsidR="00FE7F8B" w:rsidRDefault="00FE7F8B">
            <w:pPr>
              <w:pStyle w:val="Tabletextoutputstight"/>
              <w:jc w:val="right"/>
              <w:rPr>
                <w:lang w:eastAsia="en-US"/>
              </w:rPr>
            </w:pPr>
            <w:r>
              <w:rPr>
                <w:lang w:val="en-US" w:eastAsia="en-US"/>
              </w:rPr>
              <w:t>(4,841.5)</w:t>
            </w:r>
          </w:p>
        </w:tc>
        <w:tc>
          <w:tcPr>
            <w:tcW w:w="456" w:type="pct"/>
            <w:gridSpan w:val="2"/>
            <w:vAlign w:val="bottom"/>
            <w:hideMark/>
          </w:tcPr>
          <w:p w14:paraId="209F7671" w14:textId="77777777" w:rsidR="00FE7F8B" w:rsidRDefault="00FE7F8B">
            <w:pPr>
              <w:pStyle w:val="Tabletextoutputstight"/>
              <w:jc w:val="right"/>
              <w:rPr>
                <w:lang w:eastAsia="en-US"/>
              </w:rPr>
            </w:pPr>
            <w:r>
              <w:rPr>
                <w:lang w:val="en-US" w:eastAsia="en-US"/>
              </w:rPr>
              <w:t>(38.1)</w:t>
            </w:r>
          </w:p>
        </w:tc>
        <w:tc>
          <w:tcPr>
            <w:tcW w:w="441" w:type="pct"/>
            <w:gridSpan w:val="4"/>
            <w:shd w:val="clear" w:color="auto" w:fill="F2F2F2" w:themeFill="background1" w:themeFillShade="F2"/>
            <w:vAlign w:val="bottom"/>
            <w:hideMark/>
          </w:tcPr>
          <w:p w14:paraId="208F8639" w14:textId="77777777" w:rsidR="00FE7F8B" w:rsidRDefault="00FE7F8B">
            <w:pPr>
              <w:pStyle w:val="Tabletextoutputstight"/>
              <w:jc w:val="right"/>
              <w:rPr>
                <w:lang w:eastAsia="en-US"/>
              </w:rPr>
            </w:pPr>
            <w:r>
              <w:rPr>
                <w:lang w:val="en-US" w:eastAsia="en-US"/>
              </w:rPr>
              <w:t>(160.3)</w:t>
            </w:r>
          </w:p>
        </w:tc>
        <w:tc>
          <w:tcPr>
            <w:tcW w:w="437" w:type="pct"/>
            <w:gridSpan w:val="3"/>
            <w:vAlign w:val="bottom"/>
            <w:hideMark/>
          </w:tcPr>
          <w:p w14:paraId="3D1D02E3" w14:textId="77777777" w:rsidR="00FE7F8B" w:rsidRDefault="00FE7F8B">
            <w:pPr>
              <w:pStyle w:val="Tabletextoutputstight"/>
              <w:jc w:val="right"/>
              <w:rPr>
                <w:lang w:eastAsia="en-US"/>
              </w:rPr>
            </w:pPr>
            <w:r>
              <w:rPr>
                <w:lang w:val="en-US" w:eastAsia="en-US"/>
              </w:rPr>
              <w:t>(691.0)</w:t>
            </w:r>
          </w:p>
        </w:tc>
        <w:tc>
          <w:tcPr>
            <w:tcW w:w="514" w:type="pct"/>
            <w:gridSpan w:val="4"/>
            <w:shd w:val="clear" w:color="auto" w:fill="F2F2F2" w:themeFill="background1" w:themeFillShade="F2"/>
            <w:vAlign w:val="bottom"/>
            <w:hideMark/>
          </w:tcPr>
          <w:p w14:paraId="1D049190" w14:textId="77777777" w:rsidR="00FE7F8B" w:rsidRDefault="00FE7F8B">
            <w:pPr>
              <w:pStyle w:val="Tabletextoutputstight"/>
              <w:jc w:val="right"/>
              <w:rPr>
                <w:lang w:eastAsia="en-US"/>
              </w:rPr>
            </w:pPr>
            <w:r>
              <w:rPr>
                <w:b/>
                <w:bCs/>
                <w:lang w:val="en-US" w:eastAsia="en-US"/>
              </w:rPr>
              <w:t>(5,817.9)</w:t>
            </w:r>
          </w:p>
        </w:tc>
      </w:tr>
      <w:tr w:rsidR="007F3724" w14:paraId="0BA6D27B" w14:textId="77777777" w:rsidTr="007F3724">
        <w:trPr>
          <w:trHeight w:val="210"/>
        </w:trPr>
        <w:tc>
          <w:tcPr>
            <w:tcW w:w="1637" w:type="pct"/>
            <w:shd w:val="clear" w:color="auto" w:fill="FFFFFF"/>
            <w:vAlign w:val="center"/>
            <w:hideMark/>
          </w:tcPr>
          <w:p w14:paraId="66527DF4" w14:textId="77777777" w:rsidR="00FE7F8B" w:rsidRDefault="00FE7F8B">
            <w:pPr>
              <w:pStyle w:val="Tabletextoutputstight"/>
              <w:rPr>
                <w:lang w:eastAsia="en-US"/>
              </w:rPr>
            </w:pPr>
            <w:r>
              <w:rPr>
                <w:lang w:eastAsia="en-US"/>
              </w:rPr>
              <w:t>Depreciation and amortisation</w:t>
            </w:r>
          </w:p>
        </w:tc>
        <w:tc>
          <w:tcPr>
            <w:tcW w:w="560" w:type="pct"/>
            <w:gridSpan w:val="2"/>
            <w:shd w:val="clear" w:color="auto" w:fill="F2F2F2" w:themeFill="background1" w:themeFillShade="F2"/>
            <w:vAlign w:val="bottom"/>
            <w:hideMark/>
          </w:tcPr>
          <w:p w14:paraId="05B6F2E1" w14:textId="77777777" w:rsidR="00FE7F8B" w:rsidRDefault="00FE7F8B">
            <w:pPr>
              <w:pStyle w:val="Tabletextoutputstight"/>
              <w:jc w:val="right"/>
              <w:rPr>
                <w:lang w:eastAsia="en-US"/>
              </w:rPr>
            </w:pPr>
            <w:r>
              <w:rPr>
                <w:lang w:eastAsia="en-US"/>
              </w:rPr>
              <w:t>(4.9)</w:t>
            </w:r>
          </w:p>
        </w:tc>
        <w:tc>
          <w:tcPr>
            <w:tcW w:w="447" w:type="pct"/>
            <w:gridSpan w:val="2"/>
            <w:vAlign w:val="bottom"/>
            <w:hideMark/>
          </w:tcPr>
          <w:p w14:paraId="5690512B" w14:textId="77777777" w:rsidR="00FE7F8B" w:rsidRDefault="00FE7F8B">
            <w:pPr>
              <w:pStyle w:val="Tabletextoutputstight"/>
              <w:jc w:val="right"/>
              <w:rPr>
                <w:lang w:eastAsia="en-US"/>
              </w:rPr>
            </w:pPr>
            <w:r>
              <w:rPr>
                <w:lang w:val="en-US" w:eastAsia="en-US"/>
              </w:rPr>
              <w:t>(4.0)</w:t>
            </w:r>
          </w:p>
        </w:tc>
        <w:tc>
          <w:tcPr>
            <w:tcW w:w="508" w:type="pct"/>
            <w:gridSpan w:val="7"/>
            <w:shd w:val="clear" w:color="auto" w:fill="F2F2F2" w:themeFill="background1" w:themeFillShade="F2"/>
            <w:vAlign w:val="bottom"/>
            <w:hideMark/>
          </w:tcPr>
          <w:p w14:paraId="7986B7A2" w14:textId="77777777" w:rsidR="00FE7F8B" w:rsidRDefault="00FE7F8B">
            <w:pPr>
              <w:pStyle w:val="Tabletextoutputstight"/>
              <w:jc w:val="right"/>
              <w:rPr>
                <w:lang w:eastAsia="en-US"/>
              </w:rPr>
            </w:pPr>
            <w:r>
              <w:rPr>
                <w:lang w:val="en-US" w:eastAsia="en-US"/>
              </w:rPr>
              <w:t>(284.8)</w:t>
            </w:r>
          </w:p>
        </w:tc>
        <w:tc>
          <w:tcPr>
            <w:tcW w:w="456" w:type="pct"/>
            <w:gridSpan w:val="2"/>
            <w:vAlign w:val="bottom"/>
            <w:hideMark/>
          </w:tcPr>
          <w:p w14:paraId="403FB9F6" w14:textId="77777777" w:rsidR="00FE7F8B" w:rsidRDefault="00FE7F8B">
            <w:pPr>
              <w:pStyle w:val="Tabletextoutputstight"/>
              <w:jc w:val="right"/>
              <w:rPr>
                <w:lang w:eastAsia="en-US"/>
              </w:rPr>
            </w:pPr>
            <w:r>
              <w:rPr>
                <w:lang w:val="en-US" w:eastAsia="en-US"/>
              </w:rPr>
              <w:t>(3.1)</w:t>
            </w:r>
          </w:p>
        </w:tc>
        <w:tc>
          <w:tcPr>
            <w:tcW w:w="441" w:type="pct"/>
            <w:gridSpan w:val="4"/>
            <w:shd w:val="clear" w:color="auto" w:fill="F2F2F2" w:themeFill="background1" w:themeFillShade="F2"/>
            <w:vAlign w:val="bottom"/>
            <w:hideMark/>
          </w:tcPr>
          <w:p w14:paraId="67CDF2CC" w14:textId="77777777" w:rsidR="00FE7F8B" w:rsidRDefault="00FE7F8B">
            <w:pPr>
              <w:pStyle w:val="Tabletextoutputstight"/>
              <w:jc w:val="right"/>
              <w:rPr>
                <w:lang w:eastAsia="en-US"/>
              </w:rPr>
            </w:pPr>
            <w:r>
              <w:rPr>
                <w:lang w:val="en-US" w:eastAsia="en-US"/>
              </w:rPr>
              <w:t>(1.4)</w:t>
            </w:r>
          </w:p>
        </w:tc>
        <w:tc>
          <w:tcPr>
            <w:tcW w:w="437" w:type="pct"/>
            <w:gridSpan w:val="3"/>
            <w:vAlign w:val="bottom"/>
            <w:hideMark/>
          </w:tcPr>
          <w:p w14:paraId="62E8738B" w14:textId="77777777" w:rsidR="00FE7F8B" w:rsidRDefault="00FE7F8B">
            <w:pPr>
              <w:pStyle w:val="Tabletextoutputstight"/>
              <w:jc w:val="right"/>
              <w:rPr>
                <w:lang w:eastAsia="en-US"/>
              </w:rPr>
            </w:pPr>
            <w:r>
              <w:rPr>
                <w:lang w:val="en-US" w:eastAsia="en-US"/>
              </w:rPr>
              <w:t>(12.4)</w:t>
            </w:r>
          </w:p>
        </w:tc>
        <w:tc>
          <w:tcPr>
            <w:tcW w:w="514" w:type="pct"/>
            <w:gridSpan w:val="4"/>
            <w:shd w:val="clear" w:color="auto" w:fill="F2F2F2" w:themeFill="background1" w:themeFillShade="F2"/>
            <w:vAlign w:val="bottom"/>
            <w:hideMark/>
          </w:tcPr>
          <w:p w14:paraId="0AA589DE" w14:textId="77777777" w:rsidR="00FE7F8B" w:rsidRDefault="00FE7F8B">
            <w:pPr>
              <w:pStyle w:val="Tabletextoutputstight"/>
              <w:jc w:val="right"/>
              <w:rPr>
                <w:lang w:eastAsia="en-US"/>
              </w:rPr>
            </w:pPr>
            <w:r>
              <w:rPr>
                <w:b/>
                <w:bCs/>
                <w:lang w:val="en-US" w:eastAsia="en-US"/>
              </w:rPr>
              <w:t>(310.5)</w:t>
            </w:r>
          </w:p>
        </w:tc>
      </w:tr>
      <w:tr w:rsidR="007F3724" w14:paraId="62E650CA" w14:textId="77777777" w:rsidTr="007F3724">
        <w:trPr>
          <w:trHeight w:val="210"/>
        </w:trPr>
        <w:tc>
          <w:tcPr>
            <w:tcW w:w="1637" w:type="pct"/>
            <w:shd w:val="clear" w:color="auto" w:fill="FFFFFF"/>
            <w:vAlign w:val="center"/>
            <w:hideMark/>
          </w:tcPr>
          <w:p w14:paraId="19E58171" w14:textId="77777777" w:rsidR="00FE7F8B" w:rsidRDefault="00FE7F8B">
            <w:pPr>
              <w:pStyle w:val="Tabletextoutputstight"/>
              <w:rPr>
                <w:lang w:eastAsia="en-US"/>
              </w:rPr>
            </w:pPr>
            <w:r>
              <w:rPr>
                <w:lang w:eastAsia="en-US"/>
              </w:rPr>
              <w:t>Interest expenses</w:t>
            </w:r>
          </w:p>
        </w:tc>
        <w:tc>
          <w:tcPr>
            <w:tcW w:w="560" w:type="pct"/>
            <w:gridSpan w:val="2"/>
            <w:shd w:val="clear" w:color="auto" w:fill="F2F2F2" w:themeFill="background1" w:themeFillShade="F2"/>
            <w:vAlign w:val="bottom"/>
            <w:hideMark/>
          </w:tcPr>
          <w:p w14:paraId="14A38DD7" w14:textId="77777777" w:rsidR="00FE7F8B" w:rsidRDefault="00FE7F8B">
            <w:pPr>
              <w:pStyle w:val="Tabletextoutputstight"/>
              <w:jc w:val="right"/>
              <w:rPr>
                <w:lang w:eastAsia="en-US"/>
              </w:rPr>
            </w:pPr>
            <w:r>
              <w:rPr>
                <w:lang w:eastAsia="en-US"/>
              </w:rPr>
              <w:t>-</w:t>
            </w:r>
          </w:p>
        </w:tc>
        <w:tc>
          <w:tcPr>
            <w:tcW w:w="447" w:type="pct"/>
            <w:gridSpan w:val="2"/>
            <w:vAlign w:val="bottom"/>
            <w:hideMark/>
          </w:tcPr>
          <w:p w14:paraId="61853703" w14:textId="77777777" w:rsidR="00FE7F8B" w:rsidRDefault="00FE7F8B">
            <w:pPr>
              <w:pStyle w:val="Tabletextoutputstight"/>
              <w:jc w:val="right"/>
              <w:rPr>
                <w:lang w:eastAsia="en-US"/>
              </w:rPr>
            </w:pPr>
            <w:r>
              <w:rPr>
                <w:lang w:val="en-US" w:eastAsia="en-US"/>
              </w:rPr>
              <w:t>-</w:t>
            </w:r>
          </w:p>
        </w:tc>
        <w:tc>
          <w:tcPr>
            <w:tcW w:w="508" w:type="pct"/>
            <w:gridSpan w:val="7"/>
            <w:shd w:val="clear" w:color="auto" w:fill="F2F2F2" w:themeFill="background1" w:themeFillShade="F2"/>
            <w:vAlign w:val="bottom"/>
            <w:hideMark/>
          </w:tcPr>
          <w:p w14:paraId="4E9C59FC" w14:textId="77777777" w:rsidR="00FE7F8B" w:rsidRDefault="00FE7F8B">
            <w:pPr>
              <w:pStyle w:val="Tabletextoutputstight"/>
              <w:jc w:val="right"/>
              <w:rPr>
                <w:lang w:eastAsia="en-US"/>
              </w:rPr>
            </w:pPr>
            <w:r>
              <w:rPr>
                <w:lang w:val="en-US" w:eastAsia="en-US"/>
              </w:rPr>
              <w:t>(14.3)</w:t>
            </w:r>
          </w:p>
        </w:tc>
        <w:tc>
          <w:tcPr>
            <w:tcW w:w="456" w:type="pct"/>
            <w:gridSpan w:val="2"/>
            <w:vAlign w:val="bottom"/>
            <w:hideMark/>
          </w:tcPr>
          <w:p w14:paraId="5F3507F7" w14:textId="77777777" w:rsidR="00FE7F8B" w:rsidRDefault="00FE7F8B">
            <w:pPr>
              <w:pStyle w:val="Tabletextoutputstight"/>
              <w:jc w:val="right"/>
              <w:rPr>
                <w:lang w:eastAsia="en-US"/>
              </w:rPr>
            </w:pPr>
            <w:r>
              <w:rPr>
                <w:lang w:val="en-US" w:eastAsia="en-US"/>
              </w:rPr>
              <w:t>-</w:t>
            </w:r>
          </w:p>
        </w:tc>
        <w:tc>
          <w:tcPr>
            <w:tcW w:w="441" w:type="pct"/>
            <w:gridSpan w:val="4"/>
            <w:shd w:val="clear" w:color="auto" w:fill="F2F2F2" w:themeFill="background1" w:themeFillShade="F2"/>
            <w:vAlign w:val="bottom"/>
            <w:hideMark/>
          </w:tcPr>
          <w:p w14:paraId="107F6C65" w14:textId="77777777" w:rsidR="00FE7F8B" w:rsidRDefault="00FE7F8B">
            <w:pPr>
              <w:pStyle w:val="Tabletextoutputstight"/>
              <w:jc w:val="right"/>
              <w:rPr>
                <w:lang w:eastAsia="en-US"/>
              </w:rPr>
            </w:pPr>
            <w:r>
              <w:rPr>
                <w:lang w:val="en-US" w:eastAsia="en-US"/>
              </w:rPr>
              <w:t>-</w:t>
            </w:r>
          </w:p>
        </w:tc>
        <w:tc>
          <w:tcPr>
            <w:tcW w:w="437" w:type="pct"/>
            <w:gridSpan w:val="3"/>
            <w:vAlign w:val="bottom"/>
            <w:hideMark/>
          </w:tcPr>
          <w:p w14:paraId="036E141F" w14:textId="77777777" w:rsidR="00FE7F8B" w:rsidRDefault="00FE7F8B">
            <w:pPr>
              <w:pStyle w:val="Tabletextoutputstight"/>
              <w:jc w:val="right"/>
              <w:rPr>
                <w:lang w:eastAsia="en-US"/>
              </w:rPr>
            </w:pPr>
            <w:r>
              <w:rPr>
                <w:lang w:val="en-US" w:eastAsia="en-US"/>
              </w:rPr>
              <w:t>-</w:t>
            </w:r>
          </w:p>
        </w:tc>
        <w:tc>
          <w:tcPr>
            <w:tcW w:w="514" w:type="pct"/>
            <w:gridSpan w:val="4"/>
            <w:shd w:val="clear" w:color="auto" w:fill="F2F2F2" w:themeFill="background1" w:themeFillShade="F2"/>
            <w:vAlign w:val="bottom"/>
            <w:hideMark/>
          </w:tcPr>
          <w:p w14:paraId="310689EF" w14:textId="77777777" w:rsidR="00FE7F8B" w:rsidRDefault="00FE7F8B">
            <w:pPr>
              <w:pStyle w:val="Tabletextoutputstight"/>
              <w:jc w:val="right"/>
              <w:rPr>
                <w:lang w:eastAsia="en-US"/>
              </w:rPr>
            </w:pPr>
            <w:r>
              <w:rPr>
                <w:b/>
                <w:bCs/>
                <w:lang w:val="en-US" w:eastAsia="en-US"/>
              </w:rPr>
              <w:t>(14.3)</w:t>
            </w:r>
          </w:p>
        </w:tc>
      </w:tr>
      <w:tr w:rsidR="007F3724" w14:paraId="01A46E0F" w14:textId="77777777" w:rsidTr="007F3724">
        <w:trPr>
          <w:trHeight w:val="210"/>
        </w:trPr>
        <w:tc>
          <w:tcPr>
            <w:tcW w:w="1637" w:type="pct"/>
            <w:shd w:val="clear" w:color="auto" w:fill="FFFFFF"/>
            <w:vAlign w:val="center"/>
            <w:hideMark/>
          </w:tcPr>
          <w:p w14:paraId="38B653B6" w14:textId="77777777" w:rsidR="00FE7F8B" w:rsidRDefault="00FE7F8B">
            <w:pPr>
              <w:pStyle w:val="Tabletextoutputstight"/>
              <w:rPr>
                <w:lang w:eastAsia="en-US"/>
              </w:rPr>
            </w:pPr>
            <w:r>
              <w:rPr>
                <w:lang w:eastAsia="en-US"/>
              </w:rPr>
              <w:t>Grants and other expense transfers</w:t>
            </w:r>
          </w:p>
        </w:tc>
        <w:tc>
          <w:tcPr>
            <w:tcW w:w="560" w:type="pct"/>
            <w:gridSpan w:val="2"/>
            <w:shd w:val="clear" w:color="auto" w:fill="F2F2F2" w:themeFill="background1" w:themeFillShade="F2"/>
            <w:vAlign w:val="bottom"/>
            <w:hideMark/>
          </w:tcPr>
          <w:p w14:paraId="45B65066" w14:textId="77777777" w:rsidR="00FE7F8B" w:rsidRDefault="00FE7F8B">
            <w:pPr>
              <w:pStyle w:val="Tabletextoutputstight"/>
              <w:jc w:val="right"/>
              <w:rPr>
                <w:lang w:eastAsia="en-US"/>
              </w:rPr>
            </w:pPr>
            <w:r>
              <w:rPr>
                <w:lang w:eastAsia="en-US"/>
              </w:rPr>
              <w:t>(14.1)</w:t>
            </w:r>
          </w:p>
        </w:tc>
        <w:tc>
          <w:tcPr>
            <w:tcW w:w="447" w:type="pct"/>
            <w:gridSpan w:val="2"/>
            <w:vAlign w:val="bottom"/>
            <w:hideMark/>
          </w:tcPr>
          <w:p w14:paraId="7E372661" w14:textId="77777777" w:rsidR="00FE7F8B" w:rsidRDefault="00FE7F8B">
            <w:pPr>
              <w:pStyle w:val="Tabletextoutputstight"/>
              <w:jc w:val="right"/>
              <w:rPr>
                <w:lang w:eastAsia="en-US"/>
              </w:rPr>
            </w:pPr>
            <w:r>
              <w:rPr>
                <w:lang w:val="en-US" w:eastAsia="en-US"/>
              </w:rPr>
              <w:t>(19.5)</w:t>
            </w:r>
          </w:p>
        </w:tc>
        <w:tc>
          <w:tcPr>
            <w:tcW w:w="508" w:type="pct"/>
            <w:gridSpan w:val="7"/>
            <w:shd w:val="clear" w:color="auto" w:fill="F2F2F2" w:themeFill="background1" w:themeFillShade="F2"/>
            <w:vAlign w:val="bottom"/>
            <w:hideMark/>
          </w:tcPr>
          <w:p w14:paraId="24C84276" w14:textId="77777777" w:rsidR="00FE7F8B" w:rsidRDefault="00FE7F8B">
            <w:pPr>
              <w:pStyle w:val="Tabletextoutputstight"/>
              <w:jc w:val="right"/>
              <w:rPr>
                <w:lang w:eastAsia="en-US"/>
              </w:rPr>
            </w:pPr>
            <w:r>
              <w:rPr>
                <w:lang w:val="en-US" w:eastAsia="en-US"/>
              </w:rPr>
              <w:t>(677.3)</w:t>
            </w:r>
          </w:p>
        </w:tc>
        <w:tc>
          <w:tcPr>
            <w:tcW w:w="456" w:type="pct"/>
            <w:gridSpan w:val="2"/>
            <w:vAlign w:val="bottom"/>
            <w:hideMark/>
          </w:tcPr>
          <w:p w14:paraId="31AA8003" w14:textId="77777777" w:rsidR="00FE7F8B" w:rsidRDefault="00FE7F8B">
            <w:pPr>
              <w:pStyle w:val="Tabletextoutputstight"/>
              <w:jc w:val="right"/>
              <w:rPr>
                <w:lang w:eastAsia="en-US"/>
              </w:rPr>
            </w:pPr>
            <w:r>
              <w:rPr>
                <w:lang w:val="en-US" w:eastAsia="en-US"/>
              </w:rPr>
              <w:t>(618.1)</w:t>
            </w:r>
          </w:p>
        </w:tc>
        <w:tc>
          <w:tcPr>
            <w:tcW w:w="441" w:type="pct"/>
            <w:gridSpan w:val="4"/>
            <w:shd w:val="clear" w:color="auto" w:fill="F2F2F2" w:themeFill="background1" w:themeFillShade="F2"/>
            <w:vAlign w:val="bottom"/>
            <w:hideMark/>
          </w:tcPr>
          <w:p w14:paraId="74FDB014" w14:textId="77777777" w:rsidR="00FE7F8B" w:rsidRDefault="00FE7F8B">
            <w:pPr>
              <w:pStyle w:val="Tabletextoutputstight"/>
              <w:jc w:val="right"/>
              <w:rPr>
                <w:lang w:eastAsia="en-US"/>
              </w:rPr>
            </w:pPr>
            <w:r>
              <w:rPr>
                <w:lang w:val="en-US" w:eastAsia="en-US"/>
              </w:rPr>
              <w:t>(130.9)</w:t>
            </w:r>
          </w:p>
        </w:tc>
        <w:tc>
          <w:tcPr>
            <w:tcW w:w="437" w:type="pct"/>
            <w:gridSpan w:val="3"/>
            <w:vAlign w:val="bottom"/>
            <w:hideMark/>
          </w:tcPr>
          <w:p w14:paraId="4358E9EC" w14:textId="77777777" w:rsidR="00FE7F8B" w:rsidRDefault="00FE7F8B">
            <w:pPr>
              <w:pStyle w:val="Tabletextoutputstight"/>
              <w:jc w:val="right"/>
              <w:rPr>
                <w:lang w:eastAsia="en-US"/>
              </w:rPr>
            </w:pPr>
            <w:r>
              <w:rPr>
                <w:lang w:val="en-US" w:eastAsia="en-US"/>
              </w:rPr>
              <w:t>(6.5)</w:t>
            </w:r>
          </w:p>
        </w:tc>
        <w:tc>
          <w:tcPr>
            <w:tcW w:w="514" w:type="pct"/>
            <w:gridSpan w:val="4"/>
            <w:shd w:val="clear" w:color="auto" w:fill="F2F2F2" w:themeFill="background1" w:themeFillShade="F2"/>
            <w:vAlign w:val="bottom"/>
            <w:hideMark/>
          </w:tcPr>
          <w:p w14:paraId="4512E9E9" w14:textId="77777777" w:rsidR="00FE7F8B" w:rsidRDefault="00FE7F8B">
            <w:pPr>
              <w:pStyle w:val="Tabletextoutputstight"/>
              <w:jc w:val="right"/>
              <w:rPr>
                <w:lang w:eastAsia="en-US"/>
              </w:rPr>
            </w:pPr>
            <w:r>
              <w:rPr>
                <w:b/>
                <w:bCs/>
                <w:lang w:val="en-US" w:eastAsia="en-US"/>
              </w:rPr>
              <w:t>(1,466.4)</w:t>
            </w:r>
          </w:p>
        </w:tc>
      </w:tr>
      <w:tr w:rsidR="007F3724" w14:paraId="57DF8862" w14:textId="77777777" w:rsidTr="007F3724">
        <w:trPr>
          <w:trHeight w:val="210"/>
        </w:trPr>
        <w:tc>
          <w:tcPr>
            <w:tcW w:w="1637" w:type="pct"/>
            <w:shd w:val="clear" w:color="auto" w:fill="FFFFFF"/>
            <w:vAlign w:val="center"/>
            <w:hideMark/>
          </w:tcPr>
          <w:p w14:paraId="1C1EE3D5" w14:textId="77777777" w:rsidR="00FE7F8B" w:rsidRDefault="00FE7F8B">
            <w:pPr>
              <w:pStyle w:val="Tabletextoutputstight"/>
              <w:rPr>
                <w:lang w:eastAsia="en-US"/>
              </w:rPr>
            </w:pPr>
            <w:r>
              <w:rPr>
                <w:lang w:eastAsia="en-US"/>
              </w:rPr>
              <w:t>Capital asset charge</w:t>
            </w:r>
          </w:p>
        </w:tc>
        <w:tc>
          <w:tcPr>
            <w:tcW w:w="560" w:type="pct"/>
            <w:gridSpan w:val="2"/>
            <w:shd w:val="clear" w:color="auto" w:fill="F2F2F2" w:themeFill="background1" w:themeFillShade="F2"/>
            <w:vAlign w:val="bottom"/>
            <w:hideMark/>
          </w:tcPr>
          <w:p w14:paraId="68172690" w14:textId="77777777" w:rsidR="00FE7F8B" w:rsidRDefault="00FE7F8B">
            <w:pPr>
              <w:pStyle w:val="Tabletextoutputstight"/>
              <w:jc w:val="right"/>
              <w:rPr>
                <w:lang w:eastAsia="en-US"/>
              </w:rPr>
            </w:pPr>
            <w:r>
              <w:rPr>
                <w:lang w:eastAsia="en-US"/>
              </w:rPr>
              <w:t>(0.4)</w:t>
            </w:r>
          </w:p>
        </w:tc>
        <w:tc>
          <w:tcPr>
            <w:tcW w:w="447" w:type="pct"/>
            <w:gridSpan w:val="2"/>
            <w:vAlign w:val="bottom"/>
            <w:hideMark/>
          </w:tcPr>
          <w:p w14:paraId="5B2F52E4" w14:textId="77777777" w:rsidR="00FE7F8B" w:rsidRDefault="00FE7F8B">
            <w:pPr>
              <w:pStyle w:val="Tabletextoutputstight"/>
              <w:jc w:val="right"/>
              <w:rPr>
                <w:lang w:eastAsia="en-US"/>
              </w:rPr>
            </w:pPr>
            <w:r>
              <w:rPr>
                <w:lang w:val="en-US" w:eastAsia="en-US"/>
              </w:rPr>
              <w:t>(2.4)</w:t>
            </w:r>
          </w:p>
        </w:tc>
        <w:tc>
          <w:tcPr>
            <w:tcW w:w="508" w:type="pct"/>
            <w:gridSpan w:val="7"/>
            <w:shd w:val="clear" w:color="auto" w:fill="F2F2F2" w:themeFill="background1" w:themeFillShade="F2"/>
            <w:vAlign w:val="bottom"/>
            <w:hideMark/>
          </w:tcPr>
          <w:p w14:paraId="418BDEA1" w14:textId="77777777" w:rsidR="00FE7F8B" w:rsidRDefault="00FE7F8B">
            <w:pPr>
              <w:pStyle w:val="Tabletextoutputstight"/>
              <w:jc w:val="right"/>
              <w:rPr>
                <w:lang w:eastAsia="en-US"/>
              </w:rPr>
            </w:pPr>
            <w:r>
              <w:rPr>
                <w:lang w:val="en-US" w:eastAsia="en-US"/>
              </w:rPr>
              <w:t>(1,029.3)</w:t>
            </w:r>
          </w:p>
        </w:tc>
        <w:tc>
          <w:tcPr>
            <w:tcW w:w="456" w:type="pct"/>
            <w:gridSpan w:val="2"/>
            <w:vAlign w:val="bottom"/>
            <w:hideMark/>
          </w:tcPr>
          <w:p w14:paraId="2DE88C3F" w14:textId="77777777" w:rsidR="00FE7F8B" w:rsidRDefault="00FE7F8B">
            <w:pPr>
              <w:pStyle w:val="Tabletextoutputstight"/>
              <w:jc w:val="right"/>
              <w:rPr>
                <w:lang w:eastAsia="en-US"/>
              </w:rPr>
            </w:pPr>
            <w:r>
              <w:rPr>
                <w:lang w:val="en-US" w:eastAsia="en-US"/>
              </w:rPr>
              <w:t>(216.5)</w:t>
            </w:r>
          </w:p>
        </w:tc>
        <w:tc>
          <w:tcPr>
            <w:tcW w:w="441" w:type="pct"/>
            <w:gridSpan w:val="4"/>
            <w:shd w:val="clear" w:color="auto" w:fill="F2F2F2" w:themeFill="background1" w:themeFillShade="F2"/>
            <w:vAlign w:val="bottom"/>
            <w:hideMark/>
          </w:tcPr>
          <w:p w14:paraId="4D592AD9" w14:textId="77777777" w:rsidR="00FE7F8B" w:rsidRDefault="00FE7F8B">
            <w:pPr>
              <w:pStyle w:val="Tabletextoutputstight"/>
              <w:jc w:val="right"/>
              <w:rPr>
                <w:lang w:eastAsia="en-US"/>
              </w:rPr>
            </w:pPr>
            <w:r>
              <w:rPr>
                <w:lang w:val="en-US" w:eastAsia="en-US"/>
              </w:rPr>
              <w:t>(0.1)</w:t>
            </w:r>
          </w:p>
        </w:tc>
        <w:tc>
          <w:tcPr>
            <w:tcW w:w="437" w:type="pct"/>
            <w:gridSpan w:val="3"/>
            <w:vAlign w:val="bottom"/>
            <w:hideMark/>
          </w:tcPr>
          <w:p w14:paraId="70CD9820" w14:textId="77777777" w:rsidR="00FE7F8B" w:rsidRDefault="00FE7F8B">
            <w:pPr>
              <w:pStyle w:val="Tabletextoutputstight"/>
              <w:jc w:val="right"/>
              <w:rPr>
                <w:lang w:eastAsia="en-US"/>
              </w:rPr>
            </w:pPr>
            <w:r>
              <w:rPr>
                <w:lang w:val="en-US" w:eastAsia="en-US"/>
              </w:rPr>
              <w:t>(42.9)</w:t>
            </w:r>
          </w:p>
        </w:tc>
        <w:tc>
          <w:tcPr>
            <w:tcW w:w="514" w:type="pct"/>
            <w:gridSpan w:val="4"/>
            <w:shd w:val="clear" w:color="auto" w:fill="F2F2F2" w:themeFill="background1" w:themeFillShade="F2"/>
            <w:vAlign w:val="bottom"/>
            <w:hideMark/>
          </w:tcPr>
          <w:p w14:paraId="1A5206E7" w14:textId="77777777" w:rsidR="00FE7F8B" w:rsidRDefault="00FE7F8B">
            <w:pPr>
              <w:pStyle w:val="Tabletextoutputstight"/>
              <w:jc w:val="right"/>
              <w:rPr>
                <w:lang w:eastAsia="en-US"/>
              </w:rPr>
            </w:pPr>
            <w:r>
              <w:rPr>
                <w:b/>
                <w:bCs/>
                <w:lang w:val="en-US" w:eastAsia="en-US"/>
              </w:rPr>
              <w:t>(1,291.7)</w:t>
            </w:r>
          </w:p>
        </w:tc>
      </w:tr>
      <w:tr w:rsidR="007F3724" w14:paraId="24EF819D" w14:textId="77777777" w:rsidTr="007F3724">
        <w:trPr>
          <w:trHeight w:val="210"/>
        </w:trPr>
        <w:tc>
          <w:tcPr>
            <w:tcW w:w="1637" w:type="pct"/>
            <w:shd w:val="clear" w:color="auto" w:fill="FFFFFF"/>
            <w:vAlign w:val="center"/>
            <w:hideMark/>
          </w:tcPr>
          <w:p w14:paraId="358007D8" w14:textId="77777777" w:rsidR="00FE7F8B" w:rsidRDefault="00FE7F8B">
            <w:pPr>
              <w:pStyle w:val="Tabletextoutputstight"/>
              <w:rPr>
                <w:lang w:eastAsia="en-US"/>
              </w:rPr>
            </w:pPr>
            <w:r>
              <w:rPr>
                <w:lang w:eastAsia="en-US"/>
              </w:rPr>
              <w:t>Supplies and services</w:t>
            </w:r>
          </w:p>
        </w:tc>
        <w:tc>
          <w:tcPr>
            <w:tcW w:w="560" w:type="pct"/>
            <w:gridSpan w:val="2"/>
            <w:shd w:val="clear" w:color="auto" w:fill="F2F2F2" w:themeFill="background1" w:themeFillShade="F2"/>
            <w:vAlign w:val="bottom"/>
            <w:hideMark/>
          </w:tcPr>
          <w:p w14:paraId="0BB9C70F" w14:textId="77777777" w:rsidR="00FE7F8B" w:rsidRDefault="00FE7F8B">
            <w:pPr>
              <w:pStyle w:val="Tabletextoutputstight"/>
              <w:jc w:val="right"/>
              <w:rPr>
                <w:lang w:eastAsia="en-US"/>
              </w:rPr>
            </w:pPr>
            <w:r>
              <w:rPr>
                <w:lang w:eastAsia="en-US"/>
              </w:rPr>
              <w:t>(23.8)</w:t>
            </w:r>
          </w:p>
        </w:tc>
        <w:tc>
          <w:tcPr>
            <w:tcW w:w="447" w:type="pct"/>
            <w:gridSpan w:val="2"/>
            <w:vAlign w:val="bottom"/>
            <w:hideMark/>
          </w:tcPr>
          <w:p w14:paraId="711638E7" w14:textId="77777777" w:rsidR="00FE7F8B" w:rsidRDefault="00FE7F8B">
            <w:pPr>
              <w:pStyle w:val="Tabletextoutputstight"/>
              <w:jc w:val="right"/>
              <w:rPr>
                <w:lang w:eastAsia="en-US"/>
              </w:rPr>
            </w:pPr>
            <w:r>
              <w:rPr>
                <w:lang w:val="en-US" w:eastAsia="en-US"/>
              </w:rPr>
              <w:t>(465.7)</w:t>
            </w:r>
          </w:p>
        </w:tc>
        <w:tc>
          <w:tcPr>
            <w:tcW w:w="508" w:type="pct"/>
            <w:gridSpan w:val="7"/>
            <w:shd w:val="clear" w:color="auto" w:fill="F2F2F2" w:themeFill="background1" w:themeFillShade="F2"/>
            <w:vAlign w:val="bottom"/>
            <w:hideMark/>
          </w:tcPr>
          <w:p w14:paraId="7C91E76E" w14:textId="77777777" w:rsidR="00FE7F8B" w:rsidRDefault="00FE7F8B">
            <w:pPr>
              <w:pStyle w:val="Tabletextoutputstight"/>
              <w:jc w:val="right"/>
              <w:rPr>
                <w:lang w:eastAsia="en-US"/>
              </w:rPr>
            </w:pPr>
            <w:r>
              <w:rPr>
                <w:lang w:val="en-US" w:eastAsia="en-US"/>
              </w:rPr>
              <w:t>(1,400.1)</w:t>
            </w:r>
          </w:p>
        </w:tc>
        <w:tc>
          <w:tcPr>
            <w:tcW w:w="456" w:type="pct"/>
            <w:gridSpan w:val="2"/>
            <w:vAlign w:val="bottom"/>
            <w:hideMark/>
          </w:tcPr>
          <w:p w14:paraId="04686E5C" w14:textId="77777777" w:rsidR="00FE7F8B" w:rsidRDefault="00FE7F8B">
            <w:pPr>
              <w:pStyle w:val="Tabletextoutputstight"/>
              <w:jc w:val="right"/>
              <w:rPr>
                <w:lang w:eastAsia="en-US"/>
              </w:rPr>
            </w:pPr>
            <w:r>
              <w:rPr>
                <w:lang w:val="en-US" w:eastAsia="en-US"/>
              </w:rPr>
              <w:t>(652.6)</w:t>
            </w:r>
          </w:p>
        </w:tc>
        <w:tc>
          <w:tcPr>
            <w:tcW w:w="441" w:type="pct"/>
            <w:gridSpan w:val="4"/>
            <w:shd w:val="clear" w:color="auto" w:fill="F2F2F2" w:themeFill="background1" w:themeFillShade="F2"/>
            <w:vAlign w:val="bottom"/>
            <w:hideMark/>
          </w:tcPr>
          <w:p w14:paraId="355E7B97" w14:textId="77777777" w:rsidR="00FE7F8B" w:rsidRDefault="00FE7F8B">
            <w:pPr>
              <w:pStyle w:val="Tabletextoutputstight"/>
              <w:jc w:val="right"/>
              <w:rPr>
                <w:lang w:eastAsia="en-US"/>
              </w:rPr>
            </w:pPr>
            <w:r>
              <w:rPr>
                <w:lang w:val="en-US" w:eastAsia="en-US"/>
              </w:rPr>
              <w:t>(42.2)</w:t>
            </w:r>
          </w:p>
        </w:tc>
        <w:tc>
          <w:tcPr>
            <w:tcW w:w="437" w:type="pct"/>
            <w:gridSpan w:val="3"/>
            <w:vAlign w:val="bottom"/>
            <w:hideMark/>
          </w:tcPr>
          <w:p w14:paraId="04B8243B" w14:textId="77777777" w:rsidR="00FE7F8B" w:rsidRDefault="00FE7F8B">
            <w:pPr>
              <w:pStyle w:val="Tabletextoutputstight"/>
              <w:jc w:val="right"/>
              <w:rPr>
                <w:lang w:eastAsia="en-US"/>
              </w:rPr>
            </w:pPr>
            <w:r>
              <w:rPr>
                <w:lang w:val="en-US" w:eastAsia="en-US"/>
              </w:rPr>
              <w:t>(92.8)</w:t>
            </w:r>
          </w:p>
        </w:tc>
        <w:tc>
          <w:tcPr>
            <w:tcW w:w="514" w:type="pct"/>
            <w:gridSpan w:val="4"/>
            <w:shd w:val="clear" w:color="auto" w:fill="F2F2F2" w:themeFill="background1" w:themeFillShade="F2"/>
            <w:vAlign w:val="bottom"/>
            <w:hideMark/>
          </w:tcPr>
          <w:p w14:paraId="27528CC7" w14:textId="77777777" w:rsidR="00FE7F8B" w:rsidRDefault="00FE7F8B">
            <w:pPr>
              <w:pStyle w:val="Tabletextoutputstight"/>
              <w:jc w:val="right"/>
              <w:rPr>
                <w:lang w:eastAsia="en-US"/>
              </w:rPr>
            </w:pPr>
            <w:r>
              <w:rPr>
                <w:b/>
                <w:bCs/>
                <w:lang w:val="en-US" w:eastAsia="en-US"/>
              </w:rPr>
              <w:t>(2,677.3)</w:t>
            </w:r>
          </w:p>
        </w:tc>
      </w:tr>
      <w:tr w:rsidR="007F3724" w14:paraId="0D91C2D4" w14:textId="77777777" w:rsidTr="007F3724">
        <w:trPr>
          <w:trHeight w:val="210"/>
        </w:trPr>
        <w:tc>
          <w:tcPr>
            <w:tcW w:w="1637" w:type="pct"/>
            <w:tcBorders>
              <w:top w:val="nil"/>
              <w:left w:val="nil"/>
              <w:bottom w:val="single" w:sz="4" w:space="0" w:color="auto"/>
              <w:right w:val="nil"/>
            </w:tcBorders>
            <w:shd w:val="clear" w:color="auto" w:fill="FFFFFF"/>
            <w:vAlign w:val="center"/>
            <w:hideMark/>
          </w:tcPr>
          <w:p w14:paraId="134C3D47" w14:textId="77777777" w:rsidR="00FE7F8B" w:rsidRDefault="00FE7F8B">
            <w:pPr>
              <w:pStyle w:val="Tabletextoutputstight"/>
              <w:rPr>
                <w:lang w:eastAsia="en-US"/>
              </w:rPr>
            </w:pPr>
            <w:r>
              <w:rPr>
                <w:lang w:eastAsia="en-US"/>
              </w:rPr>
              <w:t>Other operating expenses</w:t>
            </w:r>
          </w:p>
        </w:tc>
        <w:tc>
          <w:tcPr>
            <w:tcW w:w="560" w:type="pct"/>
            <w:gridSpan w:val="2"/>
            <w:tcBorders>
              <w:top w:val="nil"/>
              <w:left w:val="nil"/>
              <w:bottom w:val="single" w:sz="4" w:space="0" w:color="auto"/>
              <w:right w:val="nil"/>
            </w:tcBorders>
            <w:shd w:val="clear" w:color="auto" w:fill="F2F2F2" w:themeFill="background1" w:themeFillShade="F2"/>
            <w:vAlign w:val="bottom"/>
            <w:hideMark/>
          </w:tcPr>
          <w:p w14:paraId="6ED78D14" w14:textId="77777777" w:rsidR="00FE7F8B" w:rsidRDefault="00FE7F8B">
            <w:pPr>
              <w:pStyle w:val="Tabletextoutputstight"/>
              <w:jc w:val="right"/>
              <w:rPr>
                <w:lang w:eastAsia="en-US"/>
              </w:rPr>
            </w:pPr>
            <w:r>
              <w:rPr>
                <w:lang w:eastAsia="en-US"/>
              </w:rPr>
              <w:t>(0.3)</w:t>
            </w:r>
          </w:p>
        </w:tc>
        <w:tc>
          <w:tcPr>
            <w:tcW w:w="447" w:type="pct"/>
            <w:gridSpan w:val="2"/>
            <w:tcBorders>
              <w:top w:val="nil"/>
              <w:left w:val="nil"/>
              <w:bottom w:val="single" w:sz="4" w:space="0" w:color="auto"/>
              <w:right w:val="nil"/>
            </w:tcBorders>
            <w:vAlign w:val="bottom"/>
            <w:hideMark/>
          </w:tcPr>
          <w:p w14:paraId="5E4C329F" w14:textId="77777777" w:rsidR="00FE7F8B" w:rsidRDefault="00FE7F8B">
            <w:pPr>
              <w:pStyle w:val="Tabletextoutputstight"/>
              <w:jc w:val="right"/>
              <w:rPr>
                <w:lang w:eastAsia="en-US"/>
              </w:rPr>
            </w:pPr>
            <w:r>
              <w:rPr>
                <w:lang w:val="en-US" w:eastAsia="en-US"/>
              </w:rPr>
              <w:t>(0.5)</w:t>
            </w:r>
          </w:p>
        </w:tc>
        <w:tc>
          <w:tcPr>
            <w:tcW w:w="508" w:type="pct"/>
            <w:gridSpan w:val="7"/>
            <w:tcBorders>
              <w:top w:val="nil"/>
              <w:left w:val="nil"/>
              <w:bottom w:val="single" w:sz="4" w:space="0" w:color="auto"/>
              <w:right w:val="nil"/>
            </w:tcBorders>
            <w:shd w:val="clear" w:color="auto" w:fill="F2F2F2" w:themeFill="background1" w:themeFillShade="F2"/>
            <w:vAlign w:val="bottom"/>
            <w:hideMark/>
          </w:tcPr>
          <w:p w14:paraId="2C3EEF6E" w14:textId="77777777" w:rsidR="00FE7F8B" w:rsidRDefault="00FE7F8B">
            <w:pPr>
              <w:pStyle w:val="Tabletextoutputstight"/>
              <w:jc w:val="right"/>
              <w:rPr>
                <w:lang w:eastAsia="en-US"/>
              </w:rPr>
            </w:pPr>
            <w:r>
              <w:rPr>
                <w:lang w:val="en-US" w:eastAsia="en-US"/>
              </w:rPr>
              <w:t>(131.8)</w:t>
            </w:r>
          </w:p>
        </w:tc>
        <w:tc>
          <w:tcPr>
            <w:tcW w:w="456" w:type="pct"/>
            <w:gridSpan w:val="2"/>
            <w:tcBorders>
              <w:top w:val="nil"/>
              <w:left w:val="nil"/>
              <w:bottom w:val="single" w:sz="4" w:space="0" w:color="auto"/>
              <w:right w:val="nil"/>
            </w:tcBorders>
            <w:vAlign w:val="bottom"/>
            <w:hideMark/>
          </w:tcPr>
          <w:p w14:paraId="0574177F" w14:textId="77777777" w:rsidR="00FE7F8B" w:rsidRDefault="00FE7F8B">
            <w:pPr>
              <w:pStyle w:val="Tabletextoutputstight"/>
              <w:jc w:val="right"/>
              <w:rPr>
                <w:lang w:eastAsia="en-US"/>
              </w:rPr>
            </w:pPr>
            <w:r>
              <w:rPr>
                <w:lang w:val="en-US" w:eastAsia="en-US"/>
              </w:rPr>
              <w:t>(6.7)</w:t>
            </w:r>
          </w:p>
        </w:tc>
        <w:tc>
          <w:tcPr>
            <w:tcW w:w="441" w:type="pct"/>
            <w:gridSpan w:val="4"/>
            <w:tcBorders>
              <w:top w:val="nil"/>
              <w:left w:val="nil"/>
              <w:bottom w:val="single" w:sz="4" w:space="0" w:color="auto"/>
              <w:right w:val="nil"/>
            </w:tcBorders>
            <w:shd w:val="clear" w:color="auto" w:fill="F2F2F2" w:themeFill="background1" w:themeFillShade="F2"/>
            <w:vAlign w:val="bottom"/>
            <w:hideMark/>
          </w:tcPr>
          <w:p w14:paraId="51B61005" w14:textId="77777777" w:rsidR="00FE7F8B" w:rsidRDefault="00FE7F8B">
            <w:pPr>
              <w:pStyle w:val="Tabletextoutputstight"/>
              <w:jc w:val="right"/>
              <w:rPr>
                <w:lang w:eastAsia="en-US"/>
              </w:rPr>
            </w:pPr>
            <w:r>
              <w:rPr>
                <w:lang w:val="en-US" w:eastAsia="en-US"/>
              </w:rPr>
              <w:t>(8.1)</w:t>
            </w:r>
          </w:p>
        </w:tc>
        <w:tc>
          <w:tcPr>
            <w:tcW w:w="437" w:type="pct"/>
            <w:gridSpan w:val="3"/>
            <w:tcBorders>
              <w:top w:val="nil"/>
              <w:left w:val="nil"/>
              <w:bottom w:val="single" w:sz="4" w:space="0" w:color="auto"/>
              <w:right w:val="nil"/>
            </w:tcBorders>
            <w:vAlign w:val="bottom"/>
            <w:hideMark/>
          </w:tcPr>
          <w:p w14:paraId="50916216" w14:textId="77777777" w:rsidR="00FE7F8B" w:rsidRDefault="00FE7F8B">
            <w:pPr>
              <w:pStyle w:val="Tabletextoutputstight"/>
              <w:jc w:val="right"/>
              <w:rPr>
                <w:lang w:eastAsia="en-US"/>
              </w:rPr>
            </w:pPr>
            <w:r>
              <w:rPr>
                <w:lang w:val="en-US" w:eastAsia="en-US"/>
              </w:rPr>
              <w:t>(14.7)</w:t>
            </w:r>
          </w:p>
        </w:tc>
        <w:tc>
          <w:tcPr>
            <w:tcW w:w="514" w:type="pct"/>
            <w:gridSpan w:val="4"/>
            <w:tcBorders>
              <w:top w:val="nil"/>
              <w:left w:val="nil"/>
              <w:bottom w:val="single" w:sz="4" w:space="0" w:color="auto"/>
              <w:right w:val="nil"/>
            </w:tcBorders>
            <w:shd w:val="clear" w:color="auto" w:fill="F2F2F2" w:themeFill="background1" w:themeFillShade="F2"/>
            <w:vAlign w:val="bottom"/>
            <w:hideMark/>
          </w:tcPr>
          <w:p w14:paraId="746CD0C3" w14:textId="77777777" w:rsidR="00FE7F8B" w:rsidRDefault="00FE7F8B">
            <w:pPr>
              <w:pStyle w:val="Tabletextoutputstight"/>
              <w:jc w:val="right"/>
              <w:rPr>
                <w:lang w:eastAsia="en-US"/>
              </w:rPr>
            </w:pPr>
            <w:r>
              <w:rPr>
                <w:b/>
                <w:bCs/>
                <w:lang w:val="en-US" w:eastAsia="en-US"/>
              </w:rPr>
              <w:t>(162.0)</w:t>
            </w:r>
          </w:p>
        </w:tc>
      </w:tr>
      <w:tr w:rsidR="007F3724" w14:paraId="78AE8F5E" w14:textId="77777777" w:rsidTr="007F3724">
        <w:trPr>
          <w:trHeight w:val="252"/>
        </w:trPr>
        <w:tc>
          <w:tcPr>
            <w:tcW w:w="1637" w:type="pct"/>
            <w:tcBorders>
              <w:top w:val="single" w:sz="4" w:space="0" w:color="auto"/>
              <w:left w:val="nil"/>
              <w:bottom w:val="single" w:sz="4" w:space="0" w:color="auto"/>
              <w:right w:val="nil"/>
            </w:tcBorders>
            <w:shd w:val="clear" w:color="auto" w:fill="FFFFFF"/>
            <w:noWrap/>
            <w:vAlign w:val="bottom"/>
            <w:hideMark/>
          </w:tcPr>
          <w:p w14:paraId="2BEBE767" w14:textId="77777777" w:rsidR="00FE7F8B" w:rsidRDefault="00FE7F8B">
            <w:pPr>
              <w:pStyle w:val="Tabletextoutputs"/>
              <w:rPr>
                <w:b/>
                <w:lang w:eastAsia="en-US"/>
              </w:rPr>
            </w:pPr>
            <w:r>
              <w:rPr>
                <w:b/>
                <w:lang w:eastAsia="en-US"/>
              </w:rPr>
              <w:t>Total expenses from transactions</w:t>
            </w:r>
          </w:p>
        </w:tc>
        <w:tc>
          <w:tcPr>
            <w:tcW w:w="560"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14193097" w14:textId="77777777" w:rsidR="00FE7F8B" w:rsidRDefault="00FE7F8B">
            <w:pPr>
              <w:pStyle w:val="Tabletextoutputs"/>
              <w:jc w:val="right"/>
              <w:rPr>
                <w:b/>
                <w:lang w:eastAsia="en-US"/>
              </w:rPr>
            </w:pPr>
            <w:r>
              <w:rPr>
                <w:b/>
                <w:lang w:eastAsia="en-US"/>
              </w:rPr>
              <w:t>88.1</w:t>
            </w:r>
          </w:p>
        </w:tc>
        <w:tc>
          <w:tcPr>
            <w:tcW w:w="447" w:type="pct"/>
            <w:gridSpan w:val="2"/>
            <w:tcBorders>
              <w:top w:val="single" w:sz="4" w:space="0" w:color="auto"/>
              <w:left w:val="nil"/>
              <w:bottom w:val="single" w:sz="4" w:space="0" w:color="auto"/>
              <w:right w:val="nil"/>
            </w:tcBorders>
            <w:vAlign w:val="bottom"/>
            <w:hideMark/>
          </w:tcPr>
          <w:p w14:paraId="2569BFFD" w14:textId="77777777" w:rsidR="00FE7F8B" w:rsidRDefault="00FE7F8B">
            <w:pPr>
              <w:pStyle w:val="Tabletextoutputs"/>
              <w:jc w:val="right"/>
              <w:rPr>
                <w:b/>
                <w:lang w:eastAsia="en-US"/>
              </w:rPr>
            </w:pPr>
            <w:r>
              <w:rPr>
                <w:b/>
                <w:bCs/>
                <w:lang w:val="en-US" w:eastAsia="en-US"/>
              </w:rPr>
              <w:t>534.5</w:t>
            </w:r>
          </w:p>
        </w:tc>
        <w:tc>
          <w:tcPr>
            <w:tcW w:w="508" w:type="pct"/>
            <w:gridSpan w:val="7"/>
            <w:tcBorders>
              <w:top w:val="single" w:sz="4" w:space="0" w:color="auto"/>
              <w:left w:val="nil"/>
              <w:bottom w:val="single" w:sz="4" w:space="0" w:color="auto"/>
              <w:right w:val="nil"/>
            </w:tcBorders>
            <w:shd w:val="clear" w:color="auto" w:fill="F2F2F2" w:themeFill="background1" w:themeFillShade="F2"/>
            <w:vAlign w:val="bottom"/>
            <w:hideMark/>
          </w:tcPr>
          <w:p w14:paraId="64F70A0D" w14:textId="77777777" w:rsidR="00FE7F8B" w:rsidRDefault="00FE7F8B">
            <w:pPr>
              <w:pStyle w:val="Tabletextoutputs"/>
              <w:jc w:val="right"/>
              <w:rPr>
                <w:b/>
                <w:lang w:eastAsia="en-US"/>
              </w:rPr>
            </w:pPr>
            <w:r>
              <w:rPr>
                <w:b/>
                <w:bCs/>
                <w:lang w:val="en-US" w:eastAsia="en-US"/>
              </w:rPr>
              <w:t>8,379.1</w:t>
            </w:r>
          </w:p>
        </w:tc>
        <w:tc>
          <w:tcPr>
            <w:tcW w:w="456" w:type="pct"/>
            <w:gridSpan w:val="2"/>
            <w:tcBorders>
              <w:top w:val="single" w:sz="4" w:space="0" w:color="auto"/>
              <w:left w:val="nil"/>
              <w:bottom w:val="single" w:sz="4" w:space="0" w:color="auto"/>
              <w:right w:val="nil"/>
            </w:tcBorders>
            <w:vAlign w:val="bottom"/>
            <w:hideMark/>
          </w:tcPr>
          <w:p w14:paraId="744976F3" w14:textId="77777777" w:rsidR="00FE7F8B" w:rsidRDefault="00FE7F8B">
            <w:pPr>
              <w:pStyle w:val="Tabletextoutputs"/>
              <w:jc w:val="right"/>
              <w:rPr>
                <w:b/>
                <w:lang w:eastAsia="en-US"/>
              </w:rPr>
            </w:pPr>
            <w:r>
              <w:rPr>
                <w:b/>
                <w:bCs/>
                <w:lang w:val="en-US" w:eastAsia="en-US"/>
              </w:rPr>
              <w:t>1,535.1</w:t>
            </w:r>
          </w:p>
        </w:tc>
        <w:tc>
          <w:tcPr>
            <w:tcW w:w="44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41654D80" w14:textId="77777777" w:rsidR="00FE7F8B" w:rsidRDefault="00FE7F8B">
            <w:pPr>
              <w:pStyle w:val="Tabletextoutputs"/>
              <w:jc w:val="right"/>
              <w:rPr>
                <w:b/>
                <w:lang w:eastAsia="en-US"/>
              </w:rPr>
            </w:pPr>
            <w:r>
              <w:rPr>
                <w:b/>
                <w:bCs/>
                <w:lang w:val="en-US" w:eastAsia="en-US"/>
              </w:rPr>
              <w:t>342.9</w:t>
            </w:r>
          </w:p>
        </w:tc>
        <w:tc>
          <w:tcPr>
            <w:tcW w:w="437" w:type="pct"/>
            <w:gridSpan w:val="3"/>
            <w:tcBorders>
              <w:top w:val="single" w:sz="4" w:space="0" w:color="auto"/>
              <w:left w:val="nil"/>
              <w:bottom w:val="single" w:sz="4" w:space="0" w:color="auto"/>
              <w:right w:val="nil"/>
            </w:tcBorders>
            <w:vAlign w:val="bottom"/>
            <w:hideMark/>
          </w:tcPr>
          <w:p w14:paraId="665AFFD7" w14:textId="77777777" w:rsidR="00FE7F8B" w:rsidRDefault="00FE7F8B">
            <w:pPr>
              <w:pStyle w:val="Tabletextoutputs"/>
              <w:jc w:val="right"/>
              <w:rPr>
                <w:b/>
                <w:lang w:eastAsia="en-US"/>
              </w:rPr>
            </w:pPr>
            <w:r>
              <w:rPr>
                <w:b/>
                <w:bCs/>
                <w:lang w:val="en-US" w:eastAsia="en-US"/>
              </w:rPr>
              <w:t>860.3</w:t>
            </w:r>
          </w:p>
        </w:tc>
        <w:tc>
          <w:tcPr>
            <w:tcW w:w="514" w:type="pct"/>
            <w:gridSpan w:val="4"/>
            <w:tcBorders>
              <w:top w:val="single" w:sz="4" w:space="0" w:color="auto"/>
              <w:left w:val="nil"/>
              <w:bottom w:val="single" w:sz="4" w:space="0" w:color="auto"/>
              <w:right w:val="nil"/>
            </w:tcBorders>
            <w:shd w:val="clear" w:color="auto" w:fill="F2F2F2" w:themeFill="background1" w:themeFillShade="F2"/>
            <w:tcMar>
              <w:top w:w="0" w:type="dxa"/>
              <w:left w:w="0" w:type="dxa"/>
              <w:bottom w:w="0" w:type="dxa"/>
              <w:right w:w="108" w:type="dxa"/>
            </w:tcMar>
            <w:vAlign w:val="bottom"/>
            <w:hideMark/>
          </w:tcPr>
          <w:p w14:paraId="4C15BADD" w14:textId="77777777" w:rsidR="00FE7F8B" w:rsidRDefault="00FE7F8B">
            <w:pPr>
              <w:pStyle w:val="Tabletextoutputs"/>
              <w:jc w:val="right"/>
              <w:rPr>
                <w:b/>
                <w:lang w:eastAsia="en-US"/>
              </w:rPr>
            </w:pPr>
            <w:r>
              <w:rPr>
                <w:b/>
                <w:bCs/>
                <w:lang w:val="en-US" w:eastAsia="en-US"/>
              </w:rPr>
              <w:t>11,740.0</w:t>
            </w:r>
          </w:p>
        </w:tc>
      </w:tr>
      <w:tr w:rsidR="007F3724" w14:paraId="32D4AF95" w14:textId="77777777" w:rsidTr="007F3724">
        <w:trPr>
          <w:trHeight w:val="458"/>
        </w:trPr>
        <w:tc>
          <w:tcPr>
            <w:tcW w:w="1637" w:type="pct"/>
            <w:tcBorders>
              <w:top w:val="single" w:sz="4" w:space="0" w:color="auto"/>
              <w:left w:val="nil"/>
              <w:bottom w:val="single" w:sz="4" w:space="0" w:color="auto"/>
              <w:right w:val="nil"/>
            </w:tcBorders>
            <w:shd w:val="clear" w:color="auto" w:fill="FFFFFF"/>
            <w:vAlign w:val="bottom"/>
            <w:hideMark/>
          </w:tcPr>
          <w:p w14:paraId="5BBEF63E" w14:textId="77777777" w:rsidR="00FE7F8B" w:rsidRDefault="00FE7F8B">
            <w:pPr>
              <w:pStyle w:val="Tabletextoutputs"/>
              <w:rPr>
                <w:b/>
                <w:lang w:eastAsia="en-US"/>
              </w:rPr>
            </w:pPr>
            <w:r>
              <w:rPr>
                <w:b/>
                <w:lang w:eastAsia="en-US"/>
              </w:rPr>
              <w:t>Net result from transactions (net operating balance)</w:t>
            </w:r>
          </w:p>
        </w:tc>
        <w:tc>
          <w:tcPr>
            <w:tcW w:w="560"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47F99458" w14:textId="77777777" w:rsidR="00FE7F8B" w:rsidRDefault="00FE7F8B">
            <w:pPr>
              <w:pStyle w:val="Tabletextoutputs"/>
              <w:jc w:val="right"/>
              <w:rPr>
                <w:b/>
                <w:lang w:eastAsia="en-US"/>
              </w:rPr>
            </w:pPr>
            <w:r>
              <w:rPr>
                <w:b/>
                <w:lang w:eastAsia="en-US"/>
              </w:rPr>
              <w:t>0.0</w:t>
            </w:r>
          </w:p>
        </w:tc>
        <w:tc>
          <w:tcPr>
            <w:tcW w:w="447" w:type="pct"/>
            <w:gridSpan w:val="2"/>
            <w:tcBorders>
              <w:top w:val="single" w:sz="4" w:space="0" w:color="auto"/>
              <w:left w:val="nil"/>
              <w:bottom w:val="single" w:sz="4" w:space="0" w:color="auto"/>
              <w:right w:val="nil"/>
            </w:tcBorders>
            <w:vAlign w:val="bottom"/>
            <w:hideMark/>
          </w:tcPr>
          <w:p w14:paraId="4CBCDC6B" w14:textId="77777777" w:rsidR="00FE7F8B" w:rsidRDefault="00FE7F8B">
            <w:pPr>
              <w:pStyle w:val="Tabletextoutputs"/>
              <w:jc w:val="right"/>
              <w:rPr>
                <w:b/>
                <w:lang w:eastAsia="en-US"/>
              </w:rPr>
            </w:pPr>
            <w:r>
              <w:rPr>
                <w:b/>
                <w:lang w:eastAsia="en-US"/>
              </w:rPr>
              <w:t>0.0</w:t>
            </w:r>
          </w:p>
        </w:tc>
        <w:tc>
          <w:tcPr>
            <w:tcW w:w="508" w:type="pct"/>
            <w:gridSpan w:val="7"/>
            <w:tcBorders>
              <w:top w:val="single" w:sz="4" w:space="0" w:color="auto"/>
              <w:left w:val="nil"/>
              <w:bottom w:val="single" w:sz="4" w:space="0" w:color="auto"/>
              <w:right w:val="nil"/>
            </w:tcBorders>
            <w:shd w:val="clear" w:color="auto" w:fill="F2F2F2" w:themeFill="background1" w:themeFillShade="F2"/>
            <w:vAlign w:val="bottom"/>
            <w:hideMark/>
          </w:tcPr>
          <w:p w14:paraId="0460D6A8" w14:textId="77777777" w:rsidR="00FE7F8B" w:rsidRDefault="00FE7F8B">
            <w:pPr>
              <w:pStyle w:val="Tabletextoutputs"/>
              <w:jc w:val="right"/>
              <w:rPr>
                <w:b/>
                <w:lang w:eastAsia="en-US"/>
              </w:rPr>
            </w:pPr>
            <w:r>
              <w:rPr>
                <w:b/>
                <w:lang w:eastAsia="en-US"/>
              </w:rPr>
              <w:t>186.5</w:t>
            </w:r>
          </w:p>
        </w:tc>
        <w:tc>
          <w:tcPr>
            <w:tcW w:w="456" w:type="pct"/>
            <w:gridSpan w:val="2"/>
            <w:tcBorders>
              <w:top w:val="single" w:sz="4" w:space="0" w:color="auto"/>
              <w:left w:val="nil"/>
              <w:bottom w:val="single" w:sz="4" w:space="0" w:color="auto"/>
              <w:right w:val="nil"/>
            </w:tcBorders>
            <w:vAlign w:val="bottom"/>
            <w:hideMark/>
          </w:tcPr>
          <w:p w14:paraId="1217A015" w14:textId="77777777" w:rsidR="00FE7F8B" w:rsidRDefault="00FE7F8B">
            <w:pPr>
              <w:pStyle w:val="Tabletextoutputs"/>
              <w:jc w:val="right"/>
              <w:rPr>
                <w:b/>
                <w:lang w:eastAsia="en-US"/>
              </w:rPr>
            </w:pPr>
            <w:r>
              <w:rPr>
                <w:b/>
                <w:lang w:eastAsia="en-US"/>
              </w:rPr>
              <w:t>44.4</w:t>
            </w:r>
          </w:p>
        </w:tc>
        <w:tc>
          <w:tcPr>
            <w:tcW w:w="44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2F65102F" w14:textId="77777777" w:rsidR="00FE7F8B" w:rsidRDefault="00FE7F8B">
            <w:pPr>
              <w:pStyle w:val="Tabletextoutputs"/>
              <w:jc w:val="right"/>
              <w:rPr>
                <w:b/>
                <w:lang w:eastAsia="en-US"/>
              </w:rPr>
            </w:pPr>
            <w:r>
              <w:rPr>
                <w:b/>
                <w:lang w:eastAsia="en-US"/>
              </w:rPr>
              <w:t>0.0</w:t>
            </w:r>
          </w:p>
        </w:tc>
        <w:tc>
          <w:tcPr>
            <w:tcW w:w="437" w:type="pct"/>
            <w:gridSpan w:val="3"/>
            <w:tcBorders>
              <w:top w:val="single" w:sz="4" w:space="0" w:color="auto"/>
              <w:left w:val="nil"/>
              <w:bottom w:val="single" w:sz="4" w:space="0" w:color="auto"/>
              <w:right w:val="nil"/>
            </w:tcBorders>
            <w:vAlign w:val="bottom"/>
            <w:hideMark/>
          </w:tcPr>
          <w:p w14:paraId="532AAAA6" w14:textId="77777777" w:rsidR="00FE7F8B" w:rsidRDefault="00FE7F8B">
            <w:pPr>
              <w:pStyle w:val="Tabletextoutputs"/>
              <w:jc w:val="right"/>
              <w:rPr>
                <w:b/>
                <w:lang w:eastAsia="en-US"/>
              </w:rPr>
            </w:pPr>
            <w:r>
              <w:rPr>
                <w:b/>
                <w:lang w:eastAsia="en-US"/>
              </w:rPr>
              <w:t>0.0</w:t>
            </w:r>
          </w:p>
        </w:tc>
        <w:tc>
          <w:tcPr>
            <w:tcW w:w="514"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26E17866" w14:textId="77777777" w:rsidR="00FE7F8B" w:rsidRDefault="00FE7F8B">
            <w:pPr>
              <w:pStyle w:val="Tabletextoutputs"/>
              <w:jc w:val="right"/>
              <w:rPr>
                <w:b/>
                <w:lang w:eastAsia="en-US"/>
              </w:rPr>
            </w:pPr>
            <w:r>
              <w:rPr>
                <w:b/>
                <w:lang w:eastAsia="en-US"/>
              </w:rPr>
              <w:t>230.9</w:t>
            </w:r>
          </w:p>
        </w:tc>
      </w:tr>
      <w:tr w:rsidR="00FE7F8B" w14:paraId="2B28E630" w14:textId="77777777" w:rsidTr="007F3724">
        <w:trPr>
          <w:trHeight w:val="340"/>
        </w:trPr>
        <w:tc>
          <w:tcPr>
            <w:tcW w:w="5000" w:type="pct"/>
            <w:gridSpan w:val="25"/>
            <w:tcBorders>
              <w:top w:val="single" w:sz="4" w:space="0" w:color="auto"/>
              <w:left w:val="nil"/>
              <w:bottom w:val="nil"/>
              <w:right w:val="nil"/>
            </w:tcBorders>
            <w:shd w:val="clear" w:color="auto" w:fill="FFFFFF"/>
            <w:vAlign w:val="bottom"/>
            <w:hideMark/>
          </w:tcPr>
          <w:p w14:paraId="2460A865" w14:textId="77777777" w:rsidR="00FE7F8B" w:rsidRDefault="00FE7F8B">
            <w:pPr>
              <w:pStyle w:val="Tabletextoutputs"/>
              <w:rPr>
                <w:b/>
                <w:lang w:eastAsia="en-US"/>
              </w:rPr>
            </w:pPr>
            <w:r>
              <w:rPr>
                <w:b/>
                <w:lang w:eastAsia="en-US"/>
              </w:rPr>
              <w:t>Other economic flows included in net result</w:t>
            </w:r>
          </w:p>
        </w:tc>
      </w:tr>
      <w:tr w:rsidR="007F3724" w14:paraId="44401EBE" w14:textId="77777777" w:rsidTr="007F3724">
        <w:trPr>
          <w:trHeight w:val="210"/>
        </w:trPr>
        <w:tc>
          <w:tcPr>
            <w:tcW w:w="1637" w:type="pct"/>
            <w:shd w:val="clear" w:color="auto" w:fill="FFFFFF"/>
            <w:hideMark/>
          </w:tcPr>
          <w:p w14:paraId="5B137B74" w14:textId="77777777" w:rsidR="00FE7F8B" w:rsidRDefault="00FE7F8B">
            <w:pPr>
              <w:pStyle w:val="Tabletextoutputstight"/>
              <w:rPr>
                <w:lang w:eastAsia="en-US"/>
              </w:rPr>
            </w:pPr>
            <w:r>
              <w:rPr>
                <w:lang w:eastAsia="en-US"/>
              </w:rPr>
              <w:t>Net gain/(loss) on non-financial assets</w:t>
            </w:r>
          </w:p>
        </w:tc>
        <w:tc>
          <w:tcPr>
            <w:tcW w:w="580" w:type="pct"/>
            <w:gridSpan w:val="3"/>
            <w:shd w:val="clear" w:color="auto" w:fill="F2F2F2" w:themeFill="background1" w:themeFillShade="F2"/>
            <w:vAlign w:val="bottom"/>
            <w:hideMark/>
          </w:tcPr>
          <w:p w14:paraId="1573FDF0" w14:textId="77777777" w:rsidR="00FE7F8B" w:rsidRDefault="00FE7F8B">
            <w:pPr>
              <w:pStyle w:val="Tabletextoutputstight"/>
              <w:jc w:val="right"/>
              <w:rPr>
                <w:lang w:eastAsia="en-US"/>
              </w:rPr>
            </w:pPr>
            <w:r>
              <w:rPr>
                <w:lang w:eastAsia="en-US"/>
              </w:rPr>
              <w:t>0.0</w:t>
            </w:r>
          </w:p>
        </w:tc>
        <w:tc>
          <w:tcPr>
            <w:tcW w:w="445" w:type="pct"/>
            <w:gridSpan w:val="2"/>
            <w:vAlign w:val="bottom"/>
            <w:hideMark/>
          </w:tcPr>
          <w:p w14:paraId="1DE1B023" w14:textId="77777777" w:rsidR="00FE7F8B" w:rsidRDefault="00FE7F8B">
            <w:pPr>
              <w:pStyle w:val="Tabletextoutputstight"/>
              <w:jc w:val="right"/>
              <w:rPr>
                <w:lang w:eastAsia="en-US"/>
              </w:rPr>
            </w:pPr>
            <w:r>
              <w:rPr>
                <w:lang w:eastAsia="en-US"/>
              </w:rPr>
              <w:t>0.0</w:t>
            </w:r>
          </w:p>
        </w:tc>
        <w:tc>
          <w:tcPr>
            <w:tcW w:w="471" w:type="pct"/>
            <w:gridSpan w:val="4"/>
            <w:shd w:val="clear" w:color="auto" w:fill="F2F2F2" w:themeFill="background1" w:themeFillShade="F2"/>
            <w:vAlign w:val="bottom"/>
            <w:hideMark/>
          </w:tcPr>
          <w:p w14:paraId="762F0148" w14:textId="77777777" w:rsidR="00FE7F8B" w:rsidRDefault="00FE7F8B">
            <w:pPr>
              <w:pStyle w:val="Tabletextoutputstight"/>
              <w:jc w:val="right"/>
              <w:rPr>
                <w:lang w:eastAsia="en-US"/>
              </w:rPr>
            </w:pPr>
            <w:r>
              <w:rPr>
                <w:lang w:eastAsia="en-US"/>
              </w:rPr>
              <w:t>0.1</w:t>
            </w:r>
          </w:p>
        </w:tc>
        <w:tc>
          <w:tcPr>
            <w:tcW w:w="475" w:type="pct"/>
            <w:gridSpan w:val="4"/>
            <w:vAlign w:val="bottom"/>
            <w:hideMark/>
          </w:tcPr>
          <w:p w14:paraId="04512DCE" w14:textId="77777777" w:rsidR="00FE7F8B" w:rsidRDefault="00FE7F8B">
            <w:pPr>
              <w:pStyle w:val="Tabletextoutputstight"/>
              <w:jc w:val="right"/>
              <w:rPr>
                <w:lang w:eastAsia="en-US"/>
              </w:rPr>
            </w:pPr>
            <w:r>
              <w:rPr>
                <w:lang w:eastAsia="en-US"/>
              </w:rPr>
              <w:t>0.0</w:t>
            </w:r>
          </w:p>
        </w:tc>
        <w:tc>
          <w:tcPr>
            <w:tcW w:w="477" w:type="pct"/>
            <w:gridSpan w:val="5"/>
            <w:shd w:val="clear" w:color="auto" w:fill="F2F2F2" w:themeFill="background1" w:themeFillShade="F2"/>
            <w:vAlign w:val="bottom"/>
            <w:hideMark/>
          </w:tcPr>
          <w:p w14:paraId="3956FB0C" w14:textId="77777777" w:rsidR="00FE7F8B" w:rsidRDefault="00FE7F8B">
            <w:pPr>
              <w:pStyle w:val="Tabletextoutputstight"/>
              <w:jc w:val="right"/>
              <w:rPr>
                <w:lang w:eastAsia="en-US"/>
              </w:rPr>
            </w:pPr>
            <w:r>
              <w:rPr>
                <w:lang w:eastAsia="en-US"/>
              </w:rPr>
              <w:t>0.0</w:t>
            </w:r>
          </w:p>
        </w:tc>
        <w:tc>
          <w:tcPr>
            <w:tcW w:w="475" w:type="pct"/>
            <w:gridSpan w:val="4"/>
            <w:vAlign w:val="bottom"/>
            <w:hideMark/>
          </w:tcPr>
          <w:p w14:paraId="58E9D293" w14:textId="77777777" w:rsidR="00FE7F8B" w:rsidRDefault="00FE7F8B">
            <w:pPr>
              <w:pStyle w:val="Tabletextoutputstight"/>
              <w:jc w:val="right"/>
              <w:rPr>
                <w:lang w:eastAsia="en-US"/>
              </w:rPr>
            </w:pPr>
            <w:r>
              <w:rPr>
                <w:lang w:eastAsia="en-US"/>
              </w:rPr>
              <w:t>0.0</w:t>
            </w:r>
          </w:p>
        </w:tc>
        <w:tc>
          <w:tcPr>
            <w:tcW w:w="440" w:type="pct"/>
            <w:gridSpan w:val="2"/>
            <w:shd w:val="clear" w:color="auto" w:fill="F2F2F2" w:themeFill="background1" w:themeFillShade="F2"/>
            <w:vAlign w:val="bottom"/>
            <w:hideMark/>
          </w:tcPr>
          <w:p w14:paraId="1D403BBA" w14:textId="77777777" w:rsidR="00FE7F8B" w:rsidRDefault="00FE7F8B">
            <w:pPr>
              <w:pStyle w:val="Tabletextoutputstight"/>
              <w:jc w:val="right"/>
              <w:rPr>
                <w:lang w:eastAsia="en-US"/>
              </w:rPr>
            </w:pPr>
            <w:r>
              <w:rPr>
                <w:b/>
                <w:lang w:eastAsia="en-US"/>
              </w:rPr>
              <w:t>0.1</w:t>
            </w:r>
          </w:p>
        </w:tc>
      </w:tr>
      <w:tr w:rsidR="007F3724" w14:paraId="42F04201" w14:textId="77777777" w:rsidTr="007F3724">
        <w:trPr>
          <w:trHeight w:val="255"/>
        </w:trPr>
        <w:tc>
          <w:tcPr>
            <w:tcW w:w="1637" w:type="pct"/>
            <w:shd w:val="clear" w:color="auto" w:fill="FFFFFF"/>
            <w:hideMark/>
          </w:tcPr>
          <w:p w14:paraId="6AE8467F" w14:textId="77777777" w:rsidR="00FE7F8B" w:rsidRDefault="00FE7F8B">
            <w:pPr>
              <w:pStyle w:val="Tabletextoutputstight"/>
              <w:rPr>
                <w:lang w:eastAsia="en-US"/>
              </w:rPr>
            </w:pPr>
            <w:r>
              <w:rPr>
                <w:lang w:eastAsia="en-US"/>
              </w:rPr>
              <w:t>Net gain/(loss) on financial instruments</w:t>
            </w:r>
          </w:p>
        </w:tc>
        <w:tc>
          <w:tcPr>
            <w:tcW w:w="580" w:type="pct"/>
            <w:gridSpan w:val="3"/>
            <w:shd w:val="clear" w:color="auto" w:fill="F2F2F2" w:themeFill="background1" w:themeFillShade="F2"/>
            <w:vAlign w:val="bottom"/>
            <w:hideMark/>
          </w:tcPr>
          <w:p w14:paraId="6BE5706B" w14:textId="77777777" w:rsidR="00FE7F8B" w:rsidRDefault="00FE7F8B">
            <w:pPr>
              <w:pStyle w:val="Tabletextoutputstight"/>
              <w:jc w:val="right"/>
              <w:rPr>
                <w:lang w:eastAsia="en-US"/>
              </w:rPr>
            </w:pPr>
            <w:r>
              <w:rPr>
                <w:lang w:eastAsia="en-US"/>
              </w:rPr>
              <w:t>-</w:t>
            </w:r>
          </w:p>
        </w:tc>
        <w:tc>
          <w:tcPr>
            <w:tcW w:w="445" w:type="pct"/>
            <w:gridSpan w:val="2"/>
            <w:vAlign w:val="bottom"/>
            <w:hideMark/>
          </w:tcPr>
          <w:p w14:paraId="5C16A37E" w14:textId="77777777" w:rsidR="00FE7F8B" w:rsidRDefault="00FE7F8B">
            <w:pPr>
              <w:pStyle w:val="Tabletextoutputstight"/>
              <w:jc w:val="right"/>
              <w:rPr>
                <w:lang w:eastAsia="en-US"/>
              </w:rPr>
            </w:pPr>
            <w:r>
              <w:rPr>
                <w:lang w:eastAsia="en-US"/>
              </w:rPr>
              <w:t>-</w:t>
            </w:r>
          </w:p>
        </w:tc>
        <w:tc>
          <w:tcPr>
            <w:tcW w:w="471" w:type="pct"/>
            <w:gridSpan w:val="4"/>
            <w:shd w:val="clear" w:color="auto" w:fill="F2F2F2" w:themeFill="background1" w:themeFillShade="F2"/>
            <w:vAlign w:val="bottom"/>
            <w:hideMark/>
          </w:tcPr>
          <w:p w14:paraId="6B8B04E5" w14:textId="77777777" w:rsidR="00FE7F8B" w:rsidRDefault="00FE7F8B">
            <w:pPr>
              <w:pStyle w:val="Tabletextoutputstight"/>
              <w:jc w:val="right"/>
              <w:rPr>
                <w:lang w:eastAsia="en-US"/>
              </w:rPr>
            </w:pPr>
            <w:r>
              <w:rPr>
                <w:lang w:eastAsia="en-US"/>
              </w:rPr>
              <w:t>(14.8)</w:t>
            </w:r>
          </w:p>
        </w:tc>
        <w:tc>
          <w:tcPr>
            <w:tcW w:w="475" w:type="pct"/>
            <w:gridSpan w:val="4"/>
            <w:vAlign w:val="bottom"/>
            <w:hideMark/>
          </w:tcPr>
          <w:p w14:paraId="4F47A327" w14:textId="77777777" w:rsidR="00FE7F8B" w:rsidRDefault="00FE7F8B">
            <w:pPr>
              <w:pStyle w:val="Tabletextoutputstight"/>
              <w:jc w:val="right"/>
              <w:rPr>
                <w:lang w:eastAsia="en-US"/>
              </w:rPr>
            </w:pPr>
            <w:r>
              <w:rPr>
                <w:lang w:eastAsia="en-US"/>
              </w:rPr>
              <w:t>(2.6)</w:t>
            </w:r>
          </w:p>
        </w:tc>
        <w:tc>
          <w:tcPr>
            <w:tcW w:w="477" w:type="pct"/>
            <w:gridSpan w:val="5"/>
            <w:shd w:val="clear" w:color="auto" w:fill="F2F2F2" w:themeFill="background1" w:themeFillShade="F2"/>
            <w:vAlign w:val="bottom"/>
            <w:hideMark/>
          </w:tcPr>
          <w:p w14:paraId="0A4AE09E" w14:textId="77777777" w:rsidR="00FE7F8B" w:rsidRDefault="00FE7F8B">
            <w:pPr>
              <w:pStyle w:val="Tabletextoutputstight"/>
              <w:jc w:val="right"/>
              <w:rPr>
                <w:lang w:eastAsia="en-US"/>
              </w:rPr>
            </w:pPr>
            <w:r>
              <w:rPr>
                <w:lang w:eastAsia="en-US"/>
              </w:rPr>
              <w:t>-</w:t>
            </w:r>
          </w:p>
        </w:tc>
        <w:tc>
          <w:tcPr>
            <w:tcW w:w="475" w:type="pct"/>
            <w:gridSpan w:val="4"/>
            <w:vAlign w:val="bottom"/>
            <w:hideMark/>
          </w:tcPr>
          <w:p w14:paraId="7597D1E1" w14:textId="77777777" w:rsidR="00FE7F8B" w:rsidRDefault="00FE7F8B">
            <w:pPr>
              <w:pStyle w:val="Tabletextoutputstight"/>
              <w:jc w:val="right"/>
              <w:rPr>
                <w:lang w:eastAsia="en-US"/>
              </w:rPr>
            </w:pPr>
            <w:r>
              <w:rPr>
                <w:lang w:eastAsia="en-US"/>
              </w:rPr>
              <w:t>-</w:t>
            </w:r>
          </w:p>
        </w:tc>
        <w:tc>
          <w:tcPr>
            <w:tcW w:w="440" w:type="pct"/>
            <w:gridSpan w:val="2"/>
            <w:shd w:val="clear" w:color="auto" w:fill="F2F2F2" w:themeFill="background1" w:themeFillShade="F2"/>
            <w:vAlign w:val="bottom"/>
            <w:hideMark/>
          </w:tcPr>
          <w:p w14:paraId="5C5BA5B0" w14:textId="77777777" w:rsidR="00FE7F8B" w:rsidRDefault="00FE7F8B">
            <w:pPr>
              <w:pStyle w:val="Tabletextoutputstight"/>
              <w:jc w:val="right"/>
              <w:rPr>
                <w:lang w:eastAsia="en-US"/>
              </w:rPr>
            </w:pPr>
            <w:r>
              <w:rPr>
                <w:b/>
                <w:lang w:eastAsia="en-US"/>
              </w:rPr>
              <w:t>(17.4)</w:t>
            </w:r>
          </w:p>
        </w:tc>
      </w:tr>
      <w:tr w:rsidR="007F3724" w14:paraId="0C06651D" w14:textId="77777777" w:rsidTr="007F3724">
        <w:trPr>
          <w:trHeight w:val="255"/>
        </w:trPr>
        <w:tc>
          <w:tcPr>
            <w:tcW w:w="1637" w:type="pct"/>
            <w:shd w:val="clear" w:color="auto" w:fill="FFFFFF"/>
            <w:hideMark/>
          </w:tcPr>
          <w:p w14:paraId="1620FDE0" w14:textId="77777777" w:rsidR="00FE7F8B" w:rsidRDefault="00FE7F8B">
            <w:pPr>
              <w:pStyle w:val="Tabletextoutputstight"/>
              <w:rPr>
                <w:lang w:eastAsia="en-US"/>
              </w:rPr>
            </w:pPr>
            <w:r>
              <w:rPr>
                <w:lang w:eastAsia="en-US"/>
              </w:rPr>
              <w:t>Other gains/(losses) from other economic flows</w:t>
            </w:r>
          </w:p>
        </w:tc>
        <w:tc>
          <w:tcPr>
            <w:tcW w:w="580" w:type="pct"/>
            <w:gridSpan w:val="3"/>
            <w:shd w:val="clear" w:color="auto" w:fill="F2F2F2" w:themeFill="background1" w:themeFillShade="F2"/>
            <w:vAlign w:val="bottom"/>
            <w:hideMark/>
          </w:tcPr>
          <w:p w14:paraId="0AB8483B" w14:textId="77777777" w:rsidR="00FE7F8B" w:rsidRDefault="00FE7F8B">
            <w:pPr>
              <w:pStyle w:val="Tabletextoutputstight"/>
              <w:jc w:val="right"/>
              <w:rPr>
                <w:lang w:eastAsia="en-US"/>
              </w:rPr>
            </w:pPr>
            <w:r>
              <w:rPr>
                <w:lang w:eastAsia="en-US"/>
              </w:rPr>
              <w:t>(0.2)</w:t>
            </w:r>
          </w:p>
        </w:tc>
        <w:tc>
          <w:tcPr>
            <w:tcW w:w="445" w:type="pct"/>
            <w:gridSpan w:val="2"/>
            <w:vAlign w:val="bottom"/>
            <w:hideMark/>
          </w:tcPr>
          <w:p w14:paraId="5AB7A858" w14:textId="77777777" w:rsidR="00FE7F8B" w:rsidRDefault="00FE7F8B">
            <w:pPr>
              <w:pStyle w:val="Tabletextoutputstight"/>
              <w:jc w:val="right"/>
              <w:rPr>
                <w:lang w:eastAsia="en-US"/>
              </w:rPr>
            </w:pPr>
            <w:r>
              <w:rPr>
                <w:lang w:eastAsia="en-US"/>
              </w:rPr>
              <w:t>(0.2)</w:t>
            </w:r>
          </w:p>
        </w:tc>
        <w:tc>
          <w:tcPr>
            <w:tcW w:w="471" w:type="pct"/>
            <w:gridSpan w:val="4"/>
            <w:shd w:val="clear" w:color="auto" w:fill="F2F2F2" w:themeFill="background1" w:themeFillShade="F2"/>
            <w:vAlign w:val="bottom"/>
            <w:hideMark/>
          </w:tcPr>
          <w:p w14:paraId="52C2188D" w14:textId="77777777" w:rsidR="00FE7F8B" w:rsidRDefault="00FE7F8B">
            <w:pPr>
              <w:pStyle w:val="Tabletextoutputstight"/>
              <w:jc w:val="right"/>
              <w:rPr>
                <w:lang w:eastAsia="en-US"/>
              </w:rPr>
            </w:pPr>
            <w:r>
              <w:rPr>
                <w:lang w:eastAsia="en-US"/>
              </w:rPr>
              <w:t>(25.9)</w:t>
            </w:r>
          </w:p>
        </w:tc>
        <w:tc>
          <w:tcPr>
            <w:tcW w:w="475" w:type="pct"/>
            <w:gridSpan w:val="4"/>
            <w:vAlign w:val="bottom"/>
            <w:hideMark/>
          </w:tcPr>
          <w:p w14:paraId="7B34B83A" w14:textId="77777777" w:rsidR="00FE7F8B" w:rsidRDefault="00FE7F8B">
            <w:pPr>
              <w:pStyle w:val="Tabletextoutputstight"/>
              <w:jc w:val="right"/>
              <w:rPr>
                <w:lang w:eastAsia="en-US"/>
              </w:rPr>
            </w:pPr>
            <w:r>
              <w:rPr>
                <w:lang w:eastAsia="en-US"/>
              </w:rPr>
              <w:t>(0.2)</w:t>
            </w:r>
          </w:p>
        </w:tc>
        <w:tc>
          <w:tcPr>
            <w:tcW w:w="477" w:type="pct"/>
            <w:gridSpan w:val="5"/>
            <w:shd w:val="clear" w:color="auto" w:fill="F2F2F2" w:themeFill="background1" w:themeFillShade="F2"/>
            <w:vAlign w:val="bottom"/>
            <w:hideMark/>
          </w:tcPr>
          <w:p w14:paraId="308C9590" w14:textId="77777777" w:rsidR="00FE7F8B" w:rsidRDefault="00FE7F8B">
            <w:pPr>
              <w:pStyle w:val="Tabletextoutputstight"/>
              <w:jc w:val="right"/>
              <w:rPr>
                <w:lang w:eastAsia="en-US"/>
              </w:rPr>
            </w:pPr>
            <w:r>
              <w:rPr>
                <w:lang w:eastAsia="en-US"/>
              </w:rPr>
              <w:t>(0.9)</w:t>
            </w:r>
          </w:p>
        </w:tc>
        <w:tc>
          <w:tcPr>
            <w:tcW w:w="475" w:type="pct"/>
            <w:gridSpan w:val="4"/>
            <w:vAlign w:val="bottom"/>
            <w:hideMark/>
          </w:tcPr>
          <w:p w14:paraId="1C527EF8" w14:textId="77777777" w:rsidR="00FE7F8B" w:rsidRDefault="00FE7F8B">
            <w:pPr>
              <w:pStyle w:val="Tabletextoutputstight"/>
              <w:jc w:val="right"/>
              <w:rPr>
                <w:lang w:eastAsia="en-US"/>
              </w:rPr>
            </w:pPr>
            <w:r>
              <w:rPr>
                <w:lang w:eastAsia="en-US"/>
              </w:rPr>
              <w:t>(3.7)</w:t>
            </w:r>
          </w:p>
        </w:tc>
        <w:tc>
          <w:tcPr>
            <w:tcW w:w="440" w:type="pct"/>
            <w:gridSpan w:val="2"/>
            <w:shd w:val="clear" w:color="auto" w:fill="F2F2F2" w:themeFill="background1" w:themeFillShade="F2"/>
            <w:vAlign w:val="bottom"/>
            <w:hideMark/>
          </w:tcPr>
          <w:p w14:paraId="23DDB8C7" w14:textId="77777777" w:rsidR="00FE7F8B" w:rsidRDefault="00FE7F8B">
            <w:pPr>
              <w:pStyle w:val="Tabletextoutputstight"/>
              <w:jc w:val="right"/>
              <w:rPr>
                <w:lang w:eastAsia="en-US"/>
              </w:rPr>
            </w:pPr>
            <w:r>
              <w:rPr>
                <w:b/>
                <w:lang w:eastAsia="en-US"/>
              </w:rPr>
              <w:t>(31.1)</w:t>
            </w:r>
          </w:p>
        </w:tc>
      </w:tr>
      <w:tr w:rsidR="007F3724" w14:paraId="0ABD5F86" w14:textId="77777777" w:rsidTr="007F3724">
        <w:trPr>
          <w:trHeight w:val="255"/>
        </w:trPr>
        <w:tc>
          <w:tcPr>
            <w:tcW w:w="1637" w:type="pct"/>
            <w:tcBorders>
              <w:top w:val="nil"/>
              <w:left w:val="nil"/>
              <w:bottom w:val="single" w:sz="4" w:space="0" w:color="auto"/>
              <w:right w:val="nil"/>
            </w:tcBorders>
            <w:shd w:val="clear" w:color="auto" w:fill="FFFFFF"/>
            <w:noWrap/>
            <w:vAlign w:val="bottom"/>
            <w:hideMark/>
          </w:tcPr>
          <w:p w14:paraId="6C61D390" w14:textId="77777777" w:rsidR="00FE7F8B" w:rsidRDefault="00FE7F8B">
            <w:pPr>
              <w:pStyle w:val="Tabletextoutputstight"/>
              <w:rPr>
                <w:b/>
                <w:lang w:eastAsia="en-US"/>
              </w:rPr>
            </w:pPr>
            <w:r>
              <w:rPr>
                <w:b/>
                <w:lang w:eastAsia="en-US"/>
              </w:rPr>
              <w:t>Total other economic flows included in net result</w:t>
            </w:r>
          </w:p>
        </w:tc>
        <w:tc>
          <w:tcPr>
            <w:tcW w:w="580" w:type="pct"/>
            <w:gridSpan w:val="3"/>
            <w:tcBorders>
              <w:top w:val="nil"/>
              <w:left w:val="nil"/>
              <w:bottom w:val="single" w:sz="4" w:space="0" w:color="auto"/>
              <w:right w:val="nil"/>
            </w:tcBorders>
            <w:shd w:val="clear" w:color="auto" w:fill="F2F2F2" w:themeFill="background1" w:themeFillShade="F2"/>
            <w:vAlign w:val="bottom"/>
            <w:hideMark/>
          </w:tcPr>
          <w:p w14:paraId="7FFE26D5" w14:textId="77777777" w:rsidR="00FE7F8B" w:rsidRDefault="00FE7F8B">
            <w:pPr>
              <w:pStyle w:val="Tabletextoutputstight"/>
              <w:jc w:val="right"/>
              <w:rPr>
                <w:lang w:eastAsia="en-US"/>
              </w:rPr>
            </w:pPr>
            <w:r>
              <w:rPr>
                <w:b/>
                <w:lang w:eastAsia="en-US"/>
              </w:rPr>
              <w:t>(0.2)</w:t>
            </w:r>
          </w:p>
        </w:tc>
        <w:tc>
          <w:tcPr>
            <w:tcW w:w="445" w:type="pct"/>
            <w:gridSpan w:val="2"/>
            <w:tcBorders>
              <w:top w:val="nil"/>
              <w:left w:val="nil"/>
              <w:bottom w:val="single" w:sz="4" w:space="0" w:color="auto"/>
              <w:right w:val="nil"/>
            </w:tcBorders>
            <w:vAlign w:val="bottom"/>
            <w:hideMark/>
          </w:tcPr>
          <w:p w14:paraId="5424AC65" w14:textId="77777777" w:rsidR="00FE7F8B" w:rsidRDefault="00FE7F8B">
            <w:pPr>
              <w:pStyle w:val="Tabletextoutputstight"/>
              <w:jc w:val="right"/>
              <w:rPr>
                <w:lang w:eastAsia="en-US"/>
              </w:rPr>
            </w:pPr>
            <w:r>
              <w:rPr>
                <w:b/>
                <w:lang w:eastAsia="en-US"/>
              </w:rPr>
              <w:t>(0.2)</w:t>
            </w:r>
          </w:p>
        </w:tc>
        <w:tc>
          <w:tcPr>
            <w:tcW w:w="471" w:type="pct"/>
            <w:gridSpan w:val="4"/>
            <w:tcBorders>
              <w:top w:val="nil"/>
              <w:left w:val="nil"/>
              <w:bottom w:val="single" w:sz="4" w:space="0" w:color="auto"/>
              <w:right w:val="nil"/>
            </w:tcBorders>
            <w:shd w:val="clear" w:color="auto" w:fill="F2F2F2" w:themeFill="background1" w:themeFillShade="F2"/>
            <w:vAlign w:val="bottom"/>
            <w:hideMark/>
          </w:tcPr>
          <w:p w14:paraId="1DF671A4" w14:textId="77777777" w:rsidR="00FE7F8B" w:rsidRDefault="00FE7F8B">
            <w:pPr>
              <w:pStyle w:val="Tabletextoutputstight"/>
              <w:jc w:val="right"/>
              <w:rPr>
                <w:lang w:eastAsia="en-US"/>
              </w:rPr>
            </w:pPr>
            <w:r>
              <w:rPr>
                <w:b/>
                <w:lang w:eastAsia="en-US"/>
              </w:rPr>
              <w:t>(40.6)</w:t>
            </w:r>
          </w:p>
        </w:tc>
        <w:tc>
          <w:tcPr>
            <w:tcW w:w="475" w:type="pct"/>
            <w:gridSpan w:val="4"/>
            <w:tcBorders>
              <w:top w:val="nil"/>
              <w:left w:val="nil"/>
              <w:bottom w:val="single" w:sz="4" w:space="0" w:color="auto"/>
              <w:right w:val="nil"/>
            </w:tcBorders>
            <w:vAlign w:val="bottom"/>
            <w:hideMark/>
          </w:tcPr>
          <w:p w14:paraId="127256FB" w14:textId="77777777" w:rsidR="00FE7F8B" w:rsidRDefault="00FE7F8B">
            <w:pPr>
              <w:pStyle w:val="Tabletextoutputstight"/>
              <w:jc w:val="right"/>
              <w:rPr>
                <w:lang w:eastAsia="en-US"/>
              </w:rPr>
            </w:pPr>
            <w:r>
              <w:rPr>
                <w:b/>
                <w:lang w:eastAsia="en-US"/>
              </w:rPr>
              <w:t>(2.8)</w:t>
            </w:r>
          </w:p>
        </w:tc>
        <w:tc>
          <w:tcPr>
            <w:tcW w:w="477" w:type="pct"/>
            <w:gridSpan w:val="5"/>
            <w:tcBorders>
              <w:top w:val="nil"/>
              <w:left w:val="nil"/>
              <w:bottom w:val="single" w:sz="4" w:space="0" w:color="auto"/>
              <w:right w:val="nil"/>
            </w:tcBorders>
            <w:shd w:val="clear" w:color="auto" w:fill="F2F2F2" w:themeFill="background1" w:themeFillShade="F2"/>
            <w:vAlign w:val="bottom"/>
            <w:hideMark/>
          </w:tcPr>
          <w:p w14:paraId="477F89B7" w14:textId="77777777" w:rsidR="00FE7F8B" w:rsidRDefault="00FE7F8B">
            <w:pPr>
              <w:pStyle w:val="Tabletextoutputstight"/>
              <w:jc w:val="right"/>
              <w:rPr>
                <w:lang w:eastAsia="en-US"/>
              </w:rPr>
            </w:pPr>
            <w:r>
              <w:rPr>
                <w:b/>
                <w:lang w:eastAsia="en-US"/>
              </w:rPr>
              <w:t>(0.9)</w:t>
            </w:r>
          </w:p>
        </w:tc>
        <w:tc>
          <w:tcPr>
            <w:tcW w:w="475" w:type="pct"/>
            <w:gridSpan w:val="4"/>
            <w:tcBorders>
              <w:top w:val="nil"/>
              <w:left w:val="nil"/>
              <w:bottom w:val="single" w:sz="4" w:space="0" w:color="auto"/>
              <w:right w:val="nil"/>
            </w:tcBorders>
            <w:vAlign w:val="bottom"/>
            <w:hideMark/>
          </w:tcPr>
          <w:p w14:paraId="02D3039B" w14:textId="77777777" w:rsidR="00FE7F8B" w:rsidRDefault="00FE7F8B">
            <w:pPr>
              <w:pStyle w:val="Tabletextoutputstight"/>
              <w:jc w:val="right"/>
              <w:rPr>
                <w:lang w:eastAsia="en-US"/>
              </w:rPr>
            </w:pPr>
            <w:r>
              <w:rPr>
                <w:b/>
                <w:lang w:eastAsia="en-US"/>
              </w:rPr>
              <w:t>(3.7)</w:t>
            </w:r>
          </w:p>
        </w:tc>
        <w:tc>
          <w:tcPr>
            <w:tcW w:w="440" w:type="pct"/>
            <w:gridSpan w:val="2"/>
            <w:tcBorders>
              <w:top w:val="nil"/>
              <w:left w:val="nil"/>
              <w:bottom w:val="single" w:sz="4" w:space="0" w:color="auto"/>
              <w:right w:val="nil"/>
            </w:tcBorders>
            <w:shd w:val="clear" w:color="auto" w:fill="F2F2F2" w:themeFill="background1" w:themeFillShade="F2"/>
            <w:vAlign w:val="bottom"/>
            <w:hideMark/>
          </w:tcPr>
          <w:p w14:paraId="743E07C7" w14:textId="77777777" w:rsidR="00FE7F8B" w:rsidRDefault="00FE7F8B">
            <w:pPr>
              <w:pStyle w:val="Tabletextoutputstight"/>
              <w:jc w:val="right"/>
              <w:rPr>
                <w:lang w:eastAsia="en-US"/>
              </w:rPr>
            </w:pPr>
            <w:r>
              <w:rPr>
                <w:b/>
                <w:lang w:eastAsia="en-US"/>
              </w:rPr>
              <w:t>(48.4)</w:t>
            </w:r>
          </w:p>
        </w:tc>
      </w:tr>
      <w:tr w:rsidR="007F3724" w14:paraId="2726B12A" w14:textId="77777777" w:rsidTr="007F3724">
        <w:trPr>
          <w:trHeight w:val="240"/>
        </w:trPr>
        <w:tc>
          <w:tcPr>
            <w:tcW w:w="1637" w:type="pct"/>
            <w:tcBorders>
              <w:top w:val="single" w:sz="4" w:space="0" w:color="auto"/>
              <w:left w:val="nil"/>
              <w:bottom w:val="single" w:sz="4" w:space="0" w:color="auto"/>
              <w:right w:val="nil"/>
            </w:tcBorders>
            <w:shd w:val="clear" w:color="auto" w:fill="FFFFFF"/>
            <w:vAlign w:val="bottom"/>
            <w:hideMark/>
          </w:tcPr>
          <w:p w14:paraId="1E065666" w14:textId="77777777" w:rsidR="00FE7F8B" w:rsidRDefault="00FE7F8B">
            <w:pPr>
              <w:pStyle w:val="Tabletextoutputs"/>
              <w:rPr>
                <w:b/>
                <w:lang w:eastAsia="en-US"/>
              </w:rPr>
            </w:pPr>
            <w:r>
              <w:rPr>
                <w:b/>
                <w:lang w:eastAsia="en-US"/>
              </w:rPr>
              <w:t>Net result</w:t>
            </w:r>
          </w:p>
        </w:tc>
        <w:tc>
          <w:tcPr>
            <w:tcW w:w="580" w:type="pct"/>
            <w:gridSpan w:val="3"/>
            <w:tcBorders>
              <w:top w:val="single" w:sz="4" w:space="0" w:color="auto"/>
              <w:left w:val="nil"/>
              <w:bottom w:val="single" w:sz="4" w:space="0" w:color="auto"/>
              <w:right w:val="nil"/>
            </w:tcBorders>
            <w:shd w:val="clear" w:color="auto" w:fill="F2F2F2" w:themeFill="background1" w:themeFillShade="F2"/>
            <w:vAlign w:val="bottom"/>
            <w:hideMark/>
          </w:tcPr>
          <w:p w14:paraId="742D3BCD" w14:textId="77777777" w:rsidR="00FE7F8B" w:rsidRDefault="00FE7F8B">
            <w:pPr>
              <w:pStyle w:val="Tabletextoutputs"/>
              <w:jc w:val="right"/>
              <w:rPr>
                <w:b/>
                <w:lang w:eastAsia="en-US"/>
              </w:rPr>
            </w:pPr>
            <w:r>
              <w:rPr>
                <w:b/>
                <w:lang w:eastAsia="en-US"/>
              </w:rPr>
              <w:t>(0.2)</w:t>
            </w:r>
          </w:p>
        </w:tc>
        <w:tc>
          <w:tcPr>
            <w:tcW w:w="445" w:type="pct"/>
            <w:gridSpan w:val="2"/>
            <w:tcBorders>
              <w:top w:val="single" w:sz="4" w:space="0" w:color="auto"/>
              <w:left w:val="nil"/>
              <w:bottom w:val="single" w:sz="4" w:space="0" w:color="auto"/>
              <w:right w:val="nil"/>
            </w:tcBorders>
            <w:vAlign w:val="bottom"/>
            <w:hideMark/>
          </w:tcPr>
          <w:p w14:paraId="065C22E2" w14:textId="77777777" w:rsidR="00FE7F8B" w:rsidRDefault="00FE7F8B">
            <w:pPr>
              <w:pStyle w:val="Tabletextoutputs"/>
              <w:jc w:val="right"/>
              <w:rPr>
                <w:b/>
                <w:lang w:eastAsia="en-US"/>
              </w:rPr>
            </w:pPr>
            <w:r>
              <w:rPr>
                <w:b/>
                <w:lang w:eastAsia="en-US"/>
              </w:rPr>
              <w:t>(0.2)</w:t>
            </w:r>
          </w:p>
        </w:tc>
        <w:tc>
          <w:tcPr>
            <w:tcW w:w="47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17B2F1E0" w14:textId="77777777" w:rsidR="00FE7F8B" w:rsidRDefault="00FE7F8B">
            <w:pPr>
              <w:pStyle w:val="Tabletextoutputs"/>
              <w:jc w:val="right"/>
              <w:rPr>
                <w:b/>
                <w:lang w:eastAsia="en-US"/>
              </w:rPr>
            </w:pPr>
            <w:r>
              <w:rPr>
                <w:b/>
                <w:lang w:eastAsia="en-US"/>
              </w:rPr>
              <w:t>145.9</w:t>
            </w:r>
          </w:p>
        </w:tc>
        <w:tc>
          <w:tcPr>
            <w:tcW w:w="475" w:type="pct"/>
            <w:gridSpan w:val="4"/>
            <w:tcBorders>
              <w:top w:val="single" w:sz="4" w:space="0" w:color="auto"/>
              <w:left w:val="nil"/>
              <w:bottom w:val="single" w:sz="4" w:space="0" w:color="auto"/>
              <w:right w:val="nil"/>
            </w:tcBorders>
            <w:vAlign w:val="bottom"/>
            <w:hideMark/>
          </w:tcPr>
          <w:p w14:paraId="46F5D393" w14:textId="77777777" w:rsidR="00FE7F8B" w:rsidRDefault="00FE7F8B">
            <w:pPr>
              <w:pStyle w:val="Tabletextoutputs"/>
              <w:jc w:val="right"/>
              <w:rPr>
                <w:b/>
                <w:lang w:eastAsia="en-US"/>
              </w:rPr>
            </w:pPr>
            <w:r>
              <w:rPr>
                <w:b/>
                <w:lang w:eastAsia="en-US"/>
              </w:rPr>
              <w:t>41.6</w:t>
            </w:r>
          </w:p>
        </w:tc>
        <w:tc>
          <w:tcPr>
            <w:tcW w:w="477" w:type="pct"/>
            <w:gridSpan w:val="5"/>
            <w:tcBorders>
              <w:top w:val="single" w:sz="4" w:space="0" w:color="auto"/>
              <w:left w:val="nil"/>
              <w:bottom w:val="single" w:sz="4" w:space="0" w:color="auto"/>
              <w:right w:val="nil"/>
            </w:tcBorders>
            <w:shd w:val="clear" w:color="auto" w:fill="F2F2F2" w:themeFill="background1" w:themeFillShade="F2"/>
            <w:vAlign w:val="bottom"/>
            <w:hideMark/>
          </w:tcPr>
          <w:p w14:paraId="5FC286E4" w14:textId="77777777" w:rsidR="00FE7F8B" w:rsidRDefault="00FE7F8B">
            <w:pPr>
              <w:pStyle w:val="Tabletextoutputs"/>
              <w:jc w:val="right"/>
              <w:rPr>
                <w:b/>
                <w:lang w:eastAsia="en-US"/>
              </w:rPr>
            </w:pPr>
            <w:r>
              <w:rPr>
                <w:b/>
                <w:lang w:eastAsia="en-US"/>
              </w:rPr>
              <w:t>(0.9)</w:t>
            </w:r>
          </w:p>
        </w:tc>
        <w:tc>
          <w:tcPr>
            <w:tcW w:w="475" w:type="pct"/>
            <w:gridSpan w:val="4"/>
            <w:tcBorders>
              <w:top w:val="single" w:sz="4" w:space="0" w:color="auto"/>
              <w:left w:val="nil"/>
              <w:bottom w:val="single" w:sz="4" w:space="0" w:color="auto"/>
              <w:right w:val="nil"/>
            </w:tcBorders>
            <w:vAlign w:val="bottom"/>
            <w:hideMark/>
          </w:tcPr>
          <w:p w14:paraId="44BDC686" w14:textId="77777777" w:rsidR="00FE7F8B" w:rsidRDefault="00FE7F8B">
            <w:pPr>
              <w:pStyle w:val="Tabletextoutputs"/>
              <w:jc w:val="right"/>
              <w:rPr>
                <w:b/>
                <w:lang w:eastAsia="en-US"/>
              </w:rPr>
            </w:pPr>
            <w:r>
              <w:rPr>
                <w:b/>
                <w:lang w:eastAsia="en-US"/>
              </w:rPr>
              <w:t>(3.6)</w:t>
            </w:r>
          </w:p>
        </w:tc>
        <w:tc>
          <w:tcPr>
            <w:tcW w:w="440"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3F75D986" w14:textId="77777777" w:rsidR="00FE7F8B" w:rsidRDefault="00FE7F8B">
            <w:pPr>
              <w:pStyle w:val="Tabletextoutputs"/>
              <w:jc w:val="right"/>
              <w:rPr>
                <w:b/>
                <w:lang w:eastAsia="en-US"/>
              </w:rPr>
            </w:pPr>
            <w:r>
              <w:rPr>
                <w:b/>
                <w:lang w:eastAsia="en-US"/>
              </w:rPr>
              <w:t>182.5</w:t>
            </w:r>
          </w:p>
        </w:tc>
      </w:tr>
      <w:tr w:rsidR="00FE7F8B" w14:paraId="2174EA17" w14:textId="77777777" w:rsidTr="007F3724">
        <w:trPr>
          <w:trHeight w:val="340"/>
        </w:trPr>
        <w:tc>
          <w:tcPr>
            <w:tcW w:w="5000" w:type="pct"/>
            <w:gridSpan w:val="25"/>
            <w:tcBorders>
              <w:top w:val="single" w:sz="4" w:space="0" w:color="auto"/>
              <w:left w:val="nil"/>
              <w:bottom w:val="nil"/>
              <w:right w:val="nil"/>
            </w:tcBorders>
            <w:shd w:val="clear" w:color="auto" w:fill="FFFFFF"/>
            <w:noWrap/>
            <w:vAlign w:val="bottom"/>
            <w:hideMark/>
          </w:tcPr>
          <w:p w14:paraId="126756AD" w14:textId="77777777" w:rsidR="00FE7F8B" w:rsidRDefault="00FE7F8B">
            <w:pPr>
              <w:pStyle w:val="Tabletextoutputs"/>
              <w:rPr>
                <w:b/>
                <w:lang w:eastAsia="en-US"/>
              </w:rPr>
            </w:pPr>
            <w:r>
              <w:rPr>
                <w:b/>
                <w:lang w:eastAsia="en-US"/>
              </w:rPr>
              <w:t>Other economic flows—other comprehensive income</w:t>
            </w:r>
          </w:p>
        </w:tc>
      </w:tr>
      <w:tr w:rsidR="007F3724" w14:paraId="2650AF7F" w14:textId="77777777" w:rsidTr="007F3724">
        <w:trPr>
          <w:trHeight w:val="255"/>
        </w:trPr>
        <w:tc>
          <w:tcPr>
            <w:tcW w:w="1637" w:type="pct"/>
            <w:tcBorders>
              <w:top w:val="nil"/>
              <w:left w:val="nil"/>
              <w:bottom w:val="single" w:sz="4" w:space="0" w:color="auto"/>
              <w:right w:val="nil"/>
            </w:tcBorders>
            <w:shd w:val="clear" w:color="auto" w:fill="FFFFFF"/>
            <w:noWrap/>
            <w:vAlign w:val="bottom"/>
            <w:hideMark/>
          </w:tcPr>
          <w:p w14:paraId="1D453386" w14:textId="77777777" w:rsidR="00FE7F8B" w:rsidRDefault="00FE7F8B">
            <w:pPr>
              <w:pStyle w:val="Tabletextoutputstight"/>
              <w:rPr>
                <w:lang w:eastAsia="en-US"/>
              </w:rPr>
            </w:pPr>
            <w:r>
              <w:rPr>
                <w:lang w:eastAsia="en-US"/>
              </w:rPr>
              <w:t>Changes in physical asset revaluation surplus</w:t>
            </w:r>
          </w:p>
        </w:tc>
        <w:tc>
          <w:tcPr>
            <w:tcW w:w="580" w:type="pct"/>
            <w:gridSpan w:val="3"/>
            <w:tcBorders>
              <w:top w:val="nil"/>
              <w:left w:val="nil"/>
              <w:bottom w:val="single" w:sz="4" w:space="0" w:color="auto"/>
              <w:right w:val="nil"/>
            </w:tcBorders>
            <w:shd w:val="clear" w:color="auto" w:fill="F2F2F2" w:themeFill="background1" w:themeFillShade="F2"/>
            <w:vAlign w:val="bottom"/>
            <w:hideMark/>
          </w:tcPr>
          <w:p w14:paraId="02D653E1" w14:textId="77777777" w:rsidR="00FE7F8B" w:rsidRDefault="00FE7F8B">
            <w:pPr>
              <w:pStyle w:val="Tabletextoutputstight"/>
              <w:jc w:val="right"/>
              <w:rPr>
                <w:lang w:eastAsia="en-US"/>
              </w:rPr>
            </w:pPr>
            <w:r>
              <w:rPr>
                <w:lang w:eastAsia="en-US"/>
              </w:rPr>
              <w:t>-</w:t>
            </w:r>
          </w:p>
        </w:tc>
        <w:tc>
          <w:tcPr>
            <w:tcW w:w="454" w:type="pct"/>
            <w:gridSpan w:val="3"/>
            <w:tcBorders>
              <w:top w:val="nil"/>
              <w:left w:val="nil"/>
              <w:bottom w:val="single" w:sz="4" w:space="0" w:color="auto"/>
              <w:right w:val="nil"/>
            </w:tcBorders>
            <w:vAlign w:val="bottom"/>
            <w:hideMark/>
          </w:tcPr>
          <w:p w14:paraId="735C9B0E" w14:textId="77777777" w:rsidR="00FE7F8B" w:rsidRDefault="00FE7F8B">
            <w:pPr>
              <w:pStyle w:val="Tabletextoutputstight"/>
              <w:jc w:val="right"/>
              <w:rPr>
                <w:lang w:eastAsia="en-US"/>
              </w:rPr>
            </w:pPr>
            <w:r>
              <w:rPr>
                <w:lang w:eastAsia="en-US"/>
              </w:rPr>
              <w:t>-</w:t>
            </w:r>
          </w:p>
        </w:tc>
        <w:tc>
          <w:tcPr>
            <w:tcW w:w="471" w:type="pct"/>
            <w:gridSpan w:val="4"/>
            <w:tcBorders>
              <w:top w:val="nil"/>
              <w:left w:val="nil"/>
              <w:bottom w:val="single" w:sz="4" w:space="0" w:color="auto"/>
              <w:right w:val="nil"/>
            </w:tcBorders>
            <w:shd w:val="clear" w:color="auto" w:fill="F2F2F2" w:themeFill="background1" w:themeFillShade="F2"/>
            <w:vAlign w:val="bottom"/>
            <w:hideMark/>
          </w:tcPr>
          <w:p w14:paraId="42B54A65" w14:textId="77777777" w:rsidR="00FE7F8B" w:rsidRDefault="00FE7F8B">
            <w:pPr>
              <w:pStyle w:val="Tabletextoutputstight"/>
              <w:jc w:val="right"/>
              <w:rPr>
                <w:lang w:eastAsia="en-US"/>
              </w:rPr>
            </w:pPr>
            <w:r>
              <w:rPr>
                <w:lang w:val="en-US" w:eastAsia="en-US"/>
              </w:rPr>
              <w:t>2,744.5</w:t>
            </w:r>
          </w:p>
        </w:tc>
        <w:tc>
          <w:tcPr>
            <w:tcW w:w="472" w:type="pct"/>
            <w:gridSpan w:val="4"/>
            <w:tcBorders>
              <w:top w:val="nil"/>
              <w:left w:val="nil"/>
              <w:bottom w:val="single" w:sz="4" w:space="0" w:color="auto"/>
              <w:right w:val="nil"/>
            </w:tcBorders>
            <w:vAlign w:val="bottom"/>
            <w:hideMark/>
          </w:tcPr>
          <w:p w14:paraId="3FF3DB3C" w14:textId="77777777" w:rsidR="00FE7F8B" w:rsidRDefault="00FE7F8B">
            <w:pPr>
              <w:pStyle w:val="Tabletextoutputstight"/>
              <w:jc w:val="right"/>
              <w:rPr>
                <w:lang w:eastAsia="en-US"/>
              </w:rPr>
            </w:pPr>
            <w:r>
              <w:rPr>
                <w:lang w:val="en-US" w:eastAsia="en-US"/>
              </w:rPr>
              <w:t>-</w:t>
            </w:r>
          </w:p>
        </w:tc>
        <w:tc>
          <w:tcPr>
            <w:tcW w:w="471" w:type="pct"/>
            <w:gridSpan w:val="4"/>
            <w:tcBorders>
              <w:top w:val="nil"/>
              <w:left w:val="nil"/>
              <w:bottom w:val="single" w:sz="4" w:space="0" w:color="auto"/>
              <w:right w:val="nil"/>
            </w:tcBorders>
            <w:shd w:val="clear" w:color="auto" w:fill="F2F2F2" w:themeFill="background1" w:themeFillShade="F2"/>
            <w:vAlign w:val="bottom"/>
            <w:hideMark/>
          </w:tcPr>
          <w:p w14:paraId="092E5EC6" w14:textId="77777777" w:rsidR="00FE7F8B" w:rsidRDefault="00FE7F8B">
            <w:pPr>
              <w:pStyle w:val="Tabletextoutputstight"/>
              <w:jc w:val="right"/>
              <w:rPr>
                <w:lang w:eastAsia="en-US"/>
              </w:rPr>
            </w:pPr>
            <w:r>
              <w:rPr>
                <w:lang w:val="en-US" w:eastAsia="en-US"/>
              </w:rPr>
              <w:t>1.1</w:t>
            </w:r>
          </w:p>
        </w:tc>
        <w:tc>
          <w:tcPr>
            <w:tcW w:w="475" w:type="pct"/>
            <w:gridSpan w:val="4"/>
            <w:tcBorders>
              <w:top w:val="nil"/>
              <w:left w:val="nil"/>
              <w:bottom w:val="single" w:sz="4" w:space="0" w:color="auto"/>
              <w:right w:val="nil"/>
            </w:tcBorders>
            <w:vAlign w:val="bottom"/>
            <w:hideMark/>
          </w:tcPr>
          <w:p w14:paraId="52F67A77" w14:textId="77777777" w:rsidR="00FE7F8B" w:rsidRDefault="00FE7F8B">
            <w:pPr>
              <w:pStyle w:val="Tabletextoutputstight"/>
              <w:jc w:val="right"/>
              <w:rPr>
                <w:lang w:eastAsia="en-US"/>
              </w:rPr>
            </w:pPr>
            <w:r>
              <w:rPr>
                <w:lang w:val="en-US" w:eastAsia="en-US"/>
              </w:rPr>
              <w:t>272.7</w:t>
            </w:r>
          </w:p>
        </w:tc>
        <w:tc>
          <w:tcPr>
            <w:tcW w:w="440" w:type="pct"/>
            <w:gridSpan w:val="2"/>
            <w:tcBorders>
              <w:top w:val="nil"/>
              <w:left w:val="nil"/>
              <w:bottom w:val="single" w:sz="4" w:space="0" w:color="auto"/>
              <w:right w:val="nil"/>
            </w:tcBorders>
            <w:shd w:val="clear" w:color="auto" w:fill="F2F2F2" w:themeFill="background1" w:themeFillShade="F2"/>
            <w:vAlign w:val="bottom"/>
            <w:hideMark/>
          </w:tcPr>
          <w:p w14:paraId="54C50B55" w14:textId="77777777" w:rsidR="00FE7F8B" w:rsidRDefault="00FE7F8B">
            <w:pPr>
              <w:pStyle w:val="Tabletextoutputstight"/>
              <w:jc w:val="right"/>
              <w:rPr>
                <w:lang w:eastAsia="en-US"/>
              </w:rPr>
            </w:pPr>
            <w:r>
              <w:rPr>
                <w:b/>
                <w:bCs/>
                <w:lang w:val="en-US" w:eastAsia="en-US"/>
              </w:rPr>
              <w:t>3,018.4</w:t>
            </w:r>
          </w:p>
        </w:tc>
      </w:tr>
      <w:tr w:rsidR="007F3724" w14:paraId="6FF27877" w14:textId="77777777" w:rsidTr="007F3724">
        <w:trPr>
          <w:trHeight w:val="469"/>
        </w:trPr>
        <w:tc>
          <w:tcPr>
            <w:tcW w:w="1637" w:type="pct"/>
            <w:tcBorders>
              <w:top w:val="single" w:sz="4" w:space="0" w:color="auto"/>
              <w:left w:val="nil"/>
              <w:bottom w:val="single" w:sz="4" w:space="0" w:color="auto"/>
              <w:right w:val="nil"/>
            </w:tcBorders>
            <w:shd w:val="clear" w:color="auto" w:fill="FFFFFF"/>
            <w:vAlign w:val="bottom"/>
            <w:hideMark/>
          </w:tcPr>
          <w:p w14:paraId="00695908" w14:textId="77777777" w:rsidR="00FE7F8B" w:rsidRDefault="00FE7F8B">
            <w:pPr>
              <w:pStyle w:val="Tabletextoutputstight"/>
              <w:rPr>
                <w:b/>
                <w:lang w:eastAsia="en-US"/>
              </w:rPr>
            </w:pPr>
            <w:r>
              <w:rPr>
                <w:b/>
                <w:lang w:eastAsia="en-US"/>
              </w:rPr>
              <w:t>Total other economic flows—other comprehensive income</w:t>
            </w:r>
          </w:p>
        </w:tc>
        <w:tc>
          <w:tcPr>
            <w:tcW w:w="580" w:type="pct"/>
            <w:gridSpan w:val="3"/>
            <w:tcBorders>
              <w:top w:val="single" w:sz="4" w:space="0" w:color="auto"/>
              <w:left w:val="nil"/>
              <w:bottom w:val="single" w:sz="4" w:space="0" w:color="auto"/>
              <w:right w:val="nil"/>
            </w:tcBorders>
            <w:shd w:val="clear" w:color="auto" w:fill="F2F2F2" w:themeFill="background1" w:themeFillShade="F2"/>
            <w:vAlign w:val="bottom"/>
            <w:hideMark/>
          </w:tcPr>
          <w:p w14:paraId="64893CBB" w14:textId="77777777" w:rsidR="00FE7F8B" w:rsidRDefault="00FE7F8B">
            <w:pPr>
              <w:pStyle w:val="Tabletextoutputstight"/>
              <w:jc w:val="right"/>
              <w:rPr>
                <w:lang w:eastAsia="en-US"/>
              </w:rPr>
            </w:pPr>
            <w:r>
              <w:rPr>
                <w:b/>
                <w:lang w:eastAsia="en-US"/>
              </w:rPr>
              <w:t>-</w:t>
            </w:r>
          </w:p>
        </w:tc>
        <w:tc>
          <w:tcPr>
            <w:tcW w:w="454" w:type="pct"/>
            <w:gridSpan w:val="3"/>
            <w:tcBorders>
              <w:top w:val="single" w:sz="4" w:space="0" w:color="auto"/>
              <w:left w:val="nil"/>
              <w:bottom w:val="single" w:sz="4" w:space="0" w:color="auto"/>
              <w:right w:val="nil"/>
            </w:tcBorders>
            <w:vAlign w:val="bottom"/>
            <w:hideMark/>
          </w:tcPr>
          <w:p w14:paraId="7FEBADF2" w14:textId="77777777" w:rsidR="00FE7F8B" w:rsidRDefault="00FE7F8B">
            <w:pPr>
              <w:pStyle w:val="Tabletextoutputstight"/>
              <w:jc w:val="right"/>
              <w:rPr>
                <w:lang w:eastAsia="en-US"/>
              </w:rPr>
            </w:pPr>
            <w:r>
              <w:rPr>
                <w:b/>
                <w:lang w:eastAsia="en-US"/>
              </w:rPr>
              <w:t>-</w:t>
            </w:r>
          </w:p>
        </w:tc>
        <w:tc>
          <w:tcPr>
            <w:tcW w:w="47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0F7D073E" w14:textId="77777777" w:rsidR="00FE7F8B" w:rsidRDefault="00FE7F8B">
            <w:pPr>
              <w:pStyle w:val="Tabletextoutputstight"/>
              <w:jc w:val="right"/>
              <w:rPr>
                <w:lang w:eastAsia="en-US"/>
              </w:rPr>
            </w:pPr>
            <w:r>
              <w:rPr>
                <w:b/>
                <w:bCs/>
                <w:lang w:val="en-US" w:eastAsia="en-US"/>
              </w:rPr>
              <w:t>2,744.5</w:t>
            </w:r>
          </w:p>
        </w:tc>
        <w:tc>
          <w:tcPr>
            <w:tcW w:w="472" w:type="pct"/>
            <w:gridSpan w:val="4"/>
            <w:tcBorders>
              <w:top w:val="single" w:sz="4" w:space="0" w:color="auto"/>
              <w:left w:val="nil"/>
              <w:bottom w:val="single" w:sz="4" w:space="0" w:color="auto"/>
              <w:right w:val="nil"/>
            </w:tcBorders>
            <w:vAlign w:val="bottom"/>
            <w:hideMark/>
          </w:tcPr>
          <w:p w14:paraId="4A8B7F68" w14:textId="77777777" w:rsidR="00FE7F8B" w:rsidRDefault="00FE7F8B">
            <w:pPr>
              <w:pStyle w:val="Tabletextoutputstight"/>
              <w:jc w:val="right"/>
              <w:rPr>
                <w:lang w:eastAsia="en-US"/>
              </w:rPr>
            </w:pPr>
            <w:r>
              <w:rPr>
                <w:b/>
                <w:bCs/>
                <w:lang w:val="en-US" w:eastAsia="en-US"/>
              </w:rPr>
              <w:t>-</w:t>
            </w:r>
          </w:p>
        </w:tc>
        <w:tc>
          <w:tcPr>
            <w:tcW w:w="47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64A3A739" w14:textId="77777777" w:rsidR="00FE7F8B" w:rsidRDefault="00FE7F8B">
            <w:pPr>
              <w:pStyle w:val="Tabletextoutputstight"/>
              <w:jc w:val="right"/>
              <w:rPr>
                <w:lang w:eastAsia="en-US"/>
              </w:rPr>
            </w:pPr>
            <w:r>
              <w:rPr>
                <w:b/>
                <w:bCs/>
                <w:lang w:val="en-US" w:eastAsia="en-US"/>
              </w:rPr>
              <w:t>1.1</w:t>
            </w:r>
          </w:p>
        </w:tc>
        <w:tc>
          <w:tcPr>
            <w:tcW w:w="475" w:type="pct"/>
            <w:gridSpan w:val="4"/>
            <w:tcBorders>
              <w:top w:val="single" w:sz="4" w:space="0" w:color="auto"/>
              <w:left w:val="nil"/>
              <w:bottom w:val="single" w:sz="4" w:space="0" w:color="auto"/>
              <w:right w:val="nil"/>
            </w:tcBorders>
            <w:vAlign w:val="bottom"/>
            <w:hideMark/>
          </w:tcPr>
          <w:p w14:paraId="75532BDE" w14:textId="77777777" w:rsidR="00FE7F8B" w:rsidRDefault="00FE7F8B">
            <w:pPr>
              <w:pStyle w:val="Tabletextoutputstight"/>
              <w:jc w:val="right"/>
              <w:rPr>
                <w:lang w:eastAsia="en-US"/>
              </w:rPr>
            </w:pPr>
            <w:r>
              <w:rPr>
                <w:b/>
                <w:bCs/>
                <w:lang w:val="en-US" w:eastAsia="en-US"/>
              </w:rPr>
              <w:t>272.7</w:t>
            </w:r>
          </w:p>
        </w:tc>
        <w:tc>
          <w:tcPr>
            <w:tcW w:w="440"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12C6CEA6" w14:textId="77777777" w:rsidR="00FE7F8B" w:rsidRDefault="00FE7F8B">
            <w:pPr>
              <w:pStyle w:val="Tabletextoutputstight"/>
              <w:jc w:val="right"/>
              <w:rPr>
                <w:lang w:eastAsia="en-US"/>
              </w:rPr>
            </w:pPr>
            <w:r>
              <w:rPr>
                <w:b/>
                <w:bCs/>
                <w:lang w:val="en-US" w:eastAsia="en-US"/>
              </w:rPr>
              <w:t>3,018.4</w:t>
            </w:r>
          </w:p>
        </w:tc>
      </w:tr>
      <w:tr w:rsidR="007F3724" w14:paraId="51B7FF8A" w14:textId="77777777" w:rsidTr="007F3724">
        <w:trPr>
          <w:trHeight w:val="270"/>
        </w:trPr>
        <w:tc>
          <w:tcPr>
            <w:tcW w:w="1637" w:type="pct"/>
            <w:tcBorders>
              <w:top w:val="single" w:sz="4" w:space="0" w:color="auto"/>
              <w:left w:val="nil"/>
              <w:bottom w:val="single" w:sz="4" w:space="0" w:color="auto"/>
              <w:right w:val="nil"/>
            </w:tcBorders>
            <w:shd w:val="clear" w:color="auto" w:fill="FFFFFF"/>
            <w:vAlign w:val="bottom"/>
            <w:hideMark/>
          </w:tcPr>
          <w:p w14:paraId="440455FB" w14:textId="77777777" w:rsidR="00FE7F8B" w:rsidRDefault="00FE7F8B">
            <w:pPr>
              <w:pStyle w:val="Tabletextoutputs"/>
              <w:rPr>
                <w:b/>
                <w:lang w:eastAsia="en-US"/>
              </w:rPr>
            </w:pPr>
            <w:r>
              <w:rPr>
                <w:b/>
                <w:lang w:eastAsia="en-US"/>
              </w:rPr>
              <w:t>Comprehensive result</w:t>
            </w:r>
          </w:p>
        </w:tc>
        <w:tc>
          <w:tcPr>
            <w:tcW w:w="580" w:type="pct"/>
            <w:gridSpan w:val="3"/>
            <w:tcBorders>
              <w:top w:val="single" w:sz="4" w:space="0" w:color="auto"/>
              <w:left w:val="nil"/>
              <w:bottom w:val="single" w:sz="4" w:space="0" w:color="auto"/>
              <w:right w:val="nil"/>
            </w:tcBorders>
            <w:shd w:val="clear" w:color="auto" w:fill="F2F2F2" w:themeFill="background1" w:themeFillShade="F2"/>
            <w:vAlign w:val="bottom"/>
            <w:hideMark/>
          </w:tcPr>
          <w:p w14:paraId="7563559F" w14:textId="77777777" w:rsidR="00FE7F8B" w:rsidRDefault="00FE7F8B">
            <w:pPr>
              <w:pStyle w:val="Tabletextoutputs"/>
              <w:jc w:val="right"/>
              <w:rPr>
                <w:b/>
                <w:lang w:eastAsia="en-US"/>
              </w:rPr>
            </w:pPr>
            <w:r>
              <w:rPr>
                <w:b/>
                <w:lang w:eastAsia="en-US"/>
              </w:rPr>
              <w:t>(0.2)</w:t>
            </w:r>
          </w:p>
        </w:tc>
        <w:tc>
          <w:tcPr>
            <w:tcW w:w="454" w:type="pct"/>
            <w:gridSpan w:val="3"/>
            <w:tcBorders>
              <w:top w:val="single" w:sz="4" w:space="0" w:color="auto"/>
              <w:left w:val="nil"/>
              <w:bottom w:val="single" w:sz="4" w:space="0" w:color="auto"/>
              <w:right w:val="nil"/>
            </w:tcBorders>
            <w:vAlign w:val="bottom"/>
            <w:hideMark/>
          </w:tcPr>
          <w:p w14:paraId="7ED8B3FD" w14:textId="77777777" w:rsidR="00FE7F8B" w:rsidRDefault="00FE7F8B">
            <w:pPr>
              <w:pStyle w:val="Tabletextoutputs"/>
              <w:jc w:val="right"/>
              <w:rPr>
                <w:b/>
                <w:lang w:eastAsia="en-US"/>
              </w:rPr>
            </w:pPr>
            <w:r>
              <w:rPr>
                <w:b/>
                <w:lang w:eastAsia="en-US"/>
              </w:rPr>
              <w:t>(0.2)</w:t>
            </w:r>
          </w:p>
        </w:tc>
        <w:tc>
          <w:tcPr>
            <w:tcW w:w="47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5A7DDB3B" w14:textId="77777777" w:rsidR="00FE7F8B" w:rsidRDefault="00FE7F8B">
            <w:pPr>
              <w:pStyle w:val="Tabletextoutputs"/>
              <w:jc w:val="right"/>
              <w:rPr>
                <w:b/>
                <w:lang w:eastAsia="en-US"/>
              </w:rPr>
            </w:pPr>
            <w:r>
              <w:rPr>
                <w:b/>
                <w:bCs/>
                <w:lang w:val="en-US" w:eastAsia="en-US"/>
              </w:rPr>
              <w:t>2,890.4</w:t>
            </w:r>
          </w:p>
        </w:tc>
        <w:tc>
          <w:tcPr>
            <w:tcW w:w="472" w:type="pct"/>
            <w:gridSpan w:val="4"/>
            <w:tcBorders>
              <w:top w:val="single" w:sz="4" w:space="0" w:color="auto"/>
              <w:left w:val="nil"/>
              <w:bottom w:val="single" w:sz="4" w:space="0" w:color="auto"/>
              <w:right w:val="nil"/>
            </w:tcBorders>
            <w:vAlign w:val="bottom"/>
            <w:hideMark/>
          </w:tcPr>
          <w:p w14:paraId="29505D0C" w14:textId="77777777" w:rsidR="00FE7F8B" w:rsidRDefault="00FE7F8B">
            <w:pPr>
              <w:pStyle w:val="Tabletextoutputs"/>
              <w:jc w:val="right"/>
              <w:rPr>
                <w:b/>
                <w:lang w:eastAsia="en-US"/>
              </w:rPr>
            </w:pPr>
            <w:r>
              <w:rPr>
                <w:b/>
                <w:bCs/>
                <w:lang w:val="en-US" w:eastAsia="en-US"/>
              </w:rPr>
              <w:t>41.6</w:t>
            </w:r>
          </w:p>
        </w:tc>
        <w:tc>
          <w:tcPr>
            <w:tcW w:w="471" w:type="pct"/>
            <w:gridSpan w:val="4"/>
            <w:tcBorders>
              <w:top w:val="single" w:sz="4" w:space="0" w:color="auto"/>
              <w:left w:val="nil"/>
              <w:bottom w:val="single" w:sz="4" w:space="0" w:color="auto"/>
              <w:right w:val="nil"/>
            </w:tcBorders>
            <w:shd w:val="clear" w:color="auto" w:fill="F2F2F2" w:themeFill="background1" w:themeFillShade="F2"/>
            <w:vAlign w:val="bottom"/>
            <w:hideMark/>
          </w:tcPr>
          <w:p w14:paraId="0B0E5D72" w14:textId="77777777" w:rsidR="00FE7F8B" w:rsidRDefault="00FE7F8B">
            <w:pPr>
              <w:pStyle w:val="Tabletextoutputs"/>
              <w:jc w:val="right"/>
              <w:rPr>
                <w:b/>
                <w:lang w:eastAsia="en-US"/>
              </w:rPr>
            </w:pPr>
            <w:r>
              <w:rPr>
                <w:b/>
                <w:bCs/>
                <w:lang w:val="en-US" w:eastAsia="en-US"/>
              </w:rPr>
              <w:t>0.2</w:t>
            </w:r>
          </w:p>
        </w:tc>
        <w:tc>
          <w:tcPr>
            <w:tcW w:w="475" w:type="pct"/>
            <w:gridSpan w:val="4"/>
            <w:tcBorders>
              <w:top w:val="single" w:sz="4" w:space="0" w:color="auto"/>
              <w:left w:val="nil"/>
              <w:bottom w:val="single" w:sz="4" w:space="0" w:color="auto"/>
              <w:right w:val="nil"/>
            </w:tcBorders>
            <w:vAlign w:val="bottom"/>
            <w:hideMark/>
          </w:tcPr>
          <w:p w14:paraId="412387DA" w14:textId="77777777" w:rsidR="00FE7F8B" w:rsidRDefault="00FE7F8B">
            <w:pPr>
              <w:pStyle w:val="Tabletextoutputs"/>
              <w:jc w:val="right"/>
              <w:rPr>
                <w:b/>
                <w:lang w:eastAsia="en-US"/>
              </w:rPr>
            </w:pPr>
            <w:r>
              <w:rPr>
                <w:b/>
                <w:bCs/>
                <w:lang w:val="en-US" w:eastAsia="en-US"/>
              </w:rPr>
              <w:t>269.1</w:t>
            </w:r>
          </w:p>
        </w:tc>
        <w:tc>
          <w:tcPr>
            <w:tcW w:w="440"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0B1F7AD5" w14:textId="77777777" w:rsidR="00FE7F8B" w:rsidRDefault="00FE7F8B">
            <w:pPr>
              <w:pStyle w:val="Tabletextoutputs"/>
              <w:jc w:val="right"/>
              <w:rPr>
                <w:b/>
                <w:lang w:eastAsia="en-US"/>
              </w:rPr>
            </w:pPr>
            <w:r>
              <w:rPr>
                <w:b/>
                <w:bCs/>
                <w:lang w:val="en-US" w:eastAsia="en-US"/>
              </w:rPr>
              <w:t>3,200.9</w:t>
            </w:r>
          </w:p>
        </w:tc>
      </w:tr>
    </w:tbl>
    <w:p w14:paraId="1DD60047" w14:textId="315B7E3E" w:rsidR="00E9225D" w:rsidRDefault="00E9225D" w:rsidP="00FE7F8B">
      <w:pPr>
        <w:pStyle w:val="Caption"/>
      </w:pPr>
    </w:p>
    <w:p w14:paraId="156A7D74" w14:textId="77777777" w:rsidR="00E9225D" w:rsidRDefault="00E9225D" w:rsidP="00E9225D"/>
    <w:p w14:paraId="1E06E5B8" w14:textId="77777777" w:rsidR="00E9225D" w:rsidRPr="00E9225D" w:rsidRDefault="00E9225D" w:rsidP="00E9225D"/>
    <w:p w14:paraId="1AD339E3" w14:textId="77777777" w:rsidR="00FE7F8B" w:rsidRDefault="00FE7F8B" w:rsidP="00FE7F8B">
      <w:pPr>
        <w:pStyle w:val="Caption"/>
      </w:pPr>
      <w:r>
        <w:t xml:space="preserve">Table </w:t>
      </w:r>
      <w:fldSimple w:instr=" SEQ Table \* ARABIC ">
        <w:r w:rsidR="00B60957">
          <w:rPr>
            <w:noProof/>
          </w:rPr>
          <w:t>2</w:t>
        </w:r>
      </w:fldSimple>
      <w:r>
        <w:t>—Departmental outputs schedule—controlled assets and liabilities as at 30 June 2016</w:t>
      </w:r>
    </w:p>
    <w:tbl>
      <w:tblPr>
        <w:tblW w:w="5000" w:type="pct"/>
        <w:tblLook w:val="04A0" w:firstRow="1" w:lastRow="0" w:firstColumn="1" w:lastColumn="0" w:noHBand="0" w:noVBand="1"/>
      </w:tblPr>
      <w:tblGrid>
        <w:gridCol w:w="1720"/>
        <w:gridCol w:w="832"/>
        <w:gridCol w:w="767"/>
        <w:gridCol w:w="900"/>
        <w:gridCol w:w="833"/>
        <w:gridCol w:w="677"/>
        <w:gridCol w:w="849"/>
        <w:gridCol w:w="909"/>
      </w:tblGrid>
      <w:tr w:rsidR="00FE7F8B" w14:paraId="38A108EC" w14:textId="77777777" w:rsidTr="00FE7F8B">
        <w:trPr>
          <w:tblHeader/>
        </w:trPr>
        <w:tc>
          <w:tcPr>
            <w:tcW w:w="1149" w:type="pct"/>
            <w:shd w:val="clear" w:color="auto" w:fill="7F7F7F" w:themeFill="text1" w:themeFillTint="80"/>
            <w:tcMar>
              <w:top w:w="0" w:type="dxa"/>
              <w:left w:w="57" w:type="dxa"/>
              <w:bottom w:w="0" w:type="dxa"/>
              <w:right w:w="57" w:type="dxa"/>
            </w:tcMar>
            <w:vAlign w:val="bottom"/>
          </w:tcPr>
          <w:p w14:paraId="34606A65" w14:textId="77777777" w:rsidR="00FE7F8B" w:rsidRDefault="00FE7F8B">
            <w:pPr>
              <w:pStyle w:val="Tabletextoutputs"/>
              <w:jc w:val="center"/>
              <w:rPr>
                <w:b/>
                <w:color w:val="FFFFFF" w:themeColor="background1"/>
                <w:lang w:eastAsia="en-US"/>
              </w:rPr>
            </w:pPr>
          </w:p>
        </w:tc>
        <w:tc>
          <w:tcPr>
            <w:tcW w:w="556" w:type="pct"/>
            <w:shd w:val="clear" w:color="auto" w:fill="7F7F7F" w:themeFill="text1" w:themeFillTint="80"/>
            <w:tcMar>
              <w:top w:w="0" w:type="dxa"/>
              <w:left w:w="57" w:type="dxa"/>
              <w:bottom w:w="0" w:type="dxa"/>
              <w:right w:w="57" w:type="dxa"/>
            </w:tcMar>
            <w:hideMark/>
          </w:tcPr>
          <w:p w14:paraId="71DE6F9E" w14:textId="77777777" w:rsidR="00FE7F8B" w:rsidRDefault="00FE7F8B">
            <w:pPr>
              <w:pStyle w:val="Tabletextoutputs"/>
              <w:jc w:val="center"/>
              <w:rPr>
                <w:b/>
                <w:color w:val="FFFFFF" w:themeColor="background1"/>
                <w:lang w:eastAsia="en-US"/>
              </w:rPr>
            </w:pPr>
            <w:r>
              <w:rPr>
                <w:b/>
                <w:color w:val="FFFFFF" w:themeColor="background1"/>
                <w:lang w:eastAsia="en-US"/>
              </w:rPr>
              <w:t>Strategy, Review</w:t>
            </w:r>
            <w:r>
              <w:rPr>
                <w:b/>
                <w:color w:val="FFFFFF" w:themeColor="background1"/>
                <w:lang w:eastAsia="en-US"/>
              </w:rPr>
              <w:br/>
              <w:t>and Regulation</w:t>
            </w:r>
          </w:p>
        </w:tc>
        <w:tc>
          <w:tcPr>
            <w:tcW w:w="512" w:type="pct"/>
            <w:shd w:val="clear" w:color="auto" w:fill="7F7F7F" w:themeFill="text1" w:themeFillTint="80"/>
            <w:tcMar>
              <w:top w:w="0" w:type="dxa"/>
              <w:left w:w="57" w:type="dxa"/>
              <w:bottom w:w="0" w:type="dxa"/>
              <w:right w:w="57" w:type="dxa"/>
            </w:tcMar>
            <w:hideMark/>
          </w:tcPr>
          <w:p w14:paraId="7D6CF2CF" w14:textId="77777777" w:rsidR="00FE7F8B" w:rsidRDefault="00FE7F8B">
            <w:pPr>
              <w:pStyle w:val="Tabletextoutputs"/>
              <w:jc w:val="center"/>
              <w:rPr>
                <w:b/>
                <w:color w:val="FFFFFF" w:themeColor="background1"/>
                <w:lang w:eastAsia="en-US"/>
              </w:rPr>
            </w:pPr>
            <w:r>
              <w:rPr>
                <w:b/>
                <w:color w:val="FFFFFF" w:themeColor="background1"/>
                <w:lang w:eastAsia="en-US"/>
              </w:rPr>
              <w:t>Early Childhood Develop</w:t>
            </w:r>
            <w:r>
              <w:rPr>
                <w:b/>
                <w:color w:val="FFFFFF" w:themeColor="background1"/>
                <w:lang w:eastAsia="en-US"/>
              </w:rPr>
              <w:softHyphen/>
              <w:t>ment</w:t>
            </w:r>
          </w:p>
        </w:tc>
        <w:tc>
          <w:tcPr>
            <w:tcW w:w="601" w:type="pct"/>
            <w:shd w:val="clear" w:color="auto" w:fill="7F7F7F" w:themeFill="text1" w:themeFillTint="80"/>
            <w:tcMar>
              <w:top w:w="0" w:type="dxa"/>
              <w:left w:w="57" w:type="dxa"/>
              <w:bottom w:w="0" w:type="dxa"/>
              <w:right w:w="57" w:type="dxa"/>
            </w:tcMar>
            <w:hideMark/>
          </w:tcPr>
          <w:p w14:paraId="57ABFD7D" w14:textId="77777777" w:rsidR="00FE7F8B" w:rsidRDefault="00FE7F8B">
            <w:pPr>
              <w:pStyle w:val="Tabletextoutputs"/>
              <w:jc w:val="center"/>
              <w:rPr>
                <w:b/>
                <w:color w:val="FFFFFF" w:themeColor="background1"/>
                <w:lang w:eastAsia="en-US"/>
              </w:rPr>
            </w:pPr>
            <w:r>
              <w:rPr>
                <w:b/>
                <w:color w:val="FFFFFF" w:themeColor="background1"/>
                <w:lang w:eastAsia="en-US"/>
              </w:rPr>
              <w:t>School Education</w:t>
            </w:r>
          </w:p>
        </w:tc>
        <w:tc>
          <w:tcPr>
            <w:tcW w:w="556" w:type="pct"/>
            <w:shd w:val="clear" w:color="auto" w:fill="7F7F7F" w:themeFill="text1" w:themeFillTint="80"/>
            <w:tcMar>
              <w:top w:w="0" w:type="dxa"/>
              <w:left w:w="57" w:type="dxa"/>
              <w:bottom w:w="0" w:type="dxa"/>
              <w:right w:w="57" w:type="dxa"/>
            </w:tcMar>
            <w:hideMark/>
          </w:tcPr>
          <w:p w14:paraId="7C287BD9" w14:textId="77777777" w:rsidR="00FE7F8B" w:rsidRDefault="00FE7F8B">
            <w:pPr>
              <w:pStyle w:val="Tabletextoutputs"/>
              <w:jc w:val="center"/>
              <w:rPr>
                <w:b/>
                <w:color w:val="FFFFFF" w:themeColor="background1"/>
                <w:lang w:eastAsia="en-US"/>
              </w:rPr>
            </w:pPr>
            <w:r>
              <w:rPr>
                <w:b/>
                <w:color w:val="FFFFFF" w:themeColor="background1"/>
                <w:lang w:eastAsia="en-US"/>
              </w:rPr>
              <w:t>Higher Education and Skills</w:t>
            </w:r>
          </w:p>
        </w:tc>
        <w:tc>
          <w:tcPr>
            <w:tcW w:w="452" w:type="pct"/>
            <w:shd w:val="clear" w:color="auto" w:fill="7F7F7F" w:themeFill="text1" w:themeFillTint="80"/>
            <w:tcMar>
              <w:top w:w="0" w:type="dxa"/>
              <w:left w:w="57" w:type="dxa"/>
              <w:bottom w:w="0" w:type="dxa"/>
              <w:right w:w="57" w:type="dxa"/>
            </w:tcMar>
            <w:hideMark/>
          </w:tcPr>
          <w:p w14:paraId="38243310" w14:textId="77777777" w:rsidR="00FE7F8B" w:rsidRDefault="00FE7F8B">
            <w:pPr>
              <w:pStyle w:val="Tabletextoutputs"/>
              <w:jc w:val="center"/>
              <w:rPr>
                <w:b/>
                <w:color w:val="FFFFFF" w:themeColor="background1"/>
                <w:lang w:eastAsia="en-US"/>
              </w:rPr>
            </w:pPr>
            <w:r>
              <w:rPr>
                <w:b/>
                <w:color w:val="FFFFFF" w:themeColor="background1"/>
                <w:lang w:eastAsia="en-US"/>
              </w:rPr>
              <w:t>Support Services Delivery</w:t>
            </w:r>
          </w:p>
        </w:tc>
        <w:tc>
          <w:tcPr>
            <w:tcW w:w="567" w:type="pct"/>
            <w:shd w:val="clear" w:color="auto" w:fill="7F7F7F" w:themeFill="text1" w:themeFillTint="80"/>
            <w:tcMar>
              <w:top w:w="0" w:type="dxa"/>
              <w:left w:w="57" w:type="dxa"/>
              <w:bottom w:w="0" w:type="dxa"/>
              <w:right w:w="57" w:type="dxa"/>
            </w:tcMar>
            <w:hideMark/>
          </w:tcPr>
          <w:p w14:paraId="5FC7B0C5" w14:textId="77777777" w:rsidR="00FE7F8B" w:rsidRDefault="00FE7F8B">
            <w:pPr>
              <w:pStyle w:val="Tabletextoutputs"/>
              <w:jc w:val="center"/>
              <w:rPr>
                <w:b/>
                <w:color w:val="FFFFFF" w:themeColor="background1"/>
                <w:lang w:eastAsia="en-US"/>
              </w:rPr>
            </w:pPr>
            <w:r>
              <w:rPr>
                <w:b/>
                <w:color w:val="FFFFFF" w:themeColor="background1"/>
                <w:lang w:eastAsia="en-US"/>
              </w:rPr>
              <w:t>Support for Students with Disabilities</w:t>
            </w:r>
          </w:p>
        </w:tc>
        <w:tc>
          <w:tcPr>
            <w:tcW w:w="607" w:type="pct"/>
            <w:shd w:val="clear" w:color="auto" w:fill="7F7F7F" w:themeFill="text1" w:themeFillTint="80"/>
            <w:tcMar>
              <w:top w:w="0" w:type="dxa"/>
              <w:left w:w="57" w:type="dxa"/>
              <w:bottom w:w="0" w:type="dxa"/>
              <w:right w:w="57" w:type="dxa"/>
            </w:tcMar>
            <w:hideMark/>
          </w:tcPr>
          <w:p w14:paraId="0AD56C1B" w14:textId="77777777" w:rsidR="00FE7F8B" w:rsidRDefault="00FE7F8B">
            <w:pPr>
              <w:pStyle w:val="Tabletextoutputs"/>
              <w:jc w:val="center"/>
              <w:rPr>
                <w:b/>
                <w:color w:val="FFFFFF" w:themeColor="background1"/>
                <w:lang w:eastAsia="en-US"/>
              </w:rPr>
            </w:pPr>
            <w:r>
              <w:rPr>
                <w:b/>
                <w:color w:val="FFFFFF" w:themeColor="background1"/>
                <w:lang w:eastAsia="en-US"/>
              </w:rPr>
              <w:t>Depart</w:t>
            </w:r>
            <w:r>
              <w:rPr>
                <w:b/>
                <w:color w:val="FFFFFF" w:themeColor="background1"/>
                <w:lang w:eastAsia="en-US"/>
              </w:rPr>
              <w:softHyphen/>
              <w:t>mental total</w:t>
            </w:r>
          </w:p>
        </w:tc>
      </w:tr>
      <w:tr w:rsidR="00FE7F8B" w14:paraId="7CDF43A8" w14:textId="77777777" w:rsidTr="00FE7F8B">
        <w:tc>
          <w:tcPr>
            <w:tcW w:w="1149" w:type="pct"/>
            <w:shd w:val="clear" w:color="auto" w:fill="7F7F7F" w:themeFill="text1" w:themeFillTint="80"/>
            <w:vAlign w:val="bottom"/>
            <w:hideMark/>
          </w:tcPr>
          <w:p w14:paraId="14E019A8" w14:textId="77777777" w:rsidR="00FE7F8B" w:rsidRDefault="00FE7F8B">
            <w:pPr>
              <w:pStyle w:val="Tabletextoutputs"/>
              <w:rPr>
                <w:b/>
                <w:color w:val="FFFFFF" w:themeColor="background1"/>
                <w:lang w:eastAsia="en-US"/>
              </w:rPr>
            </w:pPr>
            <w:r>
              <w:rPr>
                <w:b/>
                <w:color w:val="FFFFFF" w:themeColor="background1"/>
                <w:lang w:eastAsia="en-US"/>
              </w:rPr>
              <w:t>Assets and Liabilities</w:t>
            </w:r>
          </w:p>
        </w:tc>
        <w:tc>
          <w:tcPr>
            <w:tcW w:w="556" w:type="pct"/>
            <w:shd w:val="clear" w:color="auto" w:fill="7F7F7F" w:themeFill="text1" w:themeFillTint="80"/>
            <w:hideMark/>
          </w:tcPr>
          <w:p w14:paraId="7445064A"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12" w:type="pct"/>
            <w:shd w:val="clear" w:color="auto" w:fill="7F7F7F" w:themeFill="text1" w:themeFillTint="80"/>
            <w:hideMark/>
          </w:tcPr>
          <w:p w14:paraId="170F30EF"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601" w:type="pct"/>
            <w:shd w:val="clear" w:color="auto" w:fill="7F7F7F" w:themeFill="text1" w:themeFillTint="80"/>
            <w:hideMark/>
          </w:tcPr>
          <w:p w14:paraId="3CD4F19A"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56" w:type="pct"/>
            <w:shd w:val="clear" w:color="auto" w:fill="7F7F7F" w:themeFill="text1" w:themeFillTint="80"/>
            <w:hideMark/>
          </w:tcPr>
          <w:p w14:paraId="5045844D"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52" w:type="pct"/>
            <w:shd w:val="clear" w:color="auto" w:fill="7F7F7F" w:themeFill="text1" w:themeFillTint="80"/>
            <w:hideMark/>
          </w:tcPr>
          <w:p w14:paraId="15F15245"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67" w:type="pct"/>
            <w:shd w:val="clear" w:color="auto" w:fill="7F7F7F" w:themeFill="text1" w:themeFillTint="80"/>
            <w:hideMark/>
          </w:tcPr>
          <w:p w14:paraId="65EDE1CD"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607" w:type="pct"/>
            <w:shd w:val="clear" w:color="auto" w:fill="7F7F7F" w:themeFill="text1" w:themeFillTint="80"/>
            <w:hideMark/>
          </w:tcPr>
          <w:p w14:paraId="71FC7346" w14:textId="77777777" w:rsidR="00FE7F8B" w:rsidRDefault="00FE7F8B">
            <w:pPr>
              <w:pStyle w:val="Tabletextoutputs"/>
              <w:jc w:val="center"/>
              <w:rPr>
                <w:b/>
                <w:color w:val="FFFFFF" w:themeColor="background1"/>
                <w:lang w:eastAsia="en-US"/>
              </w:rPr>
            </w:pPr>
            <w:r>
              <w:rPr>
                <w:b/>
                <w:color w:val="FFFFFF" w:themeColor="background1"/>
                <w:lang w:eastAsia="en-US"/>
              </w:rPr>
              <w:t>$m</w:t>
            </w:r>
          </w:p>
        </w:tc>
      </w:tr>
      <w:tr w:rsidR="00FE7F8B" w14:paraId="70C5A3ED" w14:textId="77777777" w:rsidTr="00FE7F8B">
        <w:tc>
          <w:tcPr>
            <w:tcW w:w="1149" w:type="pct"/>
            <w:noWrap/>
            <w:vAlign w:val="bottom"/>
            <w:hideMark/>
          </w:tcPr>
          <w:p w14:paraId="1C336E5B" w14:textId="77777777" w:rsidR="00FE7F8B" w:rsidRDefault="00FE7F8B">
            <w:pPr>
              <w:pStyle w:val="Tabletextoutputs"/>
              <w:rPr>
                <w:b/>
                <w:lang w:eastAsia="en-US"/>
              </w:rPr>
            </w:pPr>
            <w:r>
              <w:rPr>
                <w:b/>
                <w:lang w:eastAsia="en-US"/>
              </w:rPr>
              <w:t>Assets</w:t>
            </w:r>
          </w:p>
        </w:tc>
        <w:tc>
          <w:tcPr>
            <w:tcW w:w="556" w:type="pct"/>
            <w:shd w:val="clear" w:color="auto" w:fill="F2F2F2" w:themeFill="background1" w:themeFillShade="F2"/>
            <w:noWrap/>
            <w:vAlign w:val="bottom"/>
            <w:hideMark/>
          </w:tcPr>
          <w:p w14:paraId="7C1D694E" w14:textId="77777777" w:rsidR="00FE7F8B" w:rsidRDefault="00FE7F8B">
            <w:pPr>
              <w:rPr>
                <w:b/>
              </w:rPr>
            </w:pPr>
          </w:p>
        </w:tc>
        <w:tc>
          <w:tcPr>
            <w:tcW w:w="512" w:type="pct"/>
            <w:noWrap/>
            <w:vAlign w:val="bottom"/>
            <w:hideMark/>
          </w:tcPr>
          <w:p w14:paraId="0F5DC3C9"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601" w:type="pct"/>
            <w:shd w:val="clear" w:color="auto" w:fill="F2F2F2" w:themeFill="background1" w:themeFillShade="F2"/>
            <w:noWrap/>
            <w:vAlign w:val="bottom"/>
            <w:hideMark/>
          </w:tcPr>
          <w:p w14:paraId="1B2C9F9B"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556" w:type="pct"/>
            <w:noWrap/>
            <w:vAlign w:val="bottom"/>
            <w:hideMark/>
          </w:tcPr>
          <w:p w14:paraId="19F3CFE2"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452" w:type="pct"/>
            <w:shd w:val="clear" w:color="auto" w:fill="F2F2F2" w:themeFill="background1" w:themeFillShade="F2"/>
            <w:noWrap/>
            <w:vAlign w:val="bottom"/>
            <w:hideMark/>
          </w:tcPr>
          <w:p w14:paraId="397ACB06"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567" w:type="pct"/>
            <w:noWrap/>
            <w:vAlign w:val="bottom"/>
            <w:hideMark/>
          </w:tcPr>
          <w:p w14:paraId="36CB6851"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607" w:type="pct"/>
            <w:shd w:val="clear" w:color="auto" w:fill="F2F2F2" w:themeFill="background1" w:themeFillShade="F2"/>
            <w:noWrap/>
            <w:vAlign w:val="bottom"/>
            <w:hideMark/>
          </w:tcPr>
          <w:p w14:paraId="346DBBAD"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044CC33D" w14:textId="77777777" w:rsidTr="00FE7F8B">
        <w:tc>
          <w:tcPr>
            <w:tcW w:w="1149" w:type="pct"/>
            <w:noWrap/>
            <w:vAlign w:val="bottom"/>
            <w:hideMark/>
          </w:tcPr>
          <w:p w14:paraId="692EB142" w14:textId="77777777" w:rsidR="00FE7F8B" w:rsidRDefault="00FE7F8B">
            <w:pPr>
              <w:pStyle w:val="Tabletextoutputs"/>
              <w:rPr>
                <w:lang w:eastAsia="en-US"/>
              </w:rPr>
            </w:pPr>
            <w:r>
              <w:rPr>
                <w:lang w:eastAsia="en-US"/>
              </w:rPr>
              <w:t>Financial assets</w:t>
            </w:r>
          </w:p>
        </w:tc>
        <w:tc>
          <w:tcPr>
            <w:tcW w:w="556" w:type="pct"/>
            <w:shd w:val="clear" w:color="auto" w:fill="F2F2F2" w:themeFill="background1" w:themeFillShade="F2"/>
            <w:vAlign w:val="bottom"/>
            <w:hideMark/>
          </w:tcPr>
          <w:p w14:paraId="3F531C0D" w14:textId="77777777" w:rsidR="00FE7F8B" w:rsidRDefault="00FE7F8B">
            <w:pPr>
              <w:pStyle w:val="Tabletextoutputs"/>
              <w:jc w:val="right"/>
              <w:rPr>
                <w:lang w:eastAsia="en-US"/>
              </w:rPr>
            </w:pPr>
            <w:r>
              <w:rPr>
                <w:rFonts w:ascii="Arial" w:hAnsi="Arial"/>
                <w:lang w:val="en-US" w:eastAsia="en-US"/>
              </w:rPr>
              <w:t>17.4</w:t>
            </w:r>
          </w:p>
        </w:tc>
        <w:tc>
          <w:tcPr>
            <w:tcW w:w="512" w:type="pct"/>
            <w:vAlign w:val="bottom"/>
            <w:hideMark/>
          </w:tcPr>
          <w:p w14:paraId="7267E7DA" w14:textId="77777777" w:rsidR="00FE7F8B" w:rsidRDefault="00FE7F8B">
            <w:pPr>
              <w:pStyle w:val="Tabletextoutputs"/>
              <w:jc w:val="right"/>
              <w:rPr>
                <w:lang w:eastAsia="en-US"/>
              </w:rPr>
            </w:pPr>
            <w:r>
              <w:rPr>
                <w:rFonts w:ascii="Arial" w:hAnsi="Arial"/>
                <w:lang w:val="en-US" w:eastAsia="en-US"/>
              </w:rPr>
              <w:t>76.0</w:t>
            </w:r>
          </w:p>
        </w:tc>
        <w:tc>
          <w:tcPr>
            <w:tcW w:w="601" w:type="pct"/>
            <w:shd w:val="clear" w:color="auto" w:fill="F2F2F2" w:themeFill="background1" w:themeFillShade="F2"/>
            <w:vAlign w:val="bottom"/>
            <w:hideMark/>
          </w:tcPr>
          <w:p w14:paraId="17367AD4" w14:textId="77777777" w:rsidR="00FE7F8B" w:rsidRDefault="00FE7F8B">
            <w:pPr>
              <w:pStyle w:val="Tabletextoutputs"/>
              <w:jc w:val="right"/>
              <w:rPr>
                <w:lang w:eastAsia="en-US"/>
              </w:rPr>
            </w:pPr>
            <w:r>
              <w:rPr>
                <w:rFonts w:ascii="Arial" w:hAnsi="Arial"/>
                <w:lang w:val="en-US" w:eastAsia="en-US"/>
              </w:rPr>
              <w:t>2,315.9</w:t>
            </w:r>
          </w:p>
        </w:tc>
        <w:tc>
          <w:tcPr>
            <w:tcW w:w="556" w:type="pct"/>
            <w:vAlign w:val="bottom"/>
            <w:hideMark/>
          </w:tcPr>
          <w:p w14:paraId="2012C865" w14:textId="77777777" w:rsidR="00FE7F8B" w:rsidRDefault="00FE7F8B">
            <w:pPr>
              <w:pStyle w:val="Tabletextoutputs"/>
              <w:jc w:val="right"/>
              <w:rPr>
                <w:lang w:eastAsia="en-US"/>
              </w:rPr>
            </w:pPr>
            <w:r>
              <w:rPr>
                <w:rFonts w:ascii="Arial" w:hAnsi="Arial"/>
                <w:bCs/>
                <w:lang w:val="en-US" w:eastAsia="en-US"/>
              </w:rPr>
              <w:t>223.3</w:t>
            </w:r>
          </w:p>
        </w:tc>
        <w:tc>
          <w:tcPr>
            <w:tcW w:w="452" w:type="pct"/>
            <w:shd w:val="clear" w:color="auto" w:fill="F2F2F2" w:themeFill="background1" w:themeFillShade="F2"/>
            <w:vAlign w:val="bottom"/>
            <w:hideMark/>
          </w:tcPr>
          <w:p w14:paraId="0B9E9912" w14:textId="77777777" w:rsidR="00FE7F8B" w:rsidRDefault="00FE7F8B">
            <w:pPr>
              <w:pStyle w:val="Tabletextoutputs"/>
              <w:jc w:val="right"/>
              <w:rPr>
                <w:lang w:eastAsia="en-US"/>
              </w:rPr>
            </w:pPr>
            <w:r>
              <w:rPr>
                <w:rFonts w:ascii="Arial" w:hAnsi="Arial"/>
                <w:lang w:val="en-US" w:eastAsia="en-US"/>
              </w:rPr>
              <w:t>96.6</w:t>
            </w:r>
          </w:p>
        </w:tc>
        <w:tc>
          <w:tcPr>
            <w:tcW w:w="567" w:type="pct"/>
            <w:vAlign w:val="bottom"/>
            <w:hideMark/>
          </w:tcPr>
          <w:p w14:paraId="5E62FADD" w14:textId="77777777" w:rsidR="00FE7F8B" w:rsidRDefault="00FE7F8B">
            <w:pPr>
              <w:pStyle w:val="Tabletextoutputs"/>
              <w:jc w:val="right"/>
              <w:rPr>
                <w:lang w:eastAsia="en-US"/>
              </w:rPr>
            </w:pPr>
            <w:r>
              <w:rPr>
                <w:rFonts w:ascii="Arial" w:hAnsi="Arial"/>
                <w:lang w:val="en-US" w:eastAsia="en-US"/>
              </w:rPr>
              <w:t>239.7</w:t>
            </w:r>
          </w:p>
        </w:tc>
        <w:tc>
          <w:tcPr>
            <w:tcW w:w="607" w:type="pct"/>
            <w:shd w:val="clear" w:color="auto" w:fill="F2F2F2" w:themeFill="background1" w:themeFillShade="F2"/>
            <w:vAlign w:val="bottom"/>
            <w:hideMark/>
          </w:tcPr>
          <w:p w14:paraId="163EDA63" w14:textId="77777777" w:rsidR="00FE7F8B" w:rsidRDefault="00FE7F8B">
            <w:pPr>
              <w:pStyle w:val="Tabletextoutputs"/>
              <w:jc w:val="right"/>
              <w:rPr>
                <w:lang w:eastAsia="en-US"/>
              </w:rPr>
            </w:pPr>
            <w:r>
              <w:rPr>
                <w:rFonts w:ascii="Arial" w:hAnsi="Arial"/>
                <w:b/>
                <w:bCs/>
                <w:lang w:val="en-US" w:eastAsia="en-US"/>
              </w:rPr>
              <w:t>2,969.0</w:t>
            </w:r>
          </w:p>
        </w:tc>
      </w:tr>
      <w:tr w:rsidR="00FE7F8B" w14:paraId="3DB42BDE" w14:textId="77777777" w:rsidTr="00FE7F8B">
        <w:tc>
          <w:tcPr>
            <w:tcW w:w="1149" w:type="pct"/>
            <w:tcBorders>
              <w:top w:val="nil"/>
              <w:left w:val="nil"/>
              <w:bottom w:val="single" w:sz="4" w:space="0" w:color="auto"/>
              <w:right w:val="nil"/>
            </w:tcBorders>
            <w:noWrap/>
            <w:vAlign w:val="bottom"/>
            <w:hideMark/>
          </w:tcPr>
          <w:p w14:paraId="0FEAA247" w14:textId="77777777" w:rsidR="00FE7F8B" w:rsidRDefault="00FE7F8B">
            <w:pPr>
              <w:pStyle w:val="Tabletextoutputs"/>
              <w:rPr>
                <w:lang w:eastAsia="en-US"/>
              </w:rPr>
            </w:pPr>
            <w:r>
              <w:rPr>
                <w:lang w:eastAsia="en-US"/>
              </w:rPr>
              <w:t>Non-financial assets</w:t>
            </w:r>
          </w:p>
        </w:tc>
        <w:tc>
          <w:tcPr>
            <w:tcW w:w="556" w:type="pct"/>
            <w:tcBorders>
              <w:top w:val="nil"/>
              <w:left w:val="nil"/>
              <w:bottom w:val="single" w:sz="4" w:space="0" w:color="auto"/>
              <w:right w:val="nil"/>
            </w:tcBorders>
            <w:shd w:val="clear" w:color="auto" w:fill="F2F2F2" w:themeFill="background1" w:themeFillShade="F2"/>
            <w:vAlign w:val="bottom"/>
            <w:hideMark/>
          </w:tcPr>
          <w:p w14:paraId="37602A3A" w14:textId="77777777" w:rsidR="00FE7F8B" w:rsidRDefault="00FE7F8B">
            <w:pPr>
              <w:pStyle w:val="Tabletextoutputs"/>
              <w:jc w:val="right"/>
              <w:rPr>
                <w:lang w:eastAsia="en-US"/>
              </w:rPr>
            </w:pPr>
            <w:r>
              <w:rPr>
                <w:rFonts w:ascii="Arial" w:hAnsi="Arial"/>
                <w:lang w:val="en-US" w:eastAsia="en-US"/>
              </w:rPr>
              <w:t>12.7</w:t>
            </w:r>
          </w:p>
        </w:tc>
        <w:tc>
          <w:tcPr>
            <w:tcW w:w="512" w:type="pct"/>
            <w:tcBorders>
              <w:top w:val="nil"/>
              <w:left w:val="nil"/>
              <w:bottom w:val="single" w:sz="4" w:space="0" w:color="auto"/>
              <w:right w:val="nil"/>
            </w:tcBorders>
            <w:vAlign w:val="bottom"/>
            <w:hideMark/>
          </w:tcPr>
          <w:p w14:paraId="7F40C1E4" w14:textId="77777777" w:rsidR="00FE7F8B" w:rsidRDefault="00FE7F8B">
            <w:pPr>
              <w:pStyle w:val="Tabletextoutputs"/>
              <w:jc w:val="right"/>
              <w:rPr>
                <w:lang w:eastAsia="en-US"/>
              </w:rPr>
            </w:pPr>
            <w:r>
              <w:rPr>
                <w:rFonts w:ascii="Arial" w:hAnsi="Arial"/>
                <w:lang w:val="en-US" w:eastAsia="en-US"/>
              </w:rPr>
              <w:t>75.1</w:t>
            </w:r>
          </w:p>
        </w:tc>
        <w:tc>
          <w:tcPr>
            <w:tcW w:w="601" w:type="pct"/>
            <w:tcBorders>
              <w:top w:val="nil"/>
              <w:left w:val="nil"/>
              <w:bottom w:val="single" w:sz="4" w:space="0" w:color="auto"/>
              <w:right w:val="nil"/>
            </w:tcBorders>
            <w:shd w:val="clear" w:color="auto" w:fill="F2F2F2" w:themeFill="background1" w:themeFillShade="F2"/>
            <w:vAlign w:val="bottom"/>
            <w:hideMark/>
          </w:tcPr>
          <w:p w14:paraId="725B4B53" w14:textId="77777777" w:rsidR="00FE7F8B" w:rsidRDefault="00FE7F8B">
            <w:pPr>
              <w:pStyle w:val="Tabletextoutputs"/>
              <w:jc w:val="right"/>
              <w:rPr>
                <w:lang w:eastAsia="en-US"/>
              </w:rPr>
            </w:pPr>
            <w:r>
              <w:rPr>
                <w:rFonts w:ascii="Arial" w:hAnsi="Arial"/>
                <w:lang w:val="en-US" w:eastAsia="en-US"/>
              </w:rPr>
              <w:t>17,976.9</w:t>
            </w:r>
          </w:p>
        </w:tc>
        <w:tc>
          <w:tcPr>
            <w:tcW w:w="556" w:type="pct"/>
            <w:tcBorders>
              <w:top w:val="nil"/>
              <w:left w:val="nil"/>
              <w:bottom w:val="single" w:sz="4" w:space="0" w:color="auto"/>
              <w:right w:val="nil"/>
            </w:tcBorders>
            <w:vAlign w:val="bottom"/>
            <w:hideMark/>
          </w:tcPr>
          <w:p w14:paraId="3365A6F7" w14:textId="77777777" w:rsidR="00FE7F8B" w:rsidRDefault="00FE7F8B">
            <w:pPr>
              <w:pStyle w:val="Tabletextoutputs"/>
              <w:jc w:val="right"/>
              <w:rPr>
                <w:lang w:eastAsia="en-US"/>
              </w:rPr>
            </w:pPr>
            <w:r>
              <w:rPr>
                <w:rFonts w:ascii="Arial" w:hAnsi="Arial"/>
                <w:bCs/>
                <w:lang w:val="en-US" w:eastAsia="en-US"/>
              </w:rPr>
              <w:t>6.7</w:t>
            </w:r>
          </w:p>
        </w:tc>
        <w:tc>
          <w:tcPr>
            <w:tcW w:w="452" w:type="pct"/>
            <w:tcBorders>
              <w:top w:val="nil"/>
              <w:left w:val="nil"/>
              <w:bottom w:val="single" w:sz="4" w:space="0" w:color="auto"/>
              <w:right w:val="nil"/>
            </w:tcBorders>
            <w:shd w:val="clear" w:color="auto" w:fill="F2F2F2" w:themeFill="background1" w:themeFillShade="F2"/>
            <w:vAlign w:val="bottom"/>
            <w:hideMark/>
          </w:tcPr>
          <w:p w14:paraId="5DC3164A" w14:textId="77777777" w:rsidR="00FE7F8B" w:rsidRDefault="00FE7F8B">
            <w:pPr>
              <w:pStyle w:val="Tabletextoutputs"/>
              <w:jc w:val="right"/>
              <w:rPr>
                <w:lang w:eastAsia="en-US"/>
              </w:rPr>
            </w:pPr>
            <w:r>
              <w:rPr>
                <w:rFonts w:ascii="Arial" w:hAnsi="Arial"/>
                <w:lang w:val="en-US" w:eastAsia="en-US"/>
              </w:rPr>
              <w:t>125.7</w:t>
            </w:r>
          </w:p>
        </w:tc>
        <w:tc>
          <w:tcPr>
            <w:tcW w:w="567" w:type="pct"/>
            <w:tcBorders>
              <w:top w:val="nil"/>
              <w:left w:val="nil"/>
              <w:bottom w:val="single" w:sz="4" w:space="0" w:color="auto"/>
              <w:right w:val="nil"/>
            </w:tcBorders>
            <w:vAlign w:val="bottom"/>
            <w:hideMark/>
          </w:tcPr>
          <w:p w14:paraId="203AF671" w14:textId="77777777" w:rsidR="00FE7F8B" w:rsidRDefault="00FE7F8B">
            <w:pPr>
              <w:pStyle w:val="Tabletextoutputs"/>
              <w:jc w:val="right"/>
              <w:rPr>
                <w:lang w:eastAsia="en-US"/>
              </w:rPr>
            </w:pPr>
            <w:r>
              <w:rPr>
                <w:rFonts w:ascii="Arial" w:hAnsi="Arial"/>
                <w:lang w:val="en-US" w:eastAsia="en-US"/>
              </w:rPr>
              <w:t>1,789.4</w:t>
            </w:r>
          </w:p>
        </w:tc>
        <w:tc>
          <w:tcPr>
            <w:tcW w:w="607" w:type="pct"/>
            <w:tcBorders>
              <w:top w:val="nil"/>
              <w:left w:val="nil"/>
              <w:bottom w:val="single" w:sz="4" w:space="0" w:color="auto"/>
              <w:right w:val="nil"/>
            </w:tcBorders>
            <w:shd w:val="clear" w:color="auto" w:fill="F2F2F2" w:themeFill="background1" w:themeFillShade="F2"/>
            <w:vAlign w:val="bottom"/>
            <w:hideMark/>
          </w:tcPr>
          <w:p w14:paraId="110D1390" w14:textId="77777777" w:rsidR="00FE7F8B" w:rsidRDefault="00FE7F8B">
            <w:pPr>
              <w:pStyle w:val="Tabletextoutputs"/>
              <w:jc w:val="right"/>
              <w:rPr>
                <w:lang w:eastAsia="en-US"/>
              </w:rPr>
            </w:pPr>
            <w:r>
              <w:rPr>
                <w:rFonts w:ascii="Arial" w:hAnsi="Arial"/>
                <w:b/>
                <w:bCs/>
                <w:lang w:val="en-US" w:eastAsia="en-US"/>
              </w:rPr>
              <w:t>19,986.5</w:t>
            </w:r>
          </w:p>
        </w:tc>
      </w:tr>
      <w:tr w:rsidR="00FE7F8B" w14:paraId="6892F6C4" w14:textId="77777777" w:rsidTr="00FE7F8B">
        <w:tc>
          <w:tcPr>
            <w:tcW w:w="1149" w:type="pct"/>
            <w:tcBorders>
              <w:top w:val="single" w:sz="4" w:space="0" w:color="auto"/>
              <w:left w:val="nil"/>
              <w:bottom w:val="single" w:sz="4" w:space="0" w:color="auto"/>
              <w:right w:val="nil"/>
            </w:tcBorders>
            <w:noWrap/>
            <w:vAlign w:val="bottom"/>
            <w:hideMark/>
          </w:tcPr>
          <w:p w14:paraId="4403B219" w14:textId="77777777" w:rsidR="00FE7F8B" w:rsidRDefault="00FE7F8B">
            <w:pPr>
              <w:pStyle w:val="Tabletextoutputs"/>
              <w:rPr>
                <w:b/>
                <w:lang w:eastAsia="en-US"/>
              </w:rPr>
            </w:pPr>
            <w:r>
              <w:rPr>
                <w:b/>
                <w:lang w:eastAsia="en-US"/>
              </w:rPr>
              <w:t>Total assets</w:t>
            </w:r>
          </w:p>
        </w:tc>
        <w:tc>
          <w:tcPr>
            <w:tcW w:w="556" w:type="pct"/>
            <w:tcBorders>
              <w:top w:val="single" w:sz="4" w:space="0" w:color="auto"/>
              <w:left w:val="nil"/>
              <w:bottom w:val="single" w:sz="4" w:space="0" w:color="auto"/>
              <w:right w:val="nil"/>
            </w:tcBorders>
            <w:shd w:val="clear" w:color="auto" w:fill="F2F2F2" w:themeFill="background1" w:themeFillShade="F2"/>
            <w:vAlign w:val="bottom"/>
            <w:hideMark/>
          </w:tcPr>
          <w:p w14:paraId="5CD449BD" w14:textId="77777777" w:rsidR="00FE7F8B" w:rsidRDefault="00FE7F8B">
            <w:pPr>
              <w:pStyle w:val="Tabletextoutputs"/>
              <w:jc w:val="right"/>
              <w:rPr>
                <w:b/>
                <w:lang w:eastAsia="en-US"/>
              </w:rPr>
            </w:pPr>
            <w:r>
              <w:rPr>
                <w:rFonts w:ascii="Arial" w:hAnsi="Arial"/>
                <w:b/>
                <w:bCs/>
                <w:lang w:val="en-US" w:eastAsia="en-US"/>
              </w:rPr>
              <w:t>30.1</w:t>
            </w:r>
          </w:p>
        </w:tc>
        <w:tc>
          <w:tcPr>
            <w:tcW w:w="512" w:type="pct"/>
            <w:tcBorders>
              <w:top w:val="single" w:sz="4" w:space="0" w:color="auto"/>
              <w:left w:val="nil"/>
              <w:bottom w:val="single" w:sz="4" w:space="0" w:color="auto"/>
              <w:right w:val="nil"/>
            </w:tcBorders>
            <w:vAlign w:val="bottom"/>
            <w:hideMark/>
          </w:tcPr>
          <w:p w14:paraId="571DBDA3" w14:textId="77777777" w:rsidR="00FE7F8B" w:rsidRDefault="00FE7F8B">
            <w:pPr>
              <w:pStyle w:val="Tabletextoutputs"/>
              <w:jc w:val="right"/>
              <w:rPr>
                <w:b/>
                <w:lang w:eastAsia="en-US"/>
              </w:rPr>
            </w:pPr>
            <w:r>
              <w:rPr>
                <w:rFonts w:ascii="Arial" w:hAnsi="Arial"/>
                <w:b/>
                <w:bCs/>
                <w:lang w:val="en-US" w:eastAsia="en-US"/>
              </w:rPr>
              <w:t>151.1</w:t>
            </w:r>
          </w:p>
        </w:tc>
        <w:tc>
          <w:tcPr>
            <w:tcW w:w="601" w:type="pct"/>
            <w:tcBorders>
              <w:top w:val="single" w:sz="4" w:space="0" w:color="auto"/>
              <w:left w:val="nil"/>
              <w:bottom w:val="single" w:sz="4" w:space="0" w:color="auto"/>
              <w:right w:val="nil"/>
            </w:tcBorders>
            <w:shd w:val="clear" w:color="auto" w:fill="F2F2F2" w:themeFill="background1" w:themeFillShade="F2"/>
            <w:vAlign w:val="bottom"/>
            <w:hideMark/>
          </w:tcPr>
          <w:p w14:paraId="2B00F839" w14:textId="77777777" w:rsidR="00FE7F8B" w:rsidRDefault="00FE7F8B">
            <w:pPr>
              <w:pStyle w:val="Tabletextoutputs"/>
              <w:jc w:val="right"/>
              <w:rPr>
                <w:b/>
                <w:lang w:eastAsia="en-US"/>
              </w:rPr>
            </w:pPr>
            <w:r>
              <w:rPr>
                <w:rFonts w:ascii="Arial" w:hAnsi="Arial"/>
                <w:b/>
                <w:bCs/>
                <w:lang w:val="en-US" w:eastAsia="en-US"/>
              </w:rPr>
              <w:t>20,292.8</w:t>
            </w:r>
          </w:p>
        </w:tc>
        <w:tc>
          <w:tcPr>
            <w:tcW w:w="556" w:type="pct"/>
            <w:tcBorders>
              <w:top w:val="single" w:sz="4" w:space="0" w:color="auto"/>
              <w:left w:val="nil"/>
              <w:bottom w:val="single" w:sz="4" w:space="0" w:color="auto"/>
              <w:right w:val="nil"/>
            </w:tcBorders>
            <w:vAlign w:val="bottom"/>
            <w:hideMark/>
          </w:tcPr>
          <w:p w14:paraId="5F3F6CA9" w14:textId="77777777" w:rsidR="00FE7F8B" w:rsidRDefault="00FE7F8B">
            <w:pPr>
              <w:pStyle w:val="Tabletextoutputs"/>
              <w:jc w:val="right"/>
              <w:rPr>
                <w:b/>
                <w:lang w:eastAsia="en-US"/>
              </w:rPr>
            </w:pPr>
            <w:r>
              <w:rPr>
                <w:rFonts w:ascii="Arial" w:hAnsi="Arial"/>
                <w:b/>
                <w:bCs/>
                <w:lang w:val="en-US" w:eastAsia="en-US"/>
              </w:rPr>
              <w:t>230.0</w:t>
            </w:r>
          </w:p>
        </w:tc>
        <w:tc>
          <w:tcPr>
            <w:tcW w:w="452" w:type="pct"/>
            <w:tcBorders>
              <w:top w:val="single" w:sz="4" w:space="0" w:color="auto"/>
              <w:left w:val="nil"/>
              <w:bottom w:val="single" w:sz="4" w:space="0" w:color="auto"/>
              <w:right w:val="nil"/>
            </w:tcBorders>
            <w:shd w:val="clear" w:color="auto" w:fill="F2F2F2" w:themeFill="background1" w:themeFillShade="F2"/>
            <w:vAlign w:val="bottom"/>
            <w:hideMark/>
          </w:tcPr>
          <w:p w14:paraId="1F3873F3" w14:textId="77777777" w:rsidR="00FE7F8B" w:rsidRDefault="00FE7F8B">
            <w:pPr>
              <w:pStyle w:val="Tabletextoutputs"/>
              <w:jc w:val="right"/>
              <w:rPr>
                <w:b/>
                <w:lang w:eastAsia="en-US"/>
              </w:rPr>
            </w:pPr>
            <w:r>
              <w:rPr>
                <w:rFonts w:ascii="Arial" w:hAnsi="Arial"/>
                <w:b/>
                <w:bCs/>
                <w:lang w:val="en-US" w:eastAsia="en-US"/>
              </w:rPr>
              <w:t>222.3</w:t>
            </w:r>
          </w:p>
        </w:tc>
        <w:tc>
          <w:tcPr>
            <w:tcW w:w="567" w:type="pct"/>
            <w:tcBorders>
              <w:top w:val="single" w:sz="4" w:space="0" w:color="auto"/>
              <w:left w:val="nil"/>
              <w:bottom w:val="single" w:sz="4" w:space="0" w:color="auto"/>
              <w:right w:val="nil"/>
            </w:tcBorders>
            <w:vAlign w:val="bottom"/>
            <w:hideMark/>
          </w:tcPr>
          <w:p w14:paraId="53C501F9" w14:textId="77777777" w:rsidR="00FE7F8B" w:rsidRDefault="00FE7F8B">
            <w:pPr>
              <w:pStyle w:val="Tabletextoutputs"/>
              <w:jc w:val="right"/>
              <w:rPr>
                <w:b/>
                <w:lang w:eastAsia="en-US"/>
              </w:rPr>
            </w:pPr>
            <w:r>
              <w:rPr>
                <w:rFonts w:ascii="Arial" w:hAnsi="Arial"/>
                <w:b/>
                <w:bCs/>
                <w:lang w:val="en-US" w:eastAsia="en-US"/>
              </w:rPr>
              <w:t>2,029.1</w:t>
            </w:r>
          </w:p>
        </w:tc>
        <w:tc>
          <w:tcPr>
            <w:tcW w:w="607" w:type="pct"/>
            <w:tcBorders>
              <w:top w:val="single" w:sz="4" w:space="0" w:color="auto"/>
              <w:left w:val="nil"/>
              <w:bottom w:val="single" w:sz="4" w:space="0" w:color="auto"/>
              <w:right w:val="nil"/>
            </w:tcBorders>
            <w:shd w:val="clear" w:color="auto" w:fill="F2F2F2" w:themeFill="background1" w:themeFillShade="F2"/>
            <w:vAlign w:val="bottom"/>
            <w:hideMark/>
          </w:tcPr>
          <w:p w14:paraId="47E99F59" w14:textId="77777777" w:rsidR="00FE7F8B" w:rsidRDefault="00FE7F8B">
            <w:pPr>
              <w:pStyle w:val="Tabletextoutputs"/>
              <w:jc w:val="right"/>
              <w:rPr>
                <w:b/>
                <w:lang w:eastAsia="en-US"/>
              </w:rPr>
            </w:pPr>
            <w:r>
              <w:rPr>
                <w:rFonts w:ascii="Arial" w:hAnsi="Arial"/>
                <w:b/>
                <w:bCs/>
                <w:lang w:val="en-US" w:eastAsia="en-US"/>
              </w:rPr>
              <w:t>22,955.5</w:t>
            </w:r>
          </w:p>
        </w:tc>
      </w:tr>
      <w:tr w:rsidR="00FE7F8B" w14:paraId="5DF42875" w14:textId="77777777" w:rsidTr="00FE7F8B">
        <w:tc>
          <w:tcPr>
            <w:tcW w:w="1149" w:type="pct"/>
            <w:tcBorders>
              <w:top w:val="single" w:sz="4" w:space="0" w:color="auto"/>
              <w:left w:val="nil"/>
              <w:bottom w:val="nil"/>
              <w:right w:val="nil"/>
            </w:tcBorders>
            <w:noWrap/>
            <w:vAlign w:val="bottom"/>
            <w:hideMark/>
          </w:tcPr>
          <w:p w14:paraId="6911AA72" w14:textId="77777777" w:rsidR="00FE7F8B" w:rsidRDefault="00FE7F8B">
            <w:pPr>
              <w:pStyle w:val="Tabletextoutputs"/>
              <w:rPr>
                <w:b/>
                <w:lang w:eastAsia="en-US"/>
              </w:rPr>
            </w:pPr>
            <w:r>
              <w:rPr>
                <w:b/>
                <w:lang w:eastAsia="en-US"/>
              </w:rPr>
              <w:t>Liabilities</w:t>
            </w:r>
          </w:p>
        </w:tc>
        <w:tc>
          <w:tcPr>
            <w:tcW w:w="556" w:type="pct"/>
            <w:tcBorders>
              <w:top w:val="single" w:sz="4" w:space="0" w:color="auto"/>
              <w:left w:val="nil"/>
              <w:bottom w:val="nil"/>
              <w:right w:val="nil"/>
            </w:tcBorders>
            <w:shd w:val="clear" w:color="auto" w:fill="F2F2F2" w:themeFill="background1" w:themeFillShade="F2"/>
            <w:noWrap/>
            <w:vAlign w:val="bottom"/>
            <w:hideMark/>
          </w:tcPr>
          <w:p w14:paraId="65C4D12C" w14:textId="77777777" w:rsidR="00FE7F8B" w:rsidRDefault="00FE7F8B">
            <w:pPr>
              <w:rPr>
                <w:b/>
              </w:rPr>
            </w:pPr>
          </w:p>
        </w:tc>
        <w:tc>
          <w:tcPr>
            <w:tcW w:w="512" w:type="pct"/>
            <w:tcBorders>
              <w:top w:val="single" w:sz="4" w:space="0" w:color="auto"/>
              <w:left w:val="nil"/>
              <w:bottom w:val="nil"/>
              <w:right w:val="nil"/>
            </w:tcBorders>
            <w:noWrap/>
            <w:vAlign w:val="bottom"/>
            <w:hideMark/>
          </w:tcPr>
          <w:p w14:paraId="4A996531"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c>
          <w:tcPr>
            <w:tcW w:w="601" w:type="pct"/>
            <w:tcBorders>
              <w:top w:val="single" w:sz="4" w:space="0" w:color="auto"/>
              <w:left w:val="nil"/>
              <w:bottom w:val="nil"/>
              <w:right w:val="nil"/>
            </w:tcBorders>
            <w:shd w:val="clear" w:color="auto" w:fill="F2F2F2" w:themeFill="background1" w:themeFillShade="F2"/>
            <w:noWrap/>
            <w:vAlign w:val="bottom"/>
          </w:tcPr>
          <w:p w14:paraId="79CBEB54" w14:textId="77777777" w:rsidR="00FE7F8B" w:rsidRDefault="00FE7F8B">
            <w:pPr>
              <w:pStyle w:val="Tabletextoutputs"/>
              <w:jc w:val="right"/>
              <w:rPr>
                <w:b/>
                <w:lang w:eastAsia="en-US"/>
              </w:rPr>
            </w:pPr>
          </w:p>
        </w:tc>
        <w:tc>
          <w:tcPr>
            <w:tcW w:w="556" w:type="pct"/>
            <w:tcBorders>
              <w:top w:val="single" w:sz="4" w:space="0" w:color="auto"/>
              <w:left w:val="nil"/>
              <w:bottom w:val="nil"/>
              <w:right w:val="nil"/>
            </w:tcBorders>
            <w:noWrap/>
            <w:vAlign w:val="bottom"/>
          </w:tcPr>
          <w:p w14:paraId="1F0FF040" w14:textId="77777777" w:rsidR="00FE7F8B" w:rsidRDefault="00FE7F8B">
            <w:pPr>
              <w:pStyle w:val="Tabletextoutputs"/>
              <w:jc w:val="right"/>
              <w:rPr>
                <w:b/>
                <w:lang w:eastAsia="en-US"/>
              </w:rPr>
            </w:pPr>
          </w:p>
        </w:tc>
        <w:tc>
          <w:tcPr>
            <w:tcW w:w="452" w:type="pct"/>
            <w:tcBorders>
              <w:top w:val="single" w:sz="4" w:space="0" w:color="auto"/>
              <w:left w:val="nil"/>
              <w:bottom w:val="nil"/>
              <w:right w:val="nil"/>
            </w:tcBorders>
            <w:shd w:val="clear" w:color="auto" w:fill="F2F2F2" w:themeFill="background1" w:themeFillShade="F2"/>
            <w:noWrap/>
            <w:vAlign w:val="bottom"/>
          </w:tcPr>
          <w:p w14:paraId="41808F1B" w14:textId="77777777" w:rsidR="00FE7F8B" w:rsidRDefault="00FE7F8B">
            <w:pPr>
              <w:pStyle w:val="Tabletextoutputs"/>
              <w:jc w:val="right"/>
              <w:rPr>
                <w:b/>
                <w:lang w:eastAsia="en-US"/>
              </w:rPr>
            </w:pPr>
          </w:p>
        </w:tc>
        <w:tc>
          <w:tcPr>
            <w:tcW w:w="567" w:type="pct"/>
            <w:tcBorders>
              <w:top w:val="single" w:sz="4" w:space="0" w:color="auto"/>
              <w:left w:val="nil"/>
              <w:bottom w:val="nil"/>
              <w:right w:val="nil"/>
            </w:tcBorders>
            <w:noWrap/>
            <w:vAlign w:val="bottom"/>
          </w:tcPr>
          <w:p w14:paraId="7BFEE010" w14:textId="77777777" w:rsidR="00FE7F8B" w:rsidRDefault="00FE7F8B">
            <w:pPr>
              <w:pStyle w:val="Tabletextoutputs"/>
              <w:jc w:val="right"/>
              <w:rPr>
                <w:b/>
                <w:lang w:eastAsia="en-US"/>
              </w:rPr>
            </w:pPr>
          </w:p>
        </w:tc>
        <w:tc>
          <w:tcPr>
            <w:tcW w:w="607" w:type="pct"/>
            <w:tcBorders>
              <w:top w:val="single" w:sz="4" w:space="0" w:color="auto"/>
              <w:left w:val="nil"/>
              <w:bottom w:val="nil"/>
              <w:right w:val="nil"/>
            </w:tcBorders>
            <w:shd w:val="clear" w:color="auto" w:fill="F2F2F2" w:themeFill="background1" w:themeFillShade="F2"/>
            <w:noWrap/>
            <w:vAlign w:val="bottom"/>
          </w:tcPr>
          <w:p w14:paraId="7BE6BD2C" w14:textId="77777777" w:rsidR="00FE7F8B" w:rsidRDefault="00FE7F8B">
            <w:pPr>
              <w:pStyle w:val="Tabletextoutputs"/>
              <w:jc w:val="right"/>
              <w:rPr>
                <w:b/>
                <w:lang w:eastAsia="en-US"/>
              </w:rPr>
            </w:pPr>
          </w:p>
        </w:tc>
      </w:tr>
      <w:tr w:rsidR="00FE7F8B" w14:paraId="552DFA2D" w14:textId="77777777" w:rsidTr="00FE7F8B">
        <w:tc>
          <w:tcPr>
            <w:tcW w:w="1149" w:type="pct"/>
            <w:tcBorders>
              <w:top w:val="nil"/>
              <w:left w:val="nil"/>
              <w:bottom w:val="single" w:sz="4" w:space="0" w:color="auto"/>
              <w:right w:val="nil"/>
            </w:tcBorders>
            <w:noWrap/>
            <w:vAlign w:val="bottom"/>
            <w:hideMark/>
          </w:tcPr>
          <w:p w14:paraId="7AC10ADC" w14:textId="77777777" w:rsidR="00FE7F8B" w:rsidRDefault="00FE7F8B">
            <w:pPr>
              <w:pStyle w:val="Tabletextoutputs"/>
              <w:rPr>
                <w:lang w:eastAsia="en-US"/>
              </w:rPr>
            </w:pPr>
            <w:r>
              <w:rPr>
                <w:lang w:eastAsia="en-US"/>
              </w:rPr>
              <w:t>Liabilities</w:t>
            </w:r>
          </w:p>
        </w:tc>
        <w:tc>
          <w:tcPr>
            <w:tcW w:w="556" w:type="pct"/>
            <w:tcBorders>
              <w:top w:val="nil"/>
              <w:left w:val="nil"/>
              <w:bottom w:val="single" w:sz="4" w:space="0" w:color="auto"/>
              <w:right w:val="nil"/>
            </w:tcBorders>
            <w:shd w:val="clear" w:color="auto" w:fill="F2F2F2" w:themeFill="background1" w:themeFillShade="F2"/>
            <w:vAlign w:val="bottom"/>
            <w:hideMark/>
          </w:tcPr>
          <w:p w14:paraId="5ACA8B83" w14:textId="77777777" w:rsidR="00FE7F8B" w:rsidRDefault="00FE7F8B">
            <w:pPr>
              <w:pStyle w:val="Tabletextoutputs"/>
              <w:jc w:val="right"/>
              <w:rPr>
                <w:lang w:eastAsia="en-US"/>
              </w:rPr>
            </w:pPr>
            <w:r>
              <w:rPr>
                <w:rFonts w:ascii="Arial" w:hAnsi="Arial"/>
                <w:lang w:val="en-US" w:eastAsia="en-US"/>
              </w:rPr>
              <w:t>14.3</w:t>
            </w:r>
          </w:p>
        </w:tc>
        <w:tc>
          <w:tcPr>
            <w:tcW w:w="512" w:type="pct"/>
            <w:tcBorders>
              <w:top w:val="nil"/>
              <w:left w:val="nil"/>
              <w:bottom w:val="single" w:sz="4" w:space="0" w:color="auto"/>
              <w:right w:val="nil"/>
            </w:tcBorders>
            <w:vAlign w:val="bottom"/>
            <w:hideMark/>
          </w:tcPr>
          <w:p w14:paraId="27570884" w14:textId="77777777" w:rsidR="00FE7F8B" w:rsidRDefault="00FE7F8B">
            <w:pPr>
              <w:pStyle w:val="Tabletextoutputs"/>
              <w:jc w:val="right"/>
              <w:rPr>
                <w:lang w:eastAsia="en-US"/>
              </w:rPr>
            </w:pPr>
            <w:r>
              <w:rPr>
                <w:rFonts w:ascii="Arial" w:hAnsi="Arial"/>
                <w:lang w:val="en-US" w:eastAsia="en-US"/>
              </w:rPr>
              <w:t>22.8</w:t>
            </w:r>
          </w:p>
        </w:tc>
        <w:tc>
          <w:tcPr>
            <w:tcW w:w="601" w:type="pct"/>
            <w:tcBorders>
              <w:top w:val="nil"/>
              <w:left w:val="nil"/>
              <w:bottom w:val="single" w:sz="4" w:space="0" w:color="auto"/>
              <w:right w:val="nil"/>
            </w:tcBorders>
            <w:shd w:val="clear" w:color="auto" w:fill="F2F2F2" w:themeFill="background1" w:themeFillShade="F2"/>
            <w:vAlign w:val="bottom"/>
            <w:hideMark/>
          </w:tcPr>
          <w:p w14:paraId="50EE8752" w14:textId="77777777" w:rsidR="00FE7F8B" w:rsidRDefault="00FE7F8B">
            <w:pPr>
              <w:pStyle w:val="Tabletextoutputs"/>
              <w:jc w:val="right"/>
              <w:rPr>
                <w:lang w:eastAsia="en-US"/>
              </w:rPr>
            </w:pPr>
            <w:r>
              <w:rPr>
                <w:rFonts w:ascii="Arial" w:hAnsi="Arial"/>
                <w:lang w:val="en-US" w:eastAsia="en-US"/>
              </w:rPr>
              <w:t>1,789.5</w:t>
            </w:r>
          </w:p>
        </w:tc>
        <w:tc>
          <w:tcPr>
            <w:tcW w:w="556" w:type="pct"/>
            <w:tcBorders>
              <w:top w:val="nil"/>
              <w:left w:val="nil"/>
              <w:bottom w:val="single" w:sz="4" w:space="0" w:color="auto"/>
              <w:right w:val="nil"/>
            </w:tcBorders>
            <w:vAlign w:val="bottom"/>
            <w:hideMark/>
          </w:tcPr>
          <w:p w14:paraId="69CA26AF" w14:textId="77777777" w:rsidR="00FE7F8B" w:rsidRDefault="00FE7F8B">
            <w:pPr>
              <w:pStyle w:val="Tabletextoutputs"/>
              <w:jc w:val="right"/>
              <w:rPr>
                <w:lang w:eastAsia="en-US"/>
              </w:rPr>
            </w:pPr>
            <w:r>
              <w:rPr>
                <w:rFonts w:ascii="Arial" w:hAnsi="Arial"/>
                <w:b/>
                <w:bCs/>
                <w:lang w:val="en-US" w:eastAsia="en-US"/>
              </w:rPr>
              <w:t>43.5</w:t>
            </w:r>
          </w:p>
        </w:tc>
        <w:tc>
          <w:tcPr>
            <w:tcW w:w="452" w:type="pct"/>
            <w:tcBorders>
              <w:top w:val="nil"/>
              <w:left w:val="nil"/>
              <w:bottom w:val="single" w:sz="4" w:space="0" w:color="auto"/>
              <w:right w:val="nil"/>
            </w:tcBorders>
            <w:shd w:val="clear" w:color="auto" w:fill="F2F2F2" w:themeFill="background1" w:themeFillShade="F2"/>
            <w:vAlign w:val="bottom"/>
            <w:hideMark/>
          </w:tcPr>
          <w:p w14:paraId="0B3AF5DF" w14:textId="77777777" w:rsidR="00FE7F8B" w:rsidRDefault="00FE7F8B">
            <w:pPr>
              <w:pStyle w:val="Tabletextoutputs"/>
              <w:jc w:val="right"/>
              <w:rPr>
                <w:lang w:eastAsia="en-US"/>
              </w:rPr>
            </w:pPr>
            <w:r>
              <w:rPr>
                <w:rFonts w:ascii="Arial" w:hAnsi="Arial"/>
                <w:lang w:val="en-US" w:eastAsia="en-US"/>
              </w:rPr>
              <w:t>63.2</w:t>
            </w:r>
          </w:p>
        </w:tc>
        <w:tc>
          <w:tcPr>
            <w:tcW w:w="567" w:type="pct"/>
            <w:tcBorders>
              <w:top w:val="nil"/>
              <w:left w:val="nil"/>
              <w:bottom w:val="single" w:sz="4" w:space="0" w:color="auto"/>
              <w:right w:val="nil"/>
            </w:tcBorders>
            <w:vAlign w:val="bottom"/>
            <w:hideMark/>
          </w:tcPr>
          <w:p w14:paraId="6FF72DDF" w14:textId="77777777" w:rsidR="00FE7F8B" w:rsidRDefault="00FE7F8B">
            <w:pPr>
              <w:pStyle w:val="Tabletextoutputs"/>
              <w:jc w:val="right"/>
              <w:rPr>
                <w:lang w:eastAsia="en-US"/>
              </w:rPr>
            </w:pPr>
            <w:r>
              <w:rPr>
                <w:rFonts w:ascii="Arial" w:hAnsi="Arial"/>
                <w:lang w:val="en-US" w:eastAsia="en-US"/>
              </w:rPr>
              <w:t>233.7</w:t>
            </w:r>
          </w:p>
        </w:tc>
        <w:tc>
          <w:tcPr>
            <w:tcW w:w="607" w:type="pct"/>
            <w:tcBorders>
              <w:top w:val="nil"/>
              <w:left w:val="nil"/>
              <w:bottom w:val="single" w:sz="4" w:space="0" w:color="auto"/>
              <w:right w:val="nil"/>
            </w:tcBorders>
            <w:shd w:val="clear" w:color="auto" w:fill="F2F2F2" w:themeFill="background1" w:themeFillShade="F2"/>
            <w:vAlign w:val="bottom"/>
            <w:hideMark/>
          </w:tcPr>
          <w:p w14:paraId="78A7B740" w14:textId="77777777" w:rsidR="00FE7F8B" w:rsidRDefault="00FE7F8B">
            <w:pPr>
              <w:pStyle w:val="Tabletextoutputs"/>
              <w:jc w:val="right"/>
              <w:rPr>
                <w:lang w:eastAsia="en-US"/>
              </w:rPr>
            </w:pPr>
            <w:r>
              <w:rPr>
                <w:rFonts w:ascii="Arial" w:hAnsi="Arial"/>
                <w:b/>
                <w:bCs/>
                <w:lang w:val="en-US" w:eastAsia="en-US"/>
              </w:rPr>
              <w:t>2,166.9</w:t>
            </w:r>
          </w:p>
        </w:tc>
      </w:tr>
      <w:tr w:rsidR="00FE7F8B" w14:paraId="294C06BC" w14:textId="77777777" w:rsidTr="00FE7F8B">
        <w:tc>
          <w:tcPr>
            <w:tcW w:w="1149" w:type="pct"/>
            <w:tcBorders>
              <w:top w:val="single" w:sz="4" w:space="0" w:color="auto"/>
              <w:left w:val="nil"/>
              <w:bottom w:val="single" w:sz="6" w:space="0" w:color="auto"/>
              <w:right w:val="nil"/>
            </w:tcBorders>
            <w:noWrap/>
            <w:vAlign w:val="bottom"/>
            <w:hideMark/>
          </w:tcPr>
          <w:p w14:paraId="5FE367CA" w14:textId="77777777" w:rsidR="00FE7F8B" w:rsidRDefault="00FE7F8B">
            <w:pPr>
              <w:pStyle w:val="Tabletextoutputs"/>
              <w:rPr>
                <w:b/>
                <w:lang w:eastAsia="en-US"/>
              </w:rPr>
            </w:pPr>
            <w:r>
              <w:rPr>
                <w:b/>
                <w:lang w:eastAsia="en-US"/>
              </w:rPr>
              <w:t>Total liabilities</w:t>
            </w:r>
          </w:p>
        </w:tc>
        <w:tc>
          <w:tcPr>
            <w:tcW w:w="556" w:type="pct"/>
            <w:tcBorders>
              <w:top w:val="single" w:sz="4" w:space="0" w:color="auto"/>
              <w:left w:val="nil"/>
              <w:bottom w:val="single" w:sz="6" w:space="0" w:color="auto"/>
              <w:right w:val="nil"/>
            </w:tcBorders>
            <w:shd w:val="clear" w:color="auto" w:fill="F2F2F2" w:themeFill="background1" w:themeFillShade="F2"/>
            <w:vAlign w:val="bottom"/>
            <w:hideMark/>
          </w:tcPr>
          <w:p w14:paraId="32118940" w14:textId="77777777" w:rsidR="00FE7F8B" w:rsidRDefault="00FE7F8B">
            <w:pPr>
              <w:pStyle w:val="Tabletextoutputs"/>
              <w:jc w:val="right"/>
              <w:rPr>
                <w:b/>
                <w:lang w:eastAsia="en-US"/>
              </w:rPr>
            </w:pPr>
            <w:r>
              <w:rPr>
                <w:rFonts w:ascii="Arial" w:hAnsi="Arial"/>
                <w:b/>
                <w:bCs/>
                <w:lang w:val="en-US" w:eastAsia="en-US"/>
              </w:rPr>
              <w:t>14.3</w:t>
            </w:r>
          </w:p>
        </w:tc>
        <w:tc>
          <w:tcPr>
            <w:tcW w:w="512" w:type="pct"/>
            <w:tcBorders>
              <w:top w:val="single" w:sz="4" w:space="0" w:color="auto"/>
              <w:left w:val="nil"/>
              <w:bottom w:val="single" w:sz="6" w:space="0" w:color="auto"/>
              <w:right w:val="nil"/>
            </w:tcBorders>
            <w:vAlign w:val="bottom"/>
            <w:hideMark/>
          </w:tcPr>
          <w:p w14:paraId="65CB200F" w14:textId="77777777" w:rsidR="00FE7F8B" w:rsidRDefault="00FE7F8B">
            <w:pPr>
              <w:pStyle w:val="Tabletextoutputs"/>
              <w:jc w:val="right"/>
              <w:rPr>
                <w:b/>
                <w:lang w:eastAsia="en-US"/>
              </w:rPr>
            </w:pPr>
            <w:r>
              <w:rPr>
                <w:rFonts w:ascii="Arial" w:hAnsi="Arial"/>
                <w:b/>
                <w:bCs/>
                <w:lang w:val="en-US" w:eastAsia="en-US"/>
              </w:rPr>
              <w:t>22.8</w:t>
            </w:r>
          </w:p>
        </w:tc>
        <w:tc>
          <w:tcPr>
            <w:tcW w:w="601" w:type="pct"/>
            <w:tcBorders>
              <w:top w:val="single" w:sz="4" w:space="0" w:color="auto"/>
              <w:left w:val="nil"/>
              <w:bottom w:val="single" w:sz="6" w:space="0" w:color="auto"/>
              <w:right w:val="nil"/>
            </w:tcBorders>
            <w:shd w:val="clear" w:color="auto" w:fill="F2F2F2" w:themeFill="background1" w:themeFillShade="F2"/>
            <w:vAlign w:val="bottom"/>
            <w:hideMark/>
          </w:tcPr>
          <w:p w14:paraId="3C99C80D" w14:textId="77777777" w:rsidR="00FE7F8B" w:rsidRDefault="00FE7F8B">
            <w:pPr>
              <w:pStyle w:val="Tabletextoutputs"/>
              <w:jc w:val="right"/>
              <w:rPr>
                <w:b/>
                <w:lang w:eastAsia="en-US"/>
              </w:rPr>
            </w:pPr>
            <w:r>
              <w:rPr>
                <w:rFonts w:ascii="Arial" w:hAnsi="Arial"/>
                <w:b/>
                <w:bCs/>
                <w:lang w:val="en-US" w:eastAsia="en-US"/>
              </w:rPr>
              <w:t>1,789.5</w:t>
            </w:r>
          </w:p>
        </w:tc>
        <w:tc>
          <w:tcPr>
            <w:tcW w:w="556" w:type="pct"/>
            <w:tcBorders>
              <w:top w:val="single" w:sz="4" w:space="0" w:color="auto"/>
              <w:left w:val="nil"/>
              <w:bottom w:val="single" w:sz="6" w:space="0" w:color="auto"/>
              <w:right w:val="nil"/>
            </w:tcBorders>
            <w:vAlign w:val="bottom"/>
            <w:hideMark/>
          </w:tcPr>
          <w:p w14:paraId="729C6413" w14:textId="77777777" w:rsidR="00FE7F8B" w:rsidRDefault="00FE7F8B">
            <w:pPr>
              <w:pStyle w:val="Tabletextoutputs"/>
              <w:jc w:val="right"/>
              <w:rPr>
                <w:b/>
                <w:lang w:eastAsia="en-US"/>
              </w:rPr>
            </w:pPr>
            <w:r>
              <w:rPr>
                <w:rFonts w:ascii="Arial" w:hAnsi="Arial"/>
                <w:b/>
                <w:bCs/>
                <w:lang w:val="en-US" w:eastAsia="en-US"/>
              </w:rPr>
              <w:t>43.5</w:t>
            </w:r>
          </w:p>
        </w:tc>
        <w:tc>
          <w:tcPr>
            <w:tcW w:w="452" w:type="pct"/>
            <w:tcBorders>
              <w:top w:val="single" w:sz="4" w:space="0" w:color="auto"/>
              <w:left w:val="nil"/>
              <w:bottom w:val="single" w:sz="6" w:space="0" w:color="auto"/>
              <w:right w:val="nil"/>
            </w:tcBorders>
            <w:shd w:val="clear" w:color="auto" w:fill="F2F2F2" w:themeFill="background1" w:themeFillShade="F2"/>
            <w:vAlign w:val="bottom"/>
            <w:hideMark/>
          </w:tcPr>
          <w:p w14:paraId="74B8266F" w14:textId="77777777" w:rsidR="00FE7F8B" w:rsidRDefault="00FE7F8B">
            <w:pPr>
              <w:pStyle w:val="Tabletextoutputs"/>
              <w:jc w:val="right"/>
              <w:rPr>
                <w:b/>
                <w:lang w:eastAsia="en-US"/>
              </w:rPr>
            </w:pPr>
            <w:r>
              <w:rPr>
                <w:rFonts w:ascii="Arial" w:hAnsi="Arial"/>
                <w:b/>
                <w:bCs/>
                <w:lang w:val="en-US" w:eastAsia="en-US"/>
              </w:rPr>
              <w:t>63.2</w:t>
            </w:r>
          </w:p>
        </w:tc>
        <w:tc>
          <w:tcPr>
            <w:tcW w:w="567" w:type="pct"/>
            <w:tcBorders>
              <w:top w:val="single" w:sz="4" w:space="0" w:color="auto"/>
              <w:left w:val="nil"/>
              <w:bottom w:val="single" w:sz="6" w:space="0" w:color="auto"/>
              <w:right w:val="nil"/>
            </w:tcBorders>
            <w:vAlign w:val="bottom"/>
            <w:hideMark/>
          </w:tcPr>
          <w:p w14:paraId="57A76224" w14:textId="77777777" w:rsidR="00FE7F8B" w:rsidRDefault="00FE7F8B">
            <w:pPr>
              <w:pStyle w:val="Tabletextoutputs"/>
              <w:jc w:val="right"/>
              <w:rPr>
                <w:b/>
                <w:lang w:eastAsia="en-US"/>
              </w:rPr>
            </w:pPr>
            <w:r>
              <w:rPr>
                <w:rFonts w:ascii="Arial" w:hAnsi="Arial"/>
                <w:b/>
                <w:bCs/>
                <w:lang w:val="en-US" w:eastAsia="en-US"/>
              </w:rPr>
              <w:t>233.7</w:t>
            </w:r>
          </w:p>
        </w:tc>
        <w:tc>
          <w:tcPr>
            <w:tcW w:w="607" w:type="pct"/>
            <w:tcBorders>
              <w:top w:val="single" w:sz="4" w:space="0" w:color="auto"/>
              <w:left w:val="nil"/>
              <w:bottom w:val="single" w:sz="6" w:space="0" w:color="auto"/>
              <w:right w:val="nil"/>
            </w:tcBorders>
            <w:shd w:val="clear" w:color="auto" w:fill="F2F2F2" w:themeFill="background1" w:themeFillShade="F2"/>
            <w:vAlign w:val="bottom"/>
            <w:hideMark/>
          </w:tcPr>
          <w:p w14:paraId="4B6CD59F" w14:textId="77777777" w:rsidR="00FE7F8B" w:rsidRDefault="00FE7F8B">
            <w:pPr>
              <w:pStyle w:val="Tabletextoutputs"/>
              <w:jc w:val="right"/>
              <w:rPr>
                <w:b/>
                <w:lang w:eastAsia="en-US"/>
              </w:rPr>
            </w:pPr>
            <w:r>
              <w:rPr>
                <w:rFonts w:ascii="Arial" w:hAnsi="Arial"/>
                <w:b/>
                <w:bCs/>
                <w:lang w:val="en-US" w:eastAsia="en-US"/>
              </w:rPr>
              <w:t>2,166.9</w:t>
            </w:r>
          </w:p>
        </w:tc>
      </w:tr>
      <w:tr w:rsidR="00FE7F8B" w14:paraId="3725B6B1" w14:textId="77777777" w:rsidTr="00FE7F8B">
        <w:tc>
          <w:tcPr>
            <w:tcW w:w="1149" w:type="pct"/>
            <w:tcBorders>
              <w:top w:val="single" w:sz="6" w:space="0" w:color="auto"/>
              <w:left w:val="nil"/>
              <w:bottom w:val="single" w:sz="4" w:space="0" w:color="auto"/>
              <w:right w:val="nil"/>
            </w:tcBorders>
            <w:noWrap/>
            <w:vAlign w:val="bottom"/>
            <w:hideMark/>
          </w:tcPr>
          <w:p w14:paraId="64AB2932" w14:textId="77777777" w:rsidR="00FE7F8B" w:rsidRDefault="00FE7F8B">
            <w:pPr>
              <w:pStyle w:val="Tabletextoutputs"/>
              <w:rPr>
                <w:b/>
                <w:lang w:eastAsia="en-US"/>
              </w:rPr>
            </w:pPr>
            <w:r>
              <w:rPr>
                <w:b/>
                <w:lang w:eastAsia="en-US"/>
              </w:rPr>
              <w:t>Net assets/(liabilities)</w:t>
            </w:r>
          </w:p>
        </w:tc>
        <w:tc>
          <w:tcPr>
            <w:tcW w:w="556" w:type="pct"/>
            <w:tcBorders>
              <w:top w:val="single" w:sz="6" w:space="0" w:color="auto"/>
              <w:left w:val="nil"/>
              <w:bottom w:val="single" w:sz="4" w:space="0" w:color="auto"/>
              <w:right w:val="nil"/>
            </w:tcBorders>
            <w:shd w:val="clear" w:color="auto" w:fill="F2F2F2" w:themeFill="background1" w:themeFillShade="F2"/>
            <w:vAlign w:val="bottom"/>
            <w:hideMark/>
          </w:tcPr>
          <w:p w14:paraId="15584745" w14:textId="77777777" w:rsidR="00FE7F8B" w:rsidRDefault="00FE7F8B">
            <w:pPr>
              <w:pStyle w:val="Tabletextoutputs"/>
              <w:jc w:val="right"/>
              <w:rPr>
                <w:b/>
                <w:lang w:eastAsia="en-US"/>
              </w:rPr>
            </w:pPr>
            <w:r>
              <w:rPr>
                <w:rFonts w:ascii="Arial" w:hAnsi="Arial"/>
                <w:b/>
                <w:bCs/>
                <w:lang w:val="en-US" w:eastAsia="en-US"/>
              </w:rPr>
              <w:t>15.9</w:t>
            </w:r>
          </w:p>
        </w:tc>
        <w:tc>
          <w:tcPr>
            <w:tcW w:w="512" w:type="pct"/>
            <w:tcBorders>
              <w:top w:val="single" w:sz="6" w:space="0" w:color="auto"/>
              <w:left w:val="nil"/>
              <w:bottom w:val="single" w:sz="4" w:space="0" w:color="auto"/>
              <w:right w:val="nil"/>
            </w:tcBorders>
            <w:vAlign w:val="bottom"/>
            <w:hideMark/>
          </w:tcPr>
          <w:p w14:paraId="76B2EF51" w14:textId="77777777" w:rsidR="00FE7F8B" w:rsidRDefault="00FE7F8B">
            <w:pPr>
              <w:pStyle w:val="Tabletextoutputs"/>
              <w:jc w:val="right"/>
              <w:rPr>
                <w:b/>
                <w:lang w:eastAsia="en-US"/>
              </w:rPr>
            </w:pPr>
            <w:r>
              <w:rPr>
                <w:rFonts w:ascii="Arial" w:hAnsi="Arial"/>
                <w:b/>
                <w:bCs/>
                <w:lang w:val="en-US" w:eastAsia="en-US"/>
              </w:rPr>
              <w:t>128.3</w:t>
            </w:r>
          </w:p>
        </w:tc>
        <w:tc>
          <w:tcPr>
            <w:tcW w:w="601" w:type="pct"/>
            <w:tcBorders>
              <w:top w:val="single" w:sz="6" w:space="0" w:color="auto"/>
              <w:left w:val="nil"/>
              <w:bottom w:val="single" w:sz="4" w:space="0" w:color="auto"/>
              <w:right w:val="nil"/>
            </w:tcBorders>
            <w:shd w:val="clear" w:color="auto" w:fill="F2F2F2" w:themeFill="background1" w:themeFillShade="F2"/>
            <w:vAlign w:val="bottom"/>
            <w:hideMark/>
          </w:tcPr>
          <w:p w14:paraId="4993DAAE" w14:textId="77777777" w:rsidR="00FE7F8B" w:rsidRDefault="00FE7F8B">
            <w:pPr>
              <w:pStyle w:val="Tabletextoutputs"/>
              <w:jc w:val="right"/>
              <w:rPr>
                <w:b/>
                <w:lang w:eastAsia="en-US"/>
              </w:rPr>
            </w:pPr>
            <w:r>
              <w:rPr>
                <w:rFonts w:ascii="Arial" w:hAnsi="Arial"/>
                <w:b/>
                <w:bCs/>
                <w:lang w:val="en-US" w:eastAsia="en-US"/>
              </w:rPr>
              <w:t>18,503.3</w:t>
            </w:r>
          </w:p>
        </w:tc>
        <w:tc>
          <w:tcPr>
            <w:tcW w:w="556" w:type="pct"/>
            <w:tcBorders>
              <w:top w:val="single" w:sz="6" w:space="0" w:color="auto"/>
              <w:left w:val="nil"/>
              <w:bottom w:val="single" w:sz="4" w:space="0" w:color="auto"/>
              <w:right w:val="nil"/>
            </w:tcBorders>
            <w:vAlign w:val="bottom"/>
            <w:hideMark/>
          </w:tcPr>
          <w:p w14:paraId="4839208C" w14:textId="77777777" w:rsidR="00FE7F8B" w:rsidRDefault="00FE7F8B">
            <w:pPr>
              <w:pStyle w:val="Tabletextoutputs"/>
              <w:jc w:val="right"/>
              <w:rPr>
                <w:b/>
                <w:lang w:eastAsia="en-US"/>
              </w:rPr>
            </w:pPr>
            <w:r>
              <w:rPr>
                <w:rFonts w:ascii="Arial" w:hAnsi="Arial"/>
                <w:b/>
                <w:bCs/>
                <w:lang w:val="en-US" w:eastAsia="en-US"/>
              </w:rPr>
              <w:t>186.5</w:t>
            </w:r>
          </w:p>
        </w:tc>
        <w:tc>
          <w:tcPr>
            <w:tcW w:w="452" w:type="pct"/>
            <w:tcBorders>
              <w:top w:val="single" w:sz="6" w:space="0" w:color="auto"/>
              <w:left w:val="nil"/>
              <w:bottom w:val="single" w:sz="4" w:space="0" w:color="auto"/>
              <w:right w:val="nil"/>
            </w:tcBorders>
            <w:shd w:val="clear" w:color="auto" w:fill="F2F2F2" w:themeFill="background1" w:themeFillShade="F2"/>
            <w:vAlign w:val="bottom"/>
            <w:hideMark/>
          </w:tcPr>
          <w:p w14:paraId="52A284CF" w14:textId="77777777" w:rsidR="00FE7F8B" w:rsidRDefault="00FE7F8B">
            <w:pPr>
              <w:pStyle w:val="Tabletextoutputs"/>
              <w:jc w:val="right"/>
              <w:rPr>
                <w:b/>
                <w:lang w:eastAsia="en-US"/>
              </w:rPr>
            </w:pPr>
            <w:r>
              <w:rPr>
                <w:rFonts w:ascii="Arial" w:hAnsi="Arial"/>
                <w:b/>
                <w:bCs/>
                <w:lang w:val="en-US" w:eastAsia="en-US"/>
              </w:rPr>
              <w:t>159.2</w:t>
            </w:r>
          </w:p>
        </w:tc>
        <w:tc>
          <w:tcPr>
            <w:tcW w:w="567" w:type="pct"/>
            <w:tcBorders>
              <w:top w:val="single" w:sz="6" w:space="0" w:color="auto"/>
              <w:left w:val="nil"/>
              <w:bottom w:val="single" w:sz="4" w:space="0" w:color="auto"/>
              <w:right w:val="nil"/>
            </w:tcBorders>
            <w:vAlign w:val="bottom"/>
            <w:hideMark/>
          </w:tcPr>
          <w:p w14:paraId="3FCDCCE5" w14:textId="77777777" w:rsidR="00FE7F8B" w:rsidRDefault="00FE7F8B">
            <w:pPr>
              <w:pStyle w:val="Tabletextoutputs"/>
              <w:jc w:val="right"/>
              <w:rPr>
                <w:b/>
                <w:lang w:eastAsia="en-US"/>
              </w:rPr>
            </w:pPr>
            <w:r>
              <w:rPr>
                <w:rFonts w:ascii="Arial" w:hAnsi="Arial"/>
                <w:b/>
                <w:bCs/>
                <w:lang w:val="en-US" w:eastAsia="en-US"/>
              </w:rPr>
              <w:t>1,795.5</w:t>
            </w:r>
          </w:p>
        </w:tc>
        <w:tc>
          <w:tcPr>
            <w:tcW w:w="607" w:type="pct"/>
            <w:tcBorders>
              <w:top w:val="single" w:sz="6" w:space="0" w:color="auto"/>
              <w:left w:val="nil"/>
              <w:bottom w:val="single" w:sz="4" w:space="0" w:color="auto"/>
              <w:right w:val="nil"/>
            </w:tcBorders>
            <w:shd w:val="clear" w:color="auto" w:fill="F2F2F2" w:themeFill="background1" w:themeFillShade="F2"/>
            <w:vAlign w:val="bottom"/>
            <w:hideMark/>
          </w:tcPr>
          <w:p w14:paraId="553A42E9" w14:textId="77777777" w:rsidR="00FE7F8B" w:rsidRDefault="00FE7F8B">
            <w:pPr>
              <w:pStyle w:val="Tabletextoutputs"/>
              <w:jc w:val="right"/>
              <w:rPr>
                <w:b/>
                <w:lang w:eastAsia="en-US"/>
              </w:rPr>
            </w:pPr>
            <w:r>
              <w:rPr>
                <w:rFonts w:ascii="Arial" w:hAnsi="Arial"/>
                <w:b/>
                <w:bCs/>
                <w:lang w:val="en-US" w:eastAsia="en-US"/>
              </w:rPr>
              <w:t>20,788.6</w:t>
            </w:r>
          </w:p>
        </w:tc>
      </w:tr>
    </w:tbl>
    <w:p w14:paraId="3CDE7A2B" w14:textId="77777777" w:rsidR="00FE7F8B" w:rsidRDefault="00FE7F8B" w:rsidP="00FE7F8B"/>
    <w:p w14:paraId="3E01A39B" w14:textId="77777777" w:rsidR="00FE7F8B" w:rsidRDefault="00FE7F8B" w:rsidP="00FE7F8B">
      <w:pPr>
        <w:spacing w:after="200" w:line="276" w:lineRule="auto"/>
        <w:rPr>
          <w:b/>
          <w:i/>
          <w:sz w:val="17"/>
        </w:rPr>
      </w:pPr>
      <w:r>
        <w:br w:type="page"/>
      </w:r>
    </w:p>
    <w:p w14:paraId="5FEE3EEF" w14:textId="77777777" w:rsidR="00FE7F8B" w:rsidRDefault="00FE7F8B" w:rsidP="00FE7F8B">
      <w:pPr>
        <w:pStyle w:val="Caption"/>
      </w:pPr>
      <w:r>
        <w:t xml:space="preserve">Table </w:t>
      </w:r>
      <w:fldSimple w:instr=" SEQ Table \* ARABIC ">
        <w:r w:rsidR="00B60957">
          <w:rPr>
            <w:noProof/>
          </w:rPr>
          <w:t>3</w:t>
        </w:r>
      </w:fldSimple>
      <w:r>
        <w:t xml:space="preserve">—Departmental outputs schedule—controlled income and expenses for the year ended 30 June 2015 </w:t>
      </w:r>
    </w:p>
    <w:tbl>
      <w:tblPr>
        <w:tblW w:w="4983" w:type="pct"/>
        <w:tblLayout w:type="fixed"/>
        <w:tblLook w:val="04A0" w:firstRow="1" w:lastRow="0" w:firstColumn="1" w:lastColumn="0" w:noHBand="0" w:noVBand="1"/>
      </w:tblPr>
      <w:tblGrid>
        <w:gridCol w:w="2177"/>
        <w:gridCol w:w="712"/>
        <w:gridCol w:w="707"/>
        <w:gridCol w:w="854"/>
        <w:gridCol w:w="851"/>
        <w:gridCol w:w="709"/>
        <w:gridCol w:w="709"/>
        <w:gridCol w:w="7"/>
        <w:gridCol w:w="736"/>
      </w:tblGrid>
      <w:tr w:rsidR="00CF70DB" w14:paraId="3A4664BD" w14:textId="77777777" w:rsidTr="00CF70DB">
        <w:trPr>
          <w:tblHeader/>
        </w:trPr>
        <w:tc>
          <w:tcPr>
            <w:tcW w:w="1459" w:type="pct"/>
            <w:shd w:val="clear" w:color="auto" w:fill="7F7F7F" w:themeFill="text1" w:themeFillTint="80"/>
            <w:tcMar>
              <w:top w:w="0" w:type="dxa"/>
              <w:left w:w="57" w:type="dxa"/>
              <w:bottom w:w="0" w:type="dxa"/>
              <w:right w:w="57" w:type="dxa"/>
            </w:tcMar>
            <w:vAlign w:val="bottom"/>
          </w:tcPr>
          <w:p w14:paraId="51F1378E" w14:textId="77777777" w:rsidR="00FE7F8B" w:rsidRDefault="00FE7F8B">
            <w:pPr>
              <w:pStyle w:val="Tabletextoutputs"/>
              <w:jc w:val="center"/>
              <w:rPr>
                <w:b/>
                <w:color w:val="FFFFFF" w:themeColor="background1"/>
                <w:lang w:eastAsia="en-US"/>
              </w:rPr>
            </w:pPr>
          </w:p>
        </w:tc>
        <w:tc>
          <w:tcPr>
            <w:tcW w:w="477" w:type="pct"/>
            <w:shd w:val="clear" w:color="auto" w:fill="7F7F7F" w:themeFill="text1" w:themeFillTint="80"/>
            <w:tcMar>
              <w:top w:w="0" w:type="dxa"/>
              <w:left w:w="57" w:type="dxa"/>
              <w:bottom w:w="0" w:type="dxa"/>
              <w:right w:w="57" w:type="dxa"/>
            </w:tcMar>
            <w:hideMark/>
          </w:tcPr>
          <w:p w14:paraId="2DED2F88" w14:textId="77777777"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Strategy, Review</w:t>
            </w:r>
            <w:r w:rsidRPr="00AB4E9C">
              <w:rPr>
                <w:b/>
                <w:color w:val="FFFFFF" w:themeColor="background1"/>
                <w:sz w:val="14"/>
                <w:szCs w:val="14"/>
                <w:lang w:eastAsia="en-US"/>
              </w:rPr>
              <w:br/>
              <w:t>and Regulation</w:t>
            </w:r>
          </w:p>
        </w:tc>
        <w:tc>
          <w:tcPr>
            <w:tcW w:w="474" w:type="pct"/>
            <w:shd w:val="clear" w:color="auto" w:fill="7F7F7F" w:themeFill="text1" w:themeFillTint="80"/>
            <w:tcMar>
              <w:top w:w="0" w:type="dxa"/>
              <w:left w:w="57" w:type="dxa"/>
              <w:bottom w:w="0" w:type="dxa"/>
              <w:right w:w="57" w:type="dxa"/>
            </w:tcMar>
            <w:hideMark/>
          </w:tcPr>
          <w:p w14:paraId="7F45524A" w14:textId="77777777"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Early Childhood Develop</w:t>
            </w:r>
            <w:r w:rsidRPr="00AB4E9C">
              <w:rPr>
                <w:b/>
                <w:color w:val="FFFFFF" w:themeColor="background1"/>
                <w:sz w:val="14"/>
                <w:szCs w:val="14"/>
                <w:lang w:eastAsia="en-US"/>
              </w:rPr>
              <w:softHyphen/>
              <w:t>ment</w:t>
            </w:r>
          </w:p>
        </w:tc>
        <w:tc>
          <w:tcPr>
            <w:tcW w:w="572" w:type="pct"/>
            <w:shd w:val="clear" w:color="auto" w:fill="7F7F7F" w:themeFill="text1" w:themeFillTint="80"/>
            <w:tcMar>
              <w:top w:w="0" w:type="dxa"/>
              <w:left w:w="57" w:type="dxa"/>
              <w:bottom w:w="0" w:type="dxa"/>
              <w:right w:w="57" w:type="dxa"/>
            </w:tcMar>
            <w:hideMark/>
          </w:tcPr>
          <w:p w14:paraId="2172D194" w14:textId="77777777"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School Education</w:t>
            </w:r>
          </w:p>
        </w:tc>
        <w:tc>
          <w:tcPr>
            <w:tcW w:w="570" w:type="pct"/>
            <w:shd w:val="clear" w:color="auto" w:fill="7F7F7F" w:themeFill="text1" w:themeFillTint="80"/>
            <w:tcMar>
              <w:top w:w="0" w:type="dxa"/>
              <w:left w:w="57" w:type="dxa"/>
              <w:bottom w:w="0" w:type="dxa"/>
              <w:right w:w="57" w:type="dxa"/>
            </w:tcMar>
            <w:hideMark/>
          </w:tcPr>
          <w:p w14:paraId="4CDED56F" w14:textId="77777777"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Higher Education and Skills</w:t>
            </w:r>
          </w:p>
        </w:tc>
        <w:tc>
          <w:tcPr>
            <w:tcW w:w="475" w:type="pct"/>
            <w:shd w:val="clear" w:color="auto" w:fill="7F7F7F" w:themeFill="text1" w:themeFillTint="80"/>
            <w:tcMar>
              <w:top w:w="0" w:type="dxa"/>
              <w:left w:w="57" w:type="dxa"/>
              <w:bottom w:w="0" w:type="dxa"/>
              <w:right w:w="57" w:type="dxa"/>
            </w:tcMar>
            <w:hideMark/>
          </w:tcPr>
          <w:p w14:paraId="1BAEE5C8" w14:textId="77777777"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Support Services Delivery</w:t>
            </w:r>
          </w:p>
        </w:tc>
        <w:tc>
          <w:tcPr>
            <w:tcW w:w="480" w:type="pct"/>
            <w:gridSpan w:val="2"/>
            <w:shd w:val="clear" w:color="auto" w:fill="7F7F7F" w:themeFill="text1" w:themeFillTint="80"/>
            <w:tcMar>
              <w:top w:w="0" w:type="dxa"/>
              <w:left w:w="57" w:type="dxa"/>
              <w:bottom w:w="0" w:type="dxa"/>
              <w:right w:w="57" w:type="dxa"/>
            </w:tcMar>
            <w:hideMark/>
          </w:tcPr>
          <w:p w14:paraId="1FB1F70F" w14:textId="57BC3822"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 xml:space="preserve">Support for Students with </w:t>
            </w:r>
            <w:r w:rsidR="00202533" w:rsidRPr="00AB4E9C">
              <w:rPr>
                <w:b/>
                <w:color w:val="FFFFFF" w:themeColor="background1"/>
                <w:sz w:val="14"/>
                <w:szCs w:val="14"/>
                <w:lang w:eastAsia="en-US"/>
              </w:rPr>
              <w:t>Disabilit</w:t>
            </w:r>
            <w:r w:rsidR="00202533">
              <w:rPr>
                <w:b/>
                <w:color w:val="FFFFFF" w:themeColor="background1"/>
                <w:sz w:val="14"/>
                <w:szCs w:val="14"/>
                <w:lang w:eastAsia="en-US"/>
              </w:rPr>
              <w:t>i</w:t>
            </w:r>
            <w:r w:rsidR="00202533" w:rsidRPr="00AB4E9C">
              <w:rPr>
                <w:b/>
                <w:color w:val="FFFFFF" w:themeColor="background1"/>
                <w:sz w:val="14"/>
                <w:szCs w:val="14"/>
                <w:lang w:eastAsia="en-US"/>
              </w:rPr>
              <w:t>es</w:t>
            </w:r>
          </w:p>
        </w:tc>
        <w:tc>
          <w:tcPr>
            <w:tcW w:w="492" w:type="pct"/>
            <w:shd w:val="clear" w:color="auto" w:fill="7F7F7F" w:themeFill="text1" w:themeFillTint="80"/>
            <w:tcMar>
              <w:top w:w="0" w:type="dxa"/>
              <w:left w:w="57" w:type="dxa"/>
              <w:bottom w:w="0" w:type="dxa"/>
              <w:right w:w="57" w:type="dxa"/>
            </w:tcMar>
            <w:hideMark/>
          </w:tcPr>
          <w:p w14:paraId="095FC648" w14:textId="77777777" w:rsidR="00FE7F8B" w:rsidRPr="00AB4E9C" w:rsidRDefault="00FE7F8B">
            <w:pPr>
              <w:pStyle w:val="Tabletextoutputs"/>
              <w:jc w:val="center"/>
              <w:rPr>
                <w:b/>
                <w:color w:val="FFFFFF" w:themeColor="background1"/>
                <w:sz w:val="14"/>
                <w:szCs w:val="14"/>
                <w:lang w:eastAsia="en-US"/>
              </w:rPr>
            </w:pPr>
            <w:r w:rsidRPr="00AB4E9C">
              <w:rPr>
                <w:b/>
                <w:color w:val="FFFFFF" w:themeColor="background1"/>
                <w:sz w:val="14"/>
                <w:szCs w:val="14"/>
                <w:lang w:eastAsia="en-US"/>
              </w:rPr>
              <w:t>Depart</w:t>
            </w:r>
            <w:r w:rsidRPr="00AB4E9C">
              <w:rPr>
                <w:b/>
                <w:color w:val="FFFFFF" w:themeColor="background1"/>
                <w:sz w:val="14"/>
                <w:szCs w:val="14"/>
                <w:lang w:eastAsia="en-US"/>
              </w:rPr>
              <w:softHyphen/>
              <w:t>mental total</w:t>
            </w:r>
          </w:p>
        </w:tc>
      </w:tr>
      <w:tr w:rsidR="00CF70DB" w14:paraId="7AE19709" w14:textId="77777777" w:rsidTr="00CF70DB">
        <w:tc>
          <w:tcPr>
            <w:tcW w:w="1459" w:type="pct"/>
            <w:shd w:val="clear" w:color="auto" w:fill="7F7F7F" w:themeFill="text1" w:themeFillTint="80"/>
            <w:vAlign w:val="bottom"/>
          </w:tcPr>
          <w:p w14:paraId="3993836C" w14:textId="77777777" w:rsidR="00FE7F8B" w:rsidRDefault="00FE7F8B">
            <w:pPr>
              <w:pStyle w:val="Tabletextoutputs"/>
              <w:jc w:val="center"/>
              <w:rPr>
                <w:b/>
                <w:color w:val="FFFFFF" w:themeColor="background1"/>
                <w:lang w:eastAsia="en-US"/>
              </w:rPr>
            </w:pPr>
          </w:p>
        </w:tc>
        <w:tc>
          <w:tcPr>
            <w:tcW w:w="477" w:type="pct"/>
            <w:shd w:val="clear" w:color="auto" w:fill="7F7F7F" w:themeFill="text1" w:themeFillTint="80"/>
            <w:hideMark/>
          </w:tcPr>
          <w:p w14:paraId="6B259B20"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74" w:type="pct"/>
            <w:shd w:val="clear" w:color="auto" w:fill="7F7F7F" w:themeFill="text1" w:themeFillTint="80"/>
            <w:hideMark/>
          </w:tcPr>
          <w:p w14:paraId="1CBD131D"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72" w:type="pct"/>
            <w:shd w:val="clear" w:color="auto" w:fill="7F7F7F" w:themeFill="text1" w:themeFillTint="80"/>
            <w:hideMark/>
          </w:tcPr>
          <w:p w14:paraId="1C92F603"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70" w:type="pct"/>
            <w:shd w:val="clear" w:color="auto" w:fill="7F7F7F" w:themeFill="text1" w:themeFillTint="80"/>
            <w:hideMark/>
          </w:tcPr>
          <w:p w14:paraId="4CF48697"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75" w:type="pct"/>
            <w:shd w:val="clear" w:color="auto" w:fill="7F7F7F" w:themeFill="text1" w:themeFillTint="80"/>
            <w:hideMark/>
          </w:tcPr>
          <w:p w14:paraId="5BDC1CDB"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80" w:type="pct"/>
            <w:gridSpan w:val="2"/>
            <w:shd w:val="clear" w:color="auto" w:fill="7F7F7F" w:themeFill="text1" w:themeFillTint="80"/>
            <w:hideMark/>
          </w:tcPr>
          <w:p w14:paraId="264BDAC5"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492" w:type="pct"/>
            <w:shd w:val="clear" w:color="auto" w:fill="7F7F7F" w:themeFill="text1" w:themeFillTint="80"/>
            <w:hideMark/>
          </w:tcPr>
          <w:p w14:paraId="47148FE8" w14:textId="77777777" w:rsidR="00FE7F8B" w:rsidRDefault="00FE7F8B">
            <w:pPr>
              <w:pStyle w:val="Tabletextoutputs"/>
              <w:jc w:val="center"/>
              <w:rPr>
                <w:b/>
                <w:color w:val="FFFFFF" w:themeColor="background1"/>
                <w:lang w:eastAsia="en-US"/>
              </w:rPr>
            </w:pPr>
            <w:r>
              <w:rPr>
                <w:b/>
                <w:color w:val="FFFFFF" w:themeColor="background1"/>
                <w:lang w:eastAsia="en-US"/>
              </w:rPr>
              <w:t>$m</w:t>
            </w:r>
          </w:p>
        </w:tc>
      </w:tr>
      <w:tr w:rsidR="00CF70DB" w14:paraId="3CDFDB1B" w14:textId="77777777" w:rsidTr="00CF70DB">
        <w:tc>
          <w:tcPr>
            <w:tcW w:w="1936" w:type="pct"/>
            <w:gridSpan w:val="2"/>
            <w:shd w:val="clear" w:color="auto" w:fill="FFFFFF"/>
            <w:noWrap/>
            <w:vAlign w:val="bottom"/>
            <w:hideMark/>
          </w:tcPr>
          <w:p w14:paraId="3B6C39B8" w14:textId="77777777" w:rsidR="00FE7F8B" w:rsidRDefault="00FE7F8B">
            <w:pPr>
              <w:pStyle w:val="Tabletextoutputs"/>
              <w:rPr>
                <w:b/>
                <w:lang w:eastAsia="en-US"/>
              </w:rPr>
            </w:pPr>
            <w:r>
              <w:rPr>
                <w:b/>
                <w:lang w:eastAsia="en-US"/>
              </w:rPr>
              <w:t>Income from transactions</w:t>
            </w:r>
          </w:p>
        </w:tc>
        <w:tc>
          <w:tcPr>
            <w:tcW w:w="474" w:type="pct"/>
            <w:shd w:val="clear" w:color="auto" w:fill="FFFFFF"/>
            <w:noWrap/>
            <w:vAlign w:val="bottom"/>
          </w:tcPr>
          <w:p w14:paraId="41EF0EA7" w14:textId="77777777" w:rsidR="00FE7F8B" w:rsidRDefault="00FE7F8B">
            <w:pPr>
              <w:pStyle w:val="Tabletextoutputs"/>
              <w:rPr>
                <w:b/>
                <w:lang w:eastAsia="en-US"/>
              </w:rPr>
            </w:pPr>
          </w:p>
        </w:tc>
        <w:tc>
          <w:tcPr>
            <w:tcW w:w="572" w:type="pct"/>
            <w:shd w:val="clear" w:color="auto" w:fill="FFFFFF"/>
            <w:noWrap/>
            <w:vAlign w:val="bottom"/>
          </w:tcPr>
          <w:p w14:paraId="0B11E919" w14:textId="77777777" w:rsidR="00FE7F8B" w:rsidRDefault="00FE7F8B">
            <w:pPr>
              <w:pStyle w:val="Tabletextoutputs"/>
              <w:rPr>
                <w:b/>
                <w:lang w:eastAsia="en-US"/>
              </w:rPr>
            </w:pPr>
          </w:p>
        </w:tc>
        <w:tc>
          <w:tcPr>
            <w:tcW w:w="570" w:type="pct"/>
            <w:shd w:val="clear" w:color="auto" w:fill="FFFFFF"/>
            <w:noWrap/>
            <w:vAlign w:val="bottom"/>
          </w:tcPr>
          <w:p w14:paraId="4928220C" w14:textId="77777777" w:rsidR="00FE7F8B" w:rsidRDefault="00FE7F8B">
            <w:pPr>
              <w:pStyle w:val="Tabletextoutputs"/>
              <w:rPr>
                <w:b/>
                <w:lang w:eastAsia="en-US"/>
              </w:rPr>
            </w:pPr>
          </w:p>
        </w:tc>
        <w:tc>
          <w:tcPr>
            <w:tcW w:w="475" w:type="pct"/>
            <w:shd w:val="clear" w:color="auto" w:fill="FFFFFF"/>
            <w:noWrap/>
            <w:vAlign w:val="bottom"/>
          </w:tcPr>
          <w:p w14:paraId="23AF0884" w14:textId="77777777" w:rsidR="00FE7F8B" w:rsidRDefault="00FE7F8B">
            <w:pPr>
              <w:pStyle w:val="Tabletextoutputs"/>
              <w:rPr>
                <w:b/>
                <w:lang w:eastAsia="en-US"/>
              </w:rPr>
            </w:pPr>
          </w:p>
        </w:tc>
        <w:tc>
          <w:tcPr>
            <w:tcW w:w="480" w:type="pct"/>
            <w:gridSpan w:val="2"/>
            <w:shd w:val="clear" w:color="auto" w:fill="FFFFFF"/>
            <w:noWrap/>
            <w:vAlign w:val="bottom"/>
          </w:tcPr>
          <w:p w14:paraId="0CE687D9" w14:textId="77777777" w:rsidR="00FE7F8B" w:rsidRDefault="00FE7F8B">
            <w:pPr>
              <w:pStyle w:val="Tabletextoutputs"/>
              <w:rPr>
                <w:b/>
                <w:lang w:eastAsia="en-US"/>
              </w:rPr>
            </w:pPr>
          </w:p>
        </w:tc>
        <w:tc>
          <w:tcPr>
            <w:tcW w:w="492" w:type="pct"/>
            <w:shd w:val="clear" w:color="auto" w:fill="FFFFFF"/>
            <w:noWrap/>
            <w:vAlign w:val="bottom"/>
          </w:tcPr>
          <w:p w14:paraId="02F645C9" w14:textId="77777777" w:rsidR="00FE7F8B" w:rsidRDefault="00FE7F8B">
            <w:pPr>
              <w:pStyle w:val="Tabletextoutputs"/>
              <w:rPr>
                <w:b/>
                <w:lang w:eastAsia="en-US"/>
              </w:rPr>
            </w:pPr>
          </w:p>
        </w:tc>
      </w:tr>
      <w:tr w:rsidR="00CF70DB" w14:paraId="641D6A92" w14:textId="77777777" w:rsidTr="00CF70DB">
        <w:tc>
          <w:tcPr>
            <w:tcW w:w="1459" w:type="pct"/>
            <w:shd w:val="clear" w:color="auto" w:fill="FFFFFF"/>
            <w:vAlign w:val="center"/>
            <w:hideMark/>
          </w:tcPr>
          <w:p w14:paraId="72E55F4B" w14:textId="77777777" w:rsidR="00FE7F8B" w:rsidRDefault="00FE7F8B">
            <w:pPr>
              <w:pStyle w:val="Tabletextoutputstight"/>
              <w:rPr>
                <w:lang w:eastAsia="en-US"/>
              </w:rPr>
            </w:pPr>
            <w:r>
              <w:rPr>
                <w:lang w:eastAsia="en-US"/>
              </w:rPr>
              <w:t>Output appropriations</w:t>
            </w:r>
          </w:p>
        </w:tc>
        <w:tc>
          <w:tcPr>
            <w:tcW w:w="477" w:type="pct"/>
            <w:shd w:val="clear" w:color="auto" w:fill="F2F2F2" w:themeFill="background1" w:themeFillShade="F2"/>
            <w:vAlign w:val="bottom"/>
            <w:hideMark/>
          </w:tcPr>
          <w:p w14:paraId="6485B1D6" w14:textId="77777777" w:rsidR="00FE7F8B" w:rsidRDefault="00FE7F8B">
            <w:pPr>
              <w:pStyle w:val="Tabletextoutputstight"/>
              <w:jc w:val="right"/>
              <w:rPr>
                <w:lang w:eastAsia="en-US"/>
              </w:rPr>
            </w:pPr>
            <w:r>
              <w:rPr>
                <w:lang w:eastAsia="en-US"/>
              </w:rPr>
              <w:t>83.5</w:t>
            </w:r>
          </w:p>
        </w:tc>
        <w:tc>
          <w:tcPr>
            <w:tcW w:w="474" w:type="pct"/>
            <w:shd w:val="clear" w:color="auto" w:fill="FFFFFF"/>
            <w:vAlign w:val="bottom"/>
            <w:hideMark/>
          </w:tcPr>
          <w:p w14:paraId="780446AA" w14:textId="77777777" w:rsidR="00FE7F8B" w:rsidRDefault="00FE7F8B">
            <w:pPr>
              <w:pStyle w:val="Tabletextoutputstight"/>
              <w:jc w:val="right"/>
              <w:rPr>
                <w:lang w:eastAsia="en-US"/>
              </w:rPr>
            </w:pPr>
            <w:r>
              <w:rPr>
                <w:lang w:eastAsia="en-US"/>
              </w:rPr>
              <w:t>509.4</w:t>
            </w:r>
          </w:p>
        </w:tc>
        <w:tc>
          <w:tcPr>
            <w:tcW w:w="572" w:type="pct"/>
            <w:shd w:val="clear" w:color="auto" w:fill="F2F2F2" w:themeFill="background1" w:themeFillShade="F2"/>
            <w:vAlign w:val="bottom"/>
            <w:hideMark/>
          </w:tcPr>
          <w:p w14:paraId="5717E57D" w14:textId="77777777" w:rsidR="00FE7F8B" w:rsidRDefault="00FE7F8B">
            <w:pPr>
              <w:pStyle w:val="Tabletextoutputstight"/>
              <w:jc w:val="right"/>
              <w:rPr>
                <w:lang w:eastAsia="en-US"/>
              </w:rPr>
            </w:pPr>
            <w:r>
              <w:rPr>
                <w:lang w:eastAsia="en-US"/>
              </w:rPr>
              <w:t>7,340.3</w:t>
            </w:r>
          </w:p>
        </w:tc>
        <w:tc>
          <w:tcPr>
            <w:tcW w:w="570" w:type="pct"/>
            <w:shd w:val="clear" w:color="auto" w:fill="FFFFFF"/>
            <w:vAlign w:val="bottom"/>
            <w:hideMark/>
          </w:tcPr>
          <w:p w14:paraId="4ACBBE75" w14:textId="77777777" w:rsidR="00FE7F8B" w:rsidRDefault="00FE7F8B">
            <w:pPr>
              <w:pStyle w:val="Tabletextoutputstight"/>
              <w:jc w:val="right"/>
              <w:rPr>
                <w:lang w:eastAsia="en-US"/>
              </w:rPr>
            </w:pPr>
            <w:r>
              <w:rPr>
                <w:lang w:eastAsia="en-US"/>
              </w:rPr>
              <w:t>1,659.7</w:t>
            </w:r>
          </w:p>
        </w:tc>
        <w:tc>
          <w:tcPr>
            <w:tcW w:w="475" w:type="pct"/>
            <w:shd w:val="clear" w:color="auto" w:fill="F2F2F2" w:themeFill="background1" w:themeFillShade="F2"/>
            <w:vAlign w:val="bottom"/>
            <w:hideMark/>
          </w:tcPr>
          <w:p w14:paraId="05566460" w14:textId="77777777" w:rsidR="00FE7F8B" w:rsidRDefault="00FE7F8B">
            <w:pPr>
              <w:pStyle w:val="Tabletextoutputstight"/>
              <w:jc w:val="right"/>
              <w:rPr>
                <w:lang w:eastAsia="en-US"/>
              </w:rPr>
            </w:pPr>
            <w:r>
              <w:rPr>
                <w:lang w:eastAsia="en-US"/>
              </w:rPr>
              <w:t>273.7</w:t>
            </w:r>
          </w:p>
        </w:tc>
        <w:tc>
          <w:tcPr>
            <w:tcW w:w="480" w:type="pct"/>
            <w:gridSpan w:val="2"/>
            <w:shd w:val="clear" w:color="auto" w:fill="FFFFFF"/>
            <w:vAlign w:val="bottom"/>
            <w:hideMark/>
          </w:tcPr>
          <w:p w14:paraId="5E55707E" w14:textId="77777777" w:rsidR="00FE7F8B" w:rsidRDefault="00FE7F8B">
            <w:pPr>
              <w:pStyle w:val="Tabletextoutputstight"/>
              <w:jc w:val="right"/>
              <w:rPr>
                <w:lang w:eastAsia="en-US"/>
              </w:rPr>
            </w:pPr>
            <w:r>
              <w:rPr>
                <w:lang w:eastAsia="en-US"/>
              </w:rPr>
              <w:t>816.7</w:t>
            </w:r>
          </w:p>
        </w:tc>
        <w:tc>
          <w:tcPr>
            <w:tcW w:w="492" w:type="pct"/>
            <w:shd w:val="clear" w:color="auto" w:fill="F2F2F2" w:themeFill="background1" w:themeFillShade="F2"/>
            <w:vAlign w:val="bottom"/>
            <w:hideMark/>
          </w:tcPr>
          <w:p w14:paraId="0EC985C4" w14:textId="77777777" w:rsidR="00FE7F8B" w:rsidRDefault="00FE7F8B">
            <w:pPr>
              <w:pStyle w:val="Tabletextoutputstight"/>
              <w:jc w:val="right"/>
              <w:rPr>
                <w:lang w:eastAsia="en-US"/>
              </w:rPr>
            </w:pPr>
            <w:r>
              <w:rPr>
                <w:b/>
                <w:lang w:eastAsia="en-US"/>
              </w:rPr>
              <w:t>10,683.3</w:t>
            </w:r>
          </w:p>
        </w:tc>
      </w:tr>
      <w:tr w:rsidR="00CF70DB" w14:paraId="2F9ED7D7" w14:textId="77777777" w:rsidTr="00CF70DB">
        <w:tc>
          <w:tcPr>
            <w:tcW w:w="1459" w:type="pct"/>
            <w:shd w:val="clear" w:color="auto" w:fill="FFFFFF"/>
            <w:vAlign w:val="center"/>
            <w:hideMark/>
          </w:tcPr>
          <w:p w14:paraId="578E4FFC" w14:textId="77777777" w:rsidR="00FE7F8B" w:rsidRDefault="00FE7F8B">
            <w:pPr>
              <w:pStyle w:val="Tabletextoutputstight"/>
              <w:rPr>
                <w:lang w:eastAsia="en-US"/>
              </w:rPr>
            </w:pPr>
            <w:r>
              <w:rPr>
                <w:lang w:eastAsia="en-US"/>
              </w:rPr>
              <w:t>Special appropriations</w:t>
            </w:r>
          </w:p>
        </w:tc>
        <w:tc>
          <w:tcPr>
            <w:tcW w:w="477" w:type="pct"/>
            <w:shd w:val="clear" w:color="auto" w:fill="F2F2F2" w:themeFill="background1" w:themeFillShade="F2"/>
            <w:vAlign w:val="bottom"/>
            <w:hideMark/>
          </w:tcPr>
          <w:p w14:paraId="099F5470" w14:textId="77777777" w:rsidR="00FE7F8B" w:rsidRDefault="00FE7F8B">
            <w:pPr>
              <w:pStyle w:val="Tabletextoutputstight"/>
              <w:jc w:val="right"/>
              <w:rPr>
                <w:lang w:eastAsia="en-US"/>
              </w:rPr>
            </w:pPr>
            <w:r>
              <w:rPr>
                <w:lang w:eastAsia="en-US"/>
              </w:rPr>
              <w:t>-</w:t>
            </w:r>
          </w:p>
        </w:tc>
        <w:tc>
          <w:tcPr>
            <w:tcW w:w="474" w:type="pct"/>
            <w:shd w:val="clear" w:color="auto" w:fill="FFFFFF"/>
            <w:vAlign w:val="bottom"/>
            <w:hideMark/>
          </w:tcPr>
          <w:p w14:paraId="4076F0A7" w14:textId="77777777" w:rsidR="00FE7F8B" w:rsidRDefault="00FE7F8B">
            <w:pPr>
              <w:pStyle w:val="Tabletextoutputstight"/>
              <w:jc w:val="right"/>
              <w:rPr>
                <w:lang w:eastAsia="en-US"/>
              </w:rPr>
            </w:pPr>
            <w:r>
              <w:rPr>
                <w:lang w:eastAsia="en-US"/>
              </w:rPr>
              <w:t>-</w:t>
            </w:r>
          </w:p>
        </w:tc>
        <w:tc>
          <w:tcPr>
            <w:tcW w:w="572" w:type="pct"/>
            <w:shd w:val="clear" w:color="auto" w:fill="F2F2F2" w:themeFill="background1" w:themeFillShade="F2"/>
            <w:vAlign w:val="bottom"/>
            <w:hideMark/>
          </w:tcPr>
          <w:p w14:paraId="2DFB17B4" w14:textId="77777777" w:rsidR="00FE7F8B" w:rsidRDefault="00FE7F8B">
            <w:pPr>
              <w:pStyle w:val="Tabletextoutputstight"/>
              <w:jc w:val="right"/>
              <w:rPr>
                <w:lang w:eastAsia="en-US"/>
              </w:rPr>
            </w:pPr>
            <w:r>
              <w:rPr>
                <w:lang w:eastAsia="en-US"/>
              </w:rPr>
              <w:t>0.2</w:t>
            </w:r>
          </w:p>
        </w:tc>
        <w:tc>
          <w:tcPr>
            <w:tcW w:w="570" w:type="pct"/>
            <w:shd w:val="clear" w:color="auto" w:fill="FFFFFF"/>
            <w:vAlign w:val="bottom"/>
            <w:hideMark/>
          </w:tcPr>
          <w:p w14:paraId="14C9107C" w14:textId="77777777" w:rsidR="00FE7F8B" w:rsidRDefault="00FE7F8B">
            <w:pPr>
              <w:pStyle w:val="Tabletextoutputstight"/>
              <w:jc w:val="right"/>
              <w:rPr>
                <w:lang w:eastAsia="en-US"/>
              </w:rPr>
            </w:pPr>
            <w:r>
              <w:rPr>
                <w:lang w:eastAsia="en-US"/>
              </w:rPr>
              <w:t>-</w:t>
            </w:r>
          </w:p>
        </w:tc>
        <w:tc>
          <w:tcPr>
            <w:tcW w:w="475" w:type="pct"/>
            <w:shd w:val="clear" w:color="auto" w:fill="F2F2F2" w:themeFill="background1" w:themeFillShade="F2"/>
            <w:vAlign w:val="bottom"/>
            <w:hideMark/>
          </w:tcPr>
          <w:p w14:paraId="008A3274" w14:textId="77777777" w:rsidR="00FE7F8B" w:rsidRDefault="00FE7F8B">
            <w:pPr>
              <w:pStyle w:val="Tabletextoutputstight"/>
              <w:jc w:val="right"/>
              <w:rPr>
                <w:lang w:eastAsia="en-US"/>
              </w:rPr>
            </w:pPr>
            <w:r>
              <w:rPr>
                <w:lang w:eastAsia="en-US"/>
              </w:rPr>
              <w:t>-</w:t>
            </w:r>
          </w:p>
        </w:tc>
        <w:tc>
          <w:tcPr>
            <w:tcW w:w="480" w:type="pct"/>
            <w:gridSpan w:val="2"/>
            <w:shd w:val="clear" w:color="auto" w:fill="FFFFFF"/>
            <w:vAlign w:val="bottom"/>
            <w:hideMark/>
          </w:tcPr>
          <w:p w14:paraId="50BE319B" w14:textId="77777777" w:rsidR="00FE7F8B" w:rsidRDefault="00FE7F8B">
            <w:pPr>
              <w:pStyle w:val="Tabletextoutputstight"/>
              <w:jc w:val="right"/>
              <w:rPr>
                <w:lang w:eastAsia="en-US"/>
              </w:rPr>
            </w:pPr>
            <w:r>
              <w:rPr>
                <w:lang w:eastAsia="en-US"/>
              </w:rPr>
              <w:t>-</w:t>
            </w:r>
          </w:p>
        </w:tc>
        <w:tc>
          <w:tcPr>
            <w:tcW w:w="492" w:type="pct"/>
            <w:shd w:val="clear" w:color="auto" w:fill="F2F2F2" w:themeFill="background1" w:themeFillShade="F2"/>
            <w:vAlign w:val="bottom"/>
            <w:hideMark/>
          </w:tcPr>
          <w:p w14:paraId="2B81DA42" w14:textId="77777777" w:rsidR="00FE7F8B" w:rsidRDefault="00FE7F8B">
            <w:pPr>
              <w:pStyle w:val="Tabletextoutputstight"/>
              <w:jc w:val="right"/>
              <w:rPr>
                <w:lang w:eastAsia="en-US"/>
              </w:rPr>
            </w:pPr>
            <w:r>
              <w:rPr>
                <w:b/>
                <w:lang w:eastAsia="en-US"/>
              </w:rPr>
              <w:t>0.2</w:t>
            </w:r>
          </w:p>
        </w:tc>
      </w:tr>
      <w:tr w:rsidR="00CF70DB" w14:paraId="292DADC0" w14:textId="77777777" w:rsidTr="00CF70DB">
        <w:tc>
          <w:tcPr>
            <w:tcW w:w="1459" w:type="pct"/>
            <w:shd w:val="clear" w:color="auto" w:fill="FFFFFF"/>
            <w:noWrap/>
            <w:vAlign w:val="bottom"/>
            <w:hideMark/>
          </w:tcPr>
          <w:p w14:paraId="7BCB1FFB" w14:textId="77777777" w:rsidR="00FE7F8B" w:rsidRDefault="00FE7F8B">
            <w:pPr>
              <w:pStyle w:val="Tabletextoutputstight"/>
              <w:rPr>
                <w:lang w:eastAsia="en-US"/>
              </w:rPr>
            </w:pPr>
            <w:r>
              <w:rPr>
                <w:lang w:eastAsia="en-US"/>
              </w:rPr>
              <w:t xml:space="preserve">Interest </w:t>
            </w:r>
          </w:p>
        </w:tc>
        <w:tc>
          <w:tcPr>
            <w:tcW w:w="477" w:type="pct"/>
            <w:shd w:val="clear" w:color="auto" w:fill="F2F2F2" w:themeFill="background1" w:themeFillShade="F2"/>
            <w:vAlign w:val="bottom"/>
            <w:hideMark/>
          </w:tcPr>
          <w:p w14:paraId="3A96C7F6" w14:textId="77777777" w:rsidR="00FE7F8B" w:rsidRDefault="00FE7F8B">
            <w:pPr>
              <w:pStyle w:val="Tabletextoutputstight"/>
              <w:jc w:val="right"/>
              <w:rPr>
                <w:lang w:eastAsia="en-US"/>
              </w:rPr>
            </w:pPr>
            <w:r>
              <w:rPr>
                <w:lang w:eastAsia="en-US"/>
              </w:rPr>
              <w:t>-</w:t>
            </w:r>
          </w:p>
        </w:tc>
        <w:tc>
          <w:tcPr>
            <w:tcW w:w="474" w:type="pct"/>
            <w:shd w:val="clear" w:color="auto" w:fill="FFFFFF"/>
            <w:vAlign w:val="bottom"/>
            <w:hideMark/>
          </w:tcPr>
          <w:p w14:paraId="4581F1DF" w14:textId="77777777" w:rsidR="00FE7F8B" w:rsidRDefault="00FE7F8B">
            <w:pPr>
              <w:pStyle w:val="Tabletextoutputstight"/>
              <w:jc w:val="right"/>
              <w:rPr>
                <w:lang w:eastAsia="en-US"/>
              </w:rPr>
            </w:pPr>
            <w:r>
              <w:rPr>
                <w:lang w:eastAsia="en-US"/>
              </w:rPr>
              <w:t>-</w:t>
            </w:r>
          </w:p>
        </w:tc>
        <w:tc>
          <w:tcPr>
            <w:tcW w:w="572" w:type="pct"/>
            <w:shd w:val="clear" w:color="auto" w:fill="F2F2F2" w:themeFill="background1" w:themeFillShade="F2"/>
            <w:vAlign w:val="bottom"/>
            <w:hideMark/>
          </w:tcPr>
          <w:p w14:paraId="2528D91F" w14:textId="77777777" w:rsidR="00FE7F8B" w:rsidRDefault="00FE7F8B">
            <w:pPr>
              <w:pStyle w:val="Tabletextoutputstight"/>
              <w:jc w:val="right"/>
              <w:rPr>
                <w:lang w:eastAsia="en-US"/>
              </w:rPr>
            </w:pPr>
            <w:r>
              <w:rPr>
                <w:lang w:eastAsia="en-US"/>
              </w:rPr>
              <w:t>19.9</w:t>
            </w:r>
          </w:p>
        </w:tc>
        <w:tc>
          <w:tcPr>
            <w:tcW w:w="570" w:type="pct"/>
            <w:shd w:val="clear" w:color="auto" w:fill="FFFFFF"/>
            <w:vAlign w:val="bottom"/>
            <w:hideMark/>
          </w:tcPr>
          <w:p w14:paraId="2B1E3D53" w14:textId="77777777" w:rsidR="00FE7F8B" w:rsidRDefault="00FE7F8B">
            <w:pPr>
              <w:pStyle w:val="Tabletextoutputstight"/>
              <w:jc w:val="right"/>
              <w:rPr>
                <w:lang w:eastAsia="en-US"/>
              </w:rPr>
            </w:pPr>
            <w:r>
              <w:rPr>
                <w:lang w:eastAsia="en-US"/>
              </w:rPr>
              <w:t>-</w:t>
            </w:r>
          </w:p>
        </w:tc>
        <w:tc>
          <w:tcPr>
            <w:tcW w:w="475" w:type="pct"/>
            <w:shd w:val="clear" w:color="auto" w:fill="F2F2F2" w:themeFill="background1" w:themeFillShade="F2"/>
            <w:vAlign w:val="bottom"/>
            <w:hideMark/>
          </w:tcPr>
          <w:p w14:paraId="4223626F" w14:textId="77777777" w:rsidR="00FE7F8B" w:rsidRDefault="00FE7F8B">
            <w:pPr>
              <w:pStyle w:val="Tabletextoutputstight"/>
              <w:jc w:val="right"/>
              <w:rPr>
                <w:lang w:eastAsia="en-US"/>
              </w:rPr>
            </w:pPr>
            <w:r>
              <w:rPr>
                <w:lang w:eastAsia="en-US"/>
              </w:rPr>
              <w:t>-</w:t>
            </w:r>
          </w:p>
        </w:tc>
        <w:tc>
          <w:tcPr>
            <w:tcW w:w="480" w:type="pct"/>
            <w:gridSpan w:val="2"/>
            <w:shd w:val="clear" w:color="auto" w:fill="FFFFFF"/>
            <w:vAlign w:val="bottom"/>
            <w:hideMark/>
          </w:tcPr>
          <w:p w14:paraId="62840886" w14:textId="77777777" w:rsidR="00FE7F8B" w:rsidRDefault="00FE7F8B">
            <w:pPr>
              <w:pStyle w:val="Tabletextoutputstight"/>
              <w:jc w:val="right"/>
              <w:rPr>
                <w:lang w:eastAsia="en-US"/>
              </w:rPr>
            </w:pPr>
            <w:r>
              <w:rPr>
                <w:lang w:eastAsia="en-US"/>
              </w:rPr>
              <w:t>-</w:t>
            </w:r>
          </w:p>
        </w:tc>
        <w:tc>
          <w:tcPr>
            <w:tcW w:w="492" w:type="pct"/>
            <w:shd w:val="clear" w:color="auto" w:fill="F2F2F2" w:themeFill="background1" w:themeFillShade="F2"/>
            <w:vAlign w:val="bottom"/>
            <w:hideMark/>
          </w:tcPr>
          <w:p w14:paraId="7E47F277" w14:textId="77777777" w:rsidR="00FE7F8B" w:rsidRDefault="00FE7F8B">
            <w:pPr>
              <w:pStyle w:val="Tabletextoutputstight"/>
              <w:jc w:val="right"/>
              <w:rPr>
                <w:lang w:eastAsia="en-US"/>
              </w:rPr>
            </w:pPr>
            <w:r>
              <w:rPr>
                <w:b/>
                <w:lang w:eastAsia="en-US"/>
              </w:rPr>
              <w:t>19.9</w:t>
            </w:r>
          </w:p>
        </w:tc>
      </w:tr>
      <w:tr w:rsidR="00CF70DB" w14:paraId="00E01B7B" w14:textId="77777777" w:rsidTr="00CF70DB">
        <w:tc>
          <w:tcPr>
            <w:tcW w:w="1459" w:type="pct"/>
            <w:shd w:val="clear" w:color="auto" w:fill="FFFFFF"/>
            <w:noWrap/>
            <w:vAlign w:val="bottom"/>
            <w:hideMark/>
          </w:tcPr>
          <w:p w14:paraId="586F7597" w14:textId="77777777" w:rsidR="00FE7F8B" w:rsidRDefault="00FE7F8B">
            <w:pPr>
              <w:pStyle w:val="Tabletextoutputstight"/>
              <w:rPr>
                <w:lang w:eastAsia="en-US"/>
              </w:rPr>
            </w:pPr>
            <w:r>
              <w:rPr>
                <w:lang w:eastAsia="en-US"/>
              </w:rPr>
              <w:t>Grants</w:t>
            </w:r>
          </w:p>
        </w:tc>
        <w:tc>
          <w:tcPr>
            <w:tcW w:w="477" w:type="pct"/>
            <w:shd w:val="clear" w:color="auto" w:fill="F2F2F2" w:themeFill="background1" w:themeFillShade="F2"/>
            <w:vAlign w:val="bottom"/>
            <w:hideMark/>
          </w:tcPr>
          <w:p w14:paraId="46FF0FB3" w14:textId="77777777" w:rsidR="00FE7F8B" w:rsidRDefault="00FE7F8B">
            <w:pPr>
              <w:pStyle w:val="Tabletextoutputstight"/>
              <w:jc w:val="right"/>
              <w:rPr>
                <w:lang w:eastAsia="en-US"/>
              </w:rPr>
            </w:pPr>
            <w:r>
              <w:rPr>
                <w:lang w:eastAsia="en-US"/>
              </w:rPr>
              <w:t>0.4</w:t>
            </w:r>
          </w:p>
        </w:tc>
        <w:tc>
          <w:tcPr>
            <w:tcW w:w="474" w:type="pct"/>
            <w:shd w:val="clear" w:color="auto" w:fill="FFFFFF"/>
            <w:vAlign w:val="bottom"/>
            <w:hideMark/>
          </w:tcPr>
          <w:p w14:paraId="420A2ACE" w14:textId="77777777" w:rsidR="00FE7F8B" w:rsidRDefault="00FE7F8B">
            <w:pPr>
              <w:pStyle w:val="Tabletextoutputstight"/>
              <w:jc w:val="right"/>
              <w:rPr>
                <w:lang w:eastAsia="en-US"/>
              </w:rPr>
            </w:pPr>
            <w:r>
              <w:rPr>
                <w:lang w:eastAsia="en-US"/>
              </w:rPr>
              <w:t>0.3</w:t>
            </w:r>
          </w:p>
        </w:tc>
        <w:tc>
          <w:tcPr>
            <w:tcW w:w="572" w:type="pct"/>
            <w:shd w:val="clear" w:color="auto" w:fill="F2F2F2" w:themeFill="background1" w:themeFillShade="F2"/>
            <w:vAlign w:val="bottom"/>
            <w:hideMark/>
          </w:tcPr>
          <w:p w14:paraId="1B190671" w14:textId="77777777" w:rsidR="00FE7F8B" w:rsidRDefault="00FE7F8B">
            <w:pPr>
              <w:pStyle w:val="Tabletextoutputstight"/>
              <w:jc w:val="right"/>
              <w:rPr>
                <w:lang w:eastAsia="en-US"/>
              </w:rPr>
            </w:pPr>
            <w:r>
              <w:rPr>
                <w:lang w:eastAsia="en-US"/>
              </w:rPr>
              <w:t>18.4</w:t>
            </w:r>
          </w:p>
        </w:tc>
        <w:tc>
          <w:tcPr>
            <w:tcW w:w="570" w:type="pct"/>
            <w:shd w:val="clear" w:color="auto" w:fill="FFFFFF"/>
            <w:vAlign w:val="bottom"/>
            <w:hideMark/>
          </w:tcPr>
          <w:p w14:paraId="2A18DC38" w14:textId="77777777" w:rsidR="00FE7F8B" w:rsidRDefault="00FE7F8B">
            <w:pPr>
              <w:pStyle w:val="Tabletextoutputstight"/>
              <w:jc w:val="right"/>
              <w:rPr>
                <w:lang w:eastAsia="en-US"/>
              </w:rPr>
            </w:pPr>
            <w:r>
              <w:rPr>
                <w:lang w:eastAsia="en-US"/>
              </w:rPr>
              <w:t>0.6</w:t>
            </w:r>
          </w:p>
        </w:tc>
        <w:tc>
          <w:tcPr>
            <w:tcW w:w="475" w:type="pct"/>
            <w:shd w:val="clear" w:color="auto" w:fill="F2F2F2" w:themeFill="background1" w:themeFillShade="F2"/>
            <w:vAlign w:val="bottom"/>
            <w:hideMark/>
          </w:tcPr>
          <w:p w14:paraId="16C5088B" w14:textId="77777777" w:rsidR="00FE7F8B" w:rsidRDefault="00FE7F8B">
            <w:pPr>
              <w:pStyle w:val="Tabletextoutputstight"/>
              <w:jc w:val="right"/>
              <w:rPr>
                <w:lang w:eastAsia="en-US"/>
              </w:rPr>
            </w:pPr>
            <w:r>
              <w:rPr>
                <w:lang w:eastAsia="en-US"/>
              </w:rPr>
              <w:t>-</w:t>
            </w:r>
          </w:p>
        </w:tc>
        <w:tc>
          <w:tcPr>
            <w:tcW w:w="480" w:type="pct"/>
            <w:gridSpan w:val="2"/>
            <w:shd w:val="clear" w:color="auto" w:fill="FFFFFF"/>
            <w:vAlign w:val="bottom"/>
            <w:hideMark/>
          </w:tcPr>
          <w:p w14:paraId="1FE578D1" w14:textId="77777777" w:rsidR="00FE7F8B" w:rsidRDefault="00FE7F8B">
            <w:pPr>
              <w:pStyle w:val="Tabletextoutputstight"/>
              <w:jc w:val="right"/>
              <w:rPr>
                <w:lang w:eastAsia="en-US"/>
              </w:rPr>
            </w:pPr>
            <w:r>
              <w:rPr>
                <w:lang w:eastAsia="en-US"/>
              </w:rPr>
              <w:t>-</w:t>
            </w:r>
          </w:p>
        </w:tc>
        <w:tc>
          <w:tcPr>
            <w:tcW w:w="492" w:type="pct"/>
            <w:shd w:val="clear" w:color="auto" w:fill="F2F2F2" w:themeFill="background1" w:themeFillShade="F2"/>
            <w:vAlign w:val="bottom"/>
            <w:hideMark/>
          </w:tcPr>
          <w:p w14:paraId="4158A5DE" w14:textId="77777777" w:rsidR="00FE7F8B" w:rsidRDefault="00FE7F8B">
            <w:pPr>
              <w:pStyle w:val="Tabletextoutputstight"/>
              <w:jc w:val="right"/>
              <w:rPr>
                <w:lang w:eastAsia="en-US"/>
              </w:rPr>
            </w:pPr>
            <w:r>
              <w:rPr>
                <w:b/>
                <w:lang w:eastAsia="en-US"/>
              </w:rPr>
              <w:t>19.7</w:t>
            </w:r>
          </w:p>
        </w:tc>
      </w:tr>
      <w:tr w:rsidR="00CF70DB" w14:paraId="53F4FF2E" w14:textId="77777777" w:rsidTr="00CF70DB">
        <w:tc>
          <w:tcPr>
            <w:tcW w:w="1459" w:type="pct"/>
            <w:shd w:val="clear" w:color="auto" w:fill="FFFFFF"/>
            <w:noWrap/>
            <w:vAlign w:val="bottom"/>
            <w:hideMark/>
          </w:tcPr>
          <w:p w14:paraId="308AEB64" w14:textId="77777777" w:rsidR="00FE7F8B" w:rsidRDefault="00FE7F8B">
            <w:pPr>
              <w:pStyle w:val="Tabletextoutputstight"/>
              <w:rPr>
                <w:lang w:eastAsia="en-US"/>
              </w:rPr>
            </w:pPr>
            <w:r>
              <w:rPr>
                <w:lang w:eastAsia="en-US"/>
              </w:rPr>
              <w:t>Sales of goods and services</w:t>
            </w:r>
          </w:p>
        </w:tc>
        <w:tc>
          <w:tcPr>
            <w:tcW w:w="477" w:type="pct"/>
            <w:shd w:val="clear" w:color="auto" w:fill="F2F2F2" w:themeFill="background1" w:themeFillShade="F2"/>
            <w:vAlign w:val="bottom"/>
            <w:hideMark/>
          </w:tcPr>
          <w:p w14:paraId="5C752D86" w14:textId="77777777" w:rsidR="00FE7F8B" w:rsidRDefault="00FE7F8B">
            <w:pPr>
              <w:pStyle w:val="Tabletextoutputstight"/>
              <w:jc w:val="right"/>
              <w:rPr>
                <w:lang w:eastAsia="en-US"/>
              </w:rPr>
            </w:pPr>
            <w:r>
              <w:rPr>
                <w:lang w:eastAsia="en-US"/>
              </w:rPr>
              <w:t>1.6</w:t>
            </w:r>
          </w:p>
        </w:tc>
        <w:tc>
          <w:tcPr>
            <w:tcW w:w="474" w:type="pct"/>
            <w:shd w:val="clear" w:color="auto" w:fill="FFFFFF"/>
            <w:vAlign w:val="bottom"/>
            <w:hideMark/>
          </w:tcPr>
          <w:p w14:paraId="16605CFD" w14:textId="77777777" w:rsidR="00FE7F8B" w:rsidRDefault="00FE7F8B">
            <w:pPr>
              <w:pStyle w:val="Tabletextoutputstight"/>
              <w:jc w:val="right"/>
              <w:rPr>
                <w:lang w:eastAsia="en-US"/>
              </w:rPr>
            </w:pPr>
            <w:r>
              <w:rPr>
                <w:lang w:eastAsia="en-US"/>
              </w:rPr>
              <w:t>0.1</w:t>
            </w:r>
          </w:p>
        </w:tc>
        <w:tc>
          <w:tcPr>
            <w:tcW w:w="572" w:type="pct"/>
            <w:shd w:val="clear" w:color="auto" w:fill="F2F2F2" w:themeFill="background1" w:themeFillShade="F2"/>
            <w:vAlign w:val="bottom"/>
            <w:hideMark/>
          </w:tcPr>
          <w:p w14:paraId="09DC15E7" w14:textId="77777777" w:rsidR="00FE7F8B" w:rsidRDefault="00FE7F8B">
            <w:pPr>
              <w:pStyle w:val="Tabletextoutputstight"/>
              <w:jc w:val="right"/>
              <w:rPr>
                <w:lang w:eastAsia="en-US"/>
              </w:rPr>
            </w:pPr>
            <w:r>
              <w:rPr>
                <w:lang w:eastAsia="en-US"/>
              </w:rPr>
              <w:t>211.6</w:t>
            </w:r>
          </w:p>
        </w:tc>
        <w:tc>
          <w:tcPr>
            <w:tcW w:w="570" w:type="pct"/>
            <w:shd w:val="clear" w:color="auto" w:fill="FFFFFF"/>
            <w:vAlign w:val="bottom"/>
            <w:hideMark/>
          </w:tcPr>
          <w:p w14:paraId="5B40F70A" w14:textId="77777777" w:rsidR="00FE7F8B" w:rsidRDefault="00FE7F8B">
            <w:pPr>
              <w:pStyle w:val="Tabletextoutputstight"/>
              <w:jc w:val="right"/>
              <w:rPr>
                <w:lang w:eastAsia="en-US"/>
              </w:rPr>
            </w:pPr>
            <w:r>
              <w:rPr>
                <w:lang w:eastAsia="en-US"/>
              </w:rPr>
              <w:t>0.3</w:t>
            </w:r>
          </w:p>
        </w:tc>
        <w:tc>
          <w:tcPr>
            <w:tcW w:w="475" w:type="pct"/>
            <w:shd w:val="clear" w:color="auto" w:fill="F2F2F2" w:themeFill="background1" w:themeFillShade="F2"/>
            <w:vAlign w:val="bottom"/>
            <w:hideMark/>
          </w:tcPr>
          <w:p w14:paraId="66521658" w14:textId="77777777" w:rsidR="00FE7F8B" w:rsidRDefault="00FE7F8B">
            <w:pPr>
              <w:pStyle w:val="Tabletextoutputstight"/>
              <w:jc w:val="right"/>
              <w:rPr>
                <w:lang w:eastAsia="en-US"/>
              </w:rPr>
            </w:pPr>
            <w:r>
              <w:rPr>
                <w:lang w:eastAsia="en-US"/>
              </w:rPr>
              <w:t>-</w:t>
            </w:r>
          </w:p>
        </w:tc>
        <w:tc>
          <w:tcPr>
            <w:tcW w:w="480" w:type="pct"/>
            <w:gridSpan w:val="2"/>
            <w:shd w:val="clear" w:color="auto" w:fill="FFFFFF"/>
            <w:vAlign w:val="bottom"/>
            <w:hideMark/>
          </w:tcPr>
          <w:p w14:paraId="76301465" w14:textId="77777777" w:rsidR="00FE7F8B" w:rsidRDefault="00FE7F8B">
            <w:pPr>
              <w:pStyle w:val="Tabletextoutputstight"/>
              <w:jc w:val="right"/>
              <w:rPr>
                <w:lang w:eastAsia="en-US"/>
              </w:rPr>
            </w:pPr>
            <w:r>
              <w:rPr>
                <w:lang w:eastAsia="en-US"/>
              </w:rPr>
              <w:t>0.7</w:t>
            </w:r>
          </w:p>
        </w:tc>
        <w:tc>
          <w:tcPr>
            <w:tcW w:w="492" w:type="pct"/>
            <w:shd w:val="clear" w:color="auto" w:fill="F2F2F2" w:themeFill="background1" w:themeFillShade="F2"/>
            <w:vAlign w:val="bottom"/>
            <w:hideMark/>
          </w:tcPr>
          <w:p w14:paraId="2D8B4C25" w14:textId="77777777" w:rsidR="00FE7F8B" w:rsidRDefault="00FE7F8B">
            <w:pPr>
              <w:pStyle w:val="Tabletextoutputstight"/>
              <w:jc w:val="right"/>
              <w:rPr>
                <w:lang w:eastAsia="en-US"/>
              </w:rPr>
            </w:pPr>
            <w:r>
              <w:rPr>
                <w:b/>
                <w:lang w:eastAsia="en-US"/>
              </w:rPr>
              <w:t>214.4</w:t>
            </w:r>
          </w:p>
        </w:tc>
      </w:tr>
      <w:tr w:rsidR="00CF70DB" w14:paraId="0FAF11D3" w14:textId="77777777" w:rsidTr="00CF70DB">
        <w:tc>
          <w:tcPr>
            <w:tcW w:w="1459" w:type="pct"/>
            <w:tcBorders>
              <w:top w:val="nil"/>
              <w:left w:val="nil"/>
              <w:bottom w:val="single" w:sz="4" w:space="0" w:color="auto"/>
              <w:right w:val="nil"/>
            </w:tcBorders>
            <w:shd w:val="clear" w:color="auto" w:fill="FFFFFF"/>
            <w:vAlign w:val="center"/>
            <w:hideMark/>
          </w:tcPr>
          <w:p w14:paraId="78EE7C72" w14:textId="77777777" w:rsidR="00FE7F8B" w:rsidRDefault="00FE7F8B">
            <w:pPr>
              <w:pStyle w:val="Tabletextoutputstight"/>
              <w:rPr>
                <w:lang w:eastAsia="en-US"/>
              </w:rPr>
            </w:pPr>
            <w:r>
              <w:rPr>
                <w:lang w:eastAsia="en-US"/>
              </w:rPr>
              <w:t>Other income</w:t>
            </w:r>
          </w:p>
        </w:tc>
        <w:tc>
          <w:tcPr>
            <w:tcW w:w="477" w:type="pct"/>
            <w:tcBorders>
              <w:top w:val="nil"/>
              <w:left w:val="nil"/>
              <w:bottom w:val="single" w:sz="4" w:space="0" w:color="auto"/>
              <w:right w:val="nil"/>
            </w:tcBorders>
            <w:shd w:val="clear" w:color="auto" w:fill="F2F2F2" w:themeFill="background1" w:themeFillShade="F2"/>
            <w:vAlign w:val="bottom"/>
            <w:hideMark/>
          </w:tcPr>
          <w:p w14:paraId="70292177" w14:textId="77777777" w:rsidR="00FE7F8B" w:rsidRDefault="00FE7F8B">
            <w:pPr>
              <w:pStyle w:val="Tabletextoutputstight"/>
              <w:jc w:val="right"/>
              <w:rPr>
                <w:lang w:eastAsia="en-US"/>
              </w:rPr>
            </w:pPr>
            <w:r>
              <w:rPr>
                <w:lang w:eastAsia="en-US"/>
              </w:rPr>
              <w:t>0.9</w:t>
            </w:r>
          </w:p>
        </w:tc>
        <w:tc>
          <w:tcPr>
            <w:tcW w:w="474" w:type="pct"/>
            <w:tcBorders>
              <w:top w:val="nil"/>
              <w:left w:val="nil"/>
              <w:bottom w:val="single" w:sz="4" w:space="0" w:color="auto"/>
              <w:right w:val="nil"/>
            </w:tcBorders>
            <w:shd w:val="clear" w:color="auto" w:fill="FFFFFF"/>
            <w:vAlign w:val="bottom"/>
            <w:hideMark/>
          </w:tcPr>
          <w:p w14:paraId="74F5BC67" w14:textId="77777777" w:rsidR="00FE7F8B" w:rsidRDefault="00FE7F8B">
            <w:pPr>
              <w:pStyle w:val="Tabletextoutputstight"/>
              <w:jc w:val="right"/>
              <w:rPr>
                <w:lang w:eastAsia="en-US"/>
              </w:rPr>
            </w:pPr>
            <w:r>
              <w:rPr>
                <w:lang w:eastAsia="en-US"/>
              </w:rPr>
              <w:t>-</w:t>
            </w:r>
          </w:p>
        </w:tc>
        <w:tc>
          <w:tcPr>
            <w:tcW w:w="572" w:type="pct"/>
            <w:tcBorders>
              <w:top w:val="nil"/>
              <w:left w:val="nil"/>
              <w:bottom w:val="single" w:sz="4" w:space="0" w:color="auto"/>
              <w:right w:val="nil"/>
            </w:tcBorders>
            <w:shd w:val="clear" w:color="auto" w:fill="F2F2F2" w:themeFill="background1" w:themeFillShade="F2"/>
            <w:vAlign w:val="bottom"/>
            <w:hideMark/>
          </w:tcPr>
          <w:p w14:paraId="1249A419" w14:textId="77777777" w:rsidR="00FE7F8B" w:rsidRDefault="00FE7F8B">
            <w:pPr>
              <w:pStyle w:val="Tabletextoutputstight"/>
              <w:jc w:val="right"/>
              <w:rPr>
                <w:lang w:eastAsia="en-US"/>
              </w:rPr>
            </w:pPr>
            <w:r>
              <w:rPr>
                <w:lang w:eastAsia="en-US"/>
              </w:rPr>
              <w:t>519.4</w:t>
            </w:r>
          </w:p>
        </w:tc>
        <w:tc>
          <w:tcPr>
            <w:tcW w:w="570" w:type="pct"/>
            <w:tcBorders>
              <w:top w:val="nil"/>
              <w:left w:val="nil"/>
              <w:bottom w:val="single" w:sz="4" w:space="0" w:color="auto"/>
              <w:right w:val="nil"/>
            </w:tcBorders>
            <w:shd w:val="clear" w:color="auto" w:fill="FFFFFF"/>
            <w:vAlign w:val="bottom"/>
            <w:hideMark/>
          </w:tcPr>
          <w:p w14:paraId="2E28FD1E" w14:textId="77777777" w:rsidR="00FE7F8B" w:rsidRDefault="00FE7F8B">
            <w:pPr>
              <w:pStyle w:val="Tabletextoutputstight"/>
              <w:jc w:val="right"/>
              <w:rPr>
                <w:lang w:eastAsia="en-US"/>
              </w:rPr>
            </w:pPr>
            <w:r>
              <w:rPr>
                <w:lang w:eastAsia="en-US"/>
              </w:rPr>
              <w:t>0.1</w:t>
            </w:r>
          </w:p>
        </w:tc>
        <w:tc>
          <w:tcPr>
            <w:tcW w:w="475" w:type="pct"/>
            <w:tcBorders>
              <w:top w:val="nil"/>
              <w:left w:val="nil"/>
              <w:bottom w:val="single" w:sz="4" w:space="0" w:color="auto"/>
              <w:right w:val="nil"/>
            </w:tcBorders>
            <w:shd w:val="clear" w:color="auto" w:fill="F2F2F2" w:themeFill="background1" w:themeFillShade="F2"/>
            <w:vAlign w:val="bottom"/>
            <w:hideMark/>
          </w:tcPr>
          <w:p w14:paraId="75833DEA" w14:textId="77777777" w:rsidR="00FE7F8B" w:rsidRDefault="00FE7F8B">
            <w:pPr>
              <w:pStyle w:val="Tabletextoutputstight"/>
              <w:jc w:val="right"/>
              <w:rPr>
                <w:lang w:eastAsia="en-US"/>
              </w:rPr>
            </w:pPr>
            <w:r>
              <w:rPr>
                <w:lang w:eastAsia="en-US"/>
              </w:rPr>
              <w:t>2.7</w:t>
            </w:r>
          </w:p>
        </w:tc>
        <w:tc>
          <w:tcPr>
            <w:tcW w:w="480" w:type="pct"/>
            <w:gridSpan w:val="2"/>
            <w:tcBorders>
              <w:top w:val="nil"/>
              <w:left w:val="nil"/>
              <w:bottom w:val="single" w:sz="4" w:space="0" w:color="auto"/>
              <w:right w:val="nil"/>
            </w:tcBorders>
            <w:shd w:val="clear" w:color="auto" w:fill="FFFFFF"/>
            <w:vAlign w:val="bottom"/>
            <w:hideMark/>
          </w:tcPr>
          <w:p w14:paraId="46EB27ED" w14:textId="77777777" w:rsidR="00FE7F8B" w:rsidRDefault="00FE7F8B">
            <w:pPr>
              <w:pStyle w:val="Tabletextoutputstight"/>
              <w:jc w:val="right"/>
              <w:rPr>
                <w:lang w:eastAsia="en-US"/>
              </w:rPr>
            </w:pPr>
            <w:r>
              <w:rPr>
                <w:lang w:eastAsia="en-US"/>
              </w:rPr>
              <w:t>0.1</w:t>
            </w:r>
          </w:p>
        </w:tc>
        <w:tc>
          <w:tcPr>
            <w:tcW w:w="492" w:type="pct"/>
            <w:tcBorders>
              <w:top w:val="nil"/>
              <w:left w:val="nil"/>
              <w:bottom w:val="single" w:sz="4" w:space="0" w:color="auto"/>
              <w:right w:val="nil"/>
            </w:tcBorders>
            <w:shd w:val="clear" w:color="auto" w:fill="F2F2F2" w:themeFill="background1" w:themeFillShade="F2"/>
            <w:vAlign w:val="bottom"/>
            <w:hideMark/>
          </w:tcPr>
          <w:p w14:paraId="46679AEB" w14:textId="77777777" w:rsidR="00FE7F8B" w:rsidRDefault="00FE7F8B">
            <w:pPr>
              <w:pStyle w:val="Tabletextoutputstight"/>
              <w:jc w:val="right"/>
              <w:rPr>
                <w:lang w:eastAsia="en-US"/>
              </w:rPr>
            </w:pPr>
            <w:r>
              <w:rPr>
                <w:b/>
                <w:lang w:eastAsia="en-US"/>
              </w:rPr>
              <w:t>523.3</w:t>
            </w:r>
          </w:p>
        </w:tc>
      </w:tr>
      <w:tr w:rsidR="00CF70DB" w14:paraId="144C70D8" w14:textId="77777777" w:rsidTr="00CF70DB">
        <w:tc>
          <w:tcPr>
            <w:tcW w:w="1459" w:type="pct"/>
            <w:tcBorders>
              <w:top w:val="single" w:sz="4" w:space="0" w:color="auto"/>
              <w:left w:val="nil"/>
              <w:bottom w:val="single" w:sz="4" w:space="0" w:color="auto"/>
              <w:right w:val="nil"/>
            </w:tcBorders>
            <w:shd w:val="clear" w:color="auto" w:fill="FFFFFF"/>
            <w:noWrap/>
            <w:vAlign w:val="bottom"/>
            <w:hideMark/>
          </w:tcPr>
          <w:p w14:paraId="4A4B8712" w14:textId="77777777" w:rsidR="00FE7F8B" w:rsidRDefault="00FE7F8B">
            <w:pPr>
              <w:pStyle w:val="Tabletextoutputs"/>
              <w:rPr>
                <w:b/>
                <w:lang w:eastAsia="en-US"/>
              </w:rPr>
            </w:pPr>
            <w:r>
              <w:rPr>
                <w:b/>
                <w:lang w:eastAsia="en-US"/>
              </w:rPr>
              <w:t>Total income from transactions</w:t>
            </w:r>
          </w:p>
        </w:tc>
        <w:tc>
          <w:tcPr>
            <w:tcW w:w="477" w:type="pct"/>
            <w:tcBorders>
              <w:top w:val="single" w:sz="4" w:space="0" w:color="auto"/>
              <w:left w:val="nil"/>
              <w:bottom w:val="single" w:sz="4" w:space="0" w:color="auto"/>
              <w:right w:val="nil"/>
            </w:tcBorders>
            <w:shd w:val="clear" w:color="auto" w:fill="F2F2F2" w:themeFill="background1" w:themeFillShade="F2"/>
            <w:vAlign w:val="bottom"/>
            <w:hideMark/>
          </w:tcPr>
          <w:p w14:paraId="4E8998F3" w14:textId="77777777" w:rsidR="00FE7F8B" w:rsidRDefault="00FE7F8B">
            <w:pPr>
              <w:pStyle w:val="Tabletextoutputs"/>
              <w:jc w:val="right"/>
              <w:rPr>
                <w:b/>
                <w:lang w:eastAsia="en-US"/>
              </w:rPr>
            </w:pPr>
            <w:r>
              <w:rPr>
                <w:b/>
                <w:lang w:eastAsia="en-US"/>
              </w:rPr>
              <w:t>86.4</w:t>
            </w:r>
          </w:p>
        </w:tc>
        <w:tc>
          <w:tcPr>
            <w:tcW w:w="474" w:type="pct"/>
            <w:tcBorders>
              <w:top w:val="single" w:sz="4" w:space="0" w:color="auto"/>
              <w:left w:val="nil"/>
              <w:bottom w:val="single" w:sz="4" w:space="0" w:color="auto"/>
              <w:right w:val="nil"/>
            </w:tcBorders>
            <w:shd w:val="clear" w:color="auto" w:fill="FFFFFF"/>
            <w:vAlign w:val="bottom"/>
            <w:hideMark/>
          </w:tcPr>
          <w:p w14:paraId="0FBD9333" w14:textId="77777777" w:rsidR="00FE7F8B" w:rsidRDefault="00FE7F8B">
            <w:pPr>
              <w:pStyle w:val="Tabletextoutputs"/>
              <w:jc w:val="right"/>
              <w:rPr>
                <w:b/>
                <w:lang w:eastAsia="en-US"/>
              </w:rPr>
            </w:pPr>
            <w:r>
              <w:rPr>
                <w:b/>
                <w:lang w:eastAsia="en-US"/>
              </w:rPr>
              <w:t>509.8</w:t>
            </w:r>
          </w:p>
        </w:tc>
        <w:tc>
          <w:tcPr>
            <w:tcW w:w="572" w:type="pct"/>
            <w:tcBorders>
              <w:top w:val="single" w:sz="4" w:space="0" w:color="auto"/>
              <w:left w:val="nil"/>
              <w:bottom w:val="single" w:sz="4" w:space="0" w:color="auto"/>
              <w:right w:val="nil"/>
            </w:tcBorders>
            <w:shd w:val="clear" w:color="auto" w:fill="F2F2F2" w:themeFill="background1" w:themeFillShade="F2"/>
            <w:vAlign w:val="bottom"/>
            <w:hideMark/>
          </w:tcPr>
          <w:p w14:paraId="76C4B4BC" w14:textId="77777777" w:rsidR="00FE7F8B" w:rsidRDefault="00FE7F8B">
            <w:pPr>
              <w:pStyle w:val="Tabletextoutputs"/>
              <w:jc w:val="right"/>
              <w:rPr>
                <w:b/>
                <w:lang w:eastAsia="en-US"/>
              </w:rPr>
            </w:pPr>
            <w:r>
              <w:rPr>
                <w:b/>
                <w:lang w:eastAsia="en-US"/>
              </w:rPr>
              <w:t>8,109.8</w:t>
            </w:r>
          </w:p>
        </w:tc>
        <w:tc>
          <w:tcPr>
            <w:tcW w:w="570" w:type="pct"/>
            <w:tcBorders>
              <w:top w:val="single" w:sz="4" w:space="0" w:color="auto"/>
              <w:left w:val="nil"/>
              <w:bottom w:val="single" w:sz="4" w:space="0" w:color="auto"/>
              <w:right w:val="nil"/>
            </w:tcBorders>
            <w:shd w:val="clear" w:color="auto" w:fill="FFFFFF"/>
            <w:vAlign w:val="bottom"/>
            <w:hideMark/>
          </w:tcPr>
          <w:p w14:paraId="73568CC0" w14:textId="77777777" w:rsidR="00FE7F8B" w:rsidRDefault="00FE7F8B">
            <w:pPr>
              <w:pStyle w:val="Tabletextoutputs"/>
              <w:jc w:val="right"/>
              <w:rPr>
                <w:b/>
                <w:lang w:eastAsia="en-US"/>
              </w:rPr>
            </w:pPr>
            <w:r>
              <w:rPr>
                <w:b/>
                <w:lang w:eastAsia="en-US"/>
              </w:rPr>
              <w:t>1,660.7</w:t>
            </w:r>
          </w:p>
        </w:tc>
        <w:tc>
          <w:tcPr>
            <w:tcW w:w="475" w:type="pct"/>
            <w:tcBorders>
              <w:top w:val="single" w:sz="4" w:space="0" w:color="auto"/>
              <w:left w:val="nil"/>
              <w:bottom w:val="single" w:sz="4" w:space="0" w:color="auto"/>
              <w:right w:val="nil"/>
            </w:tcBorders>
            <w:shd w:val="clear" w:color="auto" w:fill="F2F2F2" w:themeFill="background1" w:themeFillShade="F2"/>
            <w:vAlign w:val="bottom"/>
            <w:hideMark/>
          </w:tcPr>
          <w:p w14:paraId="5A6296B6" w14:textId="77777777" w:rsidR="00FE7F8B" w:rsidRDefault="00FE7F8B">
            <w:pPr>
              <w:pStyle w:val="Tabletextoutputs"/>
              <w:jc w:val="right"/>
              <w:rPr>
                <w:b/>
                <w:lang w:eastAsia="en-US"/>
              </w:rPr>
            </w:pPr>
            <w:r>
              <w:rPr>
                <w:b/>
                <w:lang w:eastAsia="en-US"/>
              </w:rPr>
              <w:t>276.4</w:t>
            </w:r>
          </w:p>
        </w:tc>
        <w:tc>
          <w:tcPr>
            <w:tcW w:w="480" w:type="pct"/>
            <w:gridSpan w:val="2"/>
            <w:tcBorders>
              <w:top w:val="single" w:sz="4" w:space="0" w:color="auto"/>
              <w:left w:val="nil"/>
              <w:bottom w:val="single" w:sz="4" w:space="0" w:color="auto"/>
              <w:right w:val="nil"/>
            </w:tcBorders>
            <w:shd w:val="clear" w:color="auto" w:fill="FFFFFF"/>
            <w:vAlign w:val="bottom"/>
            <w:hideMark/>
          </w:tcPr>
          <w:p w14:paraId="133CB2CA" w14:textId="77777777" w:rsidR="00FE7F8B" w:rsidRDefault="00FE7F8B">
            <w:pPr>
              <w:pStyle w:val="Tabletextoutputs"/>
              <w:jc w:val="right"/>
              <w:rPr>
                <w:b/>
                <w:lang w:eastAsia="en-US"/>
              </w:rPr>
            </w:pPr>
            <w:r>
              <w:rPr>
                <w:b/>
                <w:lang w:eastAsia="en-US"/>
              </w:rPr>
              <w:t>817.5</w:t>
            </w:r>
          </w:p>
        </w:tc>
        <w:tc>
          <w:tcPr>
            <w:tcW w:w="492" w:type="pct"/>
            <w:tcBorders>
              <w:top w:val="single" w:sz="4" w:space="0" w:color="auto"/>
              <w:left w:val="nil"/>
              <w:bottom w:val="single" w:sz="4" w:space="0" w:color="auto"/>
              <w:right w:val="nil"/>
            </w:tcBorders>
            <w:shd w:val="clear" w:color="auto" w:fill="F2F2F2" w:themeFill="background1" w:themeFillShade="F2"/>
            <w:vAlign w:val="bottom"/>
            <w:hideMark/>
          </w:tcPr>
          <w:p w14:paraId="1AA3ADBA" w14:textId="77777777" w:rsidR="00FE7F8B" w:rsidRDefault="00FE7F8B">
            <w:pPr>
              <w:pStyle w:val="Tabletextoutputs"/>
              <w:jc w:val="right"/>
              <w:rPr>
                <w:b/>
                <w:lang w:eastAsia="en-US"/>
              </w:rPr>
            </w:pPr>
            <w:r>
              <w:rPr>
                <w:b/>
                <w:lang w:eastAsia="en-US"/>
              </w:rPr>
              <w:t>11,460.7</w:t>
            </w:r>
          </w:p>
        </w:tc>
      </w:tr>
      <w:tr w:rsidR="00FE7F8B" w14:paraId="1C28B74D" w14:textId="77777777" w:rsidTr="007304EB">
        <w:tc>
          <w:tcPr>
            <w:tcW w:w="5000" w:type="pct"/>
            <w:gridSpan w:val="9"/>
            <w:tcBorders>
              <w:top w:val="single" w:sz="4" w:space="0" w:color="auto"/>
              <w:left w:val="nil"/>
              <w:bottom w:val="nil"/>
              <w:right w:val="nil"/>
            </w:tcBorders>
            <w:shd w:val="clear" w:color="auto" w:fill="FFFFFF"/>
            <w:noWrap/>
            <w:vAlign w:val="bottom"/>
            <w:hideMark/>
          </w:tcPr>
          <w:p w14:paraId="5391D1C1" w14:textId="77777777" w:rsidR="00FE7F8B" w:rsidRDefault="00FE7F8B">
            <w:pPr>
              <w:pStyle w:val="Tabletextoutputs"/>
              <w:rPr>
                <w:b/>
                <w:lang w:eastAsia="en-US"/>
              </w:rPr>
            </w:pPr>
            <w:r>
              <w:rPr>
                <w:b/>
                <w:lang w:eastAsia="en-US"/>
              </w:rPr>
              <w:t>Expenses from transactions</w:t>
            </w:r>
          </w:p>
        </w:tc>
      </w:tr>
      <w:tr w:rsidR="00CF70DB" w14:paraId="7386E963" w14:textId="77777777" w:rsidTr="00CF70DB">
        <w:tc>
          <w:tcPr>
            <w:tcW w:w="1459" w:type="pct"/>
            <w:shd w:val="clear" w:color="auto" w:fill="FFFFFF"/>
            <w:vAlign w:val="center"/>
            <w:hideMark/>
          </w:tcPr>
          <w:p w14:paraId="610CC4CF" w14:textId="77777777" w:rsidR="00FE7F8B" w:rsidRDefault="00FE7F8B">
            <w:pPr>
              <w:pStyle w:val="Tabletextoutputstight"/>
              <w:rPr>
                <w:lang w:eastAsia="en-US"/>
              </w:rPr>
            </w:pPr>
            <w:r>
              <w:rPr>
                <w:lang w:eastAsia="en-US"/>
              </w:rPr>
              <w:t>Employee expenses</w:t>
            </w:r>
          </w:p>
        </w:tc>
        <w:tc>
          <w:tcPr>
            <w:tcW w:w="477" w:type="pct"/>
            <w:shd w:val="clear" w:color="auto" w:fill="F2F2F2" w:themeFill="background1" w:themeFillShade="F2"/>
            <w:vAlign w:val="bottom"/>
            <w:hideMark/>
          </w:tcPr>
          <w:p w14:paraId="41E7301C" w14:textId="77777777" w:rsidR="00FE7F8B" w:rsidRDefault="00FE7F8B">
            <w:pPr>
              <w:pStyle w:val="Tabletextoutputstight"/>
              <w:jc w:val="right"/>
              <w:rPr>
                <w:lang w:eastAsia="en-US"/>
              </w:rPr>
            </w:pPr>
            <w:r>
              <w:rPr>
                <w:lang w:eastAsia="en-US"/>
              </w:rPr>
              <w:t>(41.3)</w:t>
            </w:r>
          </w:p>
        </w:tc>
        <w:tc>
          <w:tcPr>
            <w:tcW w:w="474" w:type="pct"/>
            <w:shd w:val="clear" w:color="auto" w:fill="FFFFFF"/>
            <w:vAlign w:val="bottom"/>
            <w:hideMark/>
          </w:tcPr>
          <w:p w14:paraId="5D2D8620" w14:textId="77777777" w:rsidR="00FE7F8B" w:rsidRDefault="00FE7F8B">
            <w:pPr>
              <w:pStyle w:val="Tabletextoutputstight"/>
              <w:jc w:val="right"/>
              <w:rPr>
                <w:lang w:eastAsia="en-US"/>
              </w:rPr>
            </w:pPr>
            <w:r>
              <w:rPr>
                <w:lang w:eastAsia="en-US"/>
              </w:rPr>
              <w:t>(45.6)</w:t>
            </w:r>
          </w:p>
        </w:tc>
        <w:tc>
          <w:tcPr>
            <w:tcW w:w="572" w:type="pct"/>
            <w:shd w:val="clear" w:color="auto" w:fill="F2F2F2" w:themeFill="background1" w:themeFillShade="F2"/>
            <w:vAlign w:val="bottom"/>
            <w:hideMark/>
          </w:tcPr>
          <w:p w14:paraId="367F5F4E" w14:textId="77777777" w:rsidR="00FE7F8B" w:rsidRDefault="00FE7F8B">
            <w:pPr>
              <w:pStyle w:val="Tabletextoutputstight"/>
              <w:jc w:val="right"/>
              <w:rPr>
                <w:lang w:eastAsia="en-US"/>
              </w:rPr>
            </w:pPr>
            <w:r>
              <w:rPr>
                <w:lang w:eastAsia="en-US"/>
              </w:rPr>
              <w:t>(4,540.5)</w:t>
            </w:r>
          </w:p>
        </w:tc>
        <w:tc>
          <w:tcPr>
            <w:tcW w:w="570" w:type="pct"/>
            <w:shd w:val="clear" w:color="auto" w:fill="FFFFFF"/>
            <w:vAlign w:val="bottom"/>
            <w:hideMark/>
          </w:tcPr>
          <w:p w14:paraId="4F77F978" w14:textId="77777777" w:rsidR="00FE7F8B" w:rsidRDefault="00FE7F8B">
            <w:pPr>
              <w:pStyle w:val="Tabletextoutputstight"/>
              <w:jc w:val="right"/>
              <w:rPr>
                <w:lang w:eastAsia="en-US"/>
              </w:rPr>
            </w:pPr>
            <w:r>
              <w:rPr>
                <w:lang w:eastAsia="en-US"/>
              </w:rPr>
              <w:t>(34.0)</w:t>
            </w:r>
          </w:p>
        </w:tc>
        <w:tc>
          <w:tcPr>
            <w:tcW w:w="475" w:type="pct"/>
            <w:shd w:val="clear" w:color="auto" w:fill="F2F2F2" w:themeFill="background1" w:themeFillShade="F2"/>
            <w:vAlign w:val="bottom"/>
            <w:hideMark/>
          </w:tcPr>
          <w:p w14:paraId="48AA4B08" w14:textId="77777777" w:rsidR="00FE7F8B" w:rsidRDefault="00FE7F8B">
            <w:pPr>
              <w:pStyle w:val="Tabletextoutputstight"/>
              <w:jc w:val="right"/>
              <w:rPr>
                <w:lang w:eastAsia="en-US"/>
              </w:rPr>
            </w:pPr>
            <w:r>
              <w:rPr>
                <w:lang w:eastAsia="en-US"/>
              </w:rPr>
              <w:t>(175.2)</w:t>
            </w:r>
          </w:p>
        </w:tc>
        <w:tc>
          <w:tcPr>
            <w:tcW w:w="474" w:type="pct"/>
            <w:shd w:val="clear" w:color="auto" w:fill="FFFFFF"/>
            <w:vAlign w:val="bottom"/>
            <w:hideMark/>
          </w:tcPr>
          <w:p w14:paraId="480D54F6" w14:textId="77777777" w:rsidR="00FE7F8B" w:rsidRDefault="00FE7F8B">
            <w:pPr>
              <w:pStyle w:val="Tabletextoutputstight"/>
              <w:jc w:val="right"/>
              <w:rPr>
                <w:lang w:eastAsia="en-US"/>
              </w:rPr>
            </w:pPr>
            <w:r>
              <w:rPr>
                <w:lang w:eastAsia="en-US"/>
              </w:rPr>
              <w:t>(641.0)</w:t>
            </w:r>
          </w:p>
        </w:tc>
        <w:tc>
          <w:tcPr>
            <w:tcW w:w="499" w:type="pct"/>
            <w:gridSpan w:val="2"/>
            <w:shd w:val="clear" w:color="auto" w:fill="F2F2F2" w:themeFill="background1" w:themeFillShade="F2"/>
            <w:vAlign w:val="bottom"/>
            <w:hideMark/>
          </w:tcPr>
          <w:p w14:paraId="42814027" w14:textId="77777777" w:rsidR="00FE7F8B" w:rsidRDefault="00FE7F8B">
            <w:pPr>
              <w:pStyle w:val="Tabletextoutputstight"/>
              <w:jc w:val="right"/>
              <w:rPr>
                <w:lang w:eastAsia="en-US"/>
              </w:rPr>
            </w:pPr>
            <w:r>
              <w:rPr>
                <w:b/>
                <w:lang w:eastAsia="en-US"/>
              </w:rPr>
              <w:t>(5,477.5)</w:t>
            </w:r>
          </w:p>
        </w:tc>
      </w:tr>
      <w:tr w:rsidR="00CF70DB" w14:paraId="3F9C81E7" w14:textId="77777777" w:rsidTr="00CF70DB">
        <w:tc>
          <w:tcPr>
            <w:tcW w:w="1459" w:type="pct"/>
            <w:shd w:val="clear" w:color="auto" w:fill="FFFFFF"/>
            <w:vAlign w:val="center"/>
            <w:hideMark/>
          </w:tcPr>
          <w:p w14:paraId="19B47746" w14:textId="77777777" w:rsidR="00FE7F8B" w:rsidRDefault="00FE7F8B">
            <w:pPr>
              <w:pStyle w:val="Tabletextoutputstight"/>
              <w:rPr>
                <w:lang w:eastAsia="en-US"/>
              </w:rPr>
            </w:pPr>
            <w:r>
              <w:rPr>
                <w:lang w:eastAsia="en-US"/>
              </w:rPr>
              <w:t>Depreciation and amortisation</w:t>
            </w:r>
          </w:p>
        </w:tc>
        <w:tc>
          <w:tcPr>
            <w:tcW w:w="477" w:type="pct"/>
            <w:shd w:val="clear" w:color="auto" w:fill="F2F2F2" w:themeFill="background1" w:themeFillShade="F2"/>
            <w:vAlign w:val="bottom"/>
            <w:hideMark/>
          </w:tcPr>
          <w:p w14:paraId="3B507918" w14:textId="77777777" w:rsidR="00FE7F8B" w:rsidRDefault="00FE7F8B">
            <w:pPr>
              <w:pStyle w:val="Tabletextoutputstight"/>
              <w:jc w:val="right"/>
              <w:rPr>
                <w:lang w:eastAsia="en-US"/>
              </w:rPr>
            </w:pPr>
            <w:r>
              <w:rPr>
                <w:lang w:eastAsia="en-US"/>
              </w:rPr>
              <w:t>(4.6)</w:t>
            </w:r>
          </w:p>
        </w:tc>
        <w:tc>
          <w:tcPr>
            <w:tcW w:w="474" w:type="pct"/>
            <w:shd w:val="clear" w:color="auto" w:fill="FFFFFF"/>
            <w:vAlign w:val="bottom"/>
            <w:hideMark/>
          </w:tcPr>
          <w:p w14:paraId="19425E32" w14:textId="77777777" w:rsidR="00FE7F8B" w:rsidRDefault="00FE7F8B">
            <w:pPr>
              <w:pStyle w:val="Tabletextoutputstight"/>
              <w:jc w:val="right"/>
              <w:rPr>
                <w:lang w:eastAsia="en-US"/>
              </w:rPr>
            </w:pPr>
            <w:r>
              <w:rPr>
                <w:lang w:eastAsia="en-US"/>
              </w:rPr>
              <w:t>(4.0)</w:t>
            </w:r>
          </w:p>
        </w:tc>
        <w:tc>
          <w:tcPr>
            <w:tcW w:w="572" w:type="pct"/>
            <w:shd w:val="clear" w:color="auto" w:fill="F2F2F2" w:themeFill="background1" w:themeFillShade="F2"/>
            <w:vAlign w:val="bottom"/>
            <w:hideMark/>
          </w:tcPr>
          <w:p w14:paraId="22245ACA" w14:textId="77777777" w:rsidR="00FE7F8B" w:rsidRDefault="00FE7F8B">
            <w:pPr>
              <w:pStyle w:val="Tabletextoutputstight"/>
              <w:jc w:val="right"/>
              <w:rPr>
                <w:lang w:eastAsia="en-US"/>
              </w:rPr>
            </w:pPr>
            <w:r>
              <w:rPr>
                <w:lang w:eastAsia="en-US"/>
              </w:rPr>
              <w:t>(290.1)</w:t>
            </w:r>
          </w:p>
        </w:tc>
        <w:tc>
          <w:tcPr>
            <w:tcW w:w="570" w:type="pct"/>
            <w:shd w:val="clear" w:color="auto" w:fill="FFFFFF"/>
            <w:vAlign w:val="bottom"/>
            <w:hideMark/>
          </w:tcPr>
          <w:p w14:paraId="67BBBAD1" w14:textId="77777777" w:rsidR="00FE7F8B" w:rsidRDefault="00FE7F8B">
            <w:pPr>
              <w:pStyle w:val="Tabletextoutputstight"/>
              <w:jc w:val="right"/>
              <w:rPr>
                <w:lang w:eastAsia="en-US"/>
              </w:rPr>
            </w:pPr>
            <w:r>
              <w:rPr>
                <w:lang w:eastAsia="en-US"/>
              </w:rPr>
              <w:t>(3.1)</w:t>
            </w:r>
          </w:p>
        </w:tc>
        <w:tc>
          <w:tcPr>
            <w:tcW w:w="475" w:type="pct"/>
            <w:shd w:val="clear" w:color="auto" w:fill="F2F2F2" w:themeFill="background1" w:themeFillShade="F2"/>
            <w:vAlign w:val="bottom"/>
            <w:hideMark/>
          </w:tcPr>
          <w:p w14:paraId="27FAD00D" w14:textId="77777777" w:rsidR="00FE7F8B" w:rsidRDefault="00FE7F8B">
            <w:pPr>
              <w:pStyle w:val="Tabletextoutputstight"/>
              <w:jc w:val="right"/>
              <w:rPr>
                <w:lang w:eastAsia="en-US"/>
              </w:rPr>
            </w:pPr>
            <w:r>
              <w:rPr>
                <w:lang w:eastAsia="en-US"/>
              </w:rPr>
              <w:t>(1.3)</w:t>
            </w:r>
          </w:p>
        </w:tc>
        <w:tc>
          <w:tcPr>
            <w:tcW w:w="474" w:type="pct"/>
            <w:shd w:val="clear" w:color="auto" w:fill="FFFFFF"/>
            <w:vAlign w:val="bottom"/>
            <w:hideMark/>
          </w:tcPr>
          <w:p w14:paraId="5C0C3A51" w14:textId="77777777" w:rsidR="00FE7F8B" w:rsidRDefault="00FE7F8B">
            <w:pPr>
              <w:pStyle w:val="Tabletextoutputstight"/>
              <w:jc w:val="right"/>
              <w:rPr>
                <w:lang w:eastAsia="en-US"/>
              </w:rPr>
            </w:pPr>
            <w:r>
              <w:rPr>
                <w:lang w:eastAsia="en-US"/>
              </w:rPr>
              <w:t>(13.5)</w:t>
            </w:r>
          </w:p>
        </w:tc>
        <w:tc>
          <w:tcPr>
            <w:tcW w:w="499" w:type="pct"/>
            <w:gridSpan w:val="2"/>
            <w:shd w:val="clear" w:color="auto" w:fill="F2F2F2" w:themeFill="background1" w:themeFillShade="F2"/>
            <w:vAlign w:val="bottom"/>
            <w:hideMark/>
          </w:tcPr>
          <w:p w14:paraId="5C262D16" w14:textId="77777777" w:rsidR="00FE7F8B" w:rsidRDefault="00FE7F8B">
            <w:pPr>
              <w:pStyle w:val="Tabletextoutputstight"/>
              <w:jc w:val="right"/>
              <w:rPr>
                <w:lang w:eastAsia="en-US"/>
              </w:rPr>
            </w:pPr>
            <w:r>
              <w:rPr>
                <w:b/>
                <w:lang w:eastAsia="en-US"/>
              </w:rPr>
              <w:t>(316.7)</w:t>
            </w:r>
          </w:p>
        </w:tc>
      </w:tr>
      <w:tr w:rsidR="00CF70DB" w14:paraId="5D1AFAA1" w14:textId="77777777" w:rsidTr="00CF70DB">
        <w:tc>
          <w:tcPr>
            <w:tcW w:w="1459" w:type="pct"/>
            <w:shd w:val="clear" w:color="auto" w:fill="FFFFFF"/>
            <w:vAlign w:val="center"/>
            <w:hideMark/>
          </w:tcPr>
          <w:p w14:paraId="72305DBF" w14:textId="77777777" w:rsidR="00FE7F8B" w:rsidRDefault="00FE7F8B">
            <w:pPr>
              <w:pStyle w:val="Tabletextoutputstight"/>
              <w:rPr>
                <w:lang w:eastAsia="en-US"/>
              </w:rPr>
            </w:pPr>
            <w:r>
              <w:rPr>
                <w:lang w:eastAsia="en-US"/>
              </w:rPr>
              <w:t>Interest expenses</w:t>
            </w:r>
          </w:p>
        </w:tc>
        <w:tc>
          <w:tcPr>
            <w:tcW w:w="477" w:type="pct"/>
            <w:shd w:val="clear" w:color="auto" w:fill="F2F2F2" w:themeFill="background1" w:themeFillShade="F2"/>
            <w:vAlign w:val="bottom"/>
            <w:hideMark/>
          </w:tcPr>
          <w:p w14:paraId="448958A1" w14:textId="77777777" w:rsidR="00FE7F8B" w:rsidRDefault="00FE7F8B">
            <w:pPr>
              <w:pStyle w:val="Tabletextoutputstight"/>
              <w:jc w:val="right"/>
              <w:rPr>
                <w:lang w:eastAsia="en-US"/>
              </w:rPr>
            </w:pPr>
            <w:r>
              <w:rPr>
                <w:lang w:eastAsia="en-US"/>
              </w:rPr>
              <w:t>-</w:t>
            </w:r>
          </w:p>
        </w:tc>
        <w:tc>
          <w:tcPr>
            <w:tcW w:w="474" w:type="pct"/>
            <w:shd w:val="clear" w:color="auto" w:fill="FFFFFF"/>
            <w:vAlign w:val="bottom"/>
            <w:hideMark/>
          </w:tcPr>
          <w:p w14:paraId="6419F639" w14:textId="77777777" w:rsidR="00FE7F8B" w:rsidRDefault="00FE7F8B">
            <w:pPr>
              <w:pStyle w:val="Tabletextoutputstight"/>
              <w:jc w:val="right"/>
              <w:rPr>
                <w:lang w:eastAsia="en-US"/>
              </w:rPr>
            </w:pPr>
            <w:r>
              <w:rPr>
                <w:lang w:eastAsia="en-US"/>
              </w:rPr>
              <w:t>-</w:t>
            </w:r>
          </w:p>
        </w:tc>
        <w:tc>
          <w:tcPr>
            <w:tcW w:w="572" w:type="pct"/>
            <w:shd w:val="clear" w:color="auto" w:fill="F2F2F2" w:themeFill="background1" w:themeFillShade="F2"/>
            <w:vAlign w:val="bottom"/>
            <w:hideMark/>
          </w:tcPr>
          <w:p w14:paraId="5307CB76" w14:textId="77777777" w:rsidR="00FE7F8B" w:rsidRDefault="00FE7F8B">
            <w:pPr>
              <w:pStyle w:val="Tabletextoutputstight"/>
              <w:jc w:val="right"/>
              <w:rPr>
                <w:lang w:eastAsia="en-US"/>
              </w:rPr>
            </w:pPr>
            <w:r>
              <w:rPr>
                <w:lang w:eastAsia="en-US"/>
              </w:rPr>
              <w:t>(14.2)</w:t>
            </w:r>
          </w:p>
        </w:tc>
        <w:tc>
          <w:tcPr>
            <w:tcW w:w="570" w:type="pct"/>
            <w:shd w:val="clear" w:color="auto" w:fill="FFFFFF"/>
            <w:vAlign w:val="bottom"/>
            <w:hideMark/>
          </w:tcPr>
          <w:p w14:paraId="6D155724" w14:textId="77777777" w:rsidR="00FE7F8B" w:rsidRDefault="00FE7F8B">
            <w:pPr>
              <w:pStyle w:val="Tabletextoutputstight"/>
              <w:jc w:val="right"/>
              <w:rPr>
                <w:lang w:eastAsia="en-US"/>
              </w:rPr>
            </w:pPr>
            <w:r>
              <w:rPr>
                <w:lang w:eastAsia="en-US"/>
              </w:rPr>
              <w:t>-</w:t>
            </w:r>
          </w:p>
        </w:tc>
        <w:tc>
          <w:tcPr>
            <w:tcW w:w="475" w:type="pct"/>
            <w:shd w:val="clear" w:color="auto" w:fill="F2F2F2" w:themeFill="background1" w:themeFillShade="F2"/>
            <w:vAlign w:val="bottom"/>
            <w:hideMark/>
          </w:tcPr>
          <w:p w14:paraId="66BCE1C8" w14:textId="77777777" w:rsidR="00FE7F8B" w:rsidRDefault="00FE7F8B">
            <w:pPr>
              <w:pStyle w:val="Tabletextoutputstight"/>
              <w:jc w:val="right"/>
              <w:rPr>
                <w:lang w:eastAsia="en-US"/>
              </w:rPr>
            </w:pPr>
            <w:r>
              <w:rPr>
                <w:lang w:eastAsia="en-US"/>
              </w:rPr>
              <w:t>-</w:t>
            </w:r>
          </w:p>
        </w:tc>
        <w:tc>
          <w:tcPr>
            <w:tcW w:w="474" w:type="pct"/>
            <w:shd w:val="clear" w:color="auto" w:fill="FFFFFF"/>
            <w:vAlign w:val="bottom"/>
            <w:hideMark/>
          </w:tcPr>
          <w:p w14:paraId="772EB076" w14:textId="77777777" w:rsidR="00FE7F8B" w:rsidRDefault="00FE7F8B">
            <w:pPr>
              <w:pStyle w:val="Tabletextoutputstight"/>
              <w:jc w:val="right"/>
              <w:rPr>
                <w:lang w:eastAsia="en-US"/>
              </w:rPr>
            </w:pPr>
            <w:r>
              <w:rPr>
                <w:lang w:eastAsia="en-US"/>
              </w:rPr>
              <w:t>-</w:t>
            </w:r>
          </w:p>
        </w:tc>
        <w:tc>
          <w:tcPr>
            <w:tcW w:w="499" w:type="pct"/>
            <w:gridSpan w:val="2"/>
            <w:shd w:val="clear" w:color="auto" w:fill="F2F2F2" w:themeFill="background1" w:themeFillShade="F2"/>
            <w:vAlign w:val="bottom"/>
            <w:hideMark/>
          </w:tcPr>
          <w:p w14:paraId="553493E7" w14:textId="77777777" w:rsidR="00FE7F8B" w:rsidRDefault="00FE7F8B">
            <w:pPr>
              <w:pStyle w:val="Tabletextoutputstight"/>
              <w:jc w:val="right"/>
              <w:rPr>
                <w:lang w:eastAsia="en-US"/>
              </w:rPr>
            </w:pPr>
            <w:r>
              <w:rPr>
                <w:b/>
                <w:lang w:eastAsia="en-US"/>
              </w:rPr>
              <w:t>(14.2)</w:t>
            </w:r>
          </w:p>
        </w:tc>
      </w:tr>
      <w:tr w:rsidR="00CF70DB" w14:paraId="4333C5EE" w14:textId="77777777" w:rsidTr="00CF70DB">
        <w:tc>
          <w:tcPr>
            <w:tcW w:w="1459" w:type="pct"/>
            <w:shd w:val="clear" w:color="auto" w:fill="FFFFFF"/>
            <w:hideMark/>
          </w:tcPr>
          <w:p w14:paraId="6F0DDA09" w14:textId="77777777" w:rsidR="00FE7F8B" w:rsidRDefault="00FE7F8B">
            <w:pPr>
              <w:pStyle w:val="Tabletextoutputstight"/>
              <w:rPr>
                <w:lang w:eastAsia="en-US"/>
              </w:rPr>
            </w:pPr>
            <w:r>
              <w:rPr>
                <w:lang w:eastAsia="en-US"/>
              </w:rPr>
              <w:t>Grants and other expense transfers</w:t>
            </w:r>
          </w:p>
        </w:tc>
        <w:tc>
          <w:tcPr>
            <w:tcW w:w="477" w:type="pct"/>
            <w:shd w:val="clear" w:color="auto" w:fill="F2F2F2" w:themeFill="background1" w:themeFillShade="F2"/>
            <w:vAlign w:val="bottom"/>
            <w:hideMark/>
          </w:tcPr>
          <w:p w14:paraId="01728C86" w14:textId="77777777" w:rsidR="00FE7F8B" w:rsidRDefault="00FE7F8B">
            <w:pPr>
              <w:pStyle w:val="Tabletextoutputstight"/>
              <w:jc w:val="right"/>
              <w:rPr>
                <w:lang w:eastAsia="en-US"/>
              </w:rPr>
            </w:pPr>
            <w:r>
              <w:rPr>
                <w:lang w:eastAsia="en-US"/>
              </w:rPr>
              <w:t>(15.5)</w:t>
            </w:r>
          </w:p>
        </w:tc>
        <w:tc>
          <w:tcPr>
            <w:tcW w:w="474" w:type="pct"/>
            <w:shd w:val="clear" w:color="auto" w:fill="FFFFFF"/>
            <w:vAlign w:val="bottom"/>
            <w:hideMark/>
          </w:tcPr>
          <w:p w14:paraId="2285B0E5" w14:textId="77777777" w:rsidR="00FE7F8B" w:rsidRDefault="00FE7F8B">
            <w:pPr>
              <w:pStyle w:val="Tabletextoutputstight"/>
              <w:jc w:val="right"/>
              <w:rPr>
                <w:lang w:eastAsia="en-US"/>
              </w:rPr>
            </w:pPr>
            <w:r>
              <w:rPr>
                <w:lang w:eastAsia="en-US"/>
              </w:rPr>
              <w:t>(8.8)</w:t>
            </w:r>
          </w:p>
        </w:tc>
        <w:tc>
          <w:tcPr>
            <w:tcW w:w="572" w:type="pct"/>
            <w:shd w:val="clear" w:color="auto" w:fill="F2F2F2" w:themeFill="background1" w:themeFillShade="F2"/>
            <w:vAlign w:val="bottom"/>
            <w:hideMark/>
          </w:tcPr>
          <w:p w14:paraId="7DE00E37" w14:textId="77777777" w:rsidR="00FE7F8B" w:rsidRDefault="00FE7F8B">
            <w:pPr>
              <w:pStyle w:val="Tabletextoutputstight"/>
              <w:jc w:val="right"/>
              <w:rPr>
                <w:lang w:eastAsia="en-US"/>
              </w:rPr>
            </w:pPr>
            <w:r>
              <w:rPr>
                <w:lang w:eastAsia="en-US"/>
              </w:rPr>
              <w:t>(769.3)</w:t>
            </w:r>
          </w:p>
        </w:tc>
        <w:tc>
          <w:tcPr>
            <w:tcW w:w="570" w:type="pct"/>
            <w:shd w:val="clear" w:color="auto" w:fill="FFFFFF"/>
            <w:vAlign w:val="bottom"/>
            <w:hideMark/>
          </w:tcPr>
          <w:p w14:paraId="178E5532" w14:textId="77777777" w:rsidR="00FE7F8B" w:rsidRDefault="00FE7F8B">
            <w:pPr>
              <w:pStyle w:val="Tabletextoutputstight"/>
              <w:jc w:val="right"/>
              <w:rPr>
                <w:lang w:eastAsia="en-US"/>
              </w:rPr>
            </w:pPr>
            <w:r>
              <w:rPr>
                <w:lang w:eastAsia="en-US"/>
              </w:rPr>
              <w:t>(525.5)</w:t>
            </w:r>
          </w:p>
        </w:tc>
        <w:tc>
          <w:tcPr>
            <w:tcW w:w="475" w:type="pct"/>
            <w:shd w:val="clear" w:color="auto" w:fill="F2F2F2" w:themeFill="background1" w:themeFillShade="F2"/>
            <w:vAlign w:val="bottom"/>
            <w:hideMark/>
          </w:tcPr>
          <w:p w14:paraId="4A672F1D" w14:textId="77777777" w:rsidR="00FE7F8B" w:rsidRDefault="00FE7F8B">
            <w:pPr>
              <w:pStyle w:val="Tabletextoutputstight"/>
              <w:jc w:val="right"/>
              <w:rPr>
                <w:lang w:eastAsia="en-US"/>
              </w:rPr>
            </w:pPr>
            <w:r>
              <w:rPr>
                <w:lang w:eastAsia="en-US"/>
              </w:rPr>
              <w:t>(48.9)</w:t>
            </w:r>
          </w:p>
        </w:tc>
        <w:tc>
          <w:tcPr>
            <w:tcW w:w="474" w:type="pct"/>
            <w:shd w:val="clear" w:color="auto" w:fill="FFFFFF"/>
            <w:vAlign w:val="bottom"/>
            <w:hideMark/>
          </w:tcPr>
          <w:p w14:paraId="73873E1A" w14:textId="77777777" w:rsidR="00FE7F8B" w:rsidRDefault="00FE7F8B">
            <w:pPr>
              <w:pStyle w:val="Tabletextoutputstight"/>
              <w:jc w:val="right"/>
              <w:rPr>
                <w:lang w:eastAsia="en-US"/>
              </w:rPr>
            </w:pPr>
            <w:r>
              <w:rPr>
                <w:lang w:eastAsia="en-US"/>
              </w:rPr>
              <w:t>(6.3)</w:t>
            </w:r>
          </w:p>
        </w:tc>
        <w:tc>
          <w:tcPr>
            <w:tcW w:w="499" w:type="pct"/>
            <w:gridSpan w:val="2"/>
            <w:shd w:val="clear" w:color="auto" w:fill="F2F2F2" w:themeFill="background1" w:themeFillShade="F2"/>
            <w:vAlign w:val="bottom"/>
            <w:hideMark/>
          </w:tcPr>
          <w:p w14:paraId="26667218" w14:textId="77777777" w:rsidR="00FE7F8B" w:rsidRDefault="00FE7F8B">
            <w:pPr>
              <w:pStyle w:val="Tabletextoutputstight"/>
              <w:jc w:val="right"/>
              <w:rPr>
                <w:lang w:eastAsia="en-US"/>
              </w:rPr>
            </w:pPr>
            <w:r>
              <w:rPr>
                <w:b/>
                <w:lang w:eastAsia="en-US"/>
              </w:rPr>
              <w:t>(1,374.2)</w:t>
            </w:r>
          </w:p>
        </w:tc>
      </w:tr>
      <w:tr w:rsidR="00CF70DB" w14:paraId="26C620D2" w14:textId="77777777" w:rsidTr="00CF70DB">
        <w:tc>
          <w:tcPr>
            <w:tcW w:w="1459" w:type="pct"/>
            <w:shd w:val="clear" w:color="auto" w:fill="FFFFFF"/>
            <w:vAlign w:val="center"/>
            <w:hideMark/>
          </w:tcPr>
          <w:p w14:paraId="343D12AE" w14:textId="77777777" w:rsidR="00FE7F8B" w:rsidRDefault="00FE7F8B">
            <w:pPr>
              <w:pStyle w:val="Tabletextoutputstight"/>
              <w:rPr>
                <w:lang w:eastAsia="en-US"/>
              </w:rPr>
            </w:pPr>
            <w:r>
              <w:rPr>
                <w:lang w:eastAsia="en-US"/>
              </w:rPr>
              <w:t>Capital asset charge</w:t>
            </w:r>
          </w:p>
        </w:tc>
        <w:tc>
          <w:tcPr>
            <w:tcW w:w="477" w:type="pct"/>
            <w:shd w:val="clear" w:color="auto" w:fill="F2F2F2" w:themeFill="background1" w:themeFillShade="F2"/>
            <w:vAlign w:val="bottom"/>
            <w:hideMark/>
          </w:tcPr>
          <w:p w14:paraId="2602612C" w14:textId="77777777" w:rsidR="00FE7F8B" w:rsidRDefault="00FE7F8B">
            <w:pPr>
              <w:pStyle w:val="Tabletextoutputstight"/>
              <w:jc w:val="right"/>
              <w:rPr>
                <w:lang w:eastAsia="en-US"/>
              </w:rPr>
            </w:pPr>
            <w:r>
              <w:rPr>
                <w:lang w:eastAsia="en-US"/>
              </w:rPr>
              <w:t>(0.4)</w:t>
            </w:r>
          </w:p>
        </w:tc>
        <w:tc>
          <w:tcPr>
            <w:tcW w:w="474" w:type="pct"/>
            <w:shd w:val="clear" w:color="auto" w:fill="FFFFFF"/>
            <w:vAlign w:val="bottom"/>
            <w:hideMark/>
          </w:tcPr>
          <w:p w14:paraId="4456A528" w14:textId="77777777" w:rsidR="00FE7F8B" w:rsidRDefault="00FE7F8B">
            <w:pPr>
              <w:pStyle w:val="Tabletextoutputstight"/>
              <w:jc w:val="right"/>
              <w:rPr>
                <w:lang w:eastAsia="en-US"/>
              </w:rPr>
            </w:pPr>
            <w:r>
              <w:rPr>
                <w:lang w:eastAsia="en-US"/>
              </w:rPr>
              <w:t>(2.4)</w:t>
            </w:r>
          </w:p>
        </w:tc>
        <w:tc>
          <w:tcPr>
            <w:tcW w:w="572" w:type="pct"/>
            <w:shd w:val="clear" w:color="auto" w:fill="F2F2F2" w:themeFill="background1" w:themeFillShade="F2"/>
            <w:vAlign w:val="bottom"/>
            <w:hideMark/>
          </w:tcPr>
          <w:p w14:paraId="4B0AD702" w14:textId="77777777" w:rsidR="00FE7F8B" w:rsidRDefault="00FE7F8B">
            <w:pPr>
              <w:pStyle w:val="Tabletextoutputstight"/>
              <w:jc w:val="right"/>
              <w:rPr>
                <w:lang w:eastAsia="en-US"/>
              </w:rPr>
            </w:pPr>
            <w:r>
              <w:rPr>
                <w:lang w:eastAsia="en-US"/>
              </w:rPr>
              <w:t>(1,021.7)</w:t>
            </w:r>
          </w:p>
        </w:tc>
        <w:tc>
          <w:tcPr>
            <w:tcW w:w="570" w:type="pct"/>
            <w:shd w:val="clear" w:color="auto" w:fill="FFFFFF"/>
            <w:vAlign w:val="bottom"/>
            <w:hideMark/>
          </w:tcPr>
          <w:p w14:paraId="79E73BA5" w14:textId="77777777" w:rsidR="00FE7F8B" w:rsidRDefault="00FE7F8B">
            <w:pPr>
              <w:pStyle w:val="Tabletextoutputstight"/>
              <w:jc w:val="right"/>
              <w:rPr>
                <w:lang w:eastAsia="en-US"/>
              </w:rPr>
            </w:pPr>
            <w:r>
              <w:rPr>
                <w:lang w:eastAsia="en-US"/>
              </w:rPr>
              <w:t>(216.5)</w:t>
            </w:r>
          </w:p>
        </w:tc>
        <w:tc>
          <w:tcPr>
            <w:tcW w:w="475" w:type="pct"/>
            <w:shd w:val="clear" w:color="auto" w:fill="F2F2F2" w:themeFill="background1" w:themeFillShade="F2"/>
            <w:vAlign w:val="bottom"/>
            <w:hideMark/>
          </w:tcPr>
          <w:p w14:paraId="36E81391" w14:textId="77777777" w:rsidR="00FE7F8B" w:rsidRDefault="00FE7F8B">
            <w:pPr>
              <w:pStyle w:val="Tabletextoutputstight"/>
              <w:jc w:val="right"/>
              <w:rPr>
                <w:lang w:eastAsia="en-US"/>
              </w:rPr>
            </w:pPr>
            <w:r>
              <w:rPr>
                <w:lang w:eastAsia="en-US"/>
              </w:rPr>
              <w:t>(0.1)</w:t>
            </w:r>
          </w:p>
        </w:tc>
        <w:tc>
          <w:tcPr>
            <w:tcW w:w="474" w:type="pct"/>
            <w:shd w:val="clear" w:color="auto" w:fill="FFFFFF"/>
            <w:vAlign w:val="bottom"/>
            <w:hideMark/>
          </w:tcPr>
          <w:p w14:paraId="00436770" w14:textId="77777777" w:rsidR="00FE7F8B" w:rsidRDefault="00FE7F8B">
            <w:pPr>
              <w:pStyle w:val="Tabletextoutputstight"/>
              <w:jc w:val="right"/>
              <w:rPr>
                <w:lang w:eastAsia="en-US"/>
              </w:rPr>
            </w:pPr>
            <w:r>
              <w:rPr>
                <w:lang w:eastAsia="en-US"/>
              </w:rPr>
              <w:t>(46.0)</w:t>
            </w:r>
          </w:p>
        </w:tc>
        <w:tc>
          <w:tcPr>
            <w:tcW w:w="499" w:type="pct"/>
            <w:gridSpan w:val="2"/>
            <w:shd w:val="clear" w:color="auto" w:fill="F2F2F2" w:themeFill="background1" w:themeFillShade="F2"/>
            <w:vAlign w:val="bottom"/>
            <w:hideMark/>
          </w:tcPr>
          <w:p w14:paraId="34E3EB49" w14:textId="77777777" w:rsidR="00FE7F8B" w:rsidRDefault="00FE7F8B">
            <w:pPr>
              <w:pStyle w:val="Tabletextoutputstight"/>
              <w:jc w:val="right"/>
              <w:rPr>
                <w:lang w:eastAsia="en-US"/>
              </w:rPr>
            </w:pPr>
            <w:r>
              <w:rPr>
                <w:b/>
                <w:lang w:eastAsia="en-US"/>
              </w:rPr>
              <w:t>(1,287.1)</w:t>
            </w:r>
          </w:p>
        </w:tc>
      </w:tr>
      <w:tr w:rsidR="00CF70DB" w14:paraId="199F6E05" w14:textId="77777777" w:rsidTr="00CF70DB">
        <w:tc>
          <w:tcPr>
            <w:tcW w:w="1459" w:type="pct"/>
            <w:shd w:val="clear" w:color="auto" w:fill="FFFFFF"/>
            <w:vAlign w:val="center"/>
            <w:hideMark/>
          </w:tcPr>
          <w:p w14:paraId="19E5DD3A" w14:textId="77777777" w:rsidR="00FE7F8B" w:rsidRDefault="00FE7F8B">
            <w:pPr>
              <w:pStyle w:val="Tabletextoutputstight"/>
              <w:rPr>
                <w:lang w:eastAsia="en-US"/>
              </w:rPr>
            </w:pPr>
            <w:r>
              <w:rPr>
                <w:lang w:eastAsia="en-US"/>
              </w:rPr>
              <w:t>Supplies and services</w:t>
            </w:r>
          </w:p>
        </w:tc>
        <w:tc>
          <w:tcPr>
            <w:tcW w:w="477" w:type="pct"/>
            <w:shd w:val="clear" w:color="auto" w:fill="F2F2F2" w:themeFill="background1" w:themeFillShade="F2"/>
            <w:vAlign w:val="bottom"/>
            <w:hideMark/>
          </w:tcPr>
          <w:p w14:paraId="2264B1BF" w14:textId="77777777" w:rsidR="00FE7F8B" w:rsidRDefault="00FE7F8B">
            <w:pPr>
              <w:pStyle w:val="Tabletextoutputstight"/>
              <w:jc w:val="right"/>
              <w:rPr>
                <w:lang w:eastAsia="en-US"/>
              </w:rPr>
            </w:pPr>
            <w:r>
              <w:rPr>
                <w:lang w:eastAsia="en-US"/>
              </w:rPr>
              <w:t>(24.3)</w:t>
            </w:r>
          </w:p>
        </w:tc>
        <w:tc>
          <w:tcPr>
            <w:tcW w:w="474" w:type="pct"/>
            <w:vAlign w:val="bottom"/>
            <w:hideMark/>
          </w:tcPr>
          <w:p w14:paraId="0C039E4B" w14:textId="77777777" w:rsidR="00FE7F8B" w:rsidRDefault="00FE7F8B">
            <w:pPr>
              <w:pStyle w:val="Tabletextoutputstight"/>
              <w:jc w:val="right"/>
              <w:rPr>
                <w:lang w:eastAsia="en-US"/>
              </w:rPr>
            </w:pPr>
            <w:r>
              <w:rPr>
                <w:lang w:eastAsia="en-US"/>
              </w:rPr>
              <w:t>(448.4)</w:t>
            </w:r>
          </w:p>
        </w:tc>
        <w:tc>
          <w:tcPr>
            <w:tcW w:w="572" w:type="pct"/>
            <w:shd w:val="clear" w:color="auto" w:fill="F2F2F2" w:themeFill="background1" w:themeFillShade="F2"/>
            <w:vAlign w:val="bottom"/>
            <w:hideMark/>
          </w:tcPr>
          <w:p w14:paraId="01DC55AD" w14:textId="77777777" w:rsidR="00FE7F8B" w:rsidRDefault="00FE7F8B">
            <w:pPr>
              <w:pStyle w:val="Tabletextoutputstight"/>
              <w:jc w:val="right"/>
              <w:rPr>
                <w:lang w:eastAsia="en-US"/>
              </w:rPr>
            </w:pPr>
            <w:r>
              <w:rPr>
                <w:lang w:eastAsia="en-US"/>
              </w:rPr>
              <w:t>(1,284.0)</w:t>
            </w:r>
          </w:p>
        </w:tc>
        <w:tc>
          <w:tcPr>
            <w:tcW w:w="570" w:type="pct"/>
            <w:vAlign w:val="bottom"/>
            <w:hideMark/>
          </w:tcPr>
          <w:p w14:paraId="7CCF8AB0" w14:textId="77777777" w:rsidR="00FE7F8B" w:rsidRDefault="00FE7F8B">
            <w:pPr>
              <w:pStyle w:val="Tabletextoutputstight"/>
              <w:jc w:val="right"/>
              <w:rPr>
                <w:lang w:eastAsia="en-US"/>
              </w:rPr>
            </w:pPr>
            <w:r>
              <w:rPr>
                <w:lang w:eastAsia="en-US"/>
              </w:rPr>
              <w:t>(793.7)</w:t>
            </w:r>
          </w:p>
        </w:tc>
        <w:tc>
          <w:tcPr>
            <w:tcW w:w="475" w:type="pct"/>
            <w:shd w:val="clear" w:color="auto" w:fill="F2F2F2" w:themeFill="background1" w:themeFillShade="F2"/>
            <w:vAlign w:val="bottom"/>
            <w:hideMark/>
          </w:tcPr>
          <w:p w14:paraId="41086EA9" w14:textId="77777777" w:rsidR="00FE7F8B" w:rsidRDefault="00FE7F8B">
            <w:pPr>
              <w:pStyle w:val="Tabletextoutputstight"/>
              <w:jc w:val="right"/>
              <w:rPr>
                <w:lang w:eastAsia="en-US"/>
              </w:rPr>
            </w:pPr>
            <w:r>
              <w:rPr>
                <w:lang w:eastAsia="en-US"/>
              </w:rPr>
              <w:t>(42.7)</w:t>
            </w:r>
          </w:p>
        </w:tc>
        <w:tc>
          <w:tcPr>
            <w:tcW w:w="474" w:type="pct"/>
            <w:vAlign w:val="bottom"/>
            <w:hideMark/>
          </w:tcPr>
          <w:p w14:paraId="7B8A2960" w14:textId="77777777" w:rsidR="00FE7F8B" w:rsidRDefault="00FE7F8B">
            <w:pPr>
              <w:pStyle w:val="Tabletextoutputstight"/>
              <w:jc w:val="right"/>
              <w:rPr>
                <w:lang w:eastAsia="en-US"/>
              </w:rPr>
            </w:pPr>
            <w:r>
              <w:rPr>
                <w:lang w:eastAsia="en-US"/>
              </w:rPr>
              <w:t>(94.7)</w:t>
            </w:r>
          </w:p>
        </w:tc>
        <w:tc>
          <w:tcPr>
            <w:tcW w:w="499" w:type="pct"/>
            <w:gridSpan w:val="2"/>
            <w:shd w:val="clear" w:color="auto" w:fill="F2F2F2" w:themeFill="background1" w:themeFillShade="F2"/>
            <w:vAlign w:val="bottom"/>
            <w:hideMark/>
          </w:tcPr>
          <w:p w14:paraId="7E623BDC" w14:textId="77777777" w:rsidR="00FE7F8B" w:rsidRDefault="00FE7F8B">
            <w:pPr>
              <w:pStyle w:val="Tabletextoutputstight"/>
              <w:jc w:val="right"/>
              <w:rPr>
                <w:lang w:eastAsia="en-US"/>
              </w:rPr>
            </w:pPr>
            <w:r>
              <w:rPr>
                <w:b/>
                <w:lang w:eastAsia="en-US"/>
              </w:rPr>
              <w:t>(2,687.9)</w:t>
            </w:r>
          </w:p>
        </w:tc>
      </w:tr>
      <w:tr w:rsidR="00CF70DB" w14:paraId="37E910D6" w14:textId="77777777" w:rsidTr="00CF70DB">
        <w:tc>
          <w:tcPr>
            <w:tcW w:w="1459" w:type="pct"/>
            <w:tcBorders>
              <w:top w:val="nil"/>
              <w:left w:val="nil"/>
              <w:bottom w:val="single" w:sz="4" w:space="0" w:color="auto"/>
              <w:right w:val="nil"/>
            </w:tcBorders>
            <w:shd w:val="clear" w:color="auto" w:fill="FFFFFF"/>
            <w:vAlign w:val="center"/>
            <w:hideMark/>
          </w:tcPr>
          <w:p w14:paraId="144C7C7A" w14:textId="77777777" w:rsidR="00FE7F8B" w:rsidRDefault="00FE7F8B">
            <w:pPr>
              <w:pStyle w:val="Tabletextoutputstight"/>
              <w:rPr>
                <w:lang w:eastAsia="en-US"/>
              </w:rPr>
            </w:pPr>
            <w:r>
              <w:rPr>
                <w:lang w:eastAsia="en-US"/>
              </w:rPr>
              <w:t>Other operating expenses</w:t>
            </w:r>
          </w:p>
        </w:tc>
        <w:tc>
          <w:tcPr>
            <w:tcW w:w="477" w:type="pct"/>
            <w:tcBorders>
              <w:top w:val="nil"/>
              <w:left w:val="nil"/>
              <w:bottom w:val="single" w:sz="4" w:space="0" w:color="auto"/>
              <w:right w:val="nil"/>
            </w:tcBorders>
            <w:shd w:val="clear" w:color="auto" w:fill="F2F2F2" w:themeFill="background1" w:themeFillShade="F2"/>
            <w:vAlign w:val="bottom"/>
            <w:hideMark/>
          </w:tcPr>
          <w:p w14:paraId="555012CF" w14:textId="77777777" w:rsidR="00FE7F8B" w:rsidRDefault="00FE7F8B">
            <w:pPr>
              <w:pStyle w:val="Tabletextoutputstight"/>
              <w:jc w:val="right"/>
              <w:rPr>
                <w:lang w:eastAsia="en-US"/>
              </w:rPr>
            </w:pPr>
            <w:r>
              <w:rPr>
                <w:lang w:eastAsia="en-US"/>
              </w:rPr>
              <w:t>(0.2)</w:t>
            </w:r>
          </w:p>
        </w:tc>
        <w:tc>
          <w:tcPr>
            <w:tcW w:w="474" w:type="pct"/>
            <w:tcBorders>
              <w:top w:val="nil"/>
              <w:left w:val="nil"/>
              <w:bottom w:val="single" w:sz="4" w:space="0" w:color="auto"/>
              <w:right w:val="nil"/>
            </w:tcBorders>
            <w:shd w:val="clear" w:color="auto" w:fill="FFFFFF"/>
            <w:vAlign w:val="bottom"/>
            <w:hideMark/>
          </w:tcPr>
          <w:p w14:paraId="7BEE7BC4" w14:textId="77777777" w:rsidR="00FE7F8B" w:rsidRDefault="00FE7F8B">
            <w:pPr>
              <w:pStyle w:val="Tabletextoutputstight"/>
              <w:jc w:val="right"/>
              <w:rPr>
                <w:lang w:eastAsia="en-US"/>
              </w:rPr>
            </w:pPr>
            <w:r>
              <w:rPr>
                <w:lang w:eastAsia="en-US"/>
              </w:rPr>
              <w:t>(0.6)</w:t>
            </w:r>
          </w:p>
        </w:tc>
        <w:tc>
          <w:tcPr>
            <w:tcW w:w="572" w:type="pct"/>
            <w:tcBorders>
              <w:top w:val="nil"/>
              <w:left w:val="nil"/>
              <w:bottom w:val="single" w:sz="4" w:space="0" w:color="auto"/>
              <w:right w:val="nil"/>
            </w:tcBorders>
            <w:shd w:val="clear" w:color="auto" w:fill="F2F2F2" w:themeFill="background1" w:themeFillShade="F2"/>
            <w:vAlign w:val="bottom"/>
            <w:hideMark/>
          </w:tcPr>
          <w:p w14:paraId="070F15FA" w14:textId="77777777" w:rsidR="00FE7F8B" w:rsidRDefault="00FE7F8B">
            <w:pPr>
              <w:pStyle w:val="Tabletextoutputstight"/>
              <w:jc w:val="right"/>
              <w:rPr>
                <w:lang w:eastAsia="en-US"/>
              </w:rPr>
            </w:pPr>
            <w:r>
              <w:rPr>
                <w:lang w:eastAsia="en-US"/>
              </w:rPr>
              <w:t>(94.6)</w:t>
            </w:r>
          </w:p>
        </w:tc>
        <w:tc>
          <w:tcPr>
            <w:tcW w:w="570" w:type="pct"/>
            <w:tcBorders>
              <w:top w:val="nil"/>
              <w:left w:val="nil"/>
              <w:bottom w:val="single" w:sz="4" w:space="0" w:color="auto"/>
              <w:right w:val="nil"/>
            </w:tcBorders>
            <w:shd w:val="clear" w:color="auto" w:fill="FFFFFF"/>
            <w:vAlign w:val="bottom"/>
            <w:hideMark/>
          </w:tcPr>
          <w:p w14:paraId="68CAD064" w14:textId="77777777" w:rsidR="00FE7F8B" w:rsidRDefault="00FE7F8B">
            <w:pPr>
              <w:pStyle w:val="Tabletextoutputstight"/>
              <w:jc w:val="right"/>
              <w:rPr>
                <w:lang w:eastAsia="en-US"/>
              </w:rPr>
            </w:pPr>
            <w:r>
              <w:rPr>
                <w:lang w:eastAsia="en-US"/>
              </w:rPr>
              <w:t>(3.7)</w:t>
            </w:r>
          </w:p>
        </w:tc>
        <w:tc>
          <w:tcPr>
            <w:tcW w:w="475" w:type="pct"/>
            <w:tcBorders>
              <w:top w:val="nil"/>
              <w:left w:val="nil"/>
              <w:bottom w:val="single" w:sz="4" w:space="0" w:color="auto"/>
              <w:right w:val="nil"/>
            </w:tcBorders>
            <w:shd w:val="clear" w:color="auto" w:fill="F2F2F2" w:themeFill="background1" w:themeFillShade="F2"/>
            <w:vAlign w:val="bottom"/>
            <w:hideMark/>
          </w:tcPr>
          <w:p w14:paraId="47A96B7D" w14:textId="77777777" w:rsidR="00FE7F8B" w:rsidRDefault="00FE7F8B">
            <w:pPr>
              <w:pStyle w:val="Tabletextoutputstight"/>
              <w:jc w:val="right"/>
              <w:rPr>
                <w:lang w:eastAsia="en-US"/>
              </w:rPr>
            </w:pPr>
            <w:r>
              <w:rPr>
                <w:lang w:eastAsia="en-US"/>
              </w:rPr>
              <w:t>(8.0)</w:t>
            </w:r>
          </w:p>
        </w:tc>
        <w:tc>
          <w:tcPr>
            <w:tcW w:w="474" w:type="pct"/>
            <w:tcBorders>
              <w:top w:val="nil"/>
              <w:left w:val="nil"/>
              <w:bottom w:val="single" w:sz="4" w:space="0" w:color="auto"/>
              <w:right w:val="nil"/>
            </w:tcBorders>
            <w:shd w:val="clear" w:color="auto" w:fill="FFFFFF"/>
            <w:vAlign w:val="bottom"/>
            <w:hideMark/>
          </w:tcPr>
          <w:p w14:paraId="498D681C" w14:textId="77777777" w:rsidR="00FE7F8B" w:rsidRDefault="00FE7F8B">
            <w:pPr>
              <w:pStyle w:val="Tabletextoutputstight"/>
              <w:jc w:val="right"/>
              <w:rPr>
                <w:lang w:eastAsia="en-US"/>
              </w:rPr>
            </w:pPr>
            <w:r>
              <w:rPr>
                <w:lang w:eastAsia="en-US"/>
              </w:rPr>
              <w:t>(15.6)</w:t>
            </w:r>
          </w:p>
        </w:tc>
        <w:tc>
          <w:tcPr>
            <w:tcW w:w="499" w:type="pct"/>
            <w:gridSpan w:val="2"/>
            <w:tcBorders>
              <w:top w:val="nil"/>
              <w:left w:val="nil"/>
              <w:bottom w:val="single" w:sz="4" w:space="0" w:color="auto"/>
              <w:right w:val="nil"/>
            </w:tcBorders>
            <w:shd w:val="clear" w:color="auto" w:fill="F2F2F2" w:themeFill="background1" w:themeFillShade="F2"/>
            <w:vAlign w:val="bottom"/>
            <w:hideMark/>
          </w:tcPr>
          <w:p w14:paraId="50DFE1DF" w14:textId="77777777" w:rsidR="00FE7F8B" w:rsidRDefault="00FE7F8B">
            <w:pPr>
              <w:pStyle w:val="Tabletextoutputstight"/>
              <w:jc w:val="right"/>
              <w:rPr>
                <w:lang w:eastAsia="en-US"/>
              </w:rPr>
            </w:pPr>
            <w:r>
              <w:rPr>
                <w:b/>
                <w:lang w:eastAsia="en-US"/>
              </w:rPr>
              <w:t>(122.6)</w:t>
            </w:r>
          </w:p>
        </w:tc>
      </w:tr>
      <w:tr w:rsidR="00CF70DB" w14:paraId="60AF6E39" w14:textId="77777777" w:rsidTr="00CF70DB">
        <w:tc>
          <w:tcPr>
            <w:tcW w:w="1459" w:type="pct"/>
            <w:tcBorders>
              <w:top w:val="single" w:sz="4" w:space="0" w:color="auto"/>
              <w:left w:val="nil"/>
              <w:bottom w:val="single" w:sz="6" w:space="0" w:color="auto"/>
              <w:right w:val="nil"/>
            </w:tcBorders>
            <w:shd w:val="clear" w:color="auto" w:fill="FFFFFF"/>
            <w:noWrap/>
            <w:vAlign w:val="bottom"/>
            <w:hideMark/>
          </w:tcPr>
          <w:p w14:paraId="0337C002" w14:textId="77777777" w:rsidR="00FE7F8B" w:rsidRDefault="00FE7F8B">
            <w:pPr>
              <w:pStyle w:val="Tabletextoutputs"/>
              <w:rPr>
                <w:b/>
                <w:lang w:eastAsia="en-US"/>
              </w:rPr>
            </w:pPr>
            <w:r>
              <w:rPr>
                <w:b/>
                <w:lang w:eastAsia="en-US"/>
              </w:rPr>
              <w:t>Total expenses from transactions</w:t>
            </w:r>
          </w:p>
        </w:tc>
        <w:tc>
          <w:tcPr>
            <w:tcW w:w="477" w:type="pct"/>
            <w:tcBorders>
              <w:top w:val="single" w:sz="4" w:space="0" w:color="auto"/>
              <w:left w:val="nil"/>
              <w:bottom w:val="single" w:sz="6" w:space="0" w:color="auto"/>
              <w:right w:val="nil"/>
            </w:tcBorders>
            <w:shd w:val="clear" w:color="auto" w:fill="F2F2F2" w:themeFill="background1" w:themeFillShade="F2"/>
            <w:vAlign w:val="bottom"/>
            <w:hideMark/>
          </w:tcPr>
          <w:p w14:paraId="0CCDAD2D" w14:textId="77777777" w:rsidR="00FE7F8B" w:rsidRDefault="00FE7F8B">
            <w:pPr>
              <w:pStyle w:val="Tabletextoutputs"/>
              <w:jc w:val="right"/>
              <w:rPr>
                <w:b/>
                <w:lang w:eastAsia="en-US"/>
              </w:rPr>
            </w:pPr>
            <w:r>
              <w:rPr>
                <w:b/>
                <w:lang w:eastAsia="en-US"/>
              </w:rPr>
              <w:t>(86.3)</w:t>
            </w:r>
          </w:p>
        </w:tc>
        <w:tc>
          <w:tcPr>
            <w:tcW w:w="474" w:type="pct"/>
            <w:tcBorders>
              <w:top w:val="single" w:sz="4" w:space="0" w:color="auto"/>
              <w:left w:val="nil"/>
              <w:bottom w:val="single" w:sz="6" w:space="0" w:color="auto"/>
              <w:right w:val="nil"/>
            </w:tcBorders>
            <w:shd w:val="clear" w:color="auto" w:fill="FFFFFF"/>
            <w:vAlign w:val="bottom"/>
            <w:hideMark/>
          </w:tcPr>
          <w:p w14:paraId="49793D6A" w14:textId="77777777" w:rsidR="00FE7F8B" w:rsidRDefault="00FE7F8B">
            <w:pPr>
              <w:pStyle w:val="Tabletextoutputs"/>
              <w:jc w:val="right"/>
              <w:rPr>
                <w:b/>
                <w:lang w:eastAsia="en-US"/>
              </w:rPr>
            </w:pPr>
            <w:r>
              <w:rPr>
                <w:b/>
                <w:lang w:eastAsia="en-US"/>
              </w:rPr>
              <w:t>(509.8)</w:t>
            </w:r>
          </w:p>
        </w:tc>
        <w:tc>
          <w:tcPr>
            <w:tcW w:w="572" w:type="pct"/>
            <w:tcBorders>
              <w:top w:val="single" w:sz="4" w:space="0" w:color="auto"/>
              <w:left w:val="nil"/>
              <w:bottom w:val="single" w:sz="6" w:space="0" w:color="auto"/>
              <w:right w:val="nil"/>
            </w:tcBorders>
            <w:shd w:val="clear" w:color="auto" w:fill="F2F2F2" w:themeFill="background1" w:themeFillShade="F2"/>
            <w:vAlign w:val="bottom"/>
            <w:hideMark/>
          </w:tcPr>
          <w:p w14:paraId="4B35E077" w14:textId="77777777" w:rsidR="00FE7F8B" w:rsidRDefault="00FE7F8B">
            <w:pPr>
              <w:pStyle w:val="Tabletextoutputs"/>
              <w:jc w:val="right"/>
              <w:rPr>
                <w:b/>
                <w:lang w:eastAsia="en-US"/>
              </w:rPr>
            </w:pPr>
            <w:r>
              <w:rPr>
                <w:b/>
                <w:lang w:eastAsia="en-US"/>
              </w:rPr>
              <w:t>(8,014.3)</w:t>
            </w:r>
          </w:p>
        </w:tc>
        <w:tc>
          <w:tcPr>
            <w:tcW w:w="570" w:type="pct"/>
            <w:tcBorders>
              <w:top w:val="single" w:sz="4" w:space="0" w:color="auto"/>
              <w:left w:val="nil"/>
              <w:bottom w:val="single" w:sz="6" w:space="0" w:color="auto"/>
              <w:right w:val="nil"/>
            </w:tcBorders>
            <w:shd w:val="clear" w:color="auto" w:fill="FFFFFF"/>
            <w:vAlign w:val="bottom"/>
            <w:hideMark/>
          </w:tcPr>
          <w:p w14:paraId="6CF12565" w14:textId="77777777" w:rsidR="00FE7F8B" w:rsidRDefault="00FE7F8B">
            <w:pPr>
              <w:pStyle w:val="Tabletextoutputs"/>
              <w:jc w:val="right"/>
              <w:rPr>
                <w:b/>
                <w:lang w:eastAsia="en-US"/>
              </w:rPr>
            </w:pPr>
            <w:r>
              <w:rPr>
                <w:b/>
                <w:lang w:eastAsia="en-US"/>
              </w:rPr>
              <w:t>(1,576.6)</w:t>
            </w:r>
          </w:p>
        </w:tc>
        <w:tc>
          <w:tcPr>
            <w:tcW w:w="475" w:type="pct"/>
            <w:tcBorders>
              <w:top w:val="single" w:sz="4" w:space="0" w:color="auto"/>
              <w:left w:val="nil"/>
              <w:bottom w:val="single" w:sz="6" w:space="0" w:color="auto"/>
              <w:right w:val="nil"/>
            </w:tcBorders>
            <w:shd w:val="clear" w:color="auto" w:fill="F2F2F2" w:themeFill="background1" w:themeFillShade="F2"/>
            <w:vAlign w:val="bottom"/>
            <w:hideMark/>
          </w:tcPr>
          <w:p w14:paraId="7A3490AB" w14:textId="77777777" w:rsidR="00FE7F8B" w:rsidRDefault="00FE7F8B">
            <w:pPr>
              <w:pStyle w:val="Tabletextoutputs"/>
              <w:jc w:val="right"/>
              <w:rPr>
                <w:b/>
                <w:lang w:eastAsia="en-US"/>
              </w:rPr>
            </w:pPr>
            <w:r>
              <w:rPr>
                <w:b/>
                <w:lang w:eastAsia="en-US"/>
              </w:rPr>
              <w:t>(276.2)</w:t>
            </w:r>
          </w:p>
        </w:tc>
        <w:tc>
          <w:tcPr>
            <w:tcW w:w="474" w:type="pct"/>
            <w:tcBorders>
              <w:top w:val="single" w:sz="4" w:space="0" w:color="auto"/>
              <w:left w:val="nil"/>
              <w:bottom w:val="single" w:sz="6" w:space="0" w:color="auto"/>
              <w:right w:val="nil"/>
            </w:tcBorders>
            <w:shd w:val="clear" w:color="auto" w:fill="FFFFFF"/>
            <w:vAlign w:val="bottom"/>
            <w:hideMark/>
          </w:tcPr>
          <w:p w14:paraId="4D9EEF6C" w14:textId="77777777" w:rsidR="00FE7F8B" w:rsidRDefault="00FE7F8B">
            <w:pPr>
              <w:pStyle w:val="Tabletextoutputs"/>
              <w:jc w:val="right"/>
              <w:rPr>
                <w:b/>
                <w:lang w:eastAsia="en-US"/>
              </w:rPr>
            </w:pPr>
            <w:r>
              <w:rPr>
                <w:b/>
                <w:lang w:eastAsia="en-US"/>
              </w:rPr>
              <w:t>(817.1)</w:t>
            </w:r>
          </w:p>
        </w:tc>
        <w:tc>
          <w:tcPr>
            <w:tcW w:w="499" w:type="pct"/>
            <w:gridSpan w:val="2"/>
            <w:tcBorders>
              <w:top w:val="single" w:sz="4" w:space="0" w:color="auto"/>
              <w:left w:val="nil"/>
              <w:bottom w:val="single" w:sz="6" w:space="0" w:color="auto"/>
              <w:right w:val="nil"/>
            </w:tcBorders>
            <w:shd w:val="clear" w:color="auto" w:fill="F2F2F2" w:themeFill="background1" w:themeFillShade="F2"/>
            <w:tcMar>
              <w:top w:w="0" w:type="dxa"/>
              <w:left w:w="0" w:type="dxa"/>
              <w:bottom w:w="0" w:type="dxa"/>
              <w:right w:w="108" w:type="dxa"/>
            </w:tcMar>
            <w:vAlign w:val="bottom"/>
            <w:hideMark/>
          </w:tcPr>
          <w:p w14:paraId="6553F373" w14:textId="77777777" w:rsidR="00FE7F8B" w:rsidRDefault="00FE7F8B">
            <w:pPr>
              <w:pStyle w:val="Tabletextoutputs"/>
              <w:jc w:val="right"/>
              <w:rPr>
                <w:b/>
                <w:lang w:eastAsia="en-US"/>
              </w:rPr>
            </w:pPr>
            <w:r>
              <w:rPr>
                <w:b/>
                <w:lang w:eastAsia="en-US"/>
              </w:rPr>
              <w:t>(11,280.3)</w:t>
            </w:r>
          </w:p>
        </w:tc>
      </w:tr>
      <w:tr w:rsidR="00CF70DB" w14:paraId="1A0CC049" w14:textId="77777777" w:rsidTr="00CF70DB">
        <w:tc>
          <w:tcPr>
            <w:tcW w:w="1459" w:type="pct"/>
            <w:tcBorders>
              <w:top w:val="single" w:sz="6" w:space="0" w:color="auto"/>
              <w:left w:val="nil"/>
              <w:bottom w:val="single" w:sz="4" w:space="0" w:color="auto"/>
              <w:right w:val="nil"/>
            </w:tcBorders>
            <w:shd w:val="clear" w:color="auto" w:fill="FFFFFF"/>
            <w:vAlign w:val="bottom"/>
            <w:hideMark/>
          </w:tcPr>
          <w:p w14:paraId="45246CAE" w14:textId="77777777" w:rsidR="00FE7F8B" w:rsidRDefault="00FE7F8B">
            <w:pPr>
              <w:pStyle w:val="Tabletextoutputs"/>
              <w:rPr>
                <w:b/>
                <w:lang w:eastAsia="en-US"/>
              </w:rPr>
            </w:pPr>
            <w:r>
              <w:rPr>
                <w:b/>
                <w:lang w:eastAsia="en-US"/>
              </w:rPr>
              <w:t>Net result from transactions (net operating balance)</w:t>
            </w:r>
          </w:p>
        </w:tc>
        <w:tc>
          <w:tcPr>
            <w:tcW w:w="477" w:type="pct"/>
            <w:tcBorders>
              <w:top w:val="single" w:sz="6" w:space="0" w:color="auto"/>
              <w:left w:val="nil"/>
              <w:bottom w:val="single" w:sz="4" w:space="0" w:color="auto"/>
              <w:right w:val="nil"/>
            </w:tcBorders>
            <w:shd w:val="clear" w:color="auto" w:fill="F2F2F2" w:themeFill="background1" w:themeFillShade="F2"/>
            <w:vAlign w:val="bottom"/>
            <w:hideMark/>
          </w:tcPr>
          <w:p w14:paraId="216A1F3D" w14:textId="77777777" w:rsidR="00FE7F8B" w:rsidRDefault="00FE7F8B">
            <w:pPr>
              <w:pStyle w:val="Tabletextoutputs"/>
              <w:jc w:val="right"/>
              <w:rPr>
                <w:b/>
                <w:lang w:eastAsia="en-US"/>
              </w:rPr>
            </w:pPr>
            <w:r>
              <w:rPr>
                <w:b/>
                <w:lang w:eastAsia="en-US"/>
              </w:rPr>
              <w:t>0.1</w:t>
            </w:r>
          </w:p>
        </w:tc>
        <w:tc>
          <w:tcPr>
            <w:tcW w:w="474" w:type="pct"/>
            <w:tcBorders>
              <w:top w:val="single" w:sz="6" w:space="0" w:color="auto"/>
              <w:left w:val="nil"/>
              <w:bottom w:val="single" w:sz="4" w:space="0" w:color="auto"/>
              <w:right w:val="nil"/>
            </w:tcBorders>
            <w:shd w:val="clear" w:color="auto" w:fill="FFFFFF"/>
            <w:vAlign w:val="bottom"/>
            <w:hideMark/>
          </w:tcPr>
          <w:p w14:paraId="7F3D1A55" w14:textId="77777777" w:rsidR="00FE7F8B" w:rsidRDefault="00FE7F8B">
            <w:pPr>
              <w:pStyle w:val="Tabletextoutputs"/>
              <w:jc w:val="right"/>
              <w:rPr>
                <w:b/>
                <w:lang w:eastAsia="en-US"/>
              </w:rPr>
            </w:pPr>
            <w:r>
              <w:rPr>
                <w:b/>
                <w:lang w:eastAsia="en-US"/>
              </w:rPr>
              <w:t>0.0</w:t>
            </w:r>
          </w:p>
        </w:tc>
        <w:tc>
          <w:tcPr>
            <w:tcW w:w="572" w:type="pct"/>
            <w:tcBorders>
              <w:top w:val="single" w:sz="6" w:space="0" w:color="auto"/>
              <w:left w:val="nil"/>
              <w:bottom w:val="single" w:sz="4" w:space="0" w:color="auto"/>
              <w:right w:val="nil"/>
            </w:tcBorders>
            <w:shd w:val="clear" w:color="auto" w:fill="F2F2F2" w:themeFill="background1" w:themeFillShade="F2"/>
            <w:vAlign w:val="bottom"/>
            <w:hideMark/>
          </w:tcPr>
          <w:p w14:paraId="66283167" w14:textId="77777777" w:rsidR="00FE7F8B" w:rsidRDefault="00FE7F8B">
            <w:pPr>
              <w:pStyle w:val="Tabletextoutputs"/>
              <w:jc w:val="right"/>
              <w:rPr>
                <w:b/>
                <w:lang w:eastAsia="en-US"/>
              </w:rPr>
            </w:pPr>
            <w:r>
              <w:rPr>
                <w:b/>
                <w:lang w:eastAsia="en-US"/>
              </w:rPr>
              <w:t>95.5</w:t>
            </w:r>
          </w:p>
        </w:tc>
        <w:tc>
          <w:tcPr>
            <w:tcW w:w="570" w:type="pct"/>
            <w:tcBorders>
              <w:top w:val="single" w:sz="6" w:space="0" w:color="auto"/>
              <w:left w:val="nil"/>
              <w:bottom w:val="single" w:sz="4" w:space="0" w:color="auto"/>
              <w:right w:val="nil"/>
            </w:tcBorders>
            <w:shd w:val="clear" w:color="auto" w:fill="FFFFFF"/>
            <w:vAlign w:val="bottom"/>
            <w:hideMark/>
          </w:tcPr>
          <w:p w14:paraId="2EFC2671" w14:textId="77777777" w:rsidR="00FE7F8B" w:rsidRDefault="00FE7F8B">
            <w:pPr>
              <w:pStyle w:val="Tabletextoutputs"/>
              <w:jc w:val="right"/>
              <w:rPr>
                <w:b/>
                <w:lang w:eastAsia="en-US"/>
              </w:rPr>
            </w:pPr>
            <w:r>
              <w:rPr>
                <w:b/>
                <w:lang w:eastAsia="en-US"/>
              </w:rPr>
              <w:t>84.1</w:t>
            </w:r>
          </w:p>
        </w:tc>
        <w:tc>
          <w:tcPr>
            <w:tcW w:w="475" w:type="pct"/>
            <w:tcBorders>
              <w:top w:val="single" w:sz="6" w:space="0" w:color="auto"/>
              <w:left w:val="nil"/>
              <w:bottom w:val="single" w:sz="4" w:space="0" w:color="auto"/>
              <w:right w:val="nil"/>
            </w:tcBorders>
            <w:shd w:val="clear" w:color="auto" w:fill="F2F2F2" w:themeFill="background1" w:themeFillShade="F2"/>
            <w:vAlign w:val="bottom"/>
            <w:hideMark/>
          </w:tcPr>
          <w:p w14:paraId="1A5B97B7" w14:textId="77777777" w:rsidR="00FE7F8B" w:rsidRDefault="00FE7F8B">
            <w:pPr>
              <w:pStyle w:val="Tabletextoutputs"/>
              <w:jc w:val="right"/>
              <w:rPr>
                <w:b/>
                <w:lang w:eastAsia="en-US"/>
              </w:rPr>
            </w:pPr>
            <w:r>
              <w:rPr>
                <w:b/>
                <w:lang w:eastAsia="en-US"/>
              </w:rPr>
              <w:t>0.2</w:t>
            </w:r>
          </w:p>
        </w:tc>
        <w:tc>
          <w:tcPr>
            <w:tcW w:w="474" w:type="pct"/>
            <w:tcBorders>
              <w:top w:val="single" w:sz="6" w:space="0" w:color="auto"/>
              <w:left w:val="nil"/>
              <w:bottom w:val="single" w:sz="4" w:space="0" w:color="auto"/>
              <w:right w:val="nil"/>
            </w:tcBorders>
            <w:shd w:val="clear" w:color="auto" w:fill="FFFFFF"/>
            <w:vAlign w:val="bottom"/>
            <w:hideMark/>
          </w:tcPr>
          <w:p w14:paraId="46D81914" w14:textId="77777777" w:rsidR="00FE7F8B" w:rsidRDefault="00FE7F8B">
            <w:pPr>
              <w:pStyle w:val="Tabletextoutputs"/>
              <w:jc w:val="right"/>
              <w:rPr>
                <w:b/>
                <w:lang w:eastAsia="en-US"/>
              </w:rPr>
            </w:pPr>
            <w:r>
              <w:rPr>
                <w:b/>
                <w:lang w:eastAsia="en-US"/>
              </w:rPr>
              <w:t>0.4</w:t>
            </w:r>
          </w:p>
        </w:tc>
        <w:tc>
          <w:tcPr>
            <w:tcW w:w="499" w:type="pct"/>
            <w:gridSpan w:val="2"/>
            <w:tcBorders>
              <w:top w:val="single" w:sz="6" w:space="0" w:color="auto"/>
              <w:left w:val="nil"/>
              <w:bottom w:val="single" w:sz="4" w:space="0" w:color="auto"/>
              <w:right w:val="nil"/>
            </w:tcBorders>
            <w:shd w:val="clear" w:color="auto" w:fill="F2F2F2" w:themeFill="background1" w:themeFillShade="F2"/>
            <w:vAlign w:val="bottom"/>
            <w:hideMark/>
          </w:tcPr>
          <w:p w14:paraId="6B46E6AF" w14:textId="77777777" w:rsidR="00FE7F8B" w:rsidRDefault="00FE7F8B">
            <w:pPr>
              <w:pStyle w:val="Tabletextoutputs"/>
              <w:jc w:val="right"/>
              <w:rPr>
                <w:b/>
                <w:lang w:eastAsia="en-US"/>
              </w:rPr>
            </w:pPr>
            <w:r>
              <w:rPr>
                <w:b/>
                <w:lang w:eastAsia="en-US"/>
              </w:rPr>
              <w:t>180.5</w:t>
            </w:r>
          </w:p>
        </w:tc>
      </w:tr>
      <w:tr w:rsidR="00FE7F8B" w14:paraId="1655D5ED" w14:textId="77777777" w:rsidTr="007304EB">
        <w:tc>
          <w:tcPr>
            <w:tcW w:w="5000" w:type="pct"/>
            <w:gridSpan w:val="9"/>
            <w:tcBorders>
              <w:top w:val="single" w:sz="4" w:space="0" w:color="auto"/>
              <w:left w:val="nil"/>
              <w:bottom w:val="nil"/>
              <w:right w:val="nil"/>
            </w:tcBorders>
            <w:shd w:val="clear" w:color="auto" w:fill="FFFFFF"/>
            <w:vAlign w:val="bottom"/>
            <w:hideMark/>
          </w:tcPr>
          <w:p w14:paraId="76397BF8" w14:textId="77777777" w:rsidR="00FE7F8B" w:rsidRDefault="00FE7F8B">
            <w:pPr>
              <w:pStyle w:val="Tabletextoutputs"/>
              <w:rPr>
                <w:b/>
                <w:lang w:eastAsia="en-US"/>
              </w:rPr>
            </w:pPr>
            <w:r>
              <w:rPr>
                <w:b/>
                <w:lang w:eastAsia="en-US"/>
              </w:rPr>
              <w:t>Other economic flows included in net result</w:t>
            </w:r>
          </w:p>
        </w:tc>
      </w:tr>
      <w:tr w:rsidR="00CF70DB" w14:paraId="6BF92C33" w14:textId="77777777" w:rsidTr="00CF70DB">
        <w:tc>
          <w:tcPr>
            <w:tcW w:w="1459" w:type="pct"/>
            <w:shd w:val="clear" w:color="auto" w:fill="FFFFFF"/>
            <w:hideMark/>
          </w:tcPr>
          <w:p w14:paraId="75FCB03F" w14:textId="77777777" w:rsidR="00FE7F8B" w:rsidRDefault="00FE7F8B">
            <w:pPr>
              <w:pStyle w:val="Tabletextoutputstight"/>
              <w:rPr>
                <w:lang w:eastAsia="en-US"/>
              </w:rPr>
            </w:pPr>
            <w:r>
              <w:rPr>
                <w:lang w:eastAsia="en-US"/>
              </w:rPr>
              <w:t>Net gain/(loss) on non-financial assets</w:t>
            </w:r>
          </w:p>
        </w:tc>
        <w:tc>
          <w:tcPr>
            <w:tcW w:w="477" w:type="pct"/>
            <w:shd w:val="clear" w:color="auto" w:fill="F2F2F2" w:themeFill="background1" w:themeFillShade="F2"/>
            <w:vAlign w:val="bottom"/>
            <w:hideMark/>
          </w:tcPr>
          <w:p w14:paraId="7A026834" w14:textId="77777777" w:rsidR="00FE7F8B" w:rsidRDefault="00FE7F8B">
            <w:pPr>
              <w:pStyle w:val="Tabletextoutputstight"/>
              <w:jc w:val="right"/>
              <w:rPr>
                <w:lang w:eastAsia="en-US"/>
              </w:rPr>
            </w:pPr>
            <w:r>
              <w:rPr>
                <w:lang w:eastAsia="en-US"/>
              </w:rPr>
              <w:t>0.0</w:t>
            </w:r>
          </w:p>
        </w:tc>
        <w:tc>
          <w:tcPr>
            <w:tcW w:w="474" w:type="pct"/>
            <w:shd w:val="clear" w:color="auto" w:fill="FFFFFF"/>
            <w:vAlign w:val="bottom"/>
            <w:hideMark/>
          </w:tcPr>
          <w:p w14:paraId="496494E4" w14:textId="77777777" w:rsidR="00FE7F8B" w:rsidRDefault="00FE7F8B">
            <w:pPr>
              <w:pStyle w:val="Tabletextoutputstight"/>
              <w:jc w:val="right"/>
              <w:rPr>
                <w:lang w:eastAsia="en-US"/>
              </w:rPr>
            </w:pPr>
            <w:r>
              <w:rPr>
                <w:lang w:eastAsia="en-US"/>
              </w:rPr>
              <w:t>0.1</w:t>
            </w:r>
          </w:p>
        </w:tc>
        <w:tc>
          <w:tcPr>
            <w:tcW w:w="572" w:type="pct"/>
            <w:shd w:val="clear" w:color="auto" w:fill="F2F2F2" w:themeFill="background1" w:themeFillShade="F2"/>
            <w:vAlign w:val="bottom"/>
            <w:hideMark/>
          </w:tcPr>
          <w:p w14:paraId="32B0CE5D" w14:textId="77777777" w:rsidR="00FE7F8B" w:rsidRDefault="00FE7F8B">
            <w:pPr>
              <w:pStyle w:val="Tabletextoutputstight"/>
              <w:jc w:val="right"/>
              <w:rPr>
                <w:lang w:eastAsia="en-US"/>
              </w:rPr>
            </w:pPr>
            <w:r>
              <w:rPr>
                <w:lang w:eastAsia="en-US"/>
              </w:rPr>
              <w:t>17.9</w:t>
            </w:r>
          </w:p>
        </w:tc>
        <w:tc>
          <w:tcPr>
            <w:tcW w:w="570" w:type="pct"/>
            <w:shd w:val="clear" w:color="auto" w:fill="FFFFFF"/>
            <w:vAlign w:val="bottom"/>
            <w:hideMark/>
          </w:tcPr>
          <w:p w14:paraId="43E98FF7" w14:textId="77777777" w:rsidR="00FE7F8B" w:rsidRDefault="00FE7F8B">
            <w:pPr>
              <w:pStyle w:val="Tabletextoutputstight"/>
              <w:jc w:val="right"/>
              <w:rPr>
                <w:lang w:eastAsia="en-US"/>
              </w:rPr>
            </w:pPr>
            <w:r>
              <w:rPr>
                <w:lang w:eastAsia="en-US"/>
              </w:rPr>
              <w:t>0.0</w:t>
            </w:r>
          </w:p>
        </w:tc>
        <w:tc>
          <w:tcPr>
            <w:tcW w:w="475" w:type="pct"/>
            <w:shd w:val="clear" w:color="auto" w:fill="F2F2F2" w:themeFill="background1" w:themeFillShade="F2"/>
            <w:vAlign w:val="bottom"/>
            <w:hideMark/>
          </w:tcPr>
          <w:p w14:paraId="7244C9D3" w14:textId="77777777" w:rsidR="00FE7F8B" w:rsidRDefault="00FE7F8B">
            <w:pPr>
              <w:pStyle w:val="Tabletextoutputstight"/>
              <w:jc w:val="right"/>
              <w:rPr>
                <w:lang w:eastAsia="en-US"/>
              </w:rPr>
            </w:pPr>
            <w:r>
              <w:rPr>
                <w:lang w:eastAsia="en-US"/>
              </w:rPr>
              <w:t>0.2</w:t>
            </w:r>
          </w:p>
        </w:tc>
        <w:tc>
          <w:tcPr>
            <w:tcW w:w="474" w:type="pct"/>
            <w:shd w:val="clear" w:color="auto" w:fill="FFFFFF"/>
            <w:vAlign w:val="bottom"/>
            <w:hideMark/>
          </w:tcPr>
          <w:p w14:paraId="53FF8E59" w14:textId="77777777" w:rsidR="00FE7F8B" w:rsidRDefault="00FE7F8B">
            <w:pPr>
              <w:pStyle w:val="Tabletextoutputstight"/>
              <w:jc w:val="right"/>
              <w:rPr>
                <w:lang w:eastAsia="en-US"/>
              </w:rPr>
            </w:pPr>
            <w:r>
              <w:rPr>
                <w:lang w:eastAsia="en-US"/>
              </w:rPr>
              <w:t>2.0</w:t>
            </w:r>
          </w:p>
        </w:tc>
        <w:tc>
          <w:tcPr>
            <w:tcW w:w="499" w:type="pct"/>
            <w:gridSpan w:val="2"/>
            <w:shd w:val="clear" w:color="auto" w:fill="F2F2F2" w:themeFill="background1" w:themeFillShade="F2"/>
            <w:vAlign w:val="bottom"/>
            <w:hideMark/>
          </w:tcPr>
          <w:p w14:paraId="0E04DF5A" w14:textId="77777777" w:rsidR="00FE7F8B" w:rsidRDefault="00FE7F8B">
            <w:pPr>
              <w:pStyle w:val="Tabletextoutputstight"/>
              <w:jc w:val="right"/>
              <w:rPr>
                <w:lang w:eastAsia="en-US"/>
              </w:rPr>
            </w:pPr>
            <w:r>
              <w:rPr>
                <w:b/>
                <w:lang w:eastAsia="en-US"/>
              </w:rPr>
              <w:t>20.3</w:t>
            </w:r>
          </w:p>
        </w:tc>
      </w:tr>
      <w:tr w:rsidR="00CF70DB" w14:paraId="6F8F3FC2" w14:textId="77777777" w:rsidTr="00CF70DB">
        <w:tc>
          <w:tcPr>
            <w:tcW w:w="1459" w:type="pct"/>
            <w:shd w:val="clear" w:color="auto" w:fill="FFFFFF"/>
            <w:hideMark/>
          </w:tcPr>
          <w:p w14:paraId="51219CAF" w14:textId="77777777" w:rsidR="00FE7F8B" w:rsidRDefault="00FE7F8B">
            <w:pPr>
              <w:pStyle w:val="Tabletextoutputstight"/>
              <w:rPr>
                <w:lang w:eastAsia="en-US"/>
              </w:rPr>
            </w:pPr>
            <w:r>
              <w:rPr>
                <w:lang w:eastAsia="en-US"/>
              </w:rPr>
              <w:t>Net gain/(loss) on financial instruments</w:t>
            </w:r>
          </w:p>
        </w:tc>
        <w:tc>
          <w:tcPr>
            <w:tcW w:w="477" w:type="pct"/>
            <w:shd w:val="clear" w:color="auto" w:fill="F2F2F2" w:themeFill="background1" w:themeFillShade="F2"/>
            <w:vAlign w:val="bottom"/>
            <w:hideMark/>
          </w:tcPr>
          <w:p w14:paraId="1184BEAB" w14:textId="77777777" w:rsidR="00FE7F8B" w:rsidRDefault="00FE7F8B">
            <w:pPr>
              <w:pStyle w:val="Tabletextoutputstight"/>
              <w:jc w:val="right"/>
              <w:rPr>
                <w:lang w:eastAsia="en-US"/>
              </w:rPr>
            </w:pPr>
            <w:r>
              <w:rPr>
                <w:lang w:eastAsia="en-US"/>
              </w:rPr>
              <w:t>-</w:t>
            </w:r>
          </w:p>
        </w:tc>
        <w:tc>
          <w:tcPr>
            <w:tcW w:w="474" w:type="pct"/>
            <w:shd w:val="clear" w:color="auto" w:fill="FFFFFF"/>
            <w:vAlign w:val="bottom"/>
            <w:hideMark/>
          </w:tcPr>
          <w:p w14:paraId="2C935879" w14:textId="77777777" w:rsidR="00FE7F8B" w:rsidRDefault="00FE7F8B">
            <w:pPr>
              <w:pStyle w:val="Tabletextoutputstight"/>
              <w:jc w:val="right"/>
              <w:rPr>
                <w:lang w:eastAsia="en-US"/>
              </w:rPr>
            </w:pPr>
            <w:r>
              <w:rPr>
                <w:lang w:eastAsia="en-US"/>
              </w:rPr>
              <w:t>-</w:t>
            </w:r>
          </w:p>
        </w:tc>
        <w:tc>
          <w:tcPr>
            <w:tcW w:w="572" w:type="pct"/>
            <w:shd w:val="clear" w:color="auto" w:fill="F2F2F2" w:themeFill="background1" w:themeFillShade="F2"/>
            <w:vAlign w:val="bottom"/>
            <w:hideMark/>
          </w:tcPr>
          <w:p w14:paraId="2BB5F632" w14:textId="77777777" w:rsidR="00FE7F8B" w:rsidRDefault="00FE7F8B">
            <w:pPr>
              <w:pStyle w:val="Tabletextoutputstight"/>
              <w:jc w:val="right"/>
              <w:rPr>
                <w:lang w:eastAsia="en-US"/>
              </w:rPr>
            </w:pPr>
            <w:r>
              <w:rPr>
                <w:lang w:eastAsia="en-US"/>
              </w:rPr>
              <w:t>(7.7)</w:t>
            </w:r>
          </w:p>
        </w:tc>
        <w:tc>
          <w:tcPr>
            <w:tcW w:w="570" w:type="pct"/>
            <w:shd w:val="clear" w:color="auto" w:fill="FFFFFF"/>
            <w:vAlign w:val="bottom"/>
            <w:hideMark/>
          </w:tcPr>
          <w:p w14:paraId="7EB2A6A4" w14:textId="77777777" w:rsidR="00FE7F8B" w:rsidRDefault="00FE7F8B">
            <w:pPr>
              <w:pStyle w:val="Tabletextoutputstight"/>
              <w:jc w:val="right"/>
              <w:rPr>
                <w:lang w:eastAsia="en-US"/>
              </w:rPr>
            </w:pPr>
            <w:r>
              <w:rPr>
                <w:lang w:eastAsia="en-US"/>
              </w:rPr>
              <w:t>-</w:t>
            </w:r>
          </w:p>
        </w:tc>
        <w:tc>
          <w:tcPr>
            <w:tcW w:w="475" w:type="pct"/>
            <w:shd w:val="clear" w:color="auto" w:fill="F2F2F2" w:themeFill="background1" w:themeFillShade="F2"/>
            <w:vAlign w:val="bottom"/>
            <w:hideMark/>
          </w:tcPr>
          <w:p w14:paraId="26AFD08C" w14:textId="77777777" w:rsidR="00FE7F8B" w:rsidRDefault="00FE7F8B">
            <w:pPr>
              <w:pStyle w:val="Tabletextoutputstight"/>
              <w:jc w:val="right"/>
              <w:rPr>
                <w:lang w:eastAsia="en-US"/>
              </w:rPr>
            </w:pPr>
            <w:r>
              <w:rPr>
                <w:lang w:eastAsia="en-US"/>
              </w:rPr>
              <w:t>-</w:t>
            </w:r>
          </w:p>
        </w:tc>
        <w:tc>
          <w:tcPr>
            <w:tcW w:w="474" w:type="pct"/>
            <w:shd w:val="clear" w:color="auto" w:fill="FFFFFF"/>
            <w:vAlign w:val="bottom"/>
            <w:hideMark/>
          </w:tcPr>
          <w:p w14:paraId="41E06526" w14:textId="77777777" w:rsidR="00FE7F8B" w:rsidRDefault="00FE7F8B">
            <w:pPr>
              <w:pStyle w:val="Tabletextoutputstight"/>
              <w:jc w:val="right"/>
              <w:rPr>
                <w:lang w:eastAsia="en-US"/>
              </w:rPr>
            </w:pPr>
            <w:r>
              <w:rPr>
                <w:lang w:eastAsia="en-US"/>
              </w:rPr>
              <w:t>-</w:t>
            </w:r>
          </w:p>
        </w:tc>
        <w:tc>
          <w:tcPr>
            <w:tcW w:w="499" w:type="pct"/>
            <w:gridSpan w:val="2"/>
            <w:shd w:val="clear" w:color="auto" w:fill="F2F2F2" w:themeFill="background1" w:themeFillShade="F2"/>
            <w:vAlign w:val="bottom"/>
            <w:hideMark/>
          </w:tcPr>
          <w:p w14:paraId="589537EC" w14:textId="77777777" w:rsidR="00FE7F8B" w:rsidRDefault="00FE7F8B">
            <w:pPr>
              <w:pStyle w:val="Tabletextoutputstight"/>
              <w:jc w:val="right"/>
              <w:rPr>
                <w:lang w:eastAsia="en-US"/>
              </w:rPr>
            </w:pPr>
            <w:r>
              <w:rPr>
                <w:b/>
                <w:lang w:eastAsia="en-US"/>
              </w:rPr>
              <w:t>(7.7)</w:t>
            </w:r>
          </w:p>
        </w:tc>
      </w:tr>
      <w:tr w:rsidR="00CF70DB" w14:paraId="3FE3FBB7" w14:textId="77777777" w:rsidTr="00CF70DB">
        <w:tc>
          <w:tcPr>
            <w:tcW w:w="1459" w:type="pct"/>
            <w:tcBorders>
              <w:top w:val="nil"/>
              <w:left w:val="nil"/>
              <w:bottom w:val="single" w:sz="4" w:space="0" w:color="auto"/>
              <w:right w:val="nil"/>
            </w:tcBorders>
            <w:shd w:val="clear" w:color="auto" w:fill="FFFFFF"/>
            <w:hideMark/>
          </w:tcPr>
          <w:p w14:paraId="658DEC50" w14:textId="77777777" w:rsidR="00FE7F8B" w:rsidRDefault="00FE7F8B">
            <w:pPr>
              <w:pStyle w:val="Tabletextoutputstight"/>
              <w:rPr>
                <w:lang w:eastAsia="en-US"/>
              </w:rPr>
            </w:pPr>
            <w:r>
              <w:rPr>
                <w:lang w:eastAsia="en-US"/>
              </w:rPr>
              <w:t>Other gains/(losses) from other economic flows</w:t>
            </w:r>
          </w:p>
        </w:tc>
        <w:tc>
          <w:tcPr>
            <w:tcW w:w="477" w:type="pct"/>
            <w:tcBorders>
              <w:top w:val="nil"/>
              <w:left w:val="nil"/>
              <w:bottom w:val="single" w:sz="4" w:space="0" w:color="auto"/>
              <w:right w:val="nil"/>
            </w:tcBorders>
            <w:shd w:val="clear" w:color="auto" w:fill="F2F2F2" w:themeFill="background1" w:themeFillShade="F2"/>
            <w:vAlign w:val="bottom"/>
            <w:hideMark/>
          </w:tcPr>
          <w:p w14:paraId="10AF9634" w14:textId="77777777" w:rsidR="00FE7F8B" w:rsidRDefault="00FE7F8B">
            <w:pPr>
              <w:pStyle w:val="Tabletextoutputstight"/>
              <w:jc w:val="right"/>
              <w:rPr>
                <w:lang w:eastAsia="en-US"/>
              </w:rPr>
            </w:pPr>
            <w:r>
              <w:rPr>
                <w:lang w:eastAsia="en-US"/>
              </w:rPr>
              <w:t>(0.3)</w:t>
            </w:r>
          </w:p>
        </w:tc>
        <w:tc>
          <w:tcPr>
            <w:tcW w:w="474" w:type="pct"/>
            <w:tcBorders>
              <w:top w:val="nil"/>
              <w:left w:val="nil"/>
              <w:bottom w:val="single" w:sz="4" w:space="0" w:color="auto"/>
              <w:right w:val="nil"/>
            </w:tcBorders>
            <w:shd w:val="clear" w:color="auto" w:fill="FFFFFF"/>
            <w:vAlign w:val="bottom"/>
            <w:hideMark/>
          </w:tcPr>
          <w:p w14:paraId="3B21F3E6" w14:textId="77777777" w:rsidR="00FE7F8B" w:rsidRDefault="00FE7F8B">
            <w:pPr>
              <w:pStyle w:val="Tabletextoutputstight"/>
              <w:jc w:val="right"/>
              <w:rPr>
                <w:lang w:eastAsia="en-US"/>
              </w:rPr>
            </w:pPr>
            <w:r>
              <w:rPr>
                <w:lang w:eastAsia="en-US"/>
              </w:rPr>
              <w:t>(0.3)</w:t>
            </w:r>
          </w:p>
        </w:tc>
        <w:tc>
          <w:tcPr>
            <w:tcW w:w="572" w:type="pct"/>
            <w:tcBorders>
              <w:top w:val="nil"/>
              <w:left w:val="nil"/>
              <w:bottom w:val="single" w:sz="4" w:space="0" w:color="auto"/>
              <w:right w:val="nil"/>
            </w:tcBorders>
            <w:shd w:val="clear" w:color="auto" w:fill="F2F2F2" w:themeFill="background1" w:themeFillShade="F2"/>
            <w:vAlign w:val="bottom"/>
            <w:hideMark/>
          </w:tcPr>
          <w:p w14:paraId="2096A270" w14:textId="77777777" w:rsidR="00FE7F8B" w:rsidRDefault="00FE7F8B">
            <w:pPr>
              <w:pStyle w:val="Tabletextoutputstight"/>
              <w:jc w:val="right"/>
              <w:rPr>
                <w:lang w:eastAsia="en-US"/>
              </w:rPr>
            </w:pPr>
            <w:r>
              <w:rPr>
                <w:lang w:eastAsia="en-US"/>
              </w:rPr>
              <w:t>(28.4)</w:t>
            </w:r>
          </w:p>
        </w:tc>
        <w:tc>
          <w:tcPr>
            <w:tcW w:w="570" w:type="pct"/>
            <w:tcBorders>
              <w:top w:val="nil"/>
              <w:left w:val="nil"/>
              <w:bottom w:val="single" w:sz="4" w:space="0" w:color="auto"/>
              <w:right w:val="nil"/>
            </w:tcBorders>
            <w:shd w:val="clear" w:color="auto" w:fill="FFFFFF"/>
            <w:vAlign w:val="bottom"/>
            <w:hideMark/>
          </w:tcPr>
          <w:p w14:paraId="4DE25B08" w14:textId="77777777" w:rsidR="00FE7F8B" w:rsidRDefault="00FE7F8B">
            <w:pPr>
              <w:pStyle w:val="Tabletextoutputstight"/>
              <w:jc w:val="right"/>
              <w:rPr>
                <w:lang w:eastAsia="en-US"/>
              </w:rPr>
            </w:pPr>
            <w:r>
              <w:rPr>
                <w:lang w:eastAsia="en-US"/>
              </w:rPr>
              <w:t>(0.2)</w:t>
            </w:r>
          </w:p>
        </w:tc>
        <w:tc>
          <w:tcPr>
            <w:tcW w:w="475" w:type="pct"/>
            <w:tcBorders>
              <w:top w:val="nil"/>
              <w:left w:val="nil"/>
              <w:bottom w:val="single" w:sz="4" w:space="0" w:color="auto"/>
              <w:right w:val="nil"/>
            </w:tcBorders>
            <w:shd w:val="clear" w:color="auto" w:fill="F2F2F2" w:themeFill="background1" w:themeFillShade="F2"/>
            <w:vAlign w:val="bottom"/>
            <w:hideMark/>
          </w:tcPr>
          <w:p w14:paraId="7FCB3285" w14:textId="77777777" w:rsidR="00FE7F8B" w:rsidRDefault="00FE7F8B">
            <w:pPr>
              <w:pStyle w:val="Tabletextoutputstight"/>
              <w:jc w:val="right"/>
              <w:rPr>
                <w:lang w:eastAsia="en-US"/>
              </w:rPr>
            </w:pPr>
            <w:r>
              <w:rPr>
                <w:lang w:eastAsia="en-US"/>
              </w:rPr>
              <w:t>(1.1)</w:t>
            </w:r>
          </w:p>
        </w:tc>
        <w:tc>
          <w:tcPr>
            <w:tcW w:w="474" w:type="pct"/>
            <w:tcBorders>
              <w:top w:val="nil"/>
              <w:left w:val="nil"/>
              <w:bottom w:val="single" w:sz="4" w:space="0" w:color="auto"/>
              <w:right w:val="nil"/>
            </w:tcBorders>
            <w:shd w:val="clear" w:color="auto" w:fill="FFFFFF"/>
            <w:vAlign w:val="bottom"/>
            <w:hideMark/>
          </w:tcPr>
          <w:p w14:paraId="315E18BF" w14:textId="77777777" w:rsidR="00FE7F8B" w:rsidRDefault="00FE7F8B">
            <w:pPr>
              <w:pStyle w:val="Tabletextoutputstight"/>
              <w:jc w:val="right"/>
              <w:rPr>
                <w:lang w:eastAsia="en-US"/>
              </w:rPr>
            </w:pPr>
            <w:r>
              <w:rPr>
                <w:lang w:eastAsia="en-US"/>
              </w:rPr>
              <w:t>(4.0)</w:t>
            </w:r>
          </w:p>
        </w:tc>
        <w:tc>
          <w:tcPr>
            <w:tcW w:w="499" w:type="pct"/>
            <w:gridSpan w:val="2"/>
            <w:tcBorders>
              <w:top w:val="nil"/>
              <w:left w:val="nil"/>
              <w:bottom w:val="single" w:sz="4" w:space="0" w:color="auto"/>
              <w:right w:val="nil"/>
            </w:tcBorders>
            <w:shd w:val="clear" w:color="auto" w:fill="F2F2F2" w:themeFill="background1" w:themeFillShade="F2"/>
            <w:vAlign w:val="bottom"/>
            <w:hideMark/>
          </w:tcPr>
          <w:p w14:paraId="01E817C1" w14:textId="77777777" w:rsidR="00FE7F8B" w:rsidRDefault="00FE7F8B">
            <w:pPr>
              <w:pStyle w:val="Tabletextoutputstight"/>
              <w:jc w:val="right"/>
              <w:rPr>
                <w:lang w:eastAsia="en-US"/>
              </w:rPr>
            </w:pPr>
            <w:r>
              <w:rPr>
                <w:b/>
                <w:lang w:eastAsia="en-US"/>
              </w:rPr>
              <w:t>(34.2)</w:t>
            </w:r>
          </w:p>
        </w:tc>
      </w:tr>
      <w:tr w:rsidR="00CF70DB" w14:paraId="2FA3B2EE" w14:textId="77777777" w:rsidTr="00CF70DB">
        <w:tc>
          <w:tcPr>
            <w:tcW w:w="1459" w:type="pct"/>
            <w:tcBorders>
              <w:top w:val="single" w:sz="4" w:space="0" w:color="auto"/>
              <w:left w:val="nil"/>
              <w:bottom w:val="single" w:sz="6" w:space="0" w:color="auto"/>
              <w:right w:val="nil"/>
            </w:tcBorders>
            <w:shd w:val="clear" w:color="auto" w:fill="FFFFFF"/>
            <w:noWrap/>
            <w:vAlign w:val="bottom"/>
            <w:hideMark/>
          </w:tcPr>
          <w:p w14:paraId="283C6297" w14:textId="77777777" w:rsidR="00FE7F8B" w:rsidRDefault="00FE7F8B">
            <w:pPr>
              <w:pStyle w:val="Tabletextoutputstight"/>
              <w:rPr>
                <w:b/>
                <w:lang w:eastAsia="en-US"/>
              </w:rPr>
            </w:pPr>
            <w:r>
              <w:rPr>
                <w:b/>
                <w:lang w:eastAsia="en-US"/>
              </w:rPr>
              <w:t>Total other economic flows included in net result</w:t>
            </w:r>
          </w:p>
        </w:tc>
        <w:tc>
          <w:tcPr>
            <w:tcW w:w="477" w:type="pct"/>
            <w:tcBorders>
              <w:top w:val="single" w:sz="4" w:space="0" w:color="auto"/>
              <w:left w:val="nil"/>
              <w:bottom w:val="single" w:sz="6" w:space="0" w:color="auto"/>
              <w:right w:val="nil"/>
            </w:tcBorders>
            <w:shd w:val="clear" w:color="auto" w:fill="F2F2F2" w:themeFill="background1" w:themeFillShade="F2"/>
            <w:vAlign w:val="bottom"/>
            <w:hideMark/>
          </w:tcPr>
          <w:p w14:paraId="2F9F13CC" w14:textId="77777777" w:rsidR="00FE7F8B" w:rsidRDefault="00FE7F8B">
            <w:pPr>
              <w:pStyle w:val="Tabletextoutputstight"/>
              <w:jc w:val="right"/>
              <w:rPr>
                <w:lang w:eastAsia="en-US"/>
              </w:rPr>
            </w:pPr>
            <w:r>
              <w:rPr>
                <w:b/>
                <w:lang w:eastAsia="en-US"/>
              </w:rPr>
              <w:t>(0.2)</w:t>
            </w:r>
          </w:p>
        </w:tc>
        <w:tc>
          <w:tcPr>
            <w:tcW w:w="474" w:type="pct"/>
            <w:tcBorders>
              <w:top w:val="single" w:sz="4" w:space="0" w:color="auto"/>
              <w:left w:val="nil"/>
              <w:bottom w:val="single" w:sz="6" w:space="0" w:color="auto"/>
              <w:right w:val="nil"/>
            </w:tcBorders>
            <w:shd w:val="clear" w:color="auto" w:fill="FFFFFF"/>
            <w:vAlign w:val="bottom"/>
            <w:hideMark/>
          </w:tcPr>
          <w:p w14:paraId="04C743E4" w14:textId="77777777" w:rsidR="00FE7F8B" w:rsidRDefault="00FE7F8B">
            <w:pPr>
              <w:pStyle w:val="Tabletextoutputstight"/>
              <w:jc w:val="right"/>
              <w:rPr>
                <w:lang w:eastAsia="en-US"/>
              </w:rPr>
            </w:pPr>
            <w:r>
              <w:rPr>
                <w:b/>
                <w:lang w:eastAsia="en-US"/>
              </w:rPr>
              <w:t>(0.2)</w:t>
            </w:r>
          </w:p>
        </w:tc>
        <w:tc>
          <w:tcPr>
            <w:tcW w:w="572" w:type="pct"/>
            <w:tcBorders>
              <w:top w:val="single" w:sz="4" w:space="0" w:color="auto"/>
              <w:left w:val="nil"/>
              <w:bottom w:val="single" w:sz="6" w:space="0" w:color="auto"/>
              <w:right w:val="nil"/>
            </w:tcBorders>
            <w:shd w:val="clear" w:color="auto" w:fill="F2F2F2" w:themeFill="background1" w:themeFillShade="F2"/>
            <w:vAlign w:val="bottom"/>
            <w:hideMark/>
          </w:tcPr>
          <w:p w14:paraId="6B843FF1" w14:textId="77777777" w:rsidR="00FE7F8B" w:rsidRDefault="00FE7F8B">
            <w:pPr>
              <w:pStyle w:val="Tabletextoutputstight"/>
              <w:jc w:val="right"/>
              <w:rPr>
                <w:lang w:eastAsia="en-US"/>
              </w:rPr>
            </w:pPr>
            <w:r>
              <w:rPr>
                <w:b/>
                <w:lang w:eastAsia="en-US"/>
              </w:rPr>
              <w:t>(18.2)</w:t>
            </w:r>
          </w:p>
        </w:tc>
        <w:tc>
          <w:tcPr>
            <w:tcW w:w="570" w:type="pct"/>
            <w:tcBorders>
              <w:top w:val="single" w:sz="4" w:space="0" w:color="auto"/>
              <w:left w:val="nil"/>
              <w:bottom w:val="single" w:sz="6" w:space="0" w:color="auto"/>
              <w:right w:val="nil"/>
            </w:tcBorders>
            <w:shd w:val="clear" w:color="auto" w:fill="FFFFFF"/>
            <w:vAlign w:val="bottom"/>
            <w:hideMark/>
          </w:tcPr>
          <w:p w14:paraId="4B95F0A5" w14:textId="77777777" w:rsidR="00FE7F8B" w:rsidRDefault="00FE7F8B">
            <w:pPr>
              <w:pStyle w:val="Tabletextoutputstight"/>
              <w:jc w:val="right"/>
              <w:rPr>
                <w:lang w:eastAsia="en-US"/>
              </w:rPr>
            </w:pPr>
            <w:r>
              <w:rPr>
                <w:b/>
                <w:lang w:eastAsia="en-US"/>
              </w:rPr>
              <w:t>(0.2)</w:t>
            </w:r>
          </w:p>
        </w:tc>
        <w:tc>
          <w:tcPr>
            <w:tcW w:w="475" w:type="pct"/>
            <w:tcBorders>
              <w:top w:val="single" w:sz="4" w:space="0" w:color="auto"/>
              <w:left w:val="nil"/>
              <w:bottom w:val="single" w:sz="6" w:space="0" w:color="auto"/>
              <w:right w:val="nil"/>
            </w:tcBorders>
            <w:shd w:val="clear" w:color="auto" w:fill="F2F2F2" w:themeFill="background1" w:themeFillShade="F2"/>
            <w:vAlign w:val="bottom"/>
            <w:hideMark/>
          </w:tcPr>
          <w:p w14:paraId="523DB997" w14:textId="77777777" w:rsidR="00FE7F8B" w:rsidRDefault="00FE7F8B">
            <w:pPr>
              <w:pStyle w:val="Tabletextoutputstight"/>
              <w:jc w:val="right"/>
              <w:rPr>
                <w:lang w:eastAsia="en-US"/>
              </w:rPr>
            </w:pPr>
            <w:r>
              <w:rPr>
                <w:b/>
                <w:lang w:eastAsia="en-US"/>
              </w:rPr>
              <w:t>(0.9)</w:t>
            </w:r>
          </w:p>
        </w:tc>
        <w:tc>
          <w:tcPr>
            <w:tcW w:w="474" w:type="pct"/>
            <w:tcBorders>
              <w:top w:val="single" w:sz="4" w:space="0" w:color="auto"/>
              <w:left w:val="nil"/>
              <w:bottom w:val="single" w:sz="6" w:space="0" w:color="auto"/>
              <w:right w:val="nil"/>
            </w:tcBorders>
            <w:shd w:val="clear" w:color="auto" w:fill="FFFFFF"/>
            <w:vAlign w:val="bottom"/>
            <w:hideMark/>
          </w:tcPr>
          <w:p w14:paraId="2505B2EB" w14:textId="77777777" w:rsidR="00FE7F8B" w:rsidRDefault="00FE7F8B">
            <w:pPr>
              <w:pStyle w:val="Tabletextoutputstight"/>
              <w:jc w:val="right"/>
              <w:rPr>
                <w:lang w:eastAsia="en-US"/>
              </w:rPr>
            </w:pPr>
            <w:r>
              <w:rPr>
                <w:b/>
                <w:lang w:eastAsia="en-US"/>
              </w:rPr>
              <w:t>(2.0)</w:t>
            </w:r>
          </w:p>
        </w:tc>
        <w:tc>
          <w:tcPr>
            <w:tcW w:w="499" w:type="pct"/>
            <w:gridSpan w:val="2"/>
            <w:tcBorders>
              <w:top w:val="single" w:sz="4" w:space="0" w:color="auto"/>
              <w:left w:val="nil"/>
              <w:bottom w:val="single" w:sz="6" w:space="0" w:color="auto"/>
              <w:right w:val="nil"/>
            </w:tcBorders>
            <w:shd w:val="clear" w:color="auto" w:fill="F2F2F2" w:themeFill="background1" w:themeFillShade="F2"/>
            <w:vAlign w:val="bottom"/>
            <w:hideMark/>
          </w:tcPr>
          <w:p w14:paraId="66ADABC6" w14:textId="77777777" w:rsidR="00FE7F8B" w:rsidRDefault="00FE7F8B">
            <w:pPr>
              <w:pStyle w:val="Tabletextoutputstight"/>
              <w:jc w:val="right"/>
              <w:rPr>
                <w:lang w:eastAsia="en-US"/>
              </w:rPr>
            </w:pPr>
            <w:r>
              <w:rPr>
                <w:b/>
                <w:lang w:eastAsia="en-US"/>
              </w:rPr>
              <w:t>(21.7)</w:t>
            </w:r>
          </w:p>
        </w:tc>
      </w:tr>
      <w:tr w:rsidR="00CF70DB" w14:paraId="1957B6B9" w14:textId="77777777" w:rsidTr="00CF70DB">
        <w:tc>
          <w:tcPr>
            <w:tcW w:w="1459" w:type="pct"/>
            <w:tcBorders>
              <w:top w:val="single" w:sz="6" w:space="0" w:color="auto"/>
              <w:left w:val="nil"/>
              <w:bottom w:val="single" w:sz="4" w:space="0" w:color="auto"/>
              <w:right w:val="nil"/>
            </w:tcBorders>
            <w:shd w:val="clear" w:color="auto" w:fill="FFFFFF"/>
            <w:vAlign w:val="bottom"/>
            <w:hideMark/>
          </w:tcPr>
          <w:p w14:paraId="361432CC" w14:textId="77777777" w:rsidR="00FE7F8B" w:rsidRDefault="00FE7F8B">
            <w:pPr>
              <w:pStyle w:val="Tabletextoutputs"/>
              <w:rPr>
                <w:b/>
                <w:lang w:eastAsia="en-US"/>
              </w:rPr>
            </w:pPr>
            <w:r>
              <w:rPr>
                <w:b/>
                <w:lang w:eastAsia="en-US"/>
              </w:rPr>
              <w:t>Net result</w:t>
            </w:r>
          </w:p>
        </w:tc>
        <w:tc>
          <w:tcPr>
            <w:tcW w:w="477" w:type="pct"/>
            <w:tcBorders>
              <w:top w:val="single" w:sz="6" w:space="0" w:color="auto"/>
              <w:left w:val="nil"/>
              <w:bottom w:val="single" w:sz="4" w:space="0" w:color="auto"/>
              <w:right w:val="nil"/>
            </w:tcBorders>
            <w:shd w:val="clear" w:color="auto" w:fill="F2F2F2" w:themeFill="background1" w:themeFillShade="F2"/>
            <w:vAlign w:val="bottom"/>
            <w:hideMark/>
          </w:tcPr>
          <w:p w14:paraId="3FED89E3" w14:textId="77777777" w:rsidR="00FE7F8B" w:rsidRDefault="00FE7F8B">
            <w:pPr>
              <w:pStyle w:val="Tabletextoutputs"/>
              <w:jc w:val="right"/>
              <w:rPr>
                <w:b/>
                <w:lang w:eastAsia="en-US"/>
              </w:rPr>
            </w:pPr>
            <w:r>
              <w:rPr>
                <w:b/>
                <w:lang w:eastAsia="en-US"/>
              </w:rPr>
              <w:t>(0.1)</w:t>
            </w:r>
          </w:p>
        </w:tc>
        <w:tc>
          <w:tcPr>
            <w:tcW w:w="474" w:type="pct"/>
            <w:tcBorders>
              <w:top w:val="single" w:sz="6" w:space="0" w:color="auto"/>
              <w:left w:val="nil"/>
              <w:bottom w:val="single" w:sz="4" w:space="0" w:color="auto"/>
              <w:right w:val="nil"/>
            </w:tcBorders>
            <w:shd w:val="clear" w:color="auto" w:fill="FFFFFF"/>
            <w:vAlign w:val="bottom"/>
            <w:hideMark/>
          </w:tcPr>
          <w:p w14:paraId="16CF91C6" w14:textId="77777777" w:rsidR="00FE7F8B" w:rsidRDefault="00FE7F8B">
            <w:pPr>
              <w:pStyle w:val="Tabletextoutputs"/>
              <w:jc w:val="right"/>
              <w:rPr>
                <w:b/>
                <w:lang w:eastAsia="en-US"/>
              </w:rPr>
            </w:pPr>
            <w:r>
              <w:rPr>
                <w:b/>
                <w:lang w:eastAsia="en-US"/>
              </w:rPr>
              <w:t>(0.1)</w:t>
            </w:r>
          </w:p>
        </w:tc>
        <w:tc>
          <w:tcPr>
            <w:tcW w:w="572" w:type="pct"/>
            <w:tcBorders>
              <w:top w:val="single" w:sz="6" w:space="0" w:color="auto"/>
              <w:left w:val="nil"/>
              <w:bottom w:val="single" w:sz="4" w:space="0" w:color="auto"/>
              <w:right w:val="nil"/>
            </w:tcBorders>
            <w:shd w:val="clear" w:color="auto" w:fill="F2F2F2" w:themeFill="background1" w:themeFillShade="F2"/>
            <w:vAlign w:val="bottom"/>
            <w:hideMark/>
          </w:tcPr>
          <w:p w14:paraId="34181745" w14:textId="77777777" w:rsidR="00FE7F8B" w:rsidRDefault="00FE7F8B">
            <w:pPr>
              <w:pStyle w:val="Tabletextoutputs"/>
              <w:jc w:val="right"/>
              <w:rPr>
                <w:b/>
                <w:lang w:eastAsia="en-US"/>
              </w:rPr>
            </w:pPr>
            <w:r>
              <w:rPr>
                <w:b/>
                <w:lang w:eastAsia="en-US"/>
              </w:rPr>
              <w:t>77.3</w:t>
            </w:r>
          </w:p>
        </w:tc>
        <w:tc>
          <w:tcPr>
            <w:tcW w:w="570" w:type="pct"/>
            <w:tcBorders>
              <w:top w:val="single" w:sz="6" w:space="0" w:color="auto"/>
              <w:left w:val="nil"/>
              <w:bottom w:val="single" w:sz="4" w:space="0" w:color="auto"/>
              <w:right w:val="nil"/>
            </w:tcBorders>
            <w:shd w:val="clear" w:color="auto" w:fill="FFFFFF"/>
            <w:vAlign w:val="bottom"/>
            <w:hideMark/>
          </w:tcPr>
          <w:p w14:paraId="1B4190B4" w14:textId="77777777" w:rsidR="00FE7F8B" w:rsidRDefault="00FE7F8B">
            <w:pPr>
              <w:pStyle w:val="Tabletextoutputs"/>
              <w:jc w:val="right"/>
              <w:rPr>
                <w:b/>
                <w:lang w:eastAsia="en-US"/>
              </w:rPr>
            </w:pPr>
            <w:r>
              <w:rPr>
                <w:b/>
                <w:lang w:eastAsia="en-US"/>
              </w:rPr>
              <w:t>83.9</w:t>
            </w:r>
          </w:p>
        </w:tc>
        <w:tc>
          <w:tcPr>
            <w:tcW w:w="475" w:type="pct"/>
            <w:tcBorders>
              <w:top w:val="single" w:sz="6" w:space="0" w:color="auto"/>
              <w:left w:val="nil"/>
              <w:bottom w:val="single" w:sz="4" w:space="0" w:color="auto"/>
              <w:right w:val="nil"/>
            </w:tcBorders>
            <w:shd w:val="clear" w:color="auto" w:fill="F2F2F2" w:themeFill="background1" w:themeFillShade="F2"/>
            <w:vAlign w:val="bottom"/>
            <w:hideMark/>
          </w:tcPr>
          <w:p w14:paraId="3D590CAD" w14:textId="77777777" w:rsidR="00FE7F8B" w:rsidRDefault="00FE7F8B">
            <w:pPr>
              <w:pStyle w:val="Tabletextoutputs"/>
              <w:jc w:val="right"/>
              <w:rPr>
                <w:b/>
                <w:lang w:eastAsia="en-US"/>
              </w:rPr>
            </w:pPr>
            <w:r>
              <w:rPr>
                <w:b/>
                <w:lang w:eastAsia="en-US"/>
              </w:rPr>
              <w:t>(0.7)</w:t>
            </w:r>
          </w:p>
        </w:tc>
        <w:tc>
          <w:tcPr>
            <w:tcW w:w="474" w:type="pct"/>
            <w:tcBorders>
              <w:top w:val="single" w:sz="6" w:space="0" w:color="auto"/>
              <w:left w:val="nil"/>
              <w:bottom w:val="single" w:sz="4" w:space="0" w:color="auto"/>
              <w:right w:val="nil"/>
            </w:tcBorders>
            <w:shd w:val="clear" w:color="auto" w:fill="FFFFFF"/>
            <w:vAlign w:val="bottom"/>
            <w:hideMark/>
          </w:tcPr>
          <w:p w14:paraId="1C482709" w14:textId="77777777" w:rsidR="00FE7F8B" w:rsidRDefault="00FE7F8B">
            <w:pPr>
              <w:pStyle w:val="Tabletextoutputs"/>
              <w:jc w:val="right"/>
              <w:rPr>
                <w:b/>
                <w:lang w:eastAsia="en-US"/>
              </w:rPr>
            </w:pPr>
            <w:r>
              <w:rPr>
                <w:b/>
                <w:lang w:eastAsia="en-US"/>
              </w:rPr>
              <w:t>(1.6)</w:t>
            </w:r>
          </w:p>
        </w:tc>
        <w:tc>
          <w:tcPr>
            <w:tcW w:w="499" w:type="pct"/>
            <w:gridSpan w:val="2"/>
            <w:tcBorders>
              <w:top w:val="single" w:sz="6" w:space="0" w:color="auto"/>
              <w:left w:val="nil"/>
              <w:bottom w:val="single" w:sz="4" w:space="0" w:color="auto"/>
              <w:right w:val="nil"/>
            </w:tcBorders>
            <w:shd w:val="clear" w:color="auto" w:fill="F2F2F2" w:themeFill="background1" w:themeFillShade="F2"/>
            <w:vAlign w:val="bottom"/>
            <w:hideMark/>
          </w:tcPr>
          <w:p w14:paraId="170E441C" w14:textId="77777777" w:rsidR="00FE7F8B" w:rsidRDefault="00FE7F8B">
            <w:pPr>
              <w:pStyle w:val="Tabletextoutputs"/>
              <w:jc w:val="right"/>
              <w:rPr>
                <w:b/>
                <w:lang w:eastAsia="en-US"/>
              </w:rPr>
            </w:pPr>
            <w:r>
              <w:rPr>
                <w:b/>
                <w:lang w:eastAsia="en-US"/>
              </w:rPr>
              <w:t>158.8</w:t>
            </w:r>
          </w:p>
        </w:tc>
      </w:tr>
      <w:tr w:rsidR="00FE7F8B" w14:paraId="6B9E3BC9" w14:textId="77777777" w:rsidTr="007304EB">
        <w:tc>
          <w:tcPr>
            <w:tcW w:w="5000" w:type="pct"/>
            <w:gridSpan w:val="9"/>
            <w:tcBorders>
              <w:top w:val="single" w:sz="4" w:space="0" w:color="auto"/>
              <w:left w:val="nil"/>
              <w:bottom w:val="nil"/>
              <w:right w:val="nil"/>
            </w:tcBorders>
            <w:shd w:val="clear" w:color="auto" w:fill="FFFFFF"/>
            <w:vAlign w:val="bottom"/>
            <w:hideMark/>
          </w:tcPr>
          <w:p w14:paraId="550994CC" w14:textId="77777777" w:rsidR="00FE7F8B" w:rsidRDefault="00FE7F8B">
            <w:pPr>
              <w:pStyle w:val="Tabletextoutputs"/>
              <w:rPr>
                <w:b/>
                <w:lang w:eastAsia="en-US"/>
              </w:rPr>
            </w:pPr>
            <w:r>
              <w:rPr>
                <w:b/>
                <w:lang w:eastAsia="en-US"/>
              </w:rPr>
              <w:t>Other economic flows—other comprehensive income</w:t>
            </w:r>
          </w:p>
        </w:tc>
      </w:tr>
      <w:tr w:rsidR="00CF70DB" w14:paraId="731A6103" w14:textId="77777777" w:rsidTr="00CF70DB">
        <w:tc>
          <w:tcPr>
            <w:tcW w:w="1459" w:type="pct"/>
            <w:tcBorders>
              <w:top w:val="nil"/>
              <w:left w:val="nil"/>
              <w:bottom w:val="single" w:sz="4" w:space="0" w:color="auto"/>
              <w:right w:val="nil"/>
            </w:tcBorders>
            <w:shd w:val="clear" w:color="auto" w:fill="FFFFFF"/>
            <w:noWrap/>
            <w:vAlign w:val="bottom"/>
            <w:hideMark/>
          </w:tcPr>
          <w:p w14:paraId="30687A84" w14:textId="77777777" w:rsidR="00FE7F8B" w:rsidRDefault="00FE7F8B">
            <w:pPr>
              <w:pStyle w:val="Tabletextoutputstight"/>
              <w:rPr>
                <w:lang w:eastAsia="en-US"/>
              </w:rPr>
            </w:pPr>
            <w:r>
              <w:rPr>
                <w:lang w:eastAsia="en-US"/>
              </w:rPr>
              <w:t>Changes in physical asset revaluation surplus</w:t>
            </w:r>
          </w:p>
        </w:tc>
        <w:tc>
          <w:tcPr>
            <w:tcW w:w="477" w:type="pct"/>
            <w:tcBorders>
              <w:top w:val="nil"/>
              <w:left w:val="nil"/>
              <w:bottom w:val="single" w:sz="4" w:space="0" w:color="auto"/>
              <w:right w:val="nil"/>
            </w:tcBorders>
            <w:shd w:val="clear" w:color="auto" w:fill="F2F2F2" w:themeFill="background1" w:themeFillShade="F2"/>
            <w:vAlign w:val="bottom"/>
            <w:hideMark/>
          </w:tcPr>
          <w:p w14:paraId="3330F465" w14:textId="77777777" w:rsidR="00FE7F8B" w:rsidRDefault="00FE7F8B">
            <w:pPr>
              <w:pStyle w:val="Tabletextoutputstight"/>
              <w:jc w:val="right"/>
              <w:rPr>
                <w:lang w:eastAsia="en-US"/>
              </w:rPr>
            </w:pPr>
            <w:r>
              <w:rPr>
                <w:lang w:eastAsia="en-US"/>
              </w:rPr>
              <w:t>-</w:t>
            </w:r>
          </w:p>
        </w:tc>
        <w:tc>
          <w:tcPr>
            <w:tcW w:w="474" w:type="pct"/>
            <w:tcBorders>
              <w:top w:val="nil"/>
              <w:left w:val="nil"/>
              <w:bottom w:val="single" w:sz="4" w:space="0" w:color="auto"/>
              <w:right w:val="nil"/>
            </w:tcBorders>
            <w:shd w:val="clear" w:color="auto" w:fill="FFFFFF"/>
            <w:vAlign w:val="bottom"/>
            <w:hideMark/>
          </w:tcPr>
          <w:p w14:paraId="781C8361" w14:textId="77777777" w:rsidR="00FE7F8B" w:rsidRDefault="00FE7F8B">
            <w:pPr>
              <w:pStyle w:val="Tabletextoutputstight"/>
              <w:jc w:val="right"/>
              <w:rPr>
                <w:lang w:eastAsia="en-US"/>
              </w:rPr>
            </w:pPr>
            <w:r>
              <w:rPr>
                <w:lang w:eastAsia="en-US"/>
              </w:rPr>
              <w:t>-</w:t>
            </w:r>
          </w:p>
        </w:tc>
        <w:tc>
          <w:tcPr>
            <w:tcW w:w="572" w:type="pct"/>
            <w:tcBorders>
              <w:top w:val="nil"/>
              <w:left w:val="nil"/>
              <w:bottom w:val="single" w:sz="4" w:space="0" w:color="auto"/>
              <w:right w:val="nil"/>
            </w:tcBorders>
            <w:shd w:val="clear" w:color="auto" w:fill="F2F2F2" w:themeFill="background1" w:themeFillShade="F2"/>
            <w:vAlign w:val="bottom"/>
            <w:hideMark/>
          </w:tcPr>
          <w:p w14:paraId="78E92562" w14:textId="77777777" w:rsidR="00FE7F8B" w:rsidRDefault="00FE7F8B">
            <w:pPr>
              <w:pStyle w:val="Tabletextoutputstight"/>
              <w:jc w:val="right"/>
              <w:rPr>
                <w:lang w:eastAsia="en-US"/>
              </w:rPr>
            </w:pPr>
            <w:r>
              <w:rPr>
                <w:lang w:eastAsia="en-US"/>
              </w:rPr>
              <w:t>578.0</w:t>
            </w:r>
          </w:p>
        </w:tc>
        <w:tc>
          <w:tcPr>
            <w:tcW w:w="570" w:type="pct"/>
            <w:tcBorders>
              <w:top w:val="nil"/>
              <w:left w:val="nil"/>
              <w:bottom w:val="single" w:sz="4" w:space="0" w:color="auto"/>
              <w:right w:val="nil"/>
            </w:tcBorders>
            <w:shd w:val="clear" w:color="auto" w:fill="FFFFFF"/>
            <w:vAlign w:val="bottom"/>
            <w:hideMark/>
          </w:tcPr>
          <w:p w14:paraId="234C1844" w14:textId="77777777" w:rsidR="00FE7F8B" w:rsidRDefault="00FE7F8B">
            <w:pPr>
              <w:pStyle w:val="Tabletextoutputstight"/>
              <w:jc w:val="right"/>
              <w:rPr>
                <w:lang w:eastAsia="en-US"/>
              </w:rPr>
            </w:pPr>
            <w:r>
              <w:rPr>
                <w:lang w:eastAsia="en-US"/>
              </w:rPr>
              <w:t>-</w:t>
            </w:r>
          </w:p>
        </w:tc>
        <w:tc>
          <w:tcPr>
            <w:tcW w:w="475" w:type="pct"/>
            <w:tcBorders>
              <w:top w:val="nil"/>
              <w:left w:val="nil"/>
              <w:bottom w:val="single" w:sz="4" w:space="0" w:color="auto"/>
              <w:right w:val="nil"/>
            </w:tcBorders>
            <w:shd w:val="clear" w:color="auto" w:fill="F2F2F2" w:themeFill="background1" w:themeFillShade="F2"/>
            <w:vAlign w:val="bottom"/>
            <w:hideMark/>
          </w:tcPr>
          <w:p w14:paraId="394B9F54" w14:textId="77777777" w:rsidR="00FE7F8B" w:rsidRDefault="00FE7F8B">
            <w:pPr>
              <w:pStyle w:val="Tabletextoutputstight"/>
              <w:jc w:val="right"/>
              <w:rPr>
                <w:lang w:eastAsia="en-US"/>
              </w:rPr>
            </w:pPr>
            <w:r>
              <w:rPr>
                <w:lang w:eastAsia="en-US"/>
              </w:rPr>
              <w:t>3.4</w:t>
            </w:r>
          </w:p>
        </w:tc>
        <w:tc>
          <w:tcPr>
            <w:tcW w:w="475" w:type="pct"/>
            <w:tcBorders>
              <w:top w:val="nil"/>
              <w:left w:val="nil"/>
              <w:bottom w:val="single" w:sz="4" w:space="0" w:color="auto"/>
              <w:right w:val="nil"/>
            </w:tcBorders>
            <w:shd w:val="clear" w:color="auto" w:fill="FFFFFF"/>
            <w:vAlign w:val="bottom"/>
            <w:hideMark/>
          </w:tcPr>
          <w:p w14:paraId="252C1CF4" w14:textId="77777777" w:rsidR="00FE7F8B" w:rsidRDefault="00FE7F8B">
            <w:pPr>
              <w:pStyle w:val="Tabletextoutputstight"/>
              <w:jc w:val="right"/>
              <w:rPr>
                <w:lang w:eastAsia="en-US"/>
              </w:rPr>
            </w:pPr>
            <w:r>
              <w:rPr>
                <w:lang w:eastAsia="en-US"/>
              </w:rPr>
              <w:t>234.1</w:t>
            </w:r>
          </w:p>
        </w:tc>
        <w:tc>
          <w:tcPr>
            <w:tcW w:w="497" w:type="pct"/>
            <w:gridSpan w:val="2"/>
            <w:tcBorders>
              <w:top w:val="nil"/>
              <w:left w:val="nil"/>
              <w:bottom w:val="single" w:sz="4" w:space="0" w:color="auto"/>
              <w:right w:val="nil"/>
            </w:tcBorders>
            <w:shd w:val="clear" w:color="auto" w:fill="F2F2F2" w:themeFill="background1" w:themeFillShade="F2"/>
            <w:vAlign w:val="bottom"/>
            <w:hideMark/>
          </w:tcPr>
          <w:p w14:paraId="285F8267" w14:textId="77777777" w:rsidR="00FE7F8B" w:rsidRDefault="00FE7F8B">
            <w:pPr>
              <w:pStyle w:val="Tabletextoutputstight"/>
              <w:jc w:val="right"/>
              <w:rPr>
                <w:lang w:eastAsia="en-US"/>
              </w:rPr>
            </w:pPr>
            <w:r>
              <w:rPr>
                <w:b/>
                <w:lang w:eastAsia="en-US"/>
              </w:rPr>
              <w:t>815.5</w:t>
            </w:r>
          </w:p>
        </w:tc>
      </w:tr>
      <w:tr w:rsidR="00CF70DB" w14:paraId="2F0543A4" w14:textId="77777777" w:rsidTr="00CF70DB">
        <w:tc>
          <w:tcPr>
            <w:tcW w:w="1459" w:type="pct"/>
            <w:tcBorders>
              <w:top w:val="single" w:sz="4" w:space="0" w:color="auto"/>
              <w:left w:val="nil"/>
              <w:bottom w:val="single" w:sz="4" w:space="0" w:color="auto"/>
              <w:right w:val="nil"/>
            </w:tcBorders>
            <w:shd w:val="clear" w:color="auto" w:fill="FFFFFF"/>
            <w:vAlign w:val="bottom"/>
            <w:hideMark/>
          </w:tcPr>
          <w:p w14:paraId="5608A7C0" w14:textId="77777777" w:rsidR="00FE7F8B" w:rsidRDefault="00FE7F8B">
            <w:pPr>
              <w:pStyle w:val="Tabletextoutputs"/>
              <w:rPr>
                <w:b/>
                <w:lang w:eastAsia="en-US"/>
              </w:rPr>
            </w:pPr>
            <w:r>
              <w:rPr>
                <w:b/>
                <w:lang w:eastAsia="en-US"/>
              </w:rPr>
              <w:t>Total other economic flows—other comprehensive income</w:t>
            </w:r>
          </w:p>
        </w:tc>
        <w:tc>
          <w:tcPr>
            <w:tcW w:w="477" w:type="pct"/>
            <w:tcBorders>
              <w:top w:val="single" w:sz="4" w:space="0" w:color="auto"/>
              <w:left w:val="nil"/>
              <w:bottom w:val="single" w:sz="4" w:space="0" w:color="auto"/>
              <w:right w:val="nil"/>
            </w:tcBorders>
            <w:shd w:val="clear" w:color="auto" w:fill="F2F2F2" w:themeFill="background1" w:themeFillShade="F2"/>
            <w:vAlign w:val="bottom"/>
            <w:hideMark/>
          </w:tcPr>
          <w:p w14:paraId="25184DBD" w14:textId="77777777" w:rsidR="00FE7F8B" w:rsidRDefault="00FE7F8B">
            <w:pPr>
              <w:pStyle w:val="Tabletextoutputs"/>
              <w:jc w:val="right"/>
              <w:rPr>
                <w:b/>
                <w:lang w:eastAsia="en-US"/>
              </w:rPr>
            </w:pPr>
            <w:r>
              <w:rPr>
                <w:b/>
                <w:lang w:eastAsia="en-US"/>
              </w:rPr>
              <w:t>-</w:t>
            </w:r>
          </w:p>
        </w:tc>
        <w:tc>
          <w:tcPr>
            <w:tcW w:w="474" w:type="pct"/>
            <w:tcBorders>
              <w:top w:val="single" w:sz="4" w:space="0" w:color="auto"/>
              <w:left w:val="nil"/>
              <w:bottom w:val="single" w:sz="4" w:space="0" w:color="auto"/>
              <w:right w:val="nil"/>
            </w:tcBorders>
            <w:shd w:val="clear" w:color="auto" w:fill="FFFFFF"/>
            <w:vAlign w:val="bottom"/>
            <w:hideMark/>
          </w:tcPr>
          <w:p w14:paraId="306B0F19" w14:textId="77777777" w:rsidR="00FE7F8B" w:rsidRDefault="00FE7F8B">
            <w:pPr>
              <w:pStyle w:val="Tabletextoutputs"/>
              <w:jc w:val="right"/>
              <w:rPr>
                <w:b/>
                <w:lang w:eastAsia="en-US"/>
              </w:rPr>
            </w:pPr>
            <w:r>
              <w:rPr>
                <w:b/>
                <w:lang w:eastAsia="en-US"/>
              </w:rPr>
              <w:t>-</w:t>
            </w:r>
          </w:p>
        </w:tc>
        <w:tc>
          <w:tcPr>
            <w:tcW w:w="572" w:type="pct"/>
            <w:tcBorders>
              <w:top w:val="single" w:sz="4" w:space="0" w:color="auto"/>
              <w:left w:val="nil"/>
              <w:bottom w:val="single" w:sz="4" w:space="0" w:color="auto"/>
              <w:right w:val="nil"/>
            </w:tcBorders>
            <w:shd w:val="clear" w:color="auto" w:fill="F2F2F2" w:themeFill="background1" w:themeFillShade="F2"/>
            <w:vAlign w:val="bottom"/>
            <w:hideMark/>
          </w:tcPr>
          <w:p w14:paraId="162EF7D8" w14:textId="77777777" w:rsidR="00FE7F8B" w:rsidRDefault="00FE7F8B">
            <w:pPr>
              <w:pStyle w:val="Tabletextoutputs"/>
              <w:jc w:val="right"/>
              <w:rPr>
                <w:b/>
                <w:lang w:eastAsia="en-US"/>
              </w:rPr>
            </w:pPr>
            <w:r>
              <w:rPr>
                <w:b/>
                <w:lang w:eastAsia="en-US"/>
              </w:rPr>
              <w:t>578.0</w:t>
            </w:r>
          </w:p>
        </w:tc>
        <w:tc>
          <w:tcPr>
            <w:tcW w:w="570" w:type="pct"/>
            <w:tcBorders>
              <w:top w:val="single" w:sz="4" w:space="0" w:color="auto"/>
              <w:left w:val="nil"/>
              <w:bottom w:val="single" w:sz="4" w:space="0" w:color="auto"/>
              <w:right w:val="nil"/>
            </w:tcBorders>
            <w:shd w:val="clear" w:color="auto" w:fill="FFFFFF"/>
            <w:vAlign w:val="bottom"/>
            <w:hideMark/>
          </w:tcPr>
          <w:p w14:paraId="22E6D111" w14:textId="77777777" w:rsidR="00FE7F8B" w:rsidRDefault="00FE7F8B">
            <w:pPr>
              <w:pStyle w:val="Tabletextoutputs"/>
              <w:jc w:val="right"/>
              <w:rPr>
                <w:b/>
                <w:lang w:eastAsia="en-US"/>
              </w:rPr>
            </w:pPr>
            <w:r>
              <w:rPr>
                <w:b/>
                <w:lang w:eastAsia="en-US"/>
              </w:rPr>
              <w:t>-</w:t>
            </w:r>
          </w:p>
        </w:tc>
        <w:tc>
          <w:tcPr>
            <w:tcW w:w="475" w:type="pct"/>
            <w:tcBorders>
              <w:top w:val="single" w:sz="4" w:space="0" w:color="auto"/>
              <w:left w:val="nil"/>
              <w:bottom w:val="single" w:sz="4" w:space="0" w:color="auto"/>
              <w:right w:val="nil"/>
            </w:tcBorders>
            <w:shd w:val="clear" w:color="auto" w:fill="F2F2F2" w:themeFill="background1" w:themeFillShade="F2"/>
            <w:vAlign w:val="bottom"/>
            <w:hideMark/>
          </w:tcPr>
          <w:p w14:paraId="0BEF4A7A" w14:textId="77777777" w:rsidR="00FE7F8B" w:rsidRDefault="00FE7F8B">
            <w:pPr>
              <w:pStyle w:val="Tabletextoutputs"/>
              <w:jc w:val="right"/>
              <w:rPr>
                <w:b/>
                <w:lang w:eastAsia="en-US"/>
              </w:rPr>
            </w:pPr>
            <w:r>
              <w:rPr>
                <w:b/>
                <w:lang w:eastAsia="en-US"/>
              </w:rPr>
              <w:t>3.4</w:t>
            </w:r>
          </w:p>
        </w:tc>
        <w:tc>
          <w:tcPr>
            <w:tcW w:w="475" w:type="pct"/>
            <w:tcBorders>
              <w:top w:val="single" w:sz="4" w:space="0" w:color="auto"/>
              <w:left w:val="nil"/>
              <w:bottom w:val="single" w:sz="4" w:space="0" w:color="auto"/>
              <w:right w:val="nil"/>
            </w:tcBorders>
            <w:shd w:val="clear" w:color="auto" w:fill="FFFFFF"/>
            <w:vAlign w:val="bottom"/>
            <w:hideMark/>
          </w:tcPr>
          <w:p w14:paraId="7608E0DD" w14:textId="77777777" w:rsidR="00FE7F8B" w:rsidRDefault="00FE7F8B">
            <w:pPr>
              <w:pStyle w:val="Tabletextoutputs"/>
              <w:jc w:val="right"/>
              <w:rPr>
                <w:b/>
                <w:lang w:eastAsia="en-US"/>
              </w:rPr>
            </w:pPr>
            <w:r>
              <w:rPr>
                <w:b/>
                <w:lang w:eastAsia="en-US"/>
              </w:rPr>
              <w:t>234.1</w:t>
            </w:r>
          </w:p>
        </w:tc>
        <w:tc>
          <w:tcPr>
            <w:tcW w:w="497"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4DA7877A" w14:textId="77777777" w:rsidR="00FE7F8B" w:rsidRDefault="00FE7F8B">
            <w:pPr>
              <w:pStyle w:val="Tabletextoutputs"/>
              <w:jc w:val="right"/>
              <w:rPr>
                <w:b/>
                <w:lang w:eastAsia="en-US"/>
              </w:rPr>
            </w:pPr>
            <w:r>
              <w:rPr>
                <w:b/>
                <w:lang w:eastAsia="en-US"/>
              </w:rPr>
              <w:t>815.5</w:t>
            </w:r>
          </w:p>
        </w:tc>
      </w:tr>
      <w:tr w:rsidR="00CF70DB" w14:paraId="2AED68C1" w14:textId="77777777" w:rsidTr="00CF70DB">
        <w:tc>
          <w:tcPr>
            <w:tcW w:w="1459" w:type="pct"/>
            <w:tcBorders>
              <w:top w:val="single" w:sz="4" w:space="0" w:color="auto"/>
              <w:left w:val="nil"/>
              <w:bottom w:val="single" w:sz="4" w:space="0" w:color="auto"/>
              <w:right w:val="nil"/>
            </w:tcBorders>
            <w:shd w:val="clear" w:color="auto" w:fill="FFFFFF"/>
            <w:vAlign w:val="bottom"/>
            <w:hideMark/>
          </w:tcPr>
          <w:p w14:paraId="7800A8C4" w14:textId="77777777" w:rsidR="00FE7F8B" w:rsidRDefault="00FE7F8B">
            <w:pPr>
              <w:pStyle w:val="Tabletextoutputs"/>
              <w:rPr>
                <w:b/>
                <w:lang w:eastAsia="en-US"/>
              </w:rPr>
            </w:pPr>
            <w:r>
              <w:rPr>
                <w:b/>
                <w:lang w:eastAsia="en-US"/>
              </w:rPr>
              <w:t>Comprehensive result</w:t>
            </w:r>
          </w:p>
        </w:tc>
        <w:tc>
          <w:tcPr>
            <w:tcW w:w="477" w:type="pct"/>
            <w:tcBorders>
              <w:top w:val="single" w:sz="4" w:space="0" w:color="auto"/>
              <w:left w:val="nil"/>
              <w:bottom w:val="single" w:sz="4" w:space="0" w:color="auto"/>
              <w:right w:val="nil"/>
            </w:tcBorders>
            <w:shd w:val="clear" w:color="auto" w:fill="F2F2F2" w:themeFill="background1" w:themeFillShade="F2"/>
            <w:vAlign w:val="bottom"/>
            <w:hideMark/>
          </w:tcPr>
          <w:p w14:paraId="4C575E44" w14:textId="77777777" w:rsidR="00FE7F8B" w:rsidRDefault="00FE7F8B">
            <w:pPr>
              <w:pStyle w:val="Tabletextoutputs"/>
              <w:jc w:val="right"/>
              <w:rPr>
                <w:b/>
                <w:lang w:eastAsia="en-US"/>
              </w:rPr>
            </w:pPr>
            <w:r>
              <w:rPr>
                <w:b/>
                <w:lang w:eastAsia="en-US"/>
              </w:rPr>
              <w:t>(0.1)</w:t>
            </w:r>
          </w:p>
        </w:tc>
        <w:tc>
          <w:tcPr>
            <w:tcW w:w="474" w:type="pct"/>
            <w:tcBorders>
              <w:top w:val="single" w:sz="4" w:space="0" w:color="auto"/>
              <w:left w:val="nil"/>
              <w:bottom w:val="single" w:sz="4" w:space="0" w:color="auto"/>
              <w:right w:val="nil"/>
            </w:tcBorders>
            <w:shd w:val="clear" w:color="auto" w:fill="FFFFFF"/>
            <w:vAlign w:val="bottom"/>
            <w:hideMark/>
          </w:tcPr>
          <w:p w14:paraId="4EC8224E" w14:textId="77777777" w:rsidR="00FE7F8B" w:rsidRDefault="00FE7F8B">
            <w:pPr>
              <w:pStyle w:val="Tabletextoutputs"/>
              <w:jc w:val="right"/>
              <w:rPr>
                <w:b/>
                <w:lang w:eastAsia="en-US"/>
              </w:rPr>
            </w:pPr>
            <w:r>
              <w:rPr>
                <w:b/>
                <w:lang w:eastAsia="en-US"/>
              </w:rPr>
              <w:t>(0.1)</w:t>
            </w:r>
          </w:p>
        </w:tc>
        <w:tc>
          <w:tcPr>
            <w:tcW w:w="572" w:type="pct"/>
            <w:tcBorders>
              <w:top w:val="single" w:sz="4" w:space="0" w:color="auto"/>
              <w:left w:val="nil"/>
              <w:bottom w:val="single" w:sz="4" w:space="0" w:color="auto"/>
              <w:right w:val="nil"/>
            </w:tcBorders>
            <w:shd w:val="clear" w:color="auto" w:fill="F2F2F2" w:themeFill="background1" w:themeFillShade="F2"/>
            <w:vAlign w:val="bottom"/>
            <w:hideMark/>
          </w:tcPr>
          <w:p w14:paraId="6ED8EEBD" w14:textId="77777777" w:rsidR="00FE7F8B" w:rsidRDefault="00FE7F8B">
            <w:pPr>
              <w:pStyle w:val="Tabletextoutputs"/>
              <w:jc w:val="right"/>
              <w:rPr>
                <w:b/>
                <w:lang w:eastAsia="en-US"/>
              </w:rPr>
            </w:pPr>
            <w:r>
              <w:rPr>
                <w:b/>
                <w:lang w:eastAsia="en-US"/>
              </w:rPr>
              <w:t>655.3</w:t>
            </w:r>
          </w:p>
        </w:tc>
        <w:tc>
          <w:tcPr>
            <w:tcW w:w="570" w:type="pct"/>
            <w:tcBorders>
              <w:top w:val="single" w:sz="4" w:space="0" w:color="auto"/>
              <w:left w:val="nil"/>
              <w:bottom w:val="single" w:sz="4" w:space="0" w:color="auto"/>
              <w:right w:val="nil"/>
            </w:tcBorders>
            <w:shd w:val="clear" w:color="auto" w:fill="FFFFFF"/>
            <w:vAlign w:val="bottom"/>
            <w:hideMark/>
          </w:tcPr>
          <w:p w14:paraId="134BB1CA" w14:textId="77777777" w:rsidR="00FE7F8B" w:rsidRDefault="00FE7F8B">
            <w:pPr>
              <w:pStyle w:val="Tabletextoutputs"/>
              <w:jc w:val="right"/>
              <w:rPr>
                <w:b/>
                <w:lang w:eastAsia="en-US"/>
              </w:rPr>
            </w:pPr>
            <w:r>
              <w:rPr>
                <w:b/>
                <w:lang w:eastAsia="en-US"/>
              </w:rPr>
              <w:t>83.9</w:t>
            </w:r>
          </w:p>
        </w:tc>
        <w:tc>
          <w:tcPr>
            <w:tcW w:w="475" w:type="pct"/>
            <w:tcBorders>
              <w:top w:val="single" w:sz="4" w:space="0" w:color="auto"/>
              <w:left w:val="nil"/>
              <w:bottom w:val="single" w:sz="4" w:space="0" w:color="auto"/>
              <w:right w:val="nil"/>
            </w:tcBorders>
            <w:shd w:val="clear" w:color="auto" w:fill="F2F2F2" w:themeFill="background1" w:themeFillShade="F2"/>
            <w:vAlign w:val="bottom"/>
            <w:hideMark/>
          </w:tcPr>
          <w:p w14:paraId="59F03FDD" w14:textId="77777777" w:rsidR="00FE7F8B" w:rsidRDefault="00FE7F8B">
            <w:pPr>
              <w:pStyle w:val="Tabletextoutputs"/>
              <w:jc w:val="right"/>
              <w:rPr>
                <w:b/>
                <w:lang w:eastAsia="en-US"/>
              </w:rPr>
            </w:pPr>
            <w:r>
              <w:rPr>
                <w:b/>
                <w:lang w:eastAsia="en-US"/>
              </w:rPr>
              <w:t>2.7</w:t>
            </w:r>
          </w:p>
        </w:tc>
        <w:tc>
          <w:tcPr>
            <w:tcW w:w="475" w:type="pct"/>
            <w:tcBorders>
              <w:top w:val="single" w:sz="4" w:space="0" w:color="auto"/>
              <w:left w:val="nil"/>
              <w:bottom w:val="single" w:sz="4" w:space="0" w:color="auto"/>
              <w:right w:val="nil"/>
            </w:tcBorders>
            <w:shd w:val="clear" w:color="auto" w:fill="FFFFFF"/>
            <w:vAlign w:val="bottom"/>
            <w:hideMark/>
          </w:tcPr>
          <w:p w14:paraId="70CEE4F0" w14:textId="77777777" w:rsidR="00FE7F8B" w:rsidRDefault="00FE7F8B">
            <w:pPr>
              <w:pStyle w:val="Tabletextoutputs"/>
              <w:jc w:val="right"/>
              <w:rPr>
                <w:b/>
                <w:lang w:eastAsia="en-US"/>
              </w:rPr>
            </w:pPr>
            <w:r>
              <w:rPr>
                <w:b/>
                <w:lang w:eastAsia="en-US"/>
              </w:rPr>
              <w:t>232.5</w:t>
            </w:r>
          </w:p>
        </w:tc>
        <w:tc>
          <w:tcPr>
            <w:tcW w:w="497" w:type="pct"/>
            <w:gridSpan w:val="2"/>
            <w:tcBorders>
              <w:top w:val="single" w:sz="4" w:space="0" w:color="auto"/>
              <w:left w:val="nil"/>
              <w:bottom w:val="single" w:sz="4" w:space="0" w:color="auto"/>
              <w:right w:val="nil"/>
            </w:tcBorders>
            <w:shd w:val="clear" w:color="auto" w:fill="F2F2F2" w:themeFill="background1" w:themeFillShade="F2"/>
            <w:vAlign w:val="bottom"/>
            <w:hideMark/>
          </w:tcPr>
          <w:p w14:paraId="4C31BB5B" w14:textId="77777777" w:rsidR="00FE7F8B" w:rsidRDefault="00FE7F8B">
            <w:pPr>
              <w:pStyle w:val="Tabletextoutputs"/>
              <w:jc w:val="right"/>
              <w:rPr>
                <w:b/>
                <w:lang w:eastAsia="en-US"/>
              </w:rPr>
            </w:pPr>
            <w:r>
              <w:rPr>
                <w:b/>
                <w:lang w:eastAsia="en-US"/>
              </w:rPr>
              <w:t>974.3</w:t>
            </w:r>
          </w:p>
        </w:tc>
      </w:tr>
    </w:tbl>
    <w:p w14:paraId="70D86DA8" w14:textId="77777777" w:rsidR="00FE7F8B" w:rsidRDefault="00FE7F8B" w:rsidP="00FE7F8B">
      <w:pPr>
        <w:pStyle w:val="Caption"/>
      </w:pPr>
    </w:p>
    <w:p w14:paraId="39F3B30D" w14:textId="77777777" w:rsidR="00FE7F8B" w:rsidRDefault="00FE7F8B" w:rsidP="00FE7F8B">
      <w:pPr>
        <w:pStyle w:val="Tablecolumnsubheadingitalic"/>
      </w:pPr>
      <w:r>
        <w:rPr>
          <w:b w:val="0"/>
          <w:i w:val="0"/>
        </w:rPr>
        <w:br w:type="page"/>
      </w:r>
      <w:r>
        <w:t xml:space="preserve">Table </w:t>
      </w:r>
      <w:fldSimple w:instr=" SEQ Table \* ARABIC ">
        <w:r w:rsidR="00B60957">
          <w:rPr>
            <w:noProof/>
          </w:rPr>
          <w:t>4</w:t>
        </w:r>
      </w:fldSimple>
      <w:r>
        <w:t>—Departmental outputs schedule—controlled assets and liabilities as at 30 June 2015</w:t>
      </w:r>
    </w:p>
    <w:tbl>
      <w:tblPr>
        <w:tblW w:w="5000" w:type="pct"/>
        <w:tblLook w:val="04A0" w:firstRow="1" w:lastRow="0" w:firstColumn="1" w:lastColumn="0" w:noHBand="0" w:noVBand="1"/>
      </w:tblPr>
      <w:tblGrid>
        <w:gridCol w:w="1720"/>
        <w:gridCol w:w="826"/>
        <w:gridCol w:w="827"/>
        <w:gridCol w:w="827"/>
        <w:gridCol w:w="827"/>
        <w:gridCol w:w="827"/>
        <w:gridCol w:w="827"/>
        <w:gridCol w:w="806"/>
      </w:tblGrid>
      <w:tr w:rsidR="00FE7F8B" w14:paraId="054A7C59" w14:textId="77777777" w:rsidTr="00FE7F8B">
        <w:trPr>
          <w:trHeight w:val="675"/>
        </w:trPr>
        <w:tc>
          <w:tcPr>
            <w:tcW w:w="1149" w:type="pct"/>
            <w:shd w:val="clear" w:color="auto" w:fill="7F7F7F" w:themeFill="text1" w:themeFillTint="80"/>
            <w:tcMar>
              <w:top w:w="0" w:type="dxa"/>
              <w:left w:w="57" w:type="dxa"/>
              <w:bottom w:w="0" w:type="dxa"/>
              <w:right w:w="57" w:type="dxa"/>
            </w:tcMar>
            <w:vAlign w:val="bottom"/>
            <w:hideMark/>
          </w:tcPr>
          <w:p w14:paraId="5528DEA6" w14:textId="77777777" w:rsidR="00FE7F8B" w:rsidRDefault="00FE7F8B"/>
        </w:tc>
        <w:tc>
          <w:tcPr>
            <w:tcW w:w="552" w:type="pct"/>
            <w:shd w:val="clear" w:color="auto" w:fill="7F7F7F" w:themeFill="text1" w:themeFillTint="80"/>
            <w:tcMar>
              <w:top w:w="0" w:type="dxa"/>
              <w:left w:w="57" w:type="dxa"/>
              <w:bottom w:w="0" w:type="dxa"/>
              <w:right w:w="57" w:type="dxa"/>
            </w:tcMar>
            <w:hideMark/>
          </w:tcPr>
          <w:p w14:paraId="1BF279D9" w14:textId="77777777" w:rsidR="00FE7F8B" w:rsidRDefault="00FE7F8B">
            <w:pPr>
              <w:pStyle w:val="Tabletextoutputs"/>
              <w:jc w:val="center"/>
              <w:rPr>
                <w:b/>
                <w:color w:val="FFFFFF" w:themeColor="background1"/>
                <w:lang w:eastAsia="en-US"/>
              </w:rPr>
            </w:pPr>
            <w:r>
              <w:rPr>
                <w:b/>
                <w:color w:val="FFFFFF" w:themeColor="background1"/>
                <w:lang w:eastAsia="en-US"/>
              </w:rPr>
              <w:t>Strategy, Review</w:t>
            </w:r>
            <w:r>
              <w:rPr>
                <w:b/>
                <w:color w:val="FFFFFF" w:themeColor="background1"/>
                <w:lang w:eastAsia="en-US"/>
              </w:rPr>
              <w:br/>
              <w:t>and Regulation</w:t>
            </w:r>
          </w:p>
        </w:tc>
        <w:tc>
          <w:tcPr>
            <w:tcW w:w="552" w:type="pct"/>
            <w:shd w:val="clear" w:color="auto" w:fill="7F7F7F" w:themeFill="text1" w:themeFillTint="80"/>
            <w:tcMar>
              <w:top w:w="0" w:type="dxa"/>
              <w:left w:w="57" w:type="dxa"/>
              <w:bottom w:w="0" w:type="dxa"/>
              <w:right w:w="57" w:type="dxa"/>
            </w:tcMar>
            <w:hideMark/>
          </w:tcPr>
          <w:p w14:paraId="403930C1" w14:textId="77777777" w:rsidR="00FE7F8B" w:rsidRDefault="00FE7F8B">
            <w:pPr>
              <w:pStyle w:val="Tabletextoutputs"/>
              <w:jc w:val="center"/>
              <w:rPr>
                <w:b/>
                <w:color w:val="FFFFFF" w:themeColor="background1"/>
                <w:lang w:eastAsia="en-US"/>
              </w:rPr>
            </w:pPr>
            <w:r>
              <w:rPr>
                <w:b/>
                <w:color w:val="FFFFFF" w:themeColor="background1"/>
                <w:lang w:eastAsia="en-US"/>
              </w:rPr>
              <w:t>Early Childhood Develop</w:t>
            </w:r>
            <w:r>
              <w:rPr>
                <w:b/>
                <w:color w:val="FFFFFF" w:themeColor="background1"/>
                <w:lang w:eastAsia="en-US"/>
              </w:rPr>
              <w:softHyphen/>
              <w:t>ment</w:t>
            </w:r>
          </w:p>
        </w:tc>
        <w:tc>
          <w:tcPr>
            <w:tcW w:w="552" w:type="pct"/>
            <w:shd w:val="clear" w:color="auto" w:fill="7F7F7F" w:themeFill="text1" w:themeFillTint="80"/>
            <w:tcMar>
              <w:top w:w="0" w:type="dxa"/>
              <w:left w:w="57" w:type="dxa"/>
              <w:bottom w:w="0" w:type="dxa"/>
              <w:right w:w="57" w:type="dxa"/>
            </w:tcMar>
            <w:hideMark/>
          </w:tcPr>
          <w:p w14:paraId="6D103B6B" w14:textId="77777777" w:rsidR="00FE7F8B" w:rsidRDefault="00FE7F8B">
            <w:pPr>
              <w:pStyle w:val="Tabletextoutputs"/>
              <w:jc w:val="center"/>
              <w:rPr>
                <w:b/>
                <w:color w:val="FFFFFF" w:themeColor="background1"/>
                <w:lang w:eastAsia="en-US"/>
              </w:rPr>
            </w:pPr>
            <w:r>
              <w:rPr>
                <w:b/>
                <w:color w:val="FFFFFF" w:themeColor="background1"/>
                <w:lang w:eastAsia="en-US"/>
              </w:rPr>
              <w:t>School Education</w:t>
            </w:r>
          </w:p>
        </w:tc>
        <w:tc>
          <w:tcPr>
            <w:tcW w:w="552" w:type="pct"/>
            <w:shd w:val="clear" w:color="auto" w:fill="7F7F7F" w:themeFill="text1" w:themeFillTint="80"/>
            <w:tcMar>
              <w:top w:w="0" w:type="dxa"/>
              <w:left w:w="57" w:type="dxa"/>
              <w:bottom w:w="0" w:type="dxa"/>
              <w:right w:w="57" w:type="dxa"/>
            </w:tcMar>
            <w:hideMark/>
          </w:tcPr>
          <w:p w14:paraId="22C479E0" w14:textId="77777777" w:rsidR="00FE7F8B" w:rsidRDefault="00FE7F8B">
            <w:pPr>
              <w:pStyle w:val="Tabletextoutputs"/>
              <w:jc w:val="center"/>
              <w:rPr>
                <w:b/>
                <w:color w:val="FFFFFF" w:themeColor="background1"/>
                <w:lang w:eastAsia="en-US"/>
              </w:rPr>
            </w:pPr>
            <w:r>
              <w:rPr>
                <w:b/>
                <w:color w:val="FFFFFF" w:themeColor="background1"/>
                <w:lang w:eastAsia="en-US"/>
              </w:rPr>
              <w:t>Higher Education and Skills</w:t>
            </w:r>
          </w:p>
        </w:tc>
        <w:tc>
          <w:tcPr>
            <w:tcW w:w="552" w:type="pct"/>
            <w:shd w:val="clear" w:color="auto" w:fill="7F7F7F" w:themeFill="text1" w:themeFillTint="80"/>
            <w:tcMar>
              <w:top w:w="0" w:type="dxa"/>
              <w:left w:w="57" w:type="dxa"/>
              <w:bottom w:w="0" w:type="dxa"/>
              <w:right w:w="57" w:type="dxa"/>
            </w:tcMar>
            <w:hideMark/>
          </w:tcPr>
          <w:p w14:paraId="66843F8B" w14:textId="77777777" w:rsidR="00FE7F8B" w:rsidRDefault="00FE7F8B">
            <w:pPr>
              <w:pStyle w:val="Tabletextoutputs"/>
              <w:jc w:val="center"/>
              <w:rPr>
                <w:b/>
                <w:color w:val="FFFFFF" w:themeColor="background1"/>
                <w:lang w:eastAsia="en-US"/>
              </w:rPr>
            </w:pPr>
            <w:r>
              <w:rPr>
                <w:b/>
                <w:color w:val="FFFFFF" w:themeColor="background1"/>
                <w:lang w:eastAsia="en-US"/>
              </w:rPr>
              <w:t>Support Services Delivery</w:t>
            </w:r>
          </w:p>
        </w:tc>
        <w:tc>
          <w:tcPr>
            <w:tcW w:w="552" w:type="pct"/>
            <w:shd w:val="clear" w:color="auto" w:fill="7F7F7F" w:themeFill="text1" w:themeFillTint="80"/>
            <w:tcMar>
              <w:top w:w="0" w:type="dxa"/>
              <w:left w:w="57" w:type="dxa"/>
              <w:bottom w:w="0" w:type="dxa"/>
              <w:right w:w="57" w:type="dxa"/>
            </w:tcMar>
            <w:hideMark/>
          </w:tcPr>
          <w:p w14:paraId="7A86A809" w14:textId="77777777" w:rsidR="00FE7F8B" w:rsidRDefault="00FE7F8B">
            <w:pPr>
              <w:pStyle w:val="Tabletextoutputs"/>
              <w:jc w:val="center"/>
              <w:rPr>
                <w:b/>
                <w:color w:val="FFFFFF" w:themeColor="background1"/>
                <w:lang w:eastAsia="en-US"/>
              </w:rPr>
            </w:pPr>
            <w:r>
              <w:rPr>
                <w:b/>
                <w:color w:val="FFFFFF" w:themeColor="background1"/>
                <w:lang w:eastAsia="en-US"/>
              </w:rPr>
              <w:t>Support for Students with Disabilities</w:t>
            </w:r>
          </w:p>
        </w:tc>
        <w:tc>
          <w:tcPr>
            <w:tcW w:w="538" w:type="pct"/>
            <w:shd w:val="clear" w:color="auto" w:fill="7F7F7F" w:themeFill="text1" w:themeFillTint="80"/>
            <w:tcMar>
              <w:top w:w="0" w:type="dxa"/>
              <w:left w:w="57" w:type="dxa"/>
              <w:bottom w:w="0" w:type="dxa"/>
              <w:right w:w="57" w:type="dxa"/>
            </w:tcMar>
            <w:hideMark/>
          </w:tcPr>
          <w:p w14:paraId="1AE95ABB" w14:textId="77777777" w:rsidR="00FE7F8B" w:rsidRDefault="00FE7F8B">
            <w:pPr>
              <w:pStyle w:val="Tabletextoutputs"/>
              <w:jc w:val="center"/>
              <w:rPr>
                <w:b/>
                <w:color w:val="FFFFFF" w:themeColor="background1"/>
                <w:lang w:eastAsia="en-US"/>
              </w:rPr>
            </w:pPr>
            <w:r>
              <w:rPr>
                <w:b/>
                <w:color w:val="FFFFFF" w:themeColor="background1"/>
                <w:lang w:eastAsia="en-US"/>
              </w:rPr>
              <w:t>Depart</w:t>
            </w:r>
            <w:r>
              <w:rPr>
                <w:b/>
                <w:color w:val="FFFFFF" w:themeColor="background1"/>
                <w:lang w:eastAsia="en-US"/>
              </w:rPr>
              <w:softHyphen/>
              <w:t>mental total</w:t>
            </w:r>
          </w:p>
        </w:tc>
      </w:tr>
      <w:tr w:rsidR="00FE7F8B" w14:paraId="1C82D381" w14:textId="77777777" w:rsidTr="00FE7F8B">
        <w:trPr>
          <w:trHeight w:val="255"/>
        </w:trPr>
        <w:tc>
          <w:tcPr>
            <w:tcW w:w="1149" w:type="pct"/>
            <w:shd w:val="clear" w:color="auto" w:fill="7F7F7F" w:themeFill="text1" w:themeFillTint="80"/>
            <w:noWrap/>
            <w:vAlign w:val="bottom"/>
            <w:hideMark/>
          </w:tcPr>
          <w:p w14:paraId="15910F97" w14:textId="77777777" w:rsidR="00FE7F8B" w:rsidRDefault="00FE7F8B">
            <w:pPr>
              <w:pStyle w:val="Tabletextoutputs"/>
              <w:rPr>
                <w:b/>
                <w:color w:val="FFFFFF" w:themeColor="background1"/>
                <w:lang w:eastAsia="en-US"/>
              </w:rPr>
            </w:pPr>
            <w:r>
              <w:rPr>
                <w:b/>
                <w:color w:val="FFFFFF" w:themeColor="background1"/>
                <w:lang w:eastAsia="en-US"/>
              </w:rPr>
              <w:t>Assets and Liabilities</w:t>
            </w:r>
          </w:p>
        </w:tc>
        <w:tc>
          <w:tcPr>
            <w:tcW w:w="552" w:type="pct"/>
            <w:shd w:val="clear" w:color="auto" w:fill="7F7F7F" w:themeFill="text1" w:themeFillTint="80"/>
            <w:hideMark/>
          </w:tcPr>
          <w:p w14:paraId="790FE29A"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52" w:type="pct"/>
            <w:shd w:val="clear" w:color="auto" w:fill="7F7F7F" w:themeFill="text1" w:themeFillTint="80"/>
            <w:hideMark/>
          </w:tcPr>
          <w:p w14:paraId="71752A79"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52" w:type="pct"/>
            <w:shd w:val="clear" w:color="auto" w:fill="7F7F7F" w:themeFill="text1" w:themeFillTint="80"/>
            <w:hideMark/>
          </w:tcPr>
          <w:p w14:paraId="36EB5FF7"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52" w:type="pct"/>
            <w:shd w:val="clear" w:color="auto" w:fill="7F7F7F" w:themeFill="text1" w:themeFillTint="80"/>
            <w:hideMark/>
          </w:tcPr>
          <w:p w14:paraId="7ECD51E1"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52" w:type="pct"/>
            <w:shd w:val="clear" w:color="auto" w:fill="7F7F7F" w:themeFill="text1" w:themeFillTint="80"/>
            <w:hideMark/>
          </w:tcPr>
          <w:p w14:paraId="25CB2C10"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52" w:type="pct"/>
            <w:shd w:val="clear" w:color="auto" w:fill="7F7F7F" w:themeFill="text1" w:themeFillTint="80"/>
            <w:hideMark/>
          </w:tcPr>
          <w:p w14:paraId="7E661715" w14:textId="77777777" w:rsidR="00FE7F8B" w:rsidRDefault="00FE7F8B">
            <w:pPr>
              <w:pStyle w:val="Tabletextoutputs"/>
              <w:jc w:val="center"/>
              <w:rPr>
                <w:b/>
                <w:color w:val="FFFFFF" w:themeColor="background1"/>
                <w:lang w:eastAsia="en-US"/>
              </w:rPr>
            </w:pPr>
            <w:r>
              <w:rPr>
                <w:b/>
                <w:color w:val="FFFFFF" w:themeColor="background1"/>
                <w:lang w:eastAsia="en-US"/>
              </w:rPr>
              <w:t>$m</w:t>
            </w:r>
          </w:p>
        </w:tc>
        <w:tc>
          <w:tcPr>
            <w:tcW w:w="538" w:type="pct"/>
            <w:shd w:val="clear" w:color="auto" w:fill="7F7F7F" w:themeFill="text1" w:themeFillTint="80"/>
            <w:hideMark/>
          </w:tcPr>
          <w:p w14:paraId="2D908674" w14:textId="77777777" w:rsidR="00FE7F8B" w:rsidRDefault="00FE7F8B">
            <w:pPr>
              <w:pStyle w:val="Tabletextoutputs"/>
              <w:jc w:val="center"/>
              <w:rPr>
                <w:b/>
                <w:color w:val="FFFFFF" w:themeColor="background1"/>
                <w:lang w:eastAsia="en-US"/>
              </w:rPr>
            </w:pPr>
            <w:r>
              <w:rPr>
                <w:b/>
                <w:color w:val="FFFFFF" w:themeColor="background1"/>
                <w:lang w:eastAsia="en-US"/>
              </w:rPr>
              <w:t>$m</w:t>
            </w:r>
          </w:p>
        </w:tc>
      </w:tr>
      <w:tr w:rsidR="00FE7F8B" w14:paraId="430DD4FB" w14:textId="77777777" w:rsidTr="00FE7F8B">
        <w:tc>
          <w:tcPr>
            <w:tcW w:w="1149" w:type="pct"/>
            <w:shd w:val="clear" w:color="auto" w:fill="FFFFFF"/>
            <w:noWrap/>
            <w:vAlign w:val="bottom"/>
            <w:hideMark/>
          </w:tcPr>
          <w:p w14:paraId="61F8BAA7" w14:textId="77777777" w:rsidR="00FE7F8B" w:rsidRDefault="00FE7F8B">
            <w:pPr>
              <w:pStyle w:val="Tabletextoutputs"/>
              <w:rPr>
                <w:b/>
                <w:lang w:eastAsia="en-US"/>
              </w:rPr>
            </w:pPr>
            <w:r>
              <w:rPr>
                <w:b/>
                <w:lang w:eastAsia="en-US"/>
              </w:rPr>
              <w:t>Assets</w:t>
            </w:r>
          </w:p>
        </w:tc>
        <w:tc>
          <w:tcPr>
            <w:tcW w:w="552" w:type="pct"/>
            <w:shd w:val="clear" w:color="auto" w:fill="FFFFFF"/>
            <w:noWrap/>
            <w:vAlign w:val="bottom"/>
          </w:tcPr>
          <w:p w14:paraId="1E1D7AC0" w14:textId="77777777" w:rsidR="00FE7F8B" w:rsidRDefault="00FE7F8B">
            <w:pPr>
              <w:pStyle w:val="Tabletextoutputs"/>
              <w:rPr>
                <w:b/>
                <w:lang w:eastAsia="en-US"/>
              </w:rPr>
            </w:pPr>
          </w:p>
        </w:tc>
        <w:tc>
          <w:tcPr>
            <w:tcW w:w="552" w:type="pct"/>
            <w:shd w:val="clear" w:color="auto" w:fill="FFFFFF"/>
            <w:noWrap/>
            <w:vAlign w:val="bottom"/>
          </w:tcPr>
          <w:p w14:paraId="6BFAE8AC" w14:textId="77777777" w:rsidR="00FE7F8B" w:rsidRDefault="00FE7F8B">
            <w:pPr>
              <w:pStyle w:val="Tabletextoutputs"/>
              <w:rPr>
                <w:b/>
                <w:lang w:eastAsia="en-US"/>
              </w:rPr>
            </w:pPr>
          </w:p>
        </w:tc>
        <w:tc>
          <w:tcPr>
            <w:tcW w:w="552" w:type="pct"/>
            <w:shd w:val="clear" w:color="auto" w:fill="FFFFFF"/>
            <w:noWrap/>
            <w:vAlign w:val="bottom"/>
          </w:tcPr>
          <w:p w14:paraId="13BCEEEC" w14:textId="77777777" w:rsidR="00FE7F8B" w:rsidRDefault="00FE7F8B">
            <w:pPr>
              <w:pStyle w:val="Tabletextoutputs"/>
              <w:rPr>
                <w:b/>
                <w:lang w:eastAsia="en-US"/>
              </w:rPr>
            </w:pPr>
          </w:p>
        </w:tc>
        <w:tc>
          <w:tcPr>
            <w:tcW w:w="552" w:type="pct"/>
            <w:shd w:val="clear" w:color="auto" w:fill="FFFFFF"/>
            <w:noWrap/>
            <w:vAlign w:val="bottom"/>
          </w:tcPr>
          <w:p w14:paraId="52267E85" w14:textId="77777777" w:rsidR="00FE7F8B" w:rsidRDefault="00FE7F8B">
            <w:pPr>
              <w:pStyle w:val="Tabletextoutputs"/>
              <w:rPr>
                <w:b/>
                <w:lang w:eastAsia="en-US"/>
              </w:rPr>
            </w:pPr>
          </w:p>
        </w:tc>
        <w:tc>
          <w:tcPr>
            <w:tcW w:w="552" w:type="pct"/>
            <w:shd w:val="clear" w:color="auto" w:fill="FFFFFF"/>
            <w:noWrap/>
            <w:vAlign w:val="bottom"/>
          </w:tcPr>
          <w:p w14:paraId="29D0834B" w14:textId="77777777" w:rsidR="00FE7F8B" w:rsidRDefault="00FE7F8B">
            <w:pPr>
              <w:pStyle w:val="Tabletextoutputs"/>
              <w:rPr>
                <w:b/>
                <w:lang w:eastAsia="en-US"/>
              </w:rPr>
            </w:pPr>
          </w:p>
        </w:tc>
        <w:tc>
          <w:tcPr>
            <w:tcW w:w="552" w:type="pct"/>
            <w:shd w:val="clear" w:color="auto" w:fill="FFFFFF"/>
            <w:noWrap/>
            <w:vAlign w:val="bottom"/>
          </w:tcPr>
          <w:p w14:paraId="3F4998F5" w14:textId="77777777" w:rsidR="00FE7F8B" w:rsidRDefault="00FE7F8B">
            <w:pPr>
              <w:pStyle w:val="Tabletextoutputs"/>
              <w:rPr>
                <w:b/>
                <w:lang w:eastAsia="en-US"/>
              </w:rPr>
            </w:pPr>
          </w:p>
        </w:tc>
        <w:tc>
          <w:tcPr>
            <w:tcW w:w="538" w:type="pct"/>
            <w:shd w:val="clear" w:color="auto" w:fill="FFFFFF"/>
            <w:noWrap/>
            <w:vAlign w:val="bottom"/>
          </w:tcPr>
          <w:p w14:paraId="057DB823" w14:textId="77777777" w:rsidR="00FE7F8B" w:rsidRDefault="00FE7F8B">
            <w:pPr>
              <w:pStyle w:val="Tabletextoutputs"/>
              <w:rPr>
                <w:b/>
                <w:lang w:eastAsia="en-US"/>
              </w:rPr>
            </w:pPr>
          </w:p>
        </w:tc>
      </w:tr>
      <w:tr w:rsidR="00FE7F8B" w14:paraId="7B85E284" w14:textId="77777777" w:rsidTr="00FE7F8B">
        <w:tc>
          <w:tcPr>
            <w:tcW w:w="1149" w:type="pct"/>
            <w:shd w:val="clear" w:color="auto" w:fill="FFFFFF"/>
            <w:noWrap/>
            <w:vAlign w:val="bottom"/>
            <w:hideMark/>
          </w:tcPr>
          <w:p w14:paraId="04B078DB" w14:textId="77777777" w:rsidR="00FE7F8B" w:rsidRDefault="00FE7F8B">
            <w:pPr>
              <w:pStyle w:val="Tabletextoutputs"/>
              <w:rPr>
                <w:lang w:eastAsia="en-US"/>
              </w:rPr>
            </w:pPr>
            <w:r>
              <w:rPr>
                <w:lang w:eastAsia="en-US"/>
              </w:rPr>
              <w:t>Financial assets</w:t>
            </w:r>
          </w:p>
        </w:tc>
        <w:tc>
          <w:tcPr>
            <w:tcW w:w="552" w:type="pct"/>
            <w:shd w:val="clear" w:color="auto" w:fill="F2F2F2" w:themeFill="background1" w:themeFillShade="F2"/>
            <w:vAlign w:val="bottom"/>
            <w:hideMark/>
          </w:tcPr>
          <w:p w14:paraId="01190A9B" w14:textId="77777777" w:rsidR="00FE7F8B" w:rsidRDefault="00FE7F8B">
            <w:pPr>
              <w:pStyle w:val="Tabletextoutputs"/>
              <w:jc w:val="right"/>
              <w:rPr>
                <w:lang w:eastAsia="en-US"/>
              </w:rPr>
            </w:pPr>
            <w:r>
              <w:rPr>
                <w:lang w:eastAsia="en-US"/>
              </w:rPr>
              <w:t>15.9</w:t>
            </w:r>
          </w:p>
        </w:tc>
        <w:tc>
          <w:tcPr>
            <w:tcW w:w="552" w:type="pct"/>
            <w:shd w:val="clear" w:color="auto" w:fill="FFFFFF"/>
            <w:noWrap/>
            <w:vAlign w:val="bottom"/>
            <w:hideMark/>
          </w:tcPr>
          <w:p w14:paraId="38B893C2" w14:textId="77777777" w:rsidR="00FE7F8B" w:rsidRDefault="00FE7F8B">
            <w:pPr>
              <w:pStyle w:val="Tabletextoutputs"/>
              <w:jc w:val="right"/>
              <w:rPr>
                <w:lang w:eastAsia="en-US"/>
              </w:rPr>
            </w:pPr>
            <w:r>
              <w:rPr>
                <w:lang w:eastAsia="en-US"/>
              </w:rPr>
              <w:t>69.7</w:t>
            </w:r>
          </w:p>
        </w:tc>
        <w:tc>
          <w:tcPr>
            <w:tcW w:w="552" w:type="pct"/>
            <w:shd w:val="clear" w:color="auto" w:fill="F2F2F2" w:themeFill="background1" w:themeFillShade="F2"/>
            <w:noWrap/>
            <w:vAlign w:val="bottom"/>
            <w:hideMark/>
          </w:tcPr>
          <w:p w14:paraId="1C093CD7" w14:textId="77777777" w:rsidR="00FE7F8B" w:rsidRDefault="00FE7F8B">
            <w:pPr>
              <w:pStyle w:val="Tabletextoutputs"/>
              <w:jc w:val="right"/>
              <w:rPr>
                <w:lang w:eastAsia="en-US"/>
              </w:rPr>
            </w:pPr>
            <w:r>
              <w:rPr>
                <w:lang w:eastAsia="en-US"/>
              </w:rPr>
              <w:t>2,034.8</w:t>
            </w:r>
          </w:p>
        </w:tc>
        <w:tc>
          <w:tcPr>
            <w:tcW w:w="552" w:type="pct"/>
            <w:shd w:val="clear" w:color="auto" w:fill="FFFFFF"/>
            <w:noWrap/>
            <w:vAlign w:val="bottom"/>
            <w:hideMark/>
          </w:tcPr>
          <w:p w14:paraId="296FCE5C" w14:textId="77777777" w:rsidR="00FE7F8B" w:rsidRDefault="00FE7F8B">
            <w:pPr>
              <w:pStyle w:val="Tabletextoutputs"/>
              <w:jc w:val="right"/>
              <w:rPr>
                <w:lang w:eastAsia="en-US"/>
              </w:rPr>
            </w:pPr>
            <w:r>
              <w:rPr>
                <w:lang w:eastAsia="en-US"/>
              </w:rPr>
              <w:t>167.1</w:t>
            </w:r>
          </w:p>
        </w:tc>
        <w:tc>
          <w:tcPr>
            <w:tcW w:w="552" w:type="pct"/>
            <w:shd w:val="clear" w:color="auto" w:fill="F2F2F2" w:themeFill="background1" w:themeFillShade="F2"/>
            <w:vAlign w:val="bottom"/>
            <w:hideMark/>
          </w:tcPr>
          <w:p w14:paraId="414C797C" w14:textId="77777777" w:rsidR="00FE7F8B" w:rsidRDefault="00FE7F8B">
            <w:pPr>
              <w:pStyle w:val="Tabletextoutputs"/>
              <w:jc w:val="right"/>
              <w:rPr>
                <w:lang w:eastAsia="en-US"/>
              </w:rPr>
            </w:pPr>
            <w:r>
              <w:rPr>
                <w:lang w:eastAsia="en-US"/>
              </w:rPr>
              <w:t>72.9</w:t>
            </w:r>
          </w:p>
        </w:tc>
        <w:tc>
          <w:tcPr>
            <w:tcW w:w="552" w:type="pct"/>
            <w:shd w:val="clear" w:color="auto" w:fill="FFFFFF"/>
            <w:noWrap/>
            <w:vAlign w:val="bottom"/>
            <w:hideMark/>
          </w:tcPr>
          <w:p w14:paraId="2DDD70A0" w14:textId="77777777" w:rsidR="00FE7F8B" w:rsidRDefault="00FE7F8B">
            <w:pPr>
              <w:pStyle w:val="Tabletextoutputs"/>
              <w:jc w:val="right"/>
              <w:rPr>
                <w:lang w:eastAsia="en-US"/>
              </w:rPr>
            </w:pPr>
            <w:r>
              <w:rPr>
                <w:lang w:eastAsia="en-US"/>
              </w:rPr>
              <w:t>213.3</w:t>
            </w:r>
          </w:p>
        </w:tc>
        <w:tc>
          <w:tcPr>
            <w:tcW w:w="538" w:type="pct"/>
            <w:shd w:val="clear" w:color="auto" w:fill="F2F2F2" w:themeFill="background1" w:themeFillShade="F2"/>
            <w:vAlign w:val="bottom"/>
            <w:hideMark/>
          </w:tcPr>
          <w:p w14:paraId="23367727" w14:textId="77777777" w:rsidR="00FE7F8B" w:rsidRDefault="00FE7F8B">
            <w:pPr>
              <w:pStyle w:val="Tabletextoutputs"/>
              <w:jc w:val="right"/>
              <w:rPr>
                <w:lang w:eastAsia="en-US"/>
              </w:rPr>
            </w:pPr>
            <w:r>
              <w:rPr>
                <w:b/>
                <w:lang w:eastAsia="en-US"/>
              </w:rPr>
              <w:t>2,573.7</w:t>
            </w:r>
          </w:p>
        </w:tc>
      </w:tr>
      <w:tr w:rsidR="00FE7F8B" w14:paraId="5FBDC5F1" w14:textId="77777777" w:rsidTr="00FE7F8B">
        <w:tc>
          <w:tcPr>
            <w:tcW w:w="1149" w:type="pct"/>
            <w:tcBorders>
              <w:top w:val="nil"/>
              <w:left w:val="nil"/>
              <w:bottom w:val="single" w:sz="4" w:space="0" w:color="auto"/>
              <w:right w:val="nil"/>
            </w:tcBorders>
            <w:shd w:val="clear" w:color="auto" w:fill="FFFFFF"/>
            <w:noWrap/>
            <w:vAlign w:val="bottom"/>
            <w:hideMark/>
          </w:tcPr>
          <w:p w14:paraId="5A4FC981" w14:textId="77777777" w:rsidR="00FE7F8B" w:rsidRDefault="00FE7F8B">
            <w:pPr>
              <w:pStyle w:val="Tabletextoutputs"/>
              <w:rPr>
                <w:lang w:eastAsia="en-US"/>
              </w:rPr>
            </w:pPr>
            <w:r>
              <w:rPr>
                <w:lang w:eastAsia="en-US"/>
              </w:rPr>
              <w:t>Non-financial assets</w:t>
            </w:r>
          </w:p>
        </w:tc>
        <w:tc>
          <w:tcPr>
            <w:tcW w:w="552" w:type="pct"/>
            <w:tcBorders>
              <w:top w:val="nil"/>
              <w:left w:val="nil"/>
              <w:bottom w:val="single" w:sz="4" w:space="0" w:color="auto"/>
              <w:right w:val="nil"/>
            </w:tcBorders>
            <w:shd w:val="clear" w:color="auto" w:fill="F2F2F2" w:themeFill="background1" w:themeFillShade="F2"/>
            <w:vAlign w:val="bottom"/>
            <w:hideMark/>
          </w:tcPr>
          <w:p w14:paraId="41F234E7" w14:textId="77777777" w:rsidR="00FE7F8B" w:rsidRDefault="00FE7F8B">
            <w:pPr>
              <w:pStyle w:val="Tabletextoutputs"/>
              <w:jc w:val="right"/>
              <w:rPr>
                <w:lang w:eastAsia="en-US"/>
              </w:rPr>
            </w:pPr>
            <w:r>
              <w:rPr>
                <w:lang w:eastAsia="en-US"/>
              </w:rPr>
              <w:t>11.2</w:t>
            </w:r>
          </w:p>
        </w:tc>
        <w:tc>
          <w:tcPr>
            <w:tcW w:w="552" w:type="pct"/>
            <w:tcBorders>
              <w:top w:val="nil"/>
              <w:left w:val="nil"/>
              <w:bottom w:val="single" w:sz="4" w:space="0" w:color="auto"/>
              <w:right w:val="nil"/>
            </w:tcBorders>
            <w:shd w:val="clear" w:color="auto" w:fill="FFFFFF"/>
            <w:noWrap/>
            <w:vAlign w:val="bottom"/>
            <w:hideMark/>
          </w:tcPr>
          <w:p w14:paraId="03E44FFF" w14:textId="77777777" w:rsidR="00FE7F8B" w:rsidRDefault="00FE7F8B">
            <w:pPr>
              <w:pStyle w:val="Tabletextoutputs"/>
              <w:jc w:val="right"/>
              <w:rPr>
                <w:lang w:eastAsia="en-US"/>
              </w:rPr>
            </w:pPr>
            <w:r>
              <w:rPr>
                <w:lang w:eastAsia="en-US"/>
              </w:rPr>
              <w:t>76.9</w:t>
            </w:r>
          </w:p>
        </w:tc>
        <w:tc>
          <w:tcPr>
            <w:tcW w:w="552" w:type="pct"/>
            <w:tcBorders>
              <w:top w:val="nil"/>
              <w:left w:val="nil"/>
              <w:bottom w:val="single" w:sz="4" w:space="0" w:color="auto"/>
              <w:right w:val="nil"/>
            </w:tcBorders>
            <w:shd w:val="clear" w:color="auto" w:fill="F2F2F2" w:themeFill="background1" w:themeFillShade="F2"/>
            <w:noWrap/>
            <w:vAlign w:val="bottom"/>
            <w:hideMark/>
          </w:tcPr>
          <w:p w14:paraId="68DDA773" w14:textId="77777777" w:rsidR="00FE7F8B" w:rsidRDefault="00FE7F8B">
            <w:pPr>
              <w:pStyle w:val="Tabletextoutputs"/>
              <w:jc w:val="right"/>
              <w:rPr>
                <w:lang w:eastAsia="en-US"/>
              </w:rPr>
            </w:pPr>
            <w:r>
              <w:rPr>
                <w:lang w:eastAsia="en-US"/>
              </w:rPr>
              <w:t>15,295.5</w:t>
            </w:r>
          </w:p>
        </w:tc>
        <w:tc>
          <w:tcPr>
            <w:tcW w:w="552" w:type="pct"/>
            <w:tcBorders>
              <w:top w:val="nil"/>
              <w:left w:val="nil"/>
              <w:bottom w:val="single" w:sz="4" w:space="0" w:color="auto"/>
              <w:right w:val="nil"/>
            </w:tcBorders>
            <w:shd w:val="clear" w:color="auto" w:fill="FFFFFF"/>
            <w:noWrap/>
            <w:vAlign w:val="bottom"/>
            <w:hideMark/>
          </w:tcPr>
          <w:p w14:paraId="1A6DE15D" w14:textId="77777777" w:rsidR="00FE7F8B" w:rsidRDefault="00FE7F8B">
            <w:pPr>
              <w:pStyle w:val="Tabletextoutputs"/>
              <w:jc w:val="right"/>
              <w:rPr>
                <w:lang w:eastAsia="en-US"/>
              </w:rPr>
            </w:pPr>
            <w:r>
              <w:rPr>
                <w:lang w:eastAsia="en-US"/>
              </w:rPr>
              <w:t>5.0</w:t>
            </w:r>
          </w:p>
        </w:tc>
        <w:tc>
          <w:tcPr>
            <w:tcW w:w="552" w:type="pct"/>
            <w:tcBorders>
              <w:top w:val="nil"/>
              <w:left w:val="nil"/>
              <w:bottom w:val="single" w:sz="4" w:space="0" w:color="auto"/>
              <w:right w:val="nil"/>
            </w:tcBorders>
            <w:shd w:val="clear" w:color="auto" w:fill="F2F2F2" w:themeFill="background1" w:themeFillShade="F2"/>
            <w:noWrap/>
            <w:vAlign w:val="bottom"/>
            <w:hideMark/>
          </w:tcPr>
          <w:p w14:paraId="046B668F" w14:textId="77777777" w:rsidR="00FE7F8B" w:rsidRDefault="00FE7F8B">
            <w:pPr>
              <w:pStyle w:val="Tabletextoutputs"/>
              <w:jc w:val="right"/>
              <w:rPr>
                <w:lang w:eastAsia="en-US"/>
              </w:rPr>
            </w:pPr>
            <w:r>
              <w:rPr>
                <w:lang w:eastAsia="en-US"/>
              </w:rPr>
              <w:t>124.6</w:t>
            </w:r>
          </w:p>
        </w:tc>
        <w:tc>
          <w:tcPr>
            <w:tcW w:w="552" w:type="pct"/>
            <w:tcBorders>
              <w:top w:val="nil"/>
              <w:left w:val="nil"/>
              <w:bottom w:val="single" w:sz="4" w:space="0" w:color="auto"/>
              <w:right w:val="nil"/>
            </w:tcBorders>
            <w:shd w:val="clear" w:color="auto" w:fill="FFFFFF"/>
            <w:noWrap/>
            <w:vAlign w:val="bottom"/>
            <w:hideMark/>
          </w:tcPr>
          <w:p w14:paraId="274A3126" w14:textId="77777777" w:rsidR="00FE7F8B" w:rsidRDefault="00FE7F8B">
            <w:pPr>
              <w:pStyle w:val="Tabletextoutputs"/>
              <w:jc w:val="right"/>
              <w:rPr>
                <w:lang w:eastAsia="en-US"/>
              </w:rPr>
            </w:pPr>
            <w:r>
              <w:rPr>
                <w:lang w:eastAsia="en-US"/>
              </w:rPr>
              <w:t>1,521.5</w:t>
            </w:r>
          </w:p>
        </w:tc>
        <w:tc>
          <w:tcPr>
            <w:tcW w:w="538" w:type="pct"/>
            <w:tcBorders>
              <w:top w:val="nil"/>
              <w:left w:val="nil"/>
              <w:bottom w:val="single" w:sz="4" w:space="0" w:color="auto"/>
              <w:right w:val="nil"/>
            </w:tcBorders>
            <w:shd w:val="clear" w:color="auto" w:fill="F2F2F2" w:themeFill="background1" w:themeFillShade="F2"/>
            <w:vAlign w:val="bottom"/>
            <w:hideMark/>
          </w:tcPr>
          <w:p w14:paraId="644C574B" w14:textId="77777777" w:rsidR="00FE7F8B" w:rsidRDefault="00FE7F8B">
            <w:pPr>
              <w:pStyle w:val="Tabletextoutputs"/>
              <w:jc w:val="right"/>
              <w:rPr>
                <w:lang w:eastAsia="en-US"/>
              </w:rPr>
            </w:pPr>
            <w:r>
              <w:rPr>
                <w:b/>
                <w:lang w:eastAsia="en-US"/>
              </w:rPr>
              <w:t>17,034.9</w:t>
            </w:r>
          </w:p>
        </w:tc>
      </w:tr>
      <w:tr w:rsidR="00FE7F8B" w14:paraId="068B4EA6" w14:textId="77777777" w:rsidTr="00FE7F8B">
        <w:tc>
          <w:tcPr>
            <w:tcW w:w="1149" w:type="pct"/>
            <w:tcBorders>
              <w:top w:val="single" w:sz="4" w:space="0" w:color="auto"/>
              <w:left w:val="nil"/>
              <w:bottom w:val="single" w:sz="4" w:space="0" w:color="auto"/>
              <w:right w:val="nil"/>
            </w:tcBorders>
            <w:shd w:val="clear" w:color="auto" w:fill="FFFFFF"/>
            <w:noWrap/>
            <w:vAlign w:val="bottom"/>
            <w:hideMark/>
          </w:tcPr>
          <w:p w14:paraId="0E5F8565" w14:textId="77777777" w:rsidR="00FE7F8B" w:rsidRDefault="00FE7F8B">
            <w:pPr>
              <w:pStyle w:val="Tabletextoutputs"/>
              <w:rPr>
                <w:b/>
                <w:lang w:eastAsia="en-US"/>
              </w:rPr>
            </w:pPr>
            <w:r>
              <w:rPr>
                <w:b/>
                <w:lang w:eastAsia="en-US"/>
              </w:rPr>
              <w:t>Total assets</w:t>
            </w:r>
          </w:p>
        </w:tc>
        <w:tc>
          <w:tcPr>
            <w:tcW w:w="552" w:type="pct"/>
            <w:tcBorders>
              <w:top w:val="single" w:sz="4" w:space="0" w:color="auto"/>
              <w:left w:val="nil"/>
              <w:bottom w:val="single" w:sz="4" w:space="0" w:color="auto"/>
              <w:right w:val="nil"/>
            </w:tcBorders>
            <w:shd w:val="clear" w:color="auto" w:fill="F2F2F2" w:themeFill="background1" w:themeFillShade="F2"/>
            <w:vAlign w:val="bottom"/>
            <w:hideMark/>
          </w:tcPr>
          <w:p w14:paraId="018D3B2D" w14:textId="77777777" w:rsidR="00FE7F8B" w:rsidRDefault="00FE7F8B">
            <w:pPr>
              <w:pStyle w:val="Tabletextoutputs"/>
              <w:jc w:val="right"/>
              <w:rPr>
                <w:b/>
                <w:lang w:eastAsia="en-US"/>
              </w:rPr>
            </w:pPr>
            <w:r>
              <w:rPr>
                <w:b/>
                <w:lang w:eastAsia="en-US"/>
              </w:rPr>
              <w:t>27.1</w:t>
            </w:r>
          </w:p>
        </w:tc>
        <w:tc>
          <w:tcPr>
            <w:tcW w:w="552" w:type="pct"/>
            <w:tcBorders>
              <w:top w:val="single" w:sz="4" w:space="0" w:color="auto"/>
              <w:left w:val="nil"/>
              <w:bottom w:val="single" w:sz="4" w:space="0" w:color="auto"/>
              <w:right w:val="nil"/>
            </w:tcBorders>
            <w:shd w:val="clear" w:color="auto" w:fill="FFFFFF"/>
            <w:vAlign w:val="bottom"/>
            <w:hideMark/>
          </w:tcPr>
          <w:p w14:paraId="2223EBC4" w14:textId="77777777" w:rsidR="00FE7F8B" w:rsidRDefault="00FE7F8B">
            <w:pPr>
              <w:pStyle w:val="Tabletextoutputs"/>
              <w:jc w:val="right"/>
              <w:rPr>
                <w:b/>
                <w:lang w:eastAsia="en-US"/>
              </w:rPr>
            </w:pPr>
            <w:r>
              <w:rPr>
                <w:b/>
                <w:lang w:eastAsia="en-US"/>
              </w:rPr>
              <w:t>146.5</w:t>
            </w:r>
          </w:p>
        </w:tc>
        <w:tc>
          <w:tcPr>
            <w:tcW w:w="552" w:type="pct"/>
            <w:tcBorders>
              <w:top w:val="single" w:sz="4" w:space="0" w:color="auto"/>
              <w:left w:val="nil"/>
              <w:bottom w:val="single" w:sz="4" w:space="0" w:color="auto"/>
              <w:right w:val="nil"/>
            </w:tcBorders>
            <w:shd w:val="clear" w:color="auto" w:fill="F2F2F2" w:themeFill="background1" w:themeFillShade="F2"/>
            <w:vAlign w:val="bottom"/>
            <w:hideMark/>
          </w:tcPr>
          <w:p w14:paraId="57187D71" w14:textId="77777777" w:rsidR="00FE7F8B" w:rsidRDefault="00FE7F8B">
            <w:pPr>
              <w:pStyle w:val="Tabletextoutputs"/>
              <w:jc w:val="right"/>
              <w:rPr>
                <w:b/>
                <w:lang w:eastAsia="en-US"/>
              </w:rPr>
            </w:pPr>
            <w:r>
              <w:rPr>
                <w:b/>
                <w:lang w:eastAsia="en-US"/>
              </w:rPr>
              <w:t>17,330.4</w:t>
            </w:r>
          </w:p>
        </w:tc>
        <w:tc>
          <w:tcPr>
            <w:tcW w:w="552" w:type="pct"/>
            <w:tcBorders>
              <w:top w:val="single" w:sz="4" w:space="0" w:color="auto"/>
              <w:left w:val="nil"/>
              <w:bottom w:val="single" w:sz="4" w:space="0" w:color="auto"/>
              <w:right w:val="nil"/>
            </w:tcBorders>
            <w:shd w:val="clear" w:color="auto" w:fill="FFFFFF"/>
            <w:vAlign w:val="bottom"/>
            <w:hideMark/>
          </w:tcPr>
          <w:p w14:paraId="61914914" w14:textId="77777777" w:rsidR="00FE7F8B" w:rsidRDefault="00FE7F8B">
            <w:pPr>
              <w:pStyle w:val="Tabletextoutputs"/>
              <w:jc w:val="right"/>
              <w:rPr>
                <w:b/>
                <w:lang w:eastAsia="en-US"/>
              </w:rPr>
            </w:pPr>
            <w:r>
              <w:rPr>
                <w:b/>
                <w:lang w:eastAsia="en-US"/>
              </w:rPr>
              <w:t>172.1</w:t>
            </w:r>
          </w:p>
        </w:tc>
        <w:tc>
          <w:tcPr>
            <w:tcW w:w="552" w:type="pct"/>
            <w:tcBorders>
              <w:top w:val="single" w:sz="4" w:space="0" w:color="auto"/>
              <w:left w:val="nil"/>
              <w:bottom w:val="single" w:sz="4" w:space="0" w:color="auto"/>
              <w:right w:val="nil"/>
            </w:tcBorders>
            <w:shd w:val="clear" w:color="auto" w:fill="F2F2F2" w:themeFill="background1" w:themeFillShade="F2"/>
            <w:vAlign w:val="bottom"/>
            <w:hideMark/>
          </w:tcPr>
          <w:p w14:paraId="1DAD7183" w14:textId="77777777" w:rsidR="00FE7F8B" w:rsidRDefault="00FE7F8B">
            <w:pPr>
              <w:pStyle w:val="Tabletextoutputs"/>
              <w:jc w:val="right"/>
              <w:rPr>
                <w:b/>
                <w:lang w:eastAsia="en-US"/>
              </w:rPr>
            </w:pPr>
            <w:r>
              <w:rPr>
                <w:b/>
                <w:lang w:eastAsia="en-US"/>
              </w:rPr>
              <w:t>197.6</w:t>
            </w:r>
          </w:p>
        </w:tc>
        <w:tc>
          <w:tcPr>
            <w:tcW w:w="552" w:type="pct"/>
            <w:tcBorders>
              <w:top w:val="single" w:sz="4" w:space="0" w:color="auto"/>
              <w:left w:val="nil"/>
              <w:bottom w:val="single" w:sz="4" w:space="0" w:color="auto"/>
              <w:right w:val="nil"/>
            </w:tcBorders>
            <w:shd w:val="clear" w:color="auto" w:fill="FFFFFF"/>
            <w:vAlign w:val="bottom"/>
            <w:hideMark/>
          </w:tcPr>
          <w:p w14:paraId="21E881FD" w14:textId="77777777" w:rsidR="00FE7F8B" w:rsidRDefault="00FE7F8B">
            <w:pPr>
              <w:pStyle w:val="Tabletextoutputs"/>
              <w:jc w:val="right"/>
              <w:rPr>
                <w:b/>
                <w:lang w:eastAsia="en-US"/>
              </w:rPr>
            </w:pPr>
            <w:r>
              <w:rPr>
                <w:b/>
                <w:lang w:eastAsia="en-US"/>
              </w:rPr>
              <w:t>1,734.8</w:t>
            </w:r>
          </w:p>
        </w:tc>
        <w:tc>
          <w:tcPr>
            <w:tcW w:w="538" w:type="pct"/>
            <w:tcBorders>
              <w:top w:val="single" w:sz="4" w:space="0" w:color="auto"/>
              <w:left w:val="nil"/>
              <w:bottom w:val="single" w:sz="4" w:space="0" w:color="auto"/>
              <w:right w:val="nil"/>
            </w:tcBorders>
            <w:shd w:val="clear" w:color="auto" w:fill="F2F2F2" w:themeFill="background1" w:themeFillShade="F2"/>
            <w:vAlign w:val="bottom"/>
            <w:hideMark/>
          </w:tcPr>
          <w:p w14:paraId="6FCF80C1" w14:textId="77777777" w:rsidR="00FE7F8B" w:rsidRDefault="00FE7F8B">
            <w:pPr>
              <w:pStyle w:val="Tabletextoutputs"/>
              <w:jc w:val="right"/>
              <w:rPr>
                <w:b/>
                <w:lang w:eastAsia="en-US"/>
              </w:rPr>
            </w:pPr>
            <w:r>
              <w:rPr>
                <w:b/>
                <w:lang w:eastAsia="en-US"/>
              </w:rPr>
              <w:t>19,608.5</w:t>
            </w:r>
          </w:p>
        </w:tc>
      </w:tr>
      <w:tr w:rsidR="00FE7F8B" w14:paraId="3619E9C3" w14:textId="77777777" w:rsidTr="00FE7F8B">
        <w:tc>
          <w:tcPr>
            <w:tcW w:w="1149" w:type="pct"/>
            <w:tcBorders>
              <w:top w:val="single" w:sz="4" w:space="0" w:color="auto"/>
              <w:left w:val="nil"/>
              <w:bottom w:val="nil"/>
              <w:right w:val="nil"/>
            </w:tcBorders>
            <w:shd w:val="clear" w:color="auto" w:fill="FFFFFF"/>
            <w:noWrap/>
            <w:vAlign w:val="bottom"/>
            <w:hideMark/>
          </w:tcPr>
          <w:p w14:paraId="2954E463" w14:textId="77777777" w:rsidR="00FE7F8B" w:rsidRDefault="00FE7F8B">
            <w:pPr>
              <w:pStyle w:val="Tabletextoutputs"/>
              <w:rPr>
                <w:b/>
                <w:lang w:eastAsia="en-US"/>
              </w:rPr>
            </w:pPr>
            <w:r>
              <w:rPr>
                <w:b/>
                <w:lang w:eastAsia="en-US"/>
              </w:rPr>
              <w:t>Liabilities</w:t>
            </w:r>
          </w:p>
        </w:tc>
        <w:tc>
          <w:tcPr>
            <w:tcW w:w="552" w:type="pct"/>
            <w:tcBorders>
              <w:top w:val="single" w:sz="4" w:space="0" w:color="auto"/>
              <w:left w:val="nil"/>
              <w:bottom w:val="nil"/>
              <w:right w:val="nil"/>
            </w:tcBorders>
            <w:shd w:val="clear" w:color="auto" w:fill="FFFFFF"/>
            <w:noWrap/>
            <w:vAlign w:val="bottom"/>
          </w:tcPr>
          <w:p w14:paraId="38CA78A4" w14:textId="77777777" w:rsidR="00FE7F8B" w:rsidRDefault="00FE7F8B">
            <w:pPr>
              <w:pStyle w:val="Tabletextoutputs"/>
              <w:jc w:val="right"/>
              <w:rPr>
                <w:b/>
                <w:lang w:eastAsia="en-US"/>
              </w:rPr>
            </w:pPr>
          </w:p>
        </w:tc>
        <w:tc>
          <w:tcPr>
            <w:tcW w:w="552" w:type="pct"/>
            <w:tcBorders>
              <w:top w:val="single" w:sz="4" w:space="0" w:color="auto"/>
              <w:left w:val="nil"/>
              <w:bottom w:val="nil"/>
              <w:right w:val="nil"/>
            </w:tcBorders>
            <w:shd w:val="clear" w:color="auto" w:fill="FFFFFF"/>
            <w:noWrap/>
            <w:vAlign w:val="bottom"/>
          </w:tcPr>
          <w:p w14:paraId="4A82FAC7" w14:textId="77777777" w:rsidR="00FE7F8B" w:rsidRDefault="00FE7F8B">
            <w:pPr>
              <w:pStyle w:val="Tabletextoutputs"/>
              <w:jc w:val="right"/>
              <w:rPr>
                <w:b/>
                <w:lang w:eastAsia="en-US"/>
              </w:rPr>
            </w:pPr>
          </w:p>
        </w:tc>
        <w:tc>
          <w:tcPr>
            <w:tcW w:w="552" w:type="pct"/>
            <w:tcBorders>
              <w:top w:val="single" w:sz="4" w:space="0" w:color="auto"/>
              <w:left w:val="nil"/>
              <w:bottom w:val="nil"/>
              <w:right w:val="nil"/>
            </w:tcBorders>
            <w:shd w:val="clear" w:color="auto" w:fill="FFFFFF"/>
            <w:noWrap/>
            <w:vAlign w:val="bottom"/>
          </w:tcPr>
          <w:p w14:paraId="1DDB7DE9" w14:textId="77777777" w:rsidR="00FE7F8B" w:rsidRDefault="00FE7F8B">
            <w:pPr>
              <w:pStyle w:val="Tabletextoutputs"/>
              <w:jc w:val="right"/>
              <w:rPr>
                <w:b/>
                <w:lang w:eastAsia="en-US"/>
              </w:rPr>
            </w:pPr>
          </w:p>
        </w:tc>
        <w:tc>
          <w:tcPr>
            <w:tcW w:w="552" w:type="pct"/>
            <w:tcBorders>
              <w:top w:val="single" w:sz="4" w:space="0" w:color="auto"/>
              <w:left w:val="nil"/>
              <w:bottom w:val="nil"/>
              <w:right w:val="nil"/>
            </w:tcBorders>
            <w:shd w:val="clear" w:color="auto" w:fill="FFFFFF"/>
            <w:noWrap/>
            <w:vAlign w:val="bottom"/>
          </w:tcPr>
          <w:p w14:paraId="087A106A" w14:textId="77777777" w:rsidR="00FE7F8B" w:rsidRDefault="00FE7F8B">
            <w:pPr>
              <w:pStyle w:val="Tabletextoutputs"/>
              <w:jc w:val="right"/>
              <w:rPr>
                <w:b/>
                <w:lang w:eastAsia="en-US"/>
              </w:rPr>
            </w:pPr>
          </w:p>
        </w:tc>
        <w:tc>
          <w:tcPr>
            <w:tcW w:w="552" w:type="pct"/>
            <w:tcBorders>
              <w:top w:val="single" w:sz="4" w:space="0" w:color="auto"/>
              <w:left w:val="nil"/>
              <w:bottom w:val="nil"/>
              <w:right w:val="nil"/>
            </w:tcBorders>
            <w:shd w:val="clear" w:color="auto" w:fill="FFFFFF"/>
            <w:noWrap/>
            <w:vAlign w:val="bottom"/>
          </w:tcPr>
          <w:p w14:paraId="4DD471E6" w14:textId="77777777" w:rsidR="00FE7F8B" w:rsidRDefault="00FE7F8B">
            <w:pPr>
              <w:pStyle w:val="Tabletextoutputs"/>
              <w:jc w:val="right"/>
              <w:rPr>
                <w:b/>
                <w:lang w:eastAsia="en-US"/>
              </w:rPr>
            </w:pPr>
          </w:p>
        </w:tc>
        <w:tc>
          <w:tcPr>
            <w:tcW w:w="552" w:type="pct"/>
            <w:tcBorders>
              <w:top w:val="single" w:sz="4" w:space="0" w:color="auto"/>
              <w:left w:val="nil"/>
              <w:bottom w:val="nil"/>
              <w:right w:val="nil"/>
            </w:tcBorders>
            <w:shd w:val="clear" w:color="auto" w:fill="FFFFFF"/>
            <w:noWrap/>
            <w:vAlign w:val="bottom"/>
          </w:tcPr>
          <w:p w14:paraId="6A2251A7" w14:textId="77777777" w:rsidR="00FE7F8B" w:rsidRDefault="00FE7F8B">
            <w:pPr>
              <w:pStyle w:val="Tabletextoutputs"/>
              <w:jc w:val="right"/>
              <w:rPr>
                <w:b/>
                <w:lang w:eastAsia="en-US"/>
              </w:rPr>
            </w:pPr>
          </w:p>
        </w:tc>
        <w:tc>
          <w:tcPr>
            <w:tcW w:w="538" w:type="pct"/>
            <w:tcBorders>
              <w:top w:val="single" w:sz="4" w:space="0" w:color="auto"/>
              <w:left w:val="nil"/>
              <w:bottom w:val="nil"/>
              <w:right w:val="nil"/>
            </w:tcBorders>
            <w:shd w:val="clear" w:color="auto" w:fill="FFFFFF"/>
            <w:noWrap/>
            <w:vAlign w:val="bottom"/>
          </w:tcPr>
          <w:p w14:paraId="41A37059" w14:textId="77777777" w:rsidR="00FE7F8B" w:rsidRDefault="00FE7F8B">
            <w:pPr>
              <w:pStyle w:val="Tabletextoutputs"/>
              <w:jc w:val="right"/>
              <w:rPr>
                <w:b/>
                <w:lang w:eastAsia="en-US"/>
              </w:rPr>
            </w:pPr>
          </w:p>
        </w:tc>
      </w:tr>
      <w:tr w:rsidR="00FE7F8B" w14:paraId="72A52716" w14:textId="77777777" w:rsidTr="00FE7F8B">
        <w:tc>
          <w:tcPr>
            <w:tcW w:w="1149" w:type="pct"/>
            <w:tcBorders>
              <w:top w:val="nil"/>
              <w:left w:val="nil"/>
              <w:bottom w:val="single" w:sz="4" w:space="0" w:color="auto"/>
              <w:right w:val="nil"/>
            </w:tcBorders>
            <w:shd w:val="clear" w:color="auto" w:fill="FFFFFF"/>
            <w:noWrap/>
            <w:vAlign w:val="bottom"/>
            <w:hideMark/>
          </w:tcPr>
          <w:p w14:paraId="1B29B91B" w14:textId="77777777" w:rsidR="00FE7F8B" w:rsidRDefault="00FE7F8B">
            <w:pPr>
              <w:pStyle w:val="Tabletextoutputs"/>
              <w:rPr>
                <w:lang w:eastAsia="en-US"/>
              </w:rPr>
            </w:pPr>
            <w:r>
              <w:rPr>
                <w:lang w:eastAsia="en-US"/>
              </w:rPr>
              <w:t>Liabilities</w:t>
            </w:r>
          </w:p>
        </w:tc>
        <w:tc>
          <w:tcPr>
            <w:tcW w:w="552" w:type="pct"/>
            <w:tcBorders>
              <w:top w:val="nil"/>
              <w:left w:val="nil"/>
              <w:bottom w:val="single" w:sz="4" w:space="0" w:color="auto"/>
              <w:right w:val="nil"/>
            </w:tcBorders>
            <w:shd w:val="clear" w:color="auto" w:fill="F2F2F2" w:themeFill="background1" w:themeFillShade="F2"/>
            <w:vAlign w:val="bottom"/>
            <w:hideMark/>
          </w:tcPr>
          <w:p w14:paraId="2AAEFD6D" w14:textId="77777777" w:rsidR="00FE7F8B" w:rsidRDefault="00FE7F8B">
            <w:pPr>
              <w:pStyle w:val="Tabletextoutputs"/>
              <w:jc w:val="right"/>
              <w:rPr>
                <w:lang w:eastAsia="en-US"/>
              </w:rPr>
            </w:pPr>
            <w:r>
              <w:rPr>
                <w:lang w:eastAsia="en-US"/>
              </w:rPr>
              <w:t>13.4</w:t>
            </w:r>
          </w:p>
        </w:tc>
        <w:tc>
          <w:tcPr>
            <w:tcW w:w="552" w:type="pct"/>
            <w:tcBorders>
              <w:top w:val="nil"/>
              <w:left w:val="nil"/>
              <w:bottom w:val="single" w:sz="4" w:space="0" w:color="auto"/>
              <w:right w:val="nil"/>
            </w:tcBorders>
            <w:shd w:val="clear" w:color="auto" w:fill="FFFFFF"/>
            <w:vAlign w:val="bottom"/>
            <w:hideMark/>
          </w:tcPr>
          <w:p w14:paraId="163D166B" w14:textId="77777777" w:rsidR="00FE7F8B" w:rsidRDefault="00FE7F8B">
            <w:pPr>
              <w:pStyle w:val="Tabletextoutputs"/>
              <w:jc w:val="right"/>
              <w:rPr>
                <w:lang w:eastAsia="en-US"/>
              </w:rPr>
            </w:pPr>
            <w:r>
              <w:rPr>
                <w:lang w:eastAsia="en-US"/>
              </w:rPr>
              <w:t>24.1</w:t>
            </w:r>
          </w:p>
        </w:tc>
        <w:tc>
          <w:tcPr>
            <w:tcW w:w="552" w:type="pct"/>
            <w:tcBorders>
              <w:top w:val="nil"/>
              <w:left w:val="nil"/>
              <w:bottom w:val="single" w:sz="4" w:space="0" w:color="auto"/>
              <w:right w:val="nil"/>
            </w:tcBorders>
            <w:shd w:val="clear" w:color="auto" w:fill="F2F2F2" w:themeFill="background1" w:themeFillShade="F2"/>
            <w:vAlign w:val="bottom"/>
            <w:hideMark/>
          </w:tcPr>
          <w:p w14:paraId="4091B5DA" w14:textId="77777777" w:rsidR="00FE7F8B" w:rsidRDefault="00FE7F8B">
            <w:pPr>
              <w:pStyle w:val="Tabletextoutputs"/>
              <w:jc w:val="right"/>
              <w:rPr>
                <w:lang w:eastAsia="en-US"/>
              </w:rPr>
            </w:pPr>
            <w:r>
              <w:rPr>
                <w:lang w:eastAsia="en-US"/>
              </w:rPr>
              <w:t>1,621.0</w:t>
            </w:r>
          </w:p>
        </w:tc>
        <w:tc>
          <w:tcPr>
            <w:tcW w:w="552" w:type="pct"/>
            <w:tcBorders>
              <w:top w:val="nil"/>
              <w:left w:val="nil"/>
              <w:bottom w:val="single" w:sz="4" w:space="0" w:color="auto"/>
              <w:right w:val="nil"/>
            </w:tcBorders>
            <w:shd w:val="clear" w:color="auto" w:fill="FFFFFF"/>
            <w:vAlign w:val="bottom"/>
            <w:hideMark/>
          </w:tcPr>
          <w:p w14:paraId="30FA41C4" w14:textId="77777777" w:rsidR="00FE7F8B" w:rsidRDefault="00FE7F8B">
            <w:pPr>
              <w:pStyle w:val="Tabletextoutputs"/>
              <w:jc w:val="right"/>
              <w:rPr>
                <w:lang w:eastAsia="en-US"/>
              </w:rPr>
            </w:pPr>
            <w:r>
              <w:rPr>
                <w:lang w:eastAsia="en-US"/>
              </w:rPr>
              <w:t>1.2</w:t>
            </w:r>
          </w:p>
        </w:tc>
        <w:tc>
          <w:tcPr>
            <w:tcW w:w="552" w:type="pct"/>
            <w:tcBorders>
              <w:top w:val="nil"/>
              <w:left w:val="nil"/>
              <w:bottom w:val="single" w:sz="4" w:space="0" w:color="auto"/>
              <w:right w:val="nil"/>
            </w:tcBorders>
            <w:shd w:val="clear" w:color="auto" w:fill="F2F2F2" w:themeFill="background1" w:themeFillShade="F2"/>
            <w:vAlign w:val="bottom"/>
            <w:hideMark/>
          </w:tcPr>
          <w:p w14:paraId="0BB9C051" w14:textId="77777777" w:rsidR="00FE7F8B" w:rsidRDefault="00FE7F8B">
            <w:pPr>
              <w:pStyle w:val="Tabletextoutputs"/>
              <w:jc w:val="right"/>
              <w:rPr>
                <w:lang w:eastAsia="en-US"/>
              </w:rPr>
            </w:pPr>
            <w:r>
              <w:rPr>
                <w:lang w:eastAsia="en-US"/>
              </w:rPr>
              <w:t>63.0</w:t>
            </w:r>
          </w:p>
        </w:tc>
        <w:tc>
          <w:tcPr>
            <w:tcW w:w="552" w:type="pct"/>
            <w:tcBorders>
              <w:top w:val="nil"/>
              <w:left w:val="nil"/>
              <w:bottom w:val="single" w:sz="4" w:space="0" w:color="auto"/>
              <w:right w:val="nil"/>
            </w:tcBorders>
            <w:shd w:val="clear" w:color="auto" w:fill="FFFFFF"/>
            <w:vAlign w:val="bottom"/>
            <w:hideMark/>
          </w:tcPr>
          <w:p w14:paraId="70139B2B" w14:textId="77777777" w:rsidR="00FE7F8B" w:rsidRDefault="00FE7F8B">
            <w:pPr>
              <w:pStyle w:val="Tabletextoutputs"/>
              <w:jc w:val="right"/>
              <w:rPr>
                <w:lang w:eastAsia="en-US"/>
              </w:rPr>
            </w:pPr>
            <w:r>
              <w:rPr>
                <w:lang w:eastAsia="en-US"/>
              </w:rPr>
              <w:t>218.1</w:t>
            </w:r>
          </w:p>
        </w:tc>
        <w:tc>
          <w:tcPr>
            <w:tcW w:w="538" w:type="pct"/>
            <w:tcBorders>
              <w:top w:val="nil"/>
              <w:left w:val="nil"/>
              <w:bottom w:val="single" w:sz="4" w:space="0" w:color="auto"/>
              <w:right w:val="nil"/>
            </w:tcBorders>
            <w:shd w:val="clear" w:color="auto" w:fill="F2F2F2" w:themeFill="background1" w:themeFillShade="F2"/>
            <w:vAlign w:val="bottom"/>
            <w:hideMark/>
          </w:tcPr>
          <w:p w14:paraId="3B34C638" w14:textId="77777777" w:rsidR="00FE7F8B" w:rsidRDefault="00FE7F8B">
            <w:pPr>
              <w:pStyle w:val="Tabletextoutputs"/>
              <w:jc w:val="right"/>
              <w:rPr>
                <w:lang w:eastAsia="en-US"/>
              </w:rPr>
            </w:pPr>
            <w:r>
              <w:rPr>
                <w:b/>
                <w:lang w:eastAsia="en-US"/>
              </w:rPr>
              <w:t>1,940.8</w:t>
            </w:r>
          </w:p>
        </w:tc>
      </w:tr>
      <w:tr w:rsidR="00FE7F8B" w14:paraId="4B02D938" w14:textId="77777777" w:rsidTr="00FE7F8B">
        <w:tc>
          <w:tcPr>
            <w:tcW w:w="1149" w:type="pct"/>
            <w:tcBorders>
              <w:top w:val="single" w:sz="4" w:space="0" w:color="auto"/>
              <w:left w:val="nil"/>
              <w:bottom w:val="single" w:sz="6" w:space="0" w:color="auto"/>
              <w:right w:val="nil"/>
            </w:tcBorders>
            <w:shd w:val="clear" w:color="auto" w:fill="FFFFFF"/>
            <w:noWrap/>
            <w:vAlign w:val="bottom"/>
            <w:hideMark/>
          </w:tcPr>
          <w:p w14:paraId="44D9618A" w14:textId="77777777" w:rsidR="00FE7F8B" w:rsidRDefault="00FE7F8B">
            <w:pPr>
              <w:pStyle w:val="Tabletextoutputs"/>
              <w:rPr>
                <w:b/>
                <w:lang w:eastAsia="en-US"/>
              </w:rPr>
            </w:pPr>
            <w:r>
              <w:rPr>
                <w:b/>
                <w:lang w:eastAsia="en-US"/>
              </w:rPr>
              <w:t>Total liabilities</w:t>
            </w:r>
          </w:p>
        </w:tc>
        <w:tc>
          <w:tcPr>
            <w:tcW w:w="552" w:type="pct"/>
            <w:tcBorders>
              <w:top w:val="single" w:sz="4" w:space="0" w:color="auto"/>
              <w:left w:val="nil"/>
              <w:bottom w:val="single" w:sz="6" w:space="0" w:color="auto"/>
              <w:right w:val="nil"/>
            </w:tcBorders>
            <w:shd w:val="clear" w:color="auto" w:fill="F2F2F2" w:themeFill="background1" w:themeFillShade="F2"/>
            <w:vAlign w:val="bottom"/>
            <w:hideMark/>
          </w:tcPr>
          <w:p w14:paraId="627FD05C" w14:textId="77777777" w:rsidR="00FE7F8B" w:rsidRDefault="00FE7F8B">
            <w:pPr>
              <w:pStyle w:val="Tabletextoutputs"/>
              <w:jc w:val="right"/>
              <w:rPr>
                <w:b/>
                <w:lang w:eastAsia="en-US"/>
              </w:rPr>
            </w:pPr>
            <w:r>
              <w:rPr>
                <w:b/>
                <w:lang w:eastAsia="en-US"/>
              </w:rPr>
              <w:t>13.4</w:t>
            </w:r>
          </w:p>
        </w:tc>
        <w:tc>
          <w:tcPr>
            <w:tcW w:w="552" w:type="pct"/>
            <w:tcBorders>
              <w:top w:val="single" w:sz="4" w:space="0" w:color="auto"/>
              <w:left w:val="nil"/>
              <w:bottom w:val="single" w:sz="6" w:space="0" w:color="auto"/>
              <w:right w:val="nil"/>
            </w:tcBorders>
            <w:shd w:val="clear" w:color="auto" w:fill="FFFFFF"/>
            <w:vAlign w:val="bottom"/>
            <w:hideMark/>
          </w:tcPr>
          <w:p w14:paraId="5C694278" w14:textId="77777777" w:rsidR="00FE7F8B" w:rsidRDefault="00FE7F8B">
            <w:pPr>
              <w:pStyle w:val="Tabletextoutputs"/>
              <w:jc w:val="right"/>
              <w:rPr>
                <w:b/>
                <w:lang w:eastAsia="en-US"/>
              </w:rPr>
            </w:pPr>
            <w:r>
              <w:rPr>
                <w:b/>
                <w:lang w:eastAsia="en-US"/>
              </w:rPr>
              <w:t>24.1</w:t>
            </w:r>
          </w:p>
        </w:tc>
        <w:tc>
          <w:tcPr>
            <w:tcW w:w="552" w:type="pct"/>
            <w:tcBorders>
              <w:top w:val="single" w:sz="4" w:space="0" w:color="auto"/>
              <w:left w:val="nil"/>
              <w:bottom w:val="single" w:sz="6" w:space="0" w:color="auto"/>
              <w:right w:val="nil"/>
            </w:tcBorders>
            <w:shd w:val="clear" w:color="auto" w:fill="F2F2F2" w:themeFill="background1" w:themeFillShade="F2"/>
            <w:vAlign w:val="bottom"/>
            <w:hideMark/>
          </w:tcPr>
          <w:p w14:paraId="4D27E8C2" w14:textId="77777777" w:rsidR="00FE7F8B" w:rsidRDefault="00FE7F8B">
            <w:pPr>
              <w:pStyle w:val="Tabletextoutputs"/>
              <w:jc w:val="right"/>
              <w:rPr>
                <w:b/>
                <w:lang w:eastAsia="en-US"/>
              </w:rPr>
            </w:pPr>
            <w:r>
              <w:rPr>
                <w:b/>
                <w:lang w:eastAsia="en-US"/>
              </w:rPr>
              <w:t>1,621.0</w:t>
            </w:r>
          </w:p>
        </w:tc>
        <w:tc>
          <w:tcPr>
            <w:tcW w:w="552" w:type="pct"/>
            <w:tcBorders>
              <w:top w:val="single" w:sz="4" w:space="0" w:color="auto"/>
              <w:left w:val="nil"/>
              <w:bottom w:val="single" w:sz="6" w:space="0" w:color="auto"/>
              <w:right w:val="nil"/>
            </w:tcBorders>
            <w:shd w:val="clear" w:color="auto" w:fill="FFFFFF"/>
            <w:vAlign w:val="bottom"/>
            <w:hideMark/>
          </w:tcPr>
          <w:p w14:paraId="0F193B4A" w14:textId="77777777" w:rsidR="00FE7F8B" w:rsidRDefault="00FE7F8B">
            <w:pPr>
              <w:pStyle w:val="Tabletextoutputs"/>
              <w:jc w:val="right"/>
              <w:rPr>
                <w:b/>
                <w:lang w:eastAsia="en-US"/>
              </w:rPr>
            </w:pPr>
            <w:r>
              <w:rPr>
                <w:b/>
                <w:lang w:eastAsia="en-US"/>
              </w:rPr>
              <w:t>1.2</w:t>
            </w:r>
          </w:p>
        </w:tc>
        <w:tc>
          <w:tcPr>
            <w:tcW w:w="552" w:type="pct"/>
            <w:tcBorders>
              <w:top w:val="single" w:sz="4" w:space="0" w:color="auto"/>
              <w:left w:val="nil"/>
              <w:bottom w:val="single" w:sz="6" w:space="0" w:color="auto"/>
              <w:right w:val="nil"/>
            </w:tcBorders>
            <w:shd w:val="clear" w:color="auto" w:fill="F2F2F2" w:themeFill="background1" w:themeFillShade="F2"/>
            <w:vAlign w:val="bottom"/>
            <w:hideMark/>
          </w:tcPr>
          <w:p w14:paraId="56042D12" w14:textId="77777777" w:rsidR="00FE7F8B" w:rsidRDefault="00FE7F8B">
            <w:pPr>
              <w:pStyle w:val="Tabletextoutputs"/>
              <w:jc w:val="right"/>
              <w:rPr>
                <w:b/>
                <w:lang w:eastAsia="en-US"/>
              </w:rPr>
            </w:pPr>
            <w:r>
              <w:rPr>
                <w:b/>
                <w:lang w:eastAsia="en-US"/>
              </w:rPr>
              <w:t>63.0</w:t>
            </w:r>
          </w:p>
        </w:tc>
        <w:tc>
          <w:tcPr>
            <w:tcW w:w="552" w:type="pct"/>
            <w:tcBorders>
              <w:top w:val="single" w:sz="4" w:space="0" w:color="auto"/>
              <w:left w:val="nil"/>
              <w:bottom w:val="single" w:sz="6" w:space="0" w:color="auto"/>
              <w:right w:val="nil"/>
            </w:tcBorders>
            <w:shd w:val="clear" w:color="auto" w:fill="FFFFFF"/>
            <w:vAlign w:val="bottom"/>
            <w:hideMark/>
          </w:tcPr>
          <w:p w14:paraId="7941E54D" w14:textId="77777777" w:rsidR="00FE7F8B" w:rsidRDefault="00FE7F8B">
            <w:pPr>
              <w:pStyle w:val="Tabletextoutputs"/>
              <w:jc w:val="right"/>
              <w:rPr>
                <w:b/>
                <w:lang w:eastAsia="en-US"/>
              </w:rPr>
            </w:pPr>
            <w:r>
              <w:rPr>
                <w:b/>
                <w:lang w:eastAsia="en-US"/>
              </w:rPr>
              <w:t>218.1</w:t>
            </w:r>
          </w:p>
        </w:tc>
        <w:tc>
          <w:tcPr>
            <w:tcW w:w="538" w:type="pct"/>
            <w:tcBorders>
              <w:top w:val="single" w:sz="4" w:space="0" w:color="auto"/>
              <w:left w:val="nil"/>
              <w:bottom w:val="single" w:sz="6" w:space="0" w:color="auto"/>
              <w:right w:val="nil"/>
            </w:tcBorders>
            <w:shd w:val="clear" w:color="auto" w:fill="F2F2F2" w:themeFill="background1" w:themeFillShade="F2"/>
            <w:vAlign w:val="bottom"/>
            <w:hideMark/>
          </w:tcPr>
          <w:p w14:paraId="7006AC09" w14:textId="77777777" w:rsidR="00FE7F8B" w:rsidRDefault="00FE7F8B">
            <w:pPr>
              <w:pStyle w:val="Tabletextoutputs"/>
              <w:jc w:val="right"/>
              <w:rPr>
                <w:b/>
                <w:lang w:eastAsia="en-US"/>
              </w:rPr>
            </w:pPr>
            <w:r>
              <w:rPr>
                <w:b/>
                <w:lang w:eastAsia="en-US"/>
              </w:rPr>
              <w:t>1,940.8</w:t>
            </w:r>
          </w:p>
        </w:tc>
      </w:tr>
      <w:tr w:rsidR="00FE7F8B" w14:paraId="16E4813C" w14:textId="77777777" w:rsidTr="00FE7F8B">
        <w:tc>
          <w:tcPr>
            <w:tcW w:w="1149" w:type="pct"/>
            <w:tcBorders>
              <w:top w:val="single" w:sz="6" w:space="0" w:color="auto"/>
              <w:left w:val="nil"/>
              <w:bottom w:val="single" w:sz="4" w:space="0" w:color="auto"/>
              <w:right w:val="nil"/>
            </w:tcBorders>
            <w:shd w:val="clear" w:color="auto" w:fill="FFFFFF"/>
            <w:noWrap/>
            <w:vAlign w:val="bottom"/>
            <w:hideMark/>
          </w:tcPr>
          <w:p w14:paraId="47540E3D" w14:textId="77777777" w:rsidR="00FE7F8B" w:rsidRDefault="00FE7F8B">
            <w:pPr>
              <w:pStyle w:val="Tabletextoutputs"/>
              <w:rPr>
                <w:b/>
                <w:lang w:eastAsia="en-US"/>
              </w:rPr>
            </w:pPr>
            <w:r>
              <w:rPr>
                <w:b/>
                <w:lang w:eastAsia="en-US"/>
              </w:rPr>
              <w:t>Net assets/(liabilities)</w:t>
            </w:r>
          </w:p>
        </w:tc>
        <w:tc>
          <w:tcPr>
            <w:tcW w:w="552" w:type="pct"/>
            <w:tcBorders>
              <w:top w:val="single" w:sz="6" w:space="0" w:color="auto"/>
              <w:left w:val="nil"/>
              <w:bottom w:val="single" w:sz="4" w:space="0" w:color="auto"/>
              <w:right w:val="nil"/>
            </w:tcBorders>
            <w:shd w:val="clear" w:color="auto" w:fill="F2F2F2" w:themeFill="background1" w:themeFillShade="F2"/>
            <w:vAlign w:val="bottom"/>
            <w:hideMark/>
          </w:tcPr>
          <w:p w14:paraId="7EB30C47" w14:textId="77777777" w:rsidR="00FE7F8B" w:rsidRDefault="00FE7F8B">
            <w:pPr>
              <w:pStyle w:val="Tabletextoutputs"/>
              <w:jc w:val="right"/>
              <w:rPr>
                <w:b/>
                <w:lang w:eastAsia="en-US"/>
              </w:rPr>
            </w:pPr>
            <w:r>
              <w:rPr>
                <w:b/>
                <w:lang w:eastAsia="en-US"/>
              </w:rPr>
              <w:t>13.7</w:t>
            </w:r>
          </w:p>
        </w:tc>
        <w:tc>
          <w:tcPr>
            <w:tcW w:w="552" w:type="pct"/>
            <w:tcBorders>
              <w:top w:val="single" w:sz="6" w:space="0" w:color="auto"/>
              <w:left w:val="nil"/>
              <w:bottom w:val="single" w:sz="4" w:space="0" w:color="auto"/>
              <w:right w:val="nil"/>
            </w:tcBorders>
            <w:shd w:val="clear" w:color="auto" w:fill="FFFFFF"/>
            <w:vAlign w:val="bottom"/>
            <w:hideMark/>
          </w:tcPr>
          <w:p w14:paraId="35EB02FE" w14:textId="77777777" w:rsidR="00FE7F8B" w:rsidRDefault="00FE7F8B">
            <w:pPr>
              <w:pStyle w:val="Tabletextoutputs"/>
              <w:jc w:val="right"/>
              <w:rPr>
                <w:b/>
                <w:lang w:eastAsia="en-US"/>
              </w:rPr>
            </w:pPr>
            <w:r>
              <w:rPr>
                <w:b/>
                <w:lang w:eastAsia="en-US"/>
              </w:rPr>
              <w:t>122.4</w:t>
            </w:r>
          </w:p>
        </w:tc>
        <w:tc>
          <w:tcPr>
            <w:tcW w:w="552" w:type="pct"/>
            <w:tcBorders>
              <w:top w:val="single" w:sz="6" w:space="0" w:color="auto"/>
              <w:left w:val="nil"/>
              <w:bottom w:val="single" w:sz="4" w:space="0" w:color="auto"/>
              <w:right w:val="nil"/>
            </w:tcBorders>
            <w:shd w:val="clear" w:color="auto" w:fill="F2F2F2" w:themeFill="background1" w:themeFillShade="F2"/>
            <w:vAlign w:val="bottom"/>
            <w:hideMark/>
          </w:tcPr>
          <w:p w14:paraId="13DEA637" w14:textId="77777777" w:rsidR="00FE7F8B" w:rsidRDefault="00FE7F8B">
            <w:pPr>
              <w:pStyle w:val="Tabletextoutputs"/>
              <w:jc w:val="right"/>
              <w:rPr>
                <w:b/>
                <w:lang w:eastAsia="en-US"/>
              </w:rPr>
            </w:pPr>
            <w:r>
              <w:rPr>
                <w:b/>
                <w:lang w:eastAsia="en-US"/>
              </w:rPr>
              <w:t>15,709.4</w:t>
            </w:r>
          </w:p>
        </w:tc>
        <w:tc>
          <w:tcPr>
            <w:tcW w:w="552" w:type="pct"/>
            <w:tcBorders>
              <w:top w:val="single" w:sz="6" w:space="0" w:color="auto"/>
              <w:left w:val="nil"/>
              <w:bottom w:val="single" w:sz="4" w:space="0" w:color="auto"/>
              <w:right w:val="nil"/>
            </w:tcBorders>
            <w:shd w:val="clear" w:color="auto" w:fill="FFFFFF"/>
            <w:vAlign w:val="bottom"/>
            <w:hideMark/>
          </w:tcPr>
          <w:p w14:paraId="5F9B3A96" w14:textId="77777777" w:rsidR="00FE7F8B" w:rsidRDefault="00FE7F8B">
            <w:pPr>
              <w:pStyle w:val="Tabletextoutputs"/>
              <w:jc w:val="right"/>
              <w:rPr>
                <w:b/>
                <w:lang w:eastAsia="en-US"/>
              </w:rPr>
            </w:pPr>
            <w:r>
              <w:rPr>
                <w:b/>
                <w:lang w:eastAsia="en-US"/>
              </w:rPr>
              <w:t>170.9</w:t>
            </w:r>
          </w:p>
        </w:tc>
        <w:tc>
          <w:tcPr>
            <w:tcW w:w="552" w:type="pct"/>
            <w:tcBorders>
              <w:top w:val="single" w:sz="6" w:space="0" w:color="auto"/>
              <w:left w:val="nil"/>
              <w:bottom w:val="single" w:sz="4" w:space="0" w:color="auto"/>
              <w:right w:val="nil"/>
            </w:tcBorders>
            <w:shd w:val="clear" w:color="auto" w:fill="F2F2F2" w:themeFill="background1" w:themeFillShade="F2"/>
            <w:vAlign w:val="bottom"/>
            <w:hideMark/>
          </w:tcPr>
          <w:p w14:paraId="61236595" w14:textId="77777777" w:rsidR="00FE7F8B" w:rsidRDefault="00FE7F8B">
            <w:pPr>
              <w:pStyle w:val="Tabletextoutputs"/>
              <w:jc w:val="right"/>
              <w:rPr>
                <w:b/>
                <w:lang w:eastAsia="en-US"/>
              </w:rPr>
            </w:pPr>
            <w:r>
              <w:rPr>
                <w:b/>
                <w:lang w:eastAsia="en-US"/>
              </w:rPr>
              <w:t>134.6</w:t>
            </w:r>
          </w:p>
        </w:tc>
        <w:tc>
          <w:tcPr>
            <w:tcW w:w="552" w:type="pct"/>
            <w:tcBorders>
              <w:top w:val="single" w:sz="6" w:space="0" w:color="auto"/>
              <w:left w:val="nil"/>
              <w:bottom w:val="single" w:sz="4" w:space="0" w:color="auto"/>
              <w:right w:val="nil"/>
            </w:tcBorders>
            <w:shd w:val="clear" w:color="auto" w:fill="FFFFFF"/>
            <w:vAlign w:val="bottom"/>
            <w:hideMark/>
          </w:tcPr>
          <w:p w14:paraId="25FCDDD9" w14:textId="77777777" w:rsidR="00FE7F8B" w:rsidRDefault="00FE7F8B">
            <w:pPr>
              <w:pStyle w:val="Tabletextoutputs"/>
              <w:jc w:val="right"/>
              <w:rPr>
                <w:b/>
                <w:lang w:eastAsia="en-US"/>
              </w:rPr>
            </w:pPr>
            <w:r>
              <w:rPr>
                <w:b/>
                <w:lang w:eastAsia="en-US"/>
              </w:rPr>
              <w:t>1,516.7</w:t>
            </w:r>
          </w:p>
        </w:tc>
        <w:tc>
          <w:tcPr>
            <w:tcW w:w="538" w:type="pct"/>
            <w:tcBorders>
              <w:top w:val="single" w:sz="6" w:space="0" w:color="auto"/>
              <w:left w:val="nil"/>
              <w:bottom w:val="single" w:sz="4" w:space="0" w:color="auto"/>
              <w:right w:val="nil"/>
            </w:tcBorders>
            <w:shd w:val="clear" w:color="auto" w:fill="F2F2F2" w:themeFill="background1" w:themeFillShade="F2"/>
            <w:vAlign w:val="bottom"/>
            <w:hideMark/>
          </w:tcPr>
          <w:p w14:paraId="70D783B4" w14:textId="77777777" w:rsidR="00FE7F8B" w:rsidRDefault="00FE7F8B">
            <w:pPr>
              <w:pStyle w:val="Tabletextoutputs"/>
              <w:jc w:val="right"/>
              <w:rPr>
                <w:b/>
                <w:lang w:eastAsia="en-US"/>
              </w:rPr>
            </w:pPr>
            <w:r>
              <w:rPr>
                <w:b/>
                <w:lang w:eastAsia="en-US"/>
              </w:rPr>
              <w:t>17,667.7</w:t>
            </w:r>
          </w:p>
        </w:tc>
      </w:tr>
    </w:tbl>
    <w:p w14:paraId="573EA38D" w14:textId="77777777" w:rsidR="00FE7F8B" w:rsidRDefault="00FE7F8B" w:rsidP="00FE7F8B">
      <w:pPr>
        <w:spacing w:after="200" w:line="276" w:lineRule="auto"/>
        <w:rPr>
          <w:rFonts w:cs="Arial"/>
          <w:bCs/>
          <w:iCs/>
          <w:sz w:val="28"/>
          <w:szCs w:val="28"/>
        </w:rPr>
      </w:pPr>
      <w:r>
        <w:br w:type="page"/>
      </w:r>
      <w:bookmarkStart w:id="66" w:name="_Ref399422770"/>
      <w:bookmarkStart w:id="67" w:name="_Toc399491060"/>
    </w:p>
    <w:p w14:paraId="19154060" w14:textId="77777777" w:rsidR="00FE7F8B" w:rsidRDefault="00FE7F8B" w:rsidP="00AD641C">
      <w:pPr>
        <w:pStyle w:val="Heading2notes"/>
        <w:numPr>
          <w:ilvl w:val="0"/>
          <w:numId w:val="39"/>
        </w:numPr>
      </w:pPr>
      <w:bookmarkStart w:id="68" w:name="_Toc461176292"/>
      <w:r>
        <w:t>Administered (non-controlled) items</w:t>
      </w:r>
      <w:bookmarkEnd w:id="66"/>
      <w:bookmarkEnd w:id="67"/>
      <w:bookmarkEnd w:id="68"/>
    </w:p>
    <w:p w14:paraId="5F5368C8" w14:textId="77777777" w:rsidR="00FE7F8B" w:rsidRDefault="00FE7F8B" w:rsidP="00FE7F8B">
      <w:r>
        <w:t>In addition to the specific departmental operations which are included in the comprehensive operating statement, balance sheet, statement of changes in equity and cash flow statement, the Department administers or manages other activities on behalf of the State. All the Department’s administered activities relate to school education output. The transactions relating to these activities are reported as administered items (Note 1(b) and Note 1(h)).</w:t>
      </w:r>
    </w:p>
    <w:tbl>
      <w:tblPr>
        <w:tblW w:w="5002" w:type="pct"/>
        <w:tblLook w:val="04A0" w:firstRow="1" w:lastRow="0" w:firstColumn="1" w:lastColumn="0" w:noHBand="0" w:noVBand="1"/>
      </w:tblPr>
      <w:tblGrid>
        <w:gridCol w:w="5314"/>
        <w:gridCol w:w="1139"/>
        <w:gridCol w:w="1139"/>
      </w:tblGrid>
      <w:tr w:rsidR="00FE7F8B" w14:paraId="5DC74D3D" w14:textId="77777777" w:rsidTr="00FE7F8B">
        <w:trPr>
          <w:tblHeader/>
        </w:trPr>
        <w:tc>
          <w:tcPr>
            <w:tcW w:w="3500" w:type="pct"/>
            <w:shd w:val="clear" w:color="auto" w:fill="7F7F7F" w:themeFill="text1" w:themeFillTint="80"/>
            <w:noWrap/>
            <w:vAlign w:val="bottom"/>
          </w:tcPr>
          <w:p w14:paraId="1DE7AC8E" w14:textId="77777777" w:rsidR="00FE7F8B" w:rsidRDefault="00FE7F8B">
            <w:pPr>
              <w:pStyle w:val="Tablecolumnheading"/>
              <w:rPr>
                <w:lang w:eastAsia="en-AU"/>
              </w:rPr>
            </w:pPr>
          </w:p>
        </w:tc>
        <w:tc>
          <w:tcPr>
            <w:tcW w:w="1500" w:type="pct"/>
            <w:gridSpan w:val="2"/>
            <w:shd w:val="clear" w:color="auto" w:fill="7F7F7F" w:themeFill="text1" w:themeFillTint="80"/>
            <w:vAlign w:val="bottom"/>
            <w:hideMark/>
          </w:tcPr>
          <w:p w14:paraId="5BD38CA4" w14:textId="77777777" w:rsidR="00FE7F8B" w:rsidRDefault="00FE7F8B">
            <w:pPr>
              <w:pStyle w:val="Tablecolumnheading"/>
              <w:jc w:val="center"/>
              <w:rPr>
                <w:lang w:eastAsia="en-AU"/>
              </w:rPr>
            </w:pPr>
            <w:r>
              <w:rPr>
                <w:lang w:eastAsia="en-AU"/>
              </w:rPr>
              <w:t>Departmental total</w:t>
            </w:r>
          </w:p>
        </w:tc>
      </w:tr>
      <w:tr w:rsidR="00FE7F8B" w14:paraId="1B7C33F3" w14:textId="77777777" w:rsidTr="0005782C">
        <w:trPr>
          <w:trHeight w:hRule="exact" w:val="454"/>
          <w:tblHeader/>
        </w:trPr>
        <w:tc>
          <w:tcPr>
            <w:tcW w:w="3500" w:type="pct"/>
            <w:shd w:val="clear" w:color="auto" w:fill="7F7F7F" w:themeFill="text1" w:themeFillTint="80"/>
            <w:noWrap/>
            <w:vAlign w:val="center"/>
          </w:tcPr>
          <w:p w14:paraId="41EAF8F3" w14:textId="77777777" w:rsidR="00FE7F8B" w:rsidRDefault="00FE7F8B">
            <w:pPr>
              <w:pStyle w:val="Tablecolumnheading"/>
              <w:rPr>
                <w:lang w:eastAsia="en-AU"/>
              </w:rPr>
            </w:pPr>
          </w:p>
        </w:tc>
        <w:tc>
          <w:tcPr>
            <w:tcW w:w="750" w:type="pct"/>
            <w:shd w:val="clear" w:color="auto" w:fill="7F7F7F" w:themeFill="text1" w:themeFillTint="80"/>
            <w:vAlign w:val="center"/>
            <w:hideMark/>
          </w:tcPr>
          <w:p w14:paraId="6E5D494F" w14:textId="77777777" w:rsidR="00FE7F8B" w:rsidRDefault="00FE7F8B">
            <w:pPr>
              <w:pStyle w:val="Tablecolumnheading"/>
              <w:jc w:val="center"/>
              <w:rPr>
                <w:lang w:eastAsia="en-AU"/>
              </w:rPr>
            </w:pPr>
            <w:r>
              <w:rPr>
                <w:lang w:eastAsia="en-AU"/>
              </w:rPr>
              <w:t>2016</w:t>
            </w:r>
            <w:r>
              <w:rPr>
                <w:lang w:eastAsia="en-AU"/>
              </w:rPr>
              <w:br/>
              <w:t>$m</w:t>
            </w:r>
          </w:p>
        </w:tc>
        <w:tc>
          <w:tcPr>
            <w:tcW w:w="750" w:type="pct"/>
            <w:shd w:val="clear" w:color="auto" w:fill="7F7F7F" w:themeFill="text1" w:themeFillTint="80"/>
            <w:vAlign w:val="center"/>
            <w:hideMark/>
          </w:tcPr>
          <w:p w14:paraId="0BD23D09" w14:textId="77777777" w:rsidR="00FE7F8B" w:rsidRDefault="00FE7F8B">
            <w:pPr>
              <w:pStyle w:val="Tablecolumnheading"/>
              <w:jc w:val="center"/>
              <w:rPr>
                <w:lang w:eastAsia="en-AU"/>
              </w:rPr>
            </w:pPr>
            <w:r>
              <w:rPr>
                <w:lang w:eastAsia="en-AU"/>
              </w:rPr>
              <w:t>2015</w:t>
            </w:r>
            <w:r>
              <w:rPr>
                <w:lang w:eastAsia="en-AU"/>
              </w:rPr>
              <w:br/>
              <w:t>$m</w:t>
            </w:r>
          </w:p>
        </w:tc>
      </w:tr>
      <w:tr w:rsidR="00FE7F8B" w14:paraId="1BEFD577" w14:textId="77777777" w:rsidTr="0005782C">
        <w:trPr>
          <w:trHeight w:hRule="exact" w:val="284"/>
        </w:trPr>
        <w:tc>
          <w:tcPr>
            <w:tcW w:w="5000" w:type="pct"/>
            <w:gridSpan w:val="3"/>
            <w:shd w:val="clear" w:color="auto" w:fill="FFFFFF"/>
            <w:noWrap/>
            <w:vAlign w:val="bottom"/>
            <w:hideMark/>
          </w:tcPr>
          <w:p w14:paraId="06E1B52B" w14:textId="77777777" w:rsidR="00FE7F8B" w:rsidRDefault="00FE7F8B">
            <w:pPr>
              <w:pStyle w:val="Tabletextoutputs"/>
              <w:rPr>
                <w:lang w:eastAsia="en-US"/>
              </w:rPr>
            </w:pPr>
            <w:r>
              <w:rPr>
                <w:b/>
                <w:lang w:eastAsia="en-US"/>
              </w:rPr>
              <w:t>Administered income from transactions</w:t>
            </w:r>
          </w:p>
        </w:tc>
      </w:tr>
      <w:tr w:rsidR="00FE7F8B" w14:paraId="6AA7D7C6" w14:textId="77777777" w:rsidTr="0005782C">
        <w:trPr>
          <w:trHeight w:hRule="exact" w:val="284"/>
        </w:trPr>
        <w:tc>
          <w:tcPr>
            <w:tcW w:w="5000" w:type="pct"/>
            <w:gridSpan w:val="3"/>
            <w:shd w:val="clear" w:color="auto" w:fill="FFFFFF"/>
            <w:noWrap/>
            <w:vAlign w:val="bottom"/>
            <w:hideMark/>
          </w:tcPr>
          <w:p w14:paraId="5ADCFB77" w14:textId="77777777" w:rsidR="00FE7F8B" w:rsidRDefault="00FE7F8B">
            <w:pPr>
              <w:pStyle w:val="Tabletextoutputs"/>
              <w:rPr>
                <w:lang w:eastAsia="en-US"/>
              </w:rPr>
            </w:pPr>
            <w:r>
              <w:rPr>
                <w:b/>
                <w:i/>
                <w:lang w:eastAsia="en-US"/>
              </w:rPr>
              <w:t>Commonwealth on-passing to non-government schools</w:t>
            </w:r>
          </w:p>
        </w:tc>
      </w:tr>
      <w:tr w:rsidR="00FE7F8B" w14:paraId="0C332E67" w14:textId="77777777" w:rsidTr="0005782C">
        <w:trPr>
          <w:trHeight w:hRule="exact" w:val="284"/>
        </w:trPr>
        <w:tc>
          <w:tcPr>
            <w:tcW w:w="3500" w:type="pct"/>
            <w:shd w:val="clear" w:color="auto" w:fill="FFFFFF"/>
            <w:noWrap/>
            <w:vAlign w:val="bottom"/>
            <w:hideMark/>
          </w:tcPr>
          <w:p w14:paraId="440DB513" w14:textId="77777777" w:rsidR="00FE7F8B" w:rsidRDefault="00FE7F8B">
            <w:pPr>
              <w:pStyle w:val="Tabletextoutputs"/>
              <w:ind w:left="205"/>
              <w:rPr>
                <w:lang w:eastAsia="en-US"/>
              </w:rPr>
            </w:pPr>
            <w:r>
              <w:rPr>
                <w:lang w:eastAsia="en-US"/>
              </w:rPr>
              <w:t>General recurrent grants</w:t>
            </w:r>
          </w:p>
        </w:tc>
        <w:tc>
          <w:tcPr>
            <w:tcW w:w="750" w:type="pct"/>
            <w:shd w:val="clear" w:color="auto" w:fill="F2F2F2" w:themeFill="background1" w:themeFillShade="F2"/>
            <w:vAlign w:val="bottom"/>
            <w:hideMark/>
          </w:tcPr>
          <w:p w14:paraId="5CE87431" w14:textId="77777777" w:rsidR="00FE7F8B" w:rsidRDefault="00FE7F8B">
            <w:pPr>
              <w:pStyle w:val="Tabletextoutputs"/>
              <w:jc w:val="right"/>
              <w:rPr>
                <w:b/>
                <w:lang w:eastAsia="en-US"/>
              </w:rPr>
            </w:pPr>
            <w:r>
              <w:rPr>
                <w:b/>
                <w:lang w:eastAsia="en-US"/>
              </w:rPr>
              <w:t>2,777.7</w:t>
            </w:r>
          </w:p>
        </w:tc>
        <w:tc>
          <w:tcPr>
            <w:tcW w:w="750" w:type="pct"/>
            <w:shd w:val="clear" w:color="auto" w:fill="FFFFFF"/>
            <w:noWrap/>
            <w:vAlign w:val="bottom"/>
            <w:hideMark/>
          </w:tcPr>
          <w:p w14:paraId="5CBE50EB" w14:textId="77777777" w:rsidR="00FE7F8B" w:rsidRDefault="00FE7F8B">
            <w:pPr>
              <w:pStyle w:val="Tabletextoutputs"/>
              <w:jc w:val="right"/>
              <w:rPr>
                <w:lang w:eastAsia="en-US"/>
              </w:rPr>
            </w:pPr>
            <w:r>
              <w:rPr>
                <w:lang w:eastAsia="en-US"/>
              </w:rPr>
              <w:t>2,632.7</w:t>
            </w:r>
          </w:p>
        </w:tc>
      </w:tr>
      <w:tr w:rsidR="00FE7F8B" w14:paraId="08C336BB" w14:textId="77777777" w:rsidTr="0005782C">
        <w:trPr>
          <w:trHeight w:hRule="exact" w:val="284"/>
        </w:trPr>
        <w:tc>
          <w:tcPr>
            <w:tcW w:w="3500" w:type="pct"/>
            <w:shd w:val="clear" w:color="auto" w:fill="FFFFFF"/>
            <w:noWrap/>
            <w:vAlign w:val="bottom"/>
            <w:hideMark/>
          </w:tcPr>
          <w:p w14:paraId="2287CF88" w14:textId="77777777" w:rsidR="00FE7F8B" w:rsidRDefault="00FE7F8B">
            <w:pPr>
              <w:pStyle w:val="Tabletextoutputs"/>
              <w:ind w:left="205"/>
              <w:rPr>
                <w:lang w:eastAsia="en-US"/>
              </w:rPr>
            </w:pPr>
            <w:r>
              <w:rPr>
                <w:lang w:eastAsia="en-US"/>
              </w:rPr>
              <w:t>Other</w:t>
            </w:r>
          </w:p>
        </w:tc>
        <w:tc>
          <w:tcPr>
            <w:tcW w:w="750" w:type="pct"/>
            <w:shd w:val="clear" w:color="auto" w:fill="F2F2F2" w:themeFill="background1" w:themeFillShade="F2"/>
            <w:noWrap/>
            <w:vAlign w:val="bottom"/>
            <w:hideMark/>
          </w:tcPr>
          <w:p w14:paraId="4F314B07" w14:textId="77777777" w:rsidR="00FE7F8B" w:rsidRDefault="00FE7F8B">
            <w:pPr>
              <w:pStyle w:val="Tabletextoutputs"/>
              <w:jc w:val="right"/>
              <w:rPr>
                <w:b/>
                <w:lang w:eastAsia="en-US"/>
              </w:rPr>
            </w:pPr>
            <w:r>
              <w:rPr>
                <w:b/>
                <w:lang w:eastAsia="en-US"/>
              </w:rPr>
              <w:t>51.9</w:t>
            </w:r>
          </w:p>
        </w:tc>
        <w:tc>
          <w:tcPr>
            <w:tcW w:w="750" w:type="pct"/>
            <w:shd w:val="clear" w:color="auto" w:fill="FFFFFF"/>
            <w:noWrap/>
            <w:vAlign w:val="bottom"/>
            <w:hideMark/>
          </w:tcPr>
          <w:p w14:paraId="31183558" w14:textId="77777777" w:rsidR="00FE7F8B" w:rsidRDefault="00FE7F8B">
            <w:pPr>
              <w:pStyle w:val="Tabletextoutputs"/>
              <w:jc w:val="right"/>
              <w:rPr>
                <w:lang w:eastAsia="en-US"/>
              </w:rPr>
            </w:pPr>
            <w:r>
              <w:rPr>
                <w:lang w:eastAsia="en-US"/>
              </w:rPr>
              <w:t>49.7</w:t>
            </w:r>
          </w:p>
        </w:tc>
      </w:tr>
      <w:tr w:rsidR="00FE7F8B" w14:paraId="13DC33CE" w14:textId="77777777" w:rsidTr="0005782C">
        <w:trPr>
          <w:trHeight w:hRule="exact" w:val="284"/>
        </w:trPr>
        <w:tc>
          <w:tcPr>
            <w:tcW w:w="3500" w:type="pct"/>
            <w:shd w:val="clear" w:color="auto" w:fill="FFFFFF"/>
            <w:noWrap/>
            <w:vAlign w:val="bottom"/>
            <w:hideMark/>
          </w:tcPr>
          <w:p w14:paraId="44175B88" w14:textId="77777777" w:rsidR="00FE7F8B" w:rsidRDefault="00FE7F8B">
            <w:pPr>
              <w:pStyle w:val="Tabletextoutputs"/>
              <w:rPr>
                <w:lang w:eastAsia="en-US"/>
              </w:rPr>
            </w:pPr>
            <w:r>
              <w:rPr>
                <w:lang w:eastAsia="en-US"/>
              </w:rPr>
              <w:t>Prizes and scholarships</w:t>
            </w:r>
          </w:p>
        </w:tc>
        <w:tc>
          <w:tcPr>
            <w:tcW w:w="750" w:type="pct"/>
            <w:shd w:val="clear" w:color="auto" w:fill="F2F2F2" w:themeFill="background1" w:themeFillShade="F2"/>
            <w:noWrap/>
            <w:vAlign w:val="bottom"/>
            <w:hideMark/>
          </w:tcPr>
          <w:p w14:paraId="4F1F41B4" w14:textId="77777777" w:rsidR="00FE7F8B" w:rsidRDefault="00FE7F8B">
            <w:pPr>
              <w:pStyle w:val="Tabletextoutputs"/>
              <w:jc w:val="right"/>
              <w:rPr>
                <w:b/>
                <w:lang w:eastAsia="en-US"/>
              </w:rPr>
            </w:pPr>
            <w:r>
              <w:rPr>
                <w:b/>
                <w:lang w:eastAsia="en-US"/>
              </w:rPr>
              <w:t>0.3</w:t>
            </w:r>
          </w:p>
        </w:tc>
        <w:tc>
          <w:tcPr>
            <w:tcW w:w="750" w:type="pct"/>
            <w:shd w:val="clear" w:color="auto" w:fill="FFFFFF"/>
            <w:noWrap/>
            <w:vAlign w:val="bottom"/>
            <w:hideMark/>
          </w:tcPr>
          <w:p w14:paraId="7D28734C" w14:textId="77777777" w:rsidR="00FE7F8B" w:rsidRDefault="00FE7F8B">
            <w:pPr>
              <w:pStyle w:val="Tabletextoutputs"/>
              <w:jc w:val="right"/>
              <w:rPr>
                <w:lang w:eastAsia="en-US"/>
              </w:rPr>
            </w:pPr>
            <w:r>
              <w:rPr>
                <w:lang w:eastAsia="en-US"/>
              </w:rPr>
              <w:t>0.3</w:t>
            </w:r>
          </w:p>
        </w:tc>
      </w:tr>
      <w:tr w:rsidR="00FE7F8B" w14:paraId="4CFE4DFF" w14:textId="77777777" w:rsidTr="0005782C">
        <w:trPr>
          <w:trHeight w:hRule="exact" w:val="284"/>
        </w:trPr>
        <w:tc>
          <w:tcPr>
            <w:tcW w:w="3500" w:type="pct"/>
            <w:shd w:val="clear" w:color="auto" w:fill="FFFFFF"/>
            <w:noWrap/>
            <w:vAlign w:val="bottom"/>
            <w:hideMark/>
          </w:tcPr>
          <w:p w14:paraId="01BC2FCB" w14:textId="77777777" w:rsidR="00FE7F8B" w:rsidRDefault="00FE7F8B">
            <w:pPr>
              <w:pStyle w:val="Tabletextoutputs"/>
              <w:rPr>
                <w:lang w:eastAsia="en-US"/>
              </w:rPr>
            </w:pPr>
            <w:r>
              <w:rPr>
                <w:lang w:eastAsia="en-US"/>
              </w:rPr>
              <w:t>Other income</w:t>
            </w:r>
          </w:p>
        </w:tc>
        <w:tc>
          <w:tcPr>
            <w:tcW w:w="750" w:type="pct"/>
            <w:shd w:val="clear" w:color="auto" w:fill="F2F2F2" w:themeFill="background1" w:themeFillShade="F2"/>
            <w:noWrap/>
            <w:vAlign w:val="bottom"/>
            <w:hideMark/>
          </w:tcPr>
          <w:p w14:paraId="2B823CF0" w14:textId="77777777" w:rsidR="00FE7F8B" w:rsidRDefault="00FE7F8B">
            <w:pPr>
              <w:pStyle w:val="Tabletextoutputs"/>
              <w:jc w:val="right"/>
              <w:rPr>
                <w:b/>
                <w:lang w:eastAsia="en-US"/>
              </w:rPr>
            </w:pPr>
            <w:r>
              <w:rPr>
                <w:b/>
                <w:lang w:eastAsia="en-US"/>
              </w:rPr>
              <w:t>29.5</w:t>
            </w:r>
          </w:p>
        </w:tc>
        <w:tc>
          <w:tcPr>
            <w:tcW w:w="750" w:type="pct"/>
            <w:shd w:val="clear" w:color="auto" w:fill="FFFFFF"/>
            <w:noWrap/>
            <w:vAlign w:val="bottom"/>
            <w:hideMark/>
          </w:tcPr>
          <w:p w14:paraId="3E6893E3" w14:textId="77777777" w:rsidR="00FE7F8B" w:rsidRDefault="00FE7F8B">
            <w:pPr>
              <w:pStyle w:val="Tabletextoutputs"/>
              <w:jc w:val="right"/>
              <w:rPr>
                <w:lang w:eastAsia="en-US"/>
              </w:rPr>
            </w:pPr>
            <w:r>
              <w:rPr>
                <w:lang w:eastAsia="en-US"/>
              </w:rPr>
              <w:t>4.1</w:t>
            </w:r>
          </w:p>
        </w:tc>
      </w:tr>
      <w:tr w:rsidR="00FE7F8B" w14:paraId="6B6EDC2E" w14:textId="77777777" w:rsidTr="0005782C">
        <w:trPr>
          <w:trHeight w:hRule="exact" w:val="284"/>
        </w:trPr>
        <w:tc>
          <w:tcPr>
            <w:tcW w:w="3500" w:type="pct"/>
            <w:tcBorders>
              <w:top w:val="nil"/>
              <w:left w:val="nil"/>
              <w:bottom w:val="single" w:sz="4" w:space="0" w:color="auto"/>
              <w:right w:val="nil"/>
            </w:tcBorders>
            <w:shd w:val="clear" w:color="auto" w:fill="FFFFFF"/>
            <w:noWrap/>
            <w:vAlign w:val="bottom"/>
            <w:hideMark/>
          </w:tcPr>
          <w:p w14:paraId="53030401" w14:textId="77777777" w:rsidR="00FE7F8B" w:rsidRDefault="00FE7F8B">
            <w:pPr>
              <w:pStyle w:val="Tabletextoutputs"/>
              <w:rPr>
                <w:lang w:eastAsia="en-US"/>
              </w:rPr>
            </w:pPr>
            <w:r>
              <w:rPr>
                <w:lang w:eastAsia="en-US"/>
              </w:rPr>
              <w:t>Amounts received via Consolidated Fund</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35BD886F" w14:textId="77777777" w:rsidR="00FE7F8B" w:rsidRDefault="00FE7F8B">
            <w:pPr>
              <w:pStyle w:val="Tabletextoutputs"/>
              <w:jc w:val="right"/>
              <w:rPr>
                <w:b/>
                <w:lang w:eastAsia="en-US"/>
              </w:rPr>
            </w:pPr>
            <w:r>
              <w:rPr>
                <w:b/>
                <w:lang w:eastAsia="en-US"/>
              </w:rPr>
              <w:t>98.4</w:t>
            </w:r>
          </w:p>
        </w:tc>
        <w:tc>
          <w:tcPr>
            <w:tcW w:w="750" w:type="pct"/>
            <w:tcBorders>
              <w:top w:val="nil"/>
              <w:left w:val="nil"/>
              <w:bottom w:val="single" w:sz="4" w:space="0" w:color="auto"/>
              <w:right w:val="nil"/>
            </w:tcBorders>
            <w:shd w:val="clear" w:color="auto" w:fill="FFFFFF"/>
            <w:noWrap/>
            <w:vAlign w:val="bottom"/>
            <w:hideMark/>
          </w:tcPr>
          <w:p w14:paraId="4327DDA5" w14:textId="77777777" w:rsidR="00FE7F8B" w:rsidRDefault="00FE7F8B">
            <w:pPr>
              <w:pStyle w:val="Tabletextoutputs"/>
              <w:jc w:val="right"/>
              <w:rPr>
                <w:lang w:eastAsia="en-US"/>
              </w:rPr>
            </w:pPr>
            <w:r>
              <w:rPr>
                <w:lang w:eastAsia="en-US"/>
              </w:rPr>
              <w:t>-</w:t>
            </w:r>
          </w:p>
        </w:tc>
      </w:tr>
      <w:tr w:rsidR="00FE7F8B" w14:paraId="55311ECF" w14:textId="77777777" w:rsidTr="0005782C">
        <w:trPr>
          <w:trHeight w:hRule="exact" w:val="284"/>
        </w:trPr>
        <w:tc>
          <w:tcPr>
            <w:tcW w:w="3500" w:type="pct"/>
            <w:tcBorders>
              <w:top w:val="single" w:sz="4" w:space="0" w:color="auto"/>
              <w:left w:val="nil"/>
              <w:bottom w:val="single" w:sz="4" w:space="0" w:color="auto"/>
              <w:right w:val="nil"/>
            </w:tcBorders>
            <w:shd w:val="clear" w:color="auto" w:fill="FFFFFF"/>
            <w:noWrap/>
            <w:vAlign w:val="center"/>
            <w:hideMark/>
          </w:tcPr>
          <w:p w14:paraId="1701B75E" w14:textId="77777777" w:rsidR="00FE7F8B" w:rsidRDefault="00FE7F8B">
            <w:pPr>
              <w:pStyle w:val="Tabletextoutputs"/>
              <w:rPr>
                <w:b/>
                <w:lang w:eastAsia="en-US"/>
              </w:rPr>
            </w:pPr>
            <w:r>
              <w:rPr>
                <w:b/>
                <w:lang w:eastAsia="en-US"/>
              </w:rPr>
              <w:t>Total administered income from transactions</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37E43EEE" w14:textId="77777777" w:rsidR="00FE7F8B" w:rsidRDefault="00FE7F8B">
            <w:pPr>
              <w:pStyle w:val="Tabletextoutputs"/>
              <w:jc w:val="right"/>
              <w:rPr>
                <w:b/>
                <w:lang w:eastAsia="en-US"/>
              </w:rPr>
            </w:pPr>
            <w:r>
              <w:rPr>
                <w:b/>
                <w:lang w:eastAsia="en-US"/>
              </w:rPr>
              <w:t>2,957.7</w:t>
            </w:r>
          </w:p>
        </w:tc>
        <w:tc>
          <w:tcPr>
            <w:tcW w:w="750" w:type="pct"/>
            <w:tcBorders>
              <w:top w:val="single" w:sz="4" w:space="0" w:color="auto"/>
              <w:left w:val="nil"/>
              <w:bottom w:val="single" w:sz="4" w:space="0" w:color="auto"/>
              <w:right w:val="nil"/>
            </w:tcBorders>
            <w:shd w:val="clear" w:color="auto" w:fill="FFFFFF"/>
            <w:noWrap/>
            <w:vAlign w:val="bottom"/>
            <w:hideMark/>
          </w:tcPr>
          <w:p w14:paraId="4A4F09A0" w14:textId="77777777" w:rsidR="00FE7F8B" w:rsidRDefault="00FE7F8B">
            <w:pPr>
              <w:pStyle w:val="Tabletextoutputs"/>
              <w:jc w:val="right"/>
              <w:rPr>
                <w:lang w:eastAsia="en-US"/>
              </w:rPr>
            </w:pPr>
            <w:r>
              <w:rPr>
                <w:lang w:eastAsia="en-US"/>
              </w:rPr>
              <w:t>2,686.8</w:t>
            </w:r>
          </w:p>
        </w:tc>
      </w:tr>
      <w:tr w:rsidR="00FE7F8B" w14:paraId="058CC548" w14:textId="77777777" w:rsidTr="0005782C">
        <w:trPr>
          <w:trHeight w:hRule="exact" w:val="284"/>
        </w:trPr>
        <w:tc>
          <w:tcPr>
            <w:tcW w:w="5000" w:type="pct"/>
            <w:gridSpan w:val="3"/>
            <w:tcBorders>
              <w:top w:val="single" w:sz="4" w:space="0" w:color="auto"/>
              <w:left w:val="nil"/>
              <w:bottom w:val="nil"/>
              <w:right w:val="nil"/>
            </w:tcBorders>
            <w:shd w:val="clear" w:color="auto" w:fill="FFFFFF"/>
            <w:noWrap/>
            <w:vAlign w:val="bottom"/>
            <w:hideMark/>
          </w:tcPr>
          <w:p w14:paraId="5877C350" w14:textId="77777777" w:rsidR="00FE7F8B" w:rsidRDefault="00FE7F8B">
            <w:pPr>
              <w:pStyle w:val="Tabletextoutputs"/>
              <w:rPr>
                <w:lang w:eastAsia="en-US"/>
              </w:rPr>
            </w:pPr>
            <w:r>
              <w:rPr>
                <w:b/>
                <w:lang w:eastAsia="en-US"/>
              </w:rPr>
              <w:t>Administered expenses from transactions</w:t>
            </w:r>
          </w:p>
        </w:tc>
      </w:tr>
      <w:tr w:rsidR="00FE7F8B" w14:paraId="35D6B022" w14:textId="77777777" w:rsidTr="0005782C">
        <w:trPr>
          <w:trHeight w:hRule="exact" w:val="284"/>
        </w:trPr>
        <w:tc>
          <w:tcPr>
            <w:tcW w:w="5000" w:type="pct"/>
            <w:gridSpan w:val="3"/>
            <w:shd w:val="clear" w:color="auto" w:fill="FFFFFF"/>
            <w:noWrap/>
            <w:vAlign w:val="bottom"/>
            <w:hideMark/>
          </w:tcPr>
          <w:p w14:paraId="0479203E" w14:textId="77777777" w:rsidR="00FE7F8B" w:rsidRDefault="00FE7F8B">
            <w:pPr>
              <w:pStyle w:val="Tabletextoutputs"/>
              <w:rPr>
                <w:lang w:eastAsia="en-US"/>
              </w:rPr>
            </w:pPr>
            <w:r>
              <w:rPr>
                <w:b/>
                <w:i/>
                <w:lang w:eastAsia="en-US"/>
              </w:rPr>
              <w:t>Commonwealth on-passing to non-government schools</w:t>
            </w:r>
          </w:p>
        </w:tc>
      </w:tr>
      <w:tr w:rsidR="00FE7F8B" w14:paraId="7228E3FE" w14:textId="77777777" w:rsidTr="0005782C">
        <w:trPr>
          <w:trHeight w:hRule="exact" w:val="284"/>
        </w:trPr>
        <w:tc>
          <w:tcPr>
            <w:tcW w:w="3500" w:type="pct"/>
            <w:shd w:val="clear" w:color="auto" w:fill="FFFFFF"/>
            <w:noWrap/>
            <w:vAlign w:val="bottom"/>
            <w:hideMark/>
          </w:tcPr>
          <w:p w14:paraId="082FD861" w14:textId="77777777" w:rsidR="00FE7F8B" w:rsidRDefault="00FE7F8B">
            <w:pPr>
              <w:pStyle w:val="Tabletextoutputs"/>
              <w:ind w:left="205"/>
              <w:rPr>
                <w:lang w:eastAsia="en-US"/>
              </w:rPr>
            </w:pPr>
            <w:r>
              <w:rPr>
                <w:lang w:eastAsia="en-US"/>
              </w:rPr>
              <w:t>General recurrent grants</w:t>
            </w:r>
          </w:p>
        </w:tc>
        <w:tc>
          <w:tcPr>
            <w:tcW w:w="750" w:type="pct"/>
            <w:shd w:val="clear" w:color="auto" w:fill="F2F2F2" w:themeFill="background1" w:themeFillShade="F2"/>
            <w:noWrap/>
            <w:vAlign w:val="bottom"/>
            <w:hideMark/>
          </w:tcPr>
          <w:p w14:paraId="2E8CB46A" w14:textId="77777777" w:rsidR="00FE7F8B" w:rsidRDefault="00FE7F8B">
            <w:pPr>
              <w:pStyle w:val="Tabletextoutputs"/>
              <w:jc w:val="right"/>
              <w:rPr>
                <w:b/>
                <w:lang w:eastAsia="en-US"/>
              </w:rPr>
            </w:pPr>
            <w:r>
              <w:rPr>
                <w:b/>
                <w:lang w:eastAsia="en-US"/>
              </w:rPr>
              <w:t>(2,777.7)</w:t>
            </w:r>
          </w:p>
        </w:tc>
        <w:tc>
          <w:tcPr>
            <w:tcW w:w="750" w:type="pct"/>
            <w:shd w:val="clear" w:color="auto" w:fill="FFFFFF"/>
            <w:noWrap/>
            <w:vAlign w:val="bottom"/>
            <w:hideMark/>
          </w:tcPr>
          <w:p w14:paraId="66F222AB" w14:textId="77777777" w:rsidR="00FE7F8B" w:rsidRDefault="00FE7F8B">
            <w:pPr>
              <w:pStyle w:val="Tabletextoutputs"/>
              <w:jc w:val="right"/>
              <w:rPr>
                <w:lang w:eastAsia="en-US"/>
              </w:rPr>
            </w:pPr>
            <w:r>
              <w:rPr>
                <w:lang w:eastAsia="en-US"/>
              </w:rPr>
              <w:t>(2,632.7)</w:t>
            </w:r>
          </w:p>
        </w:tc>
      </w:tr>
      <w:tr w:rsidR="00FE7F8B" w14:paraId="55255D7F" w14:textId="77777777" w:rsidTr="0005782C">
        <w:trPr>
          <w:trHeight w:hRule="exact" w:val="284"/>
        </w:trPr>
        <w:tc>
          <w:tcPr>
            <w:tcW w:w="3500" w:type="pct"/>
            <w:shd w:val="clear" w:color="auto" w:fill="FFFFFF"/>
            <w:noWrap/>
            <w:vAlign w:val="bottom"/>
            <w:hideMark/>
          </w:tcPr>
          <w:p w14:paraId="25BF7A5D" w14:textId="77777777" w:rsidR="00FE7F8B" w:rsidRDefault="00FE7F8B">
            <w:pPr>
              <w:pStyle w:val="Tabletextoutputs"/>
              <w:ind w:left="205"/>
              <w:rPr>
                <w:lang w:eastAsia="en-US"/>
              </w:rPr>
            </w:pPr>
            <w:r>
              <w:rPr>
                <w:lang w:eastAsia="en-US"/>
              </w:rPr>
              <w:t>Other</w:t>
            </w:r>
          </w:p>
        </w:tc>
        <w:tc>
          <w:tcPr>
            <w:tcW w:w="750" w:type="pct"/>
            <w:shd w:val="clear" w:color="auto" w:fill="F2F2F2" w:themeFill="background1" w:themeFillShade="F2"/>
            <w:noWrap/>
            <w:vAlign w:val="bottom"/>
            <w:hideMark/>
          </w:tcPr>
          <w:p w14:paraId="3DC61BA0" w14:textId="77777777" w:rsidR="00FE7F8B" w:rsidRDefault="00FE7F8B">
            <w:pPr>
              <w:pStyle w:val="Tabletextoutputs"/>
              <w:jc w:val="right"/>
              <w:rPr>
                <w:b/>
                <w:lang w:eastAsia="en-US"/>
              </w:rPr>
            </w:pPr>
            <w:r>
              <w:rPr>
                <w:b/>
                <w:lang w:eastAsia="en-US"/>
              </w:rPr>
              <w:t>(51.9)</w:t>
            </w:r>
          </w:p>
        </w:tc>
        <w:tc>
          <w:tcPr>
            <w:tcW w:w="750" w:type="pct"/>
            <w:shd w:val="clear" w:color="auto" w:fill="FFFFFF"/>
            <w:noWrap/>
            <w:vAlign w:val="bottom"/>
            <w:hideMark/>
          </w:tcPr>
          <w:p w14:paraId="741E9ACB" w14:textId="77777777" w:rsidR="00FE7F8B" w:rsidRDefault="00FE7F8B">
            <w:pPr>
              <w:pStyle w:val="Tabletextoutputs"/>
              <w:jc w:val="right"/>
              <w:rPr>
                <w:lang w:eastAsia="en-US"/>
              </w:rPr>
            </w:pPr>
            <w:r>
              <w:rPr>
                <w:lang w:eastAsia="en-US"/>
              </w:rPr>
              <w:t>(49.7)</w:t>
            </w:r>
          </w:p>
        </w:tc>
      </w:tr>
      <w:tr w:rsidR="00FE7F8B" w14:paraId="080A0B14" w14:textId="77777777" w:rsidTr="0005782C">
        <w:trPr>
          <w:trHeight w:hRule="exact" w:val="284"/>
        </w:trPr>
        <w:tc>
          <w:tcPr>
            <w:tcW w:w="3500" w:type="pct"/>
            <w:shd w:val="clear" w:color="auto" w:fill="FFFFFF"/>
            <w:noWrap/>
            <w:vAlign w:val="bottom"/>
            <w:hideMark/>
          </w:tcPr>
          <w:p w14:paraId="1580C5CE" w14:textId="77777777" w:rsidR="00FE7F8B" w:rsidRDefault="00FE7F8B">
            <w:pPr>
              <w:pStyle w:val="Tabletextoutputs"/>
              <w:rPr>
                <w:lang w:eastAsia="en-US"/>
              </w:rPr>
            </w:pPr>
            <w:r>
              <w:rPr>
                <w:lang w:eastAsia="en-US"/>
              </w:rPr>
              <w:t>Prizes and scholarships</w:t>
            </w:r>
          </w:p>
        </w:tc>
        <w:tc>
          <w:tcPr>
            <w:tcW w:w="750" w:type="pct"/>
            <w:shd w:val="clear" w:color="auto" w:fill="F2F2F2" w:themeFill="background1" w:themeFillShade="F2"/>
            <w:vAlign w:val="bottom"/>
            <w:hideMark/>
          </w:tcPr>
          <w:p w14:paraId="08311C32" w14:textId="77777777" w:rsidR="00FE7F8B" w:rsidRDefault="00FE7F8B">
            <w:pPr>
              <w:pStyle w:val="Tabletextoutputs"/>
              <w:jc w:val="right"/>
              <w:rPr>
                <w:b/>
                <w:lang w:eastAsia="en-US"/>
              </w:rPr>
            </w:pPr>
            <w:r>
              <w:rPr>
                <w:b/>
                <w:lang w:eastAsia="en-US"/>
              </w:rPr>
              <w:t>(0.4)</w:t>
            </w:r>
          </w:p>
        </w:tc>
        <w:tc>
          <w:tcPr>
            <w:tcW w:w="750" w:type="pct"/>
            <w:shd w:val="clear" w:color="auto" w:fill="FFFFFF"/>
            <w:noWrap/>
            <w:vAlign w:val="bottom"/>
            <w:hideMark/>
          </w:tcPr>
          <w:p w14:paraId="5F137205" w14:textId="77777777" w:rsidR="00FE7F8B" w:rsidRDefault="00FE7F8B">
            <w:pPr>
              <w:pStyle w:val="Tabletextoutputs"/>
              <w:jc w:val="right"/>
              <w:rPr>
                <w:lang w:eastAsia="en-US"/>
              </w:rPr>
            </w:pPr>
            <w:r>
              <w:rPr>
                <w:lang w:eastAsia="en-US"/>
              </w:rPr>
              <w:t>(0.9)</w:t>
            </w:r>
          </w:p>
        </w:tc>
      </w:tr>
      <w:tr w:rsidR="00FE7F8B" w14:paraId="512D2C62" w14:textId="77777777" w:rsidTr="0005782C">
        <w:trPr>
          <w:trHeight w:hRule="exact" w:val="284"/>
        </w:trPr>
        <w:tc>
          <w:tcPr>
            <w:tcW w:w="3500" w:type="pct"/>
            <w:shd w:val="clear" w:color="auto" w:fill="FFFFFF"/>
            <w:noWrap/>
            <w:vAlign w:val="bottom"/>
            <w:hideMark/>
          </w:tcPr>
          <w:p w14:paraId="0457A8E7" w14:textId="77777777" w:rsidR="00FE7F8B" w:rsidRDefault="00FE7F8B">
            <w:pPr>
              <w:pStyle w:val="Tabletextoutputs"/>
              <w:rPr>
                <w:lang w:eastAsia="en-US"/>
              </w:rPr>
            </w:pPr>
            <w:r>
              <w:rPr>
                <w:lang w:eastAsia="en-US"/>
              </w:rPr>
              <w:t>Amounts paid to Consolidated Fund</w:t>
            </w:r>
          </w:p>
        </w:tc>
        <w:tc>
          <w:tcPr>
            <w:tcW w:w="750" w:type="pct"/>
            <w:shd w:val="clear" w:color="auto" w:fill="F2F2F2" w:themeFill="background1" w:themeFillShade="F2"/>
            <w:vAlign w:val="bottom"/>
            <w:hideMark/>
          </w:tcPr>
          <w:p w14:paraId="31F766F5" w14:textId="77777777" w:rsidR="00FE7F8B" w:rsidRDefault="00FE7F8B">
            <w:pPr>
              <w:pStyle w:val="Tabletextoutputs"/>
              <w:jc w:val="right"/>
              <w:rPr>
                <w:b/>
                <w:lang w:eastAsia="en-US"/>
              </w:rPr>
            </w:pPr>
            <w:r>
              <w:rPr>
                <w:b/>
                <w:lang w:eastAsia="en-US"/>
              </w:rPr>
              <w:t>-</w:t>
            </w:r>
          </w:p>
        </w:tc>
        <w:tc>
          <w:tcPr>
            <w:tcW w:w="750" w:type="pct"/>
            <w:shd w:val="clear" w:color="auto" w:fill="FFFFFF"/>
            <w:noWrap/>
            <w:vAlign w:val="bottom"/>
            <w:hideMark/>
          </w:tcPr>
          <w:p w14:paraId="7B3591F4" w14:textId="77777777" w:rsidR="00FE7F8B" w:rsidRDefault="00FE7F8B">
            <w:pPr>
              <w:pStyle w:val="Tabletextoutputs"/>
              <w:jc w:val="right"/>
              <w:rPr>
                <w:lang w:eastAsia="en-US"/>
              </w:rPr>
            </w:pPr>
            <w:r>
              <w:rPr>
                <w:lang w:eastAsia="en-US"/>
              </w:rPr>
              <w:t>(52.3)</w:t>
            </w:r>
          </w:p>
        </w:tc>
      </w:tr>
      <w:tr w:rsidR="00FE7F8B" w14:paraId="7F5A4F8B" w14:textId="77777777" w:rsidTr="0005782C">
        <w:trPr>
          <w:trHeight w:hRule="exact" w:val="284"/>
        </w:trPr>
        <w:tc>
          <w:tcPr>
            <w:tcW w:w="3500" w:type="pct"/>
            <w:tcBorders>
              <w:top w:val="nil"/>
              <w:left w:val="nil"/>
              <w:bottom w:val="single" w:sz="4" w:space="0" w:color="auto"/>
              <w:right w:val="nil"/>
            </w:tcBorders>
            <w:shd w:val="clear" w:color="auto" w:fill="FFFFFF"/>
            <w:noWrap/>
            <w:vAlign w:val="bottom"/>
            <w:hideMark/>
          </w:tcPr>
          <w:p w14:paraId="4D0C976C" w14:textId="77777777" w:rsidR="00FE7F8B" w:rsidRDefault="00FE7F8B">
            <w:pPr>
              <w:pStyle w:val="Tabletextoutputs"/>
              <w:rPr>
                <w:lang w:eastAsia="en-US"/>
              </w:rPr>
            </w:pPr>
            <w:r>
              <w:rPr>
                <w:lang w:eastAsia="en-US"/>
              </w:rPr>
              <w:t>Other</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7719F2AE" w14:textId="77777777" w:rsidR="00FE7F8B" w:rsidRDefault="00FE7F8B">
            <w:pPr>
              <w:pStyle w:val="Tabletextoutputs"/>
              <w:jc w:val="right"/>
              <w:rPr>
                <w:b/>
                <w:lang w:eastAsia="en-US"/>
              </w:rPr>
            </w:pPr>
            <w:r>
              <w:rPr>
                <w:b/>
                <w:lang w:eastAsia="en-US"/>
              </w:rPr>
              <w:t>(0.8)</w:t>
            </w:r>
          </w:p>
        </w:tc>
        <w:tc>
          <w:tcPr>
            <w:tcW w:w="750" w:type="pct"/>
            <w:tcBorders>
              <w:top w:val="nil"/>
              <w:left w:val="nil"/>
              <w:bottom w:val="single" w:sz="4" w:space="0" w:color="auto"/>
              <w:right w:val="nil"/>
            </w:tcBorders>
            <w:shd w:val="clear" w:color="auto" w:fill="FFFFFF"/>
            <w:noWrap/>
            <w:vAlign w:val="bottom"/>
            <w:hideMark/>
          </w:tcPr>
          <w:p w14:paraId="3980055B" w14:textId="77777777" w:rsidR="00FE7F8B" w:rsidRDefault="00FE7F8B">
            <w:pPr>
              <w:pStyle w:val="Tabletextoutputs"/>
              <w:jc w:val="right"/>
              <w:rPr>
                <w:lang w:eastAsia="en-US"/>
              </w:rPr>
            </w:pPr>
            <w:r>
              <w:rPr>
                <w:lang w:eastAsia="en-US"/>
              </w:rPr>
              <w:t>(0.8)</w:t>
            </w:r>
          </w:p>
        </w:tc>
      </w:tr>
      <w:tr w:rsidR="00FE7F8B" w14:paraId="3FF7F397" w14:textId="77777777" w:rsidTr="0005782C">
        <w:trPr>
          <w:trHeight w:hRule="exact" w:val="284"/>
        </w:trPr>
        <w:tc>
          <w:tcPr>
            <w:tcW w:w="3500" w:type="pct"/>
            <w:tcBorders>
              <w:top w:val="single" w:sz="4" w:space="0" w:color="auto"/>
              <w:left w:val="nil"/>
              <w:bottom w:val="single" w:sz="6" w:space="0" w:color="auto"/>
              <w:right w:val="nil"/>
            </w:tcBorders>
            <w:shd w:val="clear" w:color="auto" w:fill="FFFFFF"/>
            <w:noWrap/>
            <w:vAlign w:val="center"/>
            <w:hideMark/>
          </w:tcPr>
          <w:p w14:paraId="46AA7F62" w14:textId="77777777" w:rsidR="00FE7F8B" w:rsidRDefault="00FE7F8B">
            <w:pPr>
              <w:pStyle w:val="Tabletextoutputs"/>
              <w:rPr>
                <w:b/>
                <w:lang w:eastAsia="en-US"/>
              </w:rPr>
            </w:pPr>
            <w:r>
              <w:rPr>
                <w:b/>
                <w:lang w:eastAsia="en-US"/>
              </w:rPr>
              <w:t>Total administered expenses from transactions</w:t>
            </w:r>
          </w:p>
        </w:tc>
        <w:tc>
          <w:tcPr>
            <w:tcW w:w="750" w:type="pct"/>
            <w:tcBorders>
              <w:top w:val="single" w:sz="4" w:space="0" w:color="auto"/>
              <w:left w:val="nil"/>
              <w:bottom w:val="single" w:sz="6" w:space="0" w:color="auto"/>
              <w:right w:val="nil"/>
            </w:tcBorders>
            <w:shd w:val="clear" w:color="auto" w:fill="F2F2F2" w:themeFill="background1" w:themeFillShade="F2"/>
            <w:noWrap/>
            <w:vAlign w:val="bottom"/>
            <w:hideMark/>
          </w:tcPr>
          <w:p w14:paraId="15E59E0F" w14:textId="77777777" w:rsidR="00FE7F8B" w:rsidRDefault="00FE7F8B">
            <w:pPr>
              <w:pStyle w:val="Tabletextoutputs"/>
              <w:jc w:val="right"/>
              <w:rPr>
                <w:b/>
                <w:lang w:eastAsia="en-US"/>
              </w:rPr>
            </w:pPr>
            <w:r>
              <w:rPr>
                <w:b/>
                <w:lang w:eastAsia="en-US"/>
              </w:rPr>
              <w:t>(2,830.7)</w:t>
            </w:r>
          </w:p>
        </w:tc>
        <w:tc>
          <w:tcPr>
            <w:tcW w:w="750" w:type="pct"/>
            <w:tcBorders>
              <w:top w:val="single" w:sz="4" w:space="0" w:color="auto"/>
              <w:left w:val="nil"/>
              <w:bottom w:val="single" w:sz="6" w:space="0" w:color="auto"/>
              <w:right w:val="nil"/>
            </w:tcBorders>
            <w:shd w:val="clear" w:color="auto" w:fill="FFFFFF"/>
            <w:noWrap/>
            <w:vAlign w:val="bottom"/>
            <w:hideMark/>
          </w:tcPr>
          <w:p w14:paraId="24ED558E" w14:textId="77777777" w:rsidR="00FE7F8B" w:rsidRDefault="00FE7F8B">
            <w:pPr>
              <w:pStyle w:val="Tabletextoutputs"/>
              <w:jc w:val="right"/>
              <w:rPr>
                <w:lang w:eastAsia="en-US"/>
              </w:rPr>
            </w:pPr>
            <w:r>
              <w:rPr>
                <w:lang w:eastAsia="en-US"/>
              </w:rPr>
              <w:t>(2,736.5)</w:t>
            </w:r>
          </w:p>
        </w:tc>
      </w:tr>
      <w:tr w:rsidR="00FE7F8B" w14:paraId="3E8191A0" w14:textId="77777777" w:rsidTr="0005782C">
        <w:trPr>
          <w:trHeight w:hRule="exact" w:val="284"/>
        </w:trPr>
        <w:tc>
          <w:tcPr>
            <w:tcW w:w="3500" w:type="pct"/>
            <w:tcBorders>
              <w:top w:val="single" w:sz="6" w:space="0" w:color="auto"/>
              <w:left w:val="nil"/>
              <w:bottom w:val="single" w:sz="4" w:space="0" w:color="auto"/>
              <w:right w:val="nil"/>
            </w:tcBorders>
            <w:shd w:val="clear" w:color="auto" w:fill="FFFFFF"/>
            <w:vAlign w:val="center"/>
            <w:hideMark/>
          </w:tcPr>
          <w:p w14:paraId="2648BAE1" w14:textId="77777777" w:rsidR="00FE7F8B" w:rsidRDefault="00FE7F8B">
            <w:pPr>
              <w:pStyle w:val="Tabletextoutputs"/>
              <w:rPr>
                <w:b/>
                <w:lang w:eastAsia="en-US"/>
              </w:rPr>
            </w:pPr>
            <w:r>
              <w:rPr>
                <w:b/>
                <w:lang w:eastAsia="en-US"/>
              </w:rPr>
              <w:t>Total administered net result from transactions (net operating balance)</w:t>
            </w:r>
          </w:p>
        </w:tc>
        <w:tc>
          <w:tcPr>
            <w:tcW w:w="750" w:type="pct"/>
            <w:tcBorders>
              <w:top w:val="single" w:sz="6" w:space="0" w:color="auto"/>
              <w:left w:val="nil"/>
              <w:bottom w:val="single" w:sz="4" w:space="0" w:color="auto"/>
              <w:right w:val="nil"/>
            </w:tcBorders>
            <w:shd w:val="clear" w:color="auto" w:fill="F2F2F2" w:themeFill="background1" w:themeFillShade="F2"/>
            <w:noWrap/>
            <w:vAlign w:val="bottom"/>
            <w:hideMark/>
          </w:tcPr>
          <w:p w14:paraId="4F36071B" w14:textId="77777777" w:rsidR="00FE7F8B" w:rsidRDefault="00FE7F8B">
            <w:pPr>
              <w:pStyle w:val="Tabletextoutputs"/>
              <w:jc w:val="right"/>
              <w:rPr>
                <w:b/>
                <w:lang w:eastAsia="en-US"/>
              </w:rPr>
            </w:pPr>
            <w:r>
              <w:rPr>
                <w:b/>
                <w:lang w:eastAsia="en-US"/>
              </w:rPr>
              <w:t>126.9</w:t>
            </w:r>
          </w:p>
        </w:tc>
        <w:tc>
          <w:tcPr>
            <w:tcW w:w="750" w:type="pct"/>
            <w:tcBorders>
              <w:top w:val="single" w:sz="6" w:space="0" w:color="auto"/>
              <w:left w:val="nil"/>
              <w:bottom w:val="single" w:sz="4" w:space="0" w:color="auto"/>
              <w:right w:val="nil"/>
            </w:tcBorders>
            <w:shd w:val="clear" w:color="auto" w:fill="FFFFFF"/>
            <w:noWrap/>
            <w:vAlign w:val="bottom"/>
            <w:hideMark/>
          </w:tcPr>
          <w:p w14:paraId="66BB6794" w14:textId="77777777" w:rsidR="00FE7F8B" w:rsidRDefault="00FE7F8B">
            <w:pPr>
              <w:pStyle w:val="Tabletextoutputs"/>
              <w:jc w:val="right"/>
              <w:rPr>
                <w:lang w:eastAsia="en-US"/>
              </w:rPr>
            </w:pPr>
            <w:r>
              <w:rPr>
                <w:lang w:eastAsia="en-US"/>
              </w:rPr>
              <w:t>(49.7)</w:t>
            </w:r>
          </w:p>
        </w:tc>
      </w:tr>
      <w:tr w:rsidR="00FE7F8B" w14:paraId="5998364E" w14:textId="77777777" w:rsidTr="0005782C">
        <w:trPr>
          <w:trHeight w:hRule="exact" w:val="284"/>
        </w:trPr>
        <w:tc>
          <w:tcPr>
            <w:tcW w:w="5000" w:type="pct"/>
            <w:gridSpan w:val="3"/>
            <w:tcBorders>
              <w:top w:val="single" w:sz="4" w:space="0" w:color="auto"/>
              <w:left w:val="nil"/>
              <w:bottom w:val="nil"/>
              <w:right w:val="nil"/>
            </w:tcBorders>
            <w:shd w:val="clear" w:color="auto" w:fill="FFFFFF"/>
            <w:vAlign w:val="bottom"/>
            <w:hideMark/>
          </w:tcPr>
          <w:p w14:paraId="0BBC8071" w14:textId="77777777" w:rsidR="00FE7F8B" w:rsidRDefault="00FE7F8B">
            <w:pPr>
              <w:pStyle w:val="Tabletextoutputs"/>
              <w:rPr>
                <w:lang w:eastAsia="en-US"/>
              </w:rPr>
            </w:pPr>
            <w:r>
              <w:rPr>
                <w:b/>
                <w:lang w:eastAsia="en-US"/>
              </w:rPr>
              <w:t>Administered other economic flows included in the administered net result</w:t>
            </w:r>
          </w:p>
        </w:tc>
      </w:tr>
      <w:tr w:rsidR="00FE7F8B" w14:paraId="0DAAE955" w14:textId="77777777" w:rsidTr="0005782C">
        <w:trPr>
          <w:trHeight w:hRule="exact" w:val="284"/>
        </w:trPr>
        <w:tc>
          <w:tcPr>
            <w:tcW w:w="3500" w:type="pct"/>
            <w:tcBorders>
              <w:top w:val="nil"/>
              <w:left w:val="nil"/>
              <w:bottom w:val="single" w:sz="4" w:space="0" w:color="auto"/>
              <w:right w:val="nil"/>
            </w:tcBorders>
            <w:shd w:val="clear" w:color="auto" w:fill="FFFFFF"/>
            <w:noWrap/>
            <w:vAlign w:val="bottom"/>
            <w:hideMark/>
          </w:tcPr>
          <w:p w14:paraId="3F684493" w14:textId="77777777" w:rsidR="00FE7F8B" w:rsidRDefault="00FE7F8B">
            <w:pPr>
              <w:pStyle w:val="Tabletextoutputs"/>
              <w:rPr>
                <w:lang w:eastAsia="en-US"/>
              </w:rPr>
            </w:pPr>
            <w:r>
              <w:rPr>
                <w:lang w:eastAsia="en-US"/>
              </w:rPr>
              <w:t xml:space="preserve">Net gain/(loss) on non-financial assets </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1E1B8702" w14:textId="77777777" w:rsidR="00FE7F8B" w:rsidRDefault="00FE7F8B">
            <w:pPr>
              <w:pStyle w:val="Tabletextoutputs"/>
              <w:jc w:val="right"/>
              <w:rPr>
                <w:b/>
                <w:lang w:eastAsia="en-US"/>
              </w:rPr>
            </w:pPr>
            <w:r>
              <w:rPr>
                <w:b/>
                <w:lang w:eastAsia="en-US"/>
              </w:rPr>
              <w:t>(124.1)</w:t>
            </w:r>
          </w:p>
        </w:tc>
        <w:tc>
          <w:tcPr>
            <w:tcW w:w="750" w:type="pct"/>
            <w:tcBorders>
              <w:top w:val="nil"/>
              <w:left w:val="nil"/>
              <w:bottom w:val="single" w:sz="4" w:space="0" w:color="auto"/>
              <w:right w:val="nil"/>
            </w:tcBorders>
            <w:shd w:val="clear" w:color="auto" w:fill="FFFFFF"/>
            <w:noWrap/>
            <w:vAlign w:val="bottom"/>
            <w:hideMark/>
          </w:tcPr>
          <w:p w14:paraId="211715C5" w14:textId="77777777" w:rsidR="00FE7F8B" w:rsidRDefault="00FE7F8B">
            <w:pPr>
              <w:pStyle w:val="Tabletextoutputs"/>
              <w:jc w:val="right"/>
              <w:rPr>
                <w:lang w:eastAsia="en-US"/>
              </w:rPr>
            </w:pPr>
            <w:r>
              <w:rPr>
                <w:lang w:eastAsia="en-US"/>
              </w:rPr>
              <w:t>54.3</w:t>
            </w:r>
          </w:p>
        </w:tc>
      </w:tr>
      <w:tr w:rsidR="00FE7F8B" w14:paraId="1D993DE7" w14:textId="77777777" w:rsidTr="0005782C">
        <w:trPr>
          <w:trHeight w:hRule="exact" w:val="284"/>
        </w:trPr>
        <w:tc>
          <w:tcPr>
            <w:tcW w:w="3500" w:type="pct"/>
            <w:tcBorders>
              <w:top w:val="single" w:sz="4" w:space="0" w:color="auto"/>
              <w:left w:val="nil"/>
              <w:bottom w:val="single" w:sz="6" w:space="0" w:color="auto"/>
              <w:right w:val="nil"/>
            </w:tcBorders>
            <w:shd w:val="clear" w:color="auto" w:fill="FFFFFF"/>
            <w:noWrap/>
            <w:vAlign w:val="center"/>
            <w:hideMark/>
          </w:tcPr>
          <w:p w14:paraId="70C60F48" w14:textId="77777777" w:rsidR="00FE7F8B" w:rsidRDefault="00FE7F8B">
            <w:pPr>
              <w:pStyle w:val="Tabletextoutputs"/>
              <w:rPr>
                <w:b/>
                <w:lang w:eastAsia="en-US"/>
              </w:rPr>
            </w:pPr>
            <w:r>
              <w:rPr>
                <w:b/>
                <w:lang w:eastAsia="en-US"/>
              </w:rPr>
              <w:t>Total administered other economic flows</w:t>
            </w:r>
          </w:p>
        </w:tc>
        <w:tc>
          <w:tcPr>
            <w:tcW w:w="750" w:type="pct"/>
            <w:tcBorders>
              <w:top w:val="single" w:sz="4" w:space="0" w:color="auto"/>
              <w:left w:val="nil"/>
              <w:bottom w:val="single" w:sz="6" w:space="0" w:color="auto"/>
              <w:right w:val="nil"/>
            </w:tcBorders>
            <w:shd w:val="clear" w:color="auto" w:fill="F2F2F2" w:themeFill="background1" w:themeFillShade="F2"/>
            <w:noWrap/>
            <w:vAlign w:val="bottom"/>
            <w:hideMark/>
          </w:tcPr>
          <w:p w14:paraId="79454034" w14:textId="77777777" w:rsidR="00FE7F8B" w:rsidRDefault="00FE7F8B">
            <w:pPr>
              <w:pStyle w:val="Tabletextoutputs"/>
              <w:jc w:val="right"/>
              <w:rPr>
                <w:b/>
                <w:lang w:eastAsia="en-US"/>
              </w:rPr>
            </w:pPr>
            <w:r>
              <w:rPr>
                <w:b/>
                <w:lang w:eastAsia="en-US"/>
              </w:rPr>
              <w:t>(124.1)</w:t>
            </w:r>
          </w:p>
        </w:tc>
        <w:tc>
          <w:tcPr>
            <w:tcW w:w="750" w:type="pct"/>
            <w:tcBorders>
              <w:top w:val="single" w:sz="4" w:space="0" w:color="auto"/>
              <w:left w:val="nil"/>
              <w:bottom w:val="single" w:sz="6" w:space="0" w:color="auto"/>
              <w:right w:val="nil"/>
            </w:tcBorders>
            <w:shd w:val="clear" w:color="auto" w:fill="FFFFFF"/>
            <w:noWrap/>
            <w:vAlign w:val="bottom"/>
            <w:hideMark/>
          </w:tcPr>
          <w:p w14:paraId="70BCFF40" w14:textId="77777777" w:rsidR="00FE7F8B" w:rsidRDefault="00FE7F8B">
            <w:pPr>
              <w:pStyle w:val="Tabletextoutputs"/>
              <w:jc w:val="right"/>
              <w:rPr>
                <w:lang w:eastAsia="en-US"/>
              </w:rPr>
            </w:pPr>
            <w:r>
              <w:rPr>
                <w:lang w:eastAsia="en-US"/>
              </w:rPr>
              <w:t>54.3</w:t>
            </w:r>
          </w:p>
        </w:tc>
      </w:tr>
      <w:tr w:rsidR="00FE7F8B" w14:paraId="0DA4B695" w14:textId="77777777" w:rsidTr="0005782C">
        <w:trPr>
          <w:trHeight w:hRule="exact" w:val="284"/>
        </w:trPr>
        <w:tc>
          <w:tcPr>
            <w:tcW w:w="3500" w:type="pct"/>
            <w:tcBorders>
              <w:top w:val="single" w:sz="6" w:space="0" w:color="auto"/>
              <w:left w:val="nil"/>
              <w:bottom w:val="single" w:sz="4" w:space="0" w:color="auto"/>
              <w:right w:val="nil"/>
            </w:tcBorders>
            <w:shd w:val="clear" w:color="auto" w:fill="FFFFFF"/>
            <w:noWrap/>
            <w:vAlign w:val="center"/>
            <w:hideMark/>
          </w:tcPr>
          <w:p w14:paraId="1AE87FF1" w14:textId="77777777" w:rsidR="00FE7F8B" w:rsidRDefault="00FE7F8B">
            <w:pPr>
              <w:pStyle w:val="Tabletextoutputs"/>
              <w:rPr>
                <w:b/>
                <w:lang w:eastAsia="en-US"/>
              </w:rPr>
            </w:pPr>
            <w:r>
              <w:rPr>
                <w:b/>
                <w:lang w:eastAsia="en-US"/>
              </w:rPr>
              <w:t>Administered net result</w:t>
            </w:r>
          </w:p>
        </w:tc>
        <w:tc>
          <w:tcPr>
            <w:tcW w:w="750" w:type="pct"/>
            <w:tcBorders>
              <w:top w:val="single" w:sz="6" w:space="0" w:color="auto"/>
              <w:left w:val="nil"/>
              <w:bottom w:val="single" w:sz="4" w:space="0" w:color="auto"/>
              <w:right w:val="nil"/>
            </w:tcBorders>
            <w:shd w:val="clear" w:color="auto" w:fill="F2F2F2" w:themeFill="background1" w:themeFillShade="F2"/>
            <w:noWrap/>
            <w:vAlign w:val="bottom"/>
            <w:hideMark/>
          </w:tcPr>
          <w:p w14:paraId="6480FCCB" w14:textId="77777777" w:rsidR="00FE7F8B" w:rsidRDefault="00FE7F8B">
            <w:pPr>
              <w:pStyle w:val="Tabletextoutputs"/>
              <w:jc w:val="right"/>
              <w:rPr>
                <w:b/>
                <w:lang w:eastAsia="en-US"/>
              </w:rPr>
            </w:pPr>
            <w:r>
              <w:rPr>
                <w:b/>
                <w:lang w:eastAsia="en-US"/>
              </w:rPr>
              <w:t>2.9</w:t>
            </w:r>
          </w:p>
        </w:tc>
        <w:tc>
          <w:tcPr>
            <w:tcW w:w="750" w:type="pct"/>
            <w:tcBorders>
              <w:top w:val="single" w:sz="6" w:space="0" w:color="auto"/>
              <w:left w:val="nil"/>
              <w:bottom w:val="single" w:sz="4" w:space="0" w:color="auto"/>
              <w:right w:val="nil"/>
            </w:tcBorders>
            <w:shd w:val="clear" w:color="auto" w:fill="FFFFFF"/>
            <w:noWrap/>
            <w:vAlign w:val="bottom"/>
            <w:hideMark/>
          </w:tcPr>
          <w:p w14:paraId="436ED315" w14:textId="77777777" w:rsidR="00FE7F8B" w:rsidRDefault="00FE7F8B">
            <w:pPr>
              <w:pStyle w:val="Tabletextoutputs"/>
              <w:jc w:val="right"/>
              <w:rPr>
                <w:lang w:eastAsia="en-US"/>
              </w:rPr>
            </w:pPr>
            <w:r>
              <w:rPr>
                <w:lang w:eastAsia="en-US"/>
              </w:rPr>
              <w:t>4.7</w:t>
            </w:r>
          </w:p>
        </w:tc>
      </w:tr>
      <w:tr w:rsidR="00FE7F8B" w14:paraId="43ACC796" w14:textId="77777777" w:rsidTr="0005782C">
        <w:trPr>
          <w:trHeight w:hRule="exact" w:val="284"/>
        </w:trPr>
        <w:tc>
          <w:tcPr>
            <w:tcW w:w="5000" w:type="pct"/>
            <w:gridSpan w:val="3"/>
            <w:tcBorders>
              <w:top w:val="single" w:sz="4" w:space="0" w:color="auto"/>
              <w:left w:val="nil"/>
              <w:bottom w:val="nil"/>
              <w:right w:val="nil"/>
            </w:tcBorders>
            <w:shd w:val="clear" w:color="auto" w:fill="FFFFFF"/>
            <w:vAlign w:val="center"/>
            <w:hideMark/>
          </w:tcPr>
          <w:p w14:paraId="02FD1F77" w14:textId="77777777" w:rsidR="00FE7F8B" w:rsidRDefault="00FE7F8B">
            <w:pPr>
              <w:pStyle w:val="Tabletextoutputs"/>
              <w:rPr>
                <w:lang w:eastAsia="en-US"/>
              </w:rPr>
            </w:pPr>
            <w:r>
              <w:rPr>
                <w:b/>
                <w:lang w:eastAsia="en-US"/>
              </w:rPr>
              <w:t>Administered other economic flows—other comprehensive income</w:t>
            </w:r>
          </w:p>
        </w:tc>
      </w:tr>
      <w:tr w:rsidR="00FE7F8B" w14:paraId="015F279C" w14:textId="77777777" w:rsidTr="0005782C">
        <w:trPr>
          <w:trHeight w:hRule="exact" w:val="284"/>
        </w:trPr>
        <w:tc>
          <w:tcPr>
            <w:tcW w:w="3500" w:type="pct"/>
            <w:tcBorders>
              <w:top w:val="nil"/>
              <w:left w:val="nil"/>
              <w:bottom w:val="single" w:sz="4" w:space="0" w:color="auto"/>
              <w:right w:val="nil"/>
            </w:tcBorders>
            <w:shd w:val="clear" w:color="auto" w:fill="FFFFFF"/>
            <w:vAlign w:val="center"/>
            <w:hideMark/>
          </w:tcPr>
          <w:p w14:paraId="5671978A" w14:textId="77777777" w:rsidR="00FE7F8B" w:rsidRDefault="00FE7F8B">
            <w:pPr>
              <w:pStyle w:val="Tabletextoutputs"/>
              <w:rPr>
                <w:lang w:eastAsia="en-US"/>
              </w:rPr>
            </w:pPr>
            <w:r>
              <w:rPr>
                <w:lang w:eastAsia="en-US"/>
              </w:rPr>
              <w:t>Items that will not be classified to net result</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5ECF7601" w14:textId="77777777" w:rsidR="00FE7F8B" w:rsidRDefault="00FE7F8B">
            <w:pPr>
              <w:pStyle w:val="Tabletextoutputs"/>
              <w:jc w:val="right"/>
              <w:rPr>
                <w:b/>
                <w:lang w:eastAsia="en-US"/>
              </w:rPr>
            </w:pPr>
            <w:r>
              <w:rPr>
                <w:b/>
                <w:lang w:eastAsia="en-US"/>
              </w:rPr>
              <w:t>-</w:t>
            </w:r>
          </w:p>
        </w:tc>
        <w:tc>
          <w:tcPr>
            <w:tcW w:w="750" w:type="pct"/>
            <w:tcBorders>
              <w:top w:val="nil"/>
              <w:left w:val="nil"/>
              <w:bottom w:val="single" w:sz="4" w:space="0" w:color="auto"/>
              <w:right w:val="nil"/>
            </w:tcBorders>
            <w:shd w:val="clear" w:color="auto" w:fill="FFFFFF"/>
            <w:noWrap/>
            <w:vAlign w:val="bottom"/>
            <w:hideMark/>
          </w:tcPr>
          <w:p w14:paraId="57EEDB47" w14:textId="77777777" w:rsidR="00FE7F8B" w:rsidRDefault="00FE7F8B">
            <w:pPr>
              <w:pStyle w:val="Tabletextoutputs"/>
              <w:jc w:val="right"/>
              <w:rPr>
                <w:lang w:eastAsia="en-US"/>
              </w:rPr>
            </w:pPr>
            <w:r>
              <w:rPr>
                <w:lang w:eastAsia="en-US"/>
              </w:rPr>
              <w:t>-</w:t>
            </w:r>
          </w:p>
        </w:tc>
      </w:tr>
      <w:tr w:rsidR="00FE7F8B" w14:paraId="66297601" w14:textId="77777777" w:rsidTr="0005782C">
        <w:trPr>
          <w:trHeight w:hRule="exact" w:val="284"/>
        </w:trPr>
        <w:tc>
          <w:tcPr>
            <w:tcW w:w="3500" w:type="pct"/>
            <w:tcBorders>
              <w:top w:val="single" w:sz="4" w:space="0" w:color="auto"/>
              <w:left w:val="nil"/>
              <w:bottom w:val="single" w:sz="6" w:space="0" w:color="auto"/>
              <w:right w:val="nil"/>
            </w:tcBorders>
            <w:shd w:val="clear" w:color="auto" w:fill="FFFFFF"/>
            <w:vAlign w:val="center"/>
            <w:hideMark/>
          </w:tcPr>
          <w:p w14:paraId="3A7F45F7" w14:textId="77777777" w:rsidR="00FE7F8B" w:rsidRDefault="00FE7F8B">
            <w:pPr>
              <w:pStyle w:val="Tabletextoutputs"/>
              <w:rPr>
                <w:b/>
                <w:lang w:eastAsia="en-US"/>
              </w:rPr>
            </w:pPr>
            <w:r>
              <w:rPr>
                <w:b/>
                <w:lang w:eastAsia="en-US"/>
              </w:rPr>
              <w:t>Total administered other economic flows—other comprehensive income</w:t>
            </w:r>
          </w:p>
        </w:tc>
        <w:tc>
          <w:tcPr>
            <w:tcW w:w="750" w:type="pct"/>
            <w:tcBorders>
              <w:top w:val="single" w:sz="4" w:space="0" w:color="auto"/>
              <w:left w:val="nil"/>
              <w:bottom w:val="single" w:sz="6" w:space="0" w:color="auto"/>
              <w:right w:val="nil"/>
            </w:tcBorders>
            <w:shd w:val="clear" w:color="auto" w:fill="F2F2F2" w:themeFill="background1" w:themeFillShade="F2"/>
            <w:noWrap/>
            <w:vAlign w:val="bottom"/>
            <w:hideMark/>
          </w:tcPr>
          <w:p w14:paraId="3FABFAB6" w14:textId="77777777" w:rsidR="00FE7F8B" w:rsidRDefault="00FE7F8B">
            <w:pPr>
              <w:pStyle w:val="Tabletextoutputs"/>
              <w:jc w:val="right"/>
              <w:rPr>
                <w:b/>
                <w:lang w:eastAsia="en-US"/>
              </w:rPr>
            </w:pPr>
            <w:r>
              <w:rPr>
                <w:b/>
                <w:lang w:eastAsia="en-US"/>
              </w:rPr>
              <w:t>-</w:t>
            </w:r>
          </w:p>
        </w:tc>
        <w:tc>
          <w:tcPr>
            <w:tcW w:w="750" w:type="pct"/>
            <w:tcBorders>
              <w:top w:val="single" w:sz="4" w:space="0" w:color="auto"/>
              <w:left w:val="nil"/>
              <w:bottom w:val="single" w:sz="6" w:space="0" w:color="auto"/>
              <w:right w:val="nil"/>
            </w:tcBorders>
            <w:shd w:val="clear" w:color="auto" w:fill="FFFFFF"/>
            <w:vAlign w:val="bottom"/>
            <w:hideMark/>
          </w:tcPr>
          <w:p w14:paraId="43BDDF39" w14:textId="77777777" w:rsidR="00FE7F8B" w:rsidRDefault="00FE7F8B">
            <w:pPr>
              <w:pStyle w:val="Tabletextoutputs"/>
              <w:jc w:val="right"/>
              <w:rPr>
                <w:lang w:eastAsia="en-US"/>
              </w:rPr>
            </w:pPr>
            <w:r>
              <w:rPr>
                <w:lang w:eastAsia="en-US"/>
              </w:rPr>
              <w:t>-</w:t>
            </w:r>
          </w:p>
        </w:tc>
      </w:tr>
      <w:tr w:rsidR="00FE7F8B" w14:paraId="078D8A37" w14:textId="77777777" w:rsidTr="0005782C">
        <w:trPr>
          <w:trHeight w:hRule="exact" w:val="284"/>
        </w:trPr>
        <w:tc>
          <w:tcPr>
            <w:tcW w:w="3500" w:type="pct"/>
            <w:tcBorders>
              <w:top w:val="single" w:sz="6" w:space="0" w:color="auto"/>
              <w:left w:val="nil"/>
              <w:bottom w:val="single" w:sz="4" w:space="0" w:color="auto"/>
              <w:right w:val="nil"/>
            </w:tcBorders>
            <w:shd w:val="clear" w:color="auto" w:fill="FFFFFF"/>
            <w:noWrap/>
            <w:vAlign w:val="center"/>
            <w:hideMark/>
          </w:tcPr>
          <w:p w14:paraId="5FA0FE92" w14:textId="77777777" w:rsidR="00FE7F8B" w:rsidRDefault="00FE7F8B">
            <w:pPr>
              <w:pStyle w:val="Tabletextoutputs"/>
              <w:rPr>
                <w:b/>
                <w:lang w:eastAsia="en-US"/>
              </w:rPr>
            </w:pPr>
            <w:r>
              <w:rPr>
                <w:b/>
                <w:lang w:eastAsia="en-US"/>
              </w:rPr>
              <w:t>Total administered comprehensive result</w:t>
            </w:r>
          </w:p>
        </w:tc>
        <w:tc>
          <w:tcPr>
            <w:tcW w:w="750" w:type="pct"/>
            <w:tcBorders>
              <w:top w:val="single" w:sz="6" w:space="0" w:color="auto"/>
              <w:left w:val="nil"/>
              <w:bottom w:val="single" w:sz="4" w:space="0" w:color="auto"/>
              <w:right w:val="nil"/>
            </w:tcBorders>
            <w:shd w:val="clear" w:color="auto" w:fill="F2F2F2" w:themeFill="background1" w:themeFillShade="F2"/>
            <w:noWrap/>
            <w:vAlign w:val="bottom"/>
            <w:hideMark/>
          </w:tcPr>
          <w:p w14:paraId="3E530AB2" w14:textId="77777777" w:rsidR="00FE7F8B" w:rsidRDefault="00FE7F8B">
            <w:pPr>
              <w:pStyle w:val="Tabletextoutputs"/>
              <w:jc w:val="right"/>
              <w:rPr>
                <w:b/>
                <w:lang w:eastAsia="en-US"/>
              </w:rPr>
            </w:pPr>
            <w:r>
              <w:rPr>
                <w:b/>
                <w:lang w:eastAsia="en-US"/>
              </w:rPr>
              <w:t>2.9</w:t>
            </w:r>
          </w:p>
        </w:tc>
        <w:tc>
          <w:tcPr>
            <w:tcW w:w="750" w:type="pct"/>
            <w:tcBorders>
              <w:top w:val="single" w:sz="6" w:space="0" w:color="auto"/>
              <w:left w:val="nil"/>
              <w:bottom w:val="single" w:sz="4" w:space="0" w:color="auto"/>
              <w:right w:val="nil"/>
            </w:tcBorders>
            <w:shd w:val="clear" w:color="auto" w:fill="FFFFFF"/>
            <w:noWrap/>
            <w:vAlign w:val="bottom"/>
            <w:hideMark/>
          </w:tcPr>
          <w:p w14:paraId="12CE1879" w14:textId="77777777" w:rsidR="00FE7F8B" w:rsidRDefault="00FE7F8B">
            <w:pPr>
              <w:pStyle w:val="Tabletextoutputs"/>
              <w:jc w:val="right"/>
              <w:rPr>
                <w:lang w:eastAsia="en-US"/>
              </w:rPr>
            </w:pPr>
            <w:r>
              <w:rPr>
                <w:lang w:eastAsia="en-US"/>
              </w:rPr>
              <w:t>4.7</w:t>
            </w:r>
          </w:p>
        </w:tc>
      </w:tr>
      <w:tr w:rsidR="00FE7F8B" w14:paraId="7060C2BA" w14:textId="77777777" w:rsidTr="0005782C">
        <w:trPr>
          <w:trHeight w:hRule="exact" w:val="284"/>
        </w:trPr>
        <w:tc>
          <w:tcPr>
            <w:tcW w:w="5000" w:type="pct"/>
            <w:gridSpan w:val="3"/>
            <w:tcBorders>
              <w:top w:val="single" w:sz="4" w:space="0" w:color="auto"/>
              <w:left w:val="nil"/>
              <w:bottom w:val="nil"/>
              <w:right w:val="nil"/>
            </w:tcBorders>
            <w:shd w:val="clear" w:color="auto" w:fill="FFFFFF"/>
            <w:noWrap/>
            <w:vAlign w:val="center"/>
          </w:tcPr>
          <w:p w14:paraId="5BFC128E" w14:textId="77777777" w:rsidR="00FE7F8B" w:rsidRDefault="00FE7F8B">
            <w:pPr>
              <w:pStyle w:val="Tabletextoutputs"/>
              <w:rPr>
                <w:b/>
                <w:lang w:eastAsia="en-US"/>
              </w:rPr>
            </w:pPr>
          </w:p>
        </w:tc>
      </w:tr>
      <w:tr w:rsidR="00FE7F8B" w14:paraId="6F284286" w14:textId="77777777" w:rsidTr="0005782C">
        <w:trPr>
          <w:trHeight w:hRule="exact" w:val="284"/>
        </w:trPr>
        <w:tc>
          <w:tcPr>
            <w:tcW w:w="5000" w:type="pct"/>
            <w:gridSpan w:val="3"/>
            <w:shd w:val="clear" w:color="auto" w:fill="FFFFFF"/>
            <w:noWrap/>
            <w:vAlign w:val="center"/>
            <w:hideMark/>
          </w:tcPr>
          <w:p w14:paraId="4B1B3E0C" w14:textId="77777777" w:rsidR="00FE7F8B" w:rsidRDefault="00FE7F8B">
            <w:pPr>
              <w:pStyle w:val="Tabletextoutputs"/>
              <w:rPr>
                <w:lang w:eastAsia="en-US"/>
              </w:rPr>
            </w:pPr>
            <w:r>
              <w:rPr>
                <w:b/>
                <w:lang w:eastAsia="en-US"/>
              </w:rPr>
              <w:t>Administered financial assets</w:t>
            </w:r>
          </w:p>
        </w:tc>
      </w:tr>
      <w:tr w:rsidR="00FE7F8B" w14:paraId="29067D2B" w14:textId="77777777" w:rsidTr="0005782C">
        <w:trPr>
          <w:trHeight w:hRule="exact" w:val="284"/>
        </w:trPr>
        <w:tc>
          <w:tcPr>
            <w:tcW w:w="3500" w:type="pct"/>
            <w:shd w:val="clear" w:color="auto" w:fill="FFFFFF"/>
            <w:hideMark/>
          </w:tcPr>
          <w:p w14:paraId="768D0BA8" w14:textId="77777777" w:rsidR="00FE7F8B" w:rsidRDefault="00FE7F8B">
            <w:pPr>
              <w:pStyle w:val="Tabletextoutputs"/>
              <w:rPr>
                <w:lang w:eastAsia="en-US"/>
              </w:rPr>
            </w:pPr>
            <w:r>
              <w:rPr>
                <w:lang w:eastAsia="en-US"/>
              </w:rPr>
              <w:t>Receivables</w:t>
            </w:r>
          </w:p>
        </w:tc>
        <w:tc>
          <w:tcPr>
            <w:tcW w:w="750" w:type="pct"/>
            <w:shd w:val="clear" w:color="auto" w:fill="F2F2F2" w:themeFill="background1" w:themeFillShade="F2"/>
            <w:noWrap/>
            <w:vAlign w:val="bottom"/>
            <w:hideMark/>
          </w:tcPr>
          <w:p w14:paraId="1C052B56" w14:textId="77777777" w:rsidR="00FE7F8B" w:rsidRDefault="00FE7F8B">
            <w:pPr>
              <w:pStyle w:val="Tabletextoutputs"/>
              <w:jc w:val="right"/>
              <w:rPr>
                <w:b/>
                <w:lang w:eastAsia="en-US"/>
              </w:rPr>
            </w:pPr>
            <w:r>
              <w:rPr>
                <w:b/>
                <w:lang w:eastAsia="en-US"/>
              </w:rPr>
              <w:t>13.5</w:t>
            </w:r>
          </w:p>
        </w:tc>
        <w:tc>
          <w:tcPr>
            <w:tcW w:w="750" w:type="pct"/>
            <w:shd w:val="clear" w:color="auto" w:fill="FFFFFF"/>
            <w:noWrap/>
            <w:vAlign w:val="bottom"/>
            <w:hideMark/>
          </w:tcPr>
          <w:p w14:paraId="0D5C4D19" w14:textId="77777777" w:rsidR="00FE7F8B" w:rsidRDefault="00FE7F8B">
            <w:pPr>
              <w:pStyle w:val="Tabletextoutputs"/>
              <w:jc w:val="right"/>
              <w:rPr>
                <w:lang w:eastAsia="en-US"/>
              </w:rPr>
            </w:pPr>
            <w:r>
              <w:rPr>
                <w:lang w:eastAsia="en-US"/>
              </w:rPr>
              <w:t>10.5</w:t>
            </w:r>
          </w:p>
        </w:tc>
      </w:tr>
      <w:tr w:rsidR="00FE7F8B" w14:paraId="6ADE5B28" w14:textId="77777777" w:rsidTr="0005782C">
        <w:trPr>
          <w:trHeight w:hRule="exact" w:val="284"/>
        </w:trPr>
        <w:tc>
          <w:tcPr>
            <w:tcW w:w="3500" w:type="pct"/>
            <w:tcBorders>
              <w:top w:val="nil"/>
              <w:left w:val="nil"/>
              <w:bottom w:val="single" w:sz="4" w:space="0" w:color="auto"/>
              <w:right w:val="nil"/>
            </w:tcBorders>
            <w:shd w:val="clear" w:color="auto" w:fill="FFFFFF"/>
            <w:hideMark/>
          </w:tcPr>
          <w:p w14:paraId="78FCA03A" w14:textId="77777777" w:rsidR="00FE7F8B" w:rsidRDefault="00FE7F8B">
            <w:pPr>
              <w:pStyle w:val="Tabletextoutputs"/>
              <w:rPr>
                <w:lang w:eastAsia="en-US"/>
              </w:rPr>
            </w:pPr>
            <w:r>
              <w:rPr>
                <w:lang w:eastAsia="en-US"/>
              </w:rPr>
              <w:t>Investments</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0E9BC776" w14:textId="77777777" w:rsidR="00FE7F8B" w:rsidRDefault="00FE7F8B">
            <w:pPr>
              <w:pStyle w:val="Tabletextoutputs"/>
              <w:jc w:val="right"/>
              <w:rPr>
                <w:b/>
                <w:lang w:eastAsia="en-US"/>
              </w:rPr>
            </w:pPr>
            <w:r>
              <w:rPr>
                <w:b/>
                <w:lang w:eastAsia="en-US"/>
              </w:rPr>
              <w:t>1.3</w:t>
            </w:r>
          </w:p>
        </w:tc>
        <w:tc>
          <w:tcPr>
            <w:tcW w:w="750" w:type="pct"/>
            <w:tcBorders>
              <w:top w:val="nil"/>
              <w:left w:val="nil"/>
              <w:bottom w:val="single" w:sz="4" w:space="0" w:color="auto"/>
              <w:right w:val="nil"/>
            </w:tcBorders>
            <w:shd w:val="clear" w:color="auto" w:fill="FFFFFF"/>
            <w:noWrap/>
            <w:vAlign w:val="bottom"/>
            <w:hideMark/>
          </w:tcPr>
          <w:p w14:paraId="093FAD0C" w14:textId="77777777" w:rsidR="00FE7F8B" w:rsidRDefault="00FE7F8B">
            <w:pPr>
              <w:pStyle w:val="Tabletextoutputs"/>
              <w:jc w:val="right"/>
              <w:rPr>
                <w:lang w:eastAsia="en-US"/>
              </w:rPr>
            </w:pPr>
            <w:r>
              <w:rPr>
                <w:lang w:eastAsia="en-US"/>
              </w:rPr>
              <w:t>1.5</w:t>
            </w:r>
          </w:p>
        </w:tc>
      </w:tr>
      <w:tr w:rsidR="00FE7F8B" w14:paraId="271C4D9C" w14:textId="77777777" w:rsidTr="0005782C">
        <w:trPr>
          <w:trHeight w:hRule="exact" w:val="284"/>
        </w:trPr>
        <w:tc>
          <w:tcPr>
            <w:tcW w:w="3500" w:type="pct"/>
            <w:tcBorders>
              <w:top w:val="single" w:sz="4" w:space="0" w:color="auto"/>
              <w:left w:val="nil"/>
              <w:bottom w:val="single" w:sz="4" w:space="0" w:color="auto"/>
              <w:right w:val="nil"/>
            </w:tcBorders>
            <w:shd w:val="clear" w:color="auto" w:fill="FFFFFF"/>
            <w:noWrap/>
            <w:vAlign w:val="center"/>
            <w:hideMark/>
          </w:tcPr>
          <w:p w14:paraId="6F5BF767" w14:textId="77777777" w:rsidR="00FE7F8B" w:rsidRDefault="00FE7F8B">
            <w:pPr>
              <w:pStyle w:val="Tabletextoutputs"/>
              <w:rPr>
                <w:b/>
                <w:lang w:eastAsia="en-US"/>
              </w:rPr>
            </w:pPr>
            <w:r>
              <w:rPr>
                <w:b/>
                <w:lang w:eastAsia="en-US"/>
              </w:rPr>
              <w:t>Total administered financial assets</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362F1D95" w14:textId="77777777" w:rsidR="00FE7F8B" w:rsidRDefault="00FE7F8B">
            <w:pPr>
              <w:pStyle w:val="Tabletextoutputs"/>
              <w:jc w:val="right"/>
              <w:rPr>
                <w:b/>
                <w:lang w:eastAsia="en-US"/>
              </w:rPr>
            </w:pPr>
            <w:r>
              <w:rPr>
                <w:b/>
                <w:lang w:eastAsia="en-US"/>
              </w:rPr>
              <w:t>14.9</w:t>
            </w:r>
          </w:p>
        </w:tc>
        <w:tc>
          <w:tcPr>
            <w:tcW w:w="750" w:type="pct"/>
            <w:tcBorders>
              <w:top w:val="single" w:sz="4" w:space="0" w:color="auto"/>
              <w:left w:val="nil"/>
              <w:bottom w:val="single" w:sz="4" w:space="0" w:color="auto"/>
              <w:right w:val="nil"/>
            </w:tcBorders>
            <w:shd w:val="clear" w:color="auto" w:fill="FFFFFF"/>
            <w:noWrap/>
            <w:vAlign w:val="bottom"/>
            <w:hideMark/>
          </w:tcPr>
          <w:p w14:paraId="488EBE03" w14:textId="77777777" w:rsidR="00FE7F8B" w:rsidRDefault="00FE7F8B">
            <w:pPr>
              <w:pStyle w:val="Tabletextoutputs"/>
              <w:jc w:val="right"/>
              <w:rPr>
                <w:lang w:eastAsia="en-US"/>
              </w:rPr>
            </w:pPr>
            <w:r>
              <w:rPr>
                <w:lang w:eastAsia="en-US"/>
              </w:rPr>
              <w:t>12.0</w:t>
            </w:r>
          </w:p>
        </w:tc>
      </w:tr>
      <w:tr w:rsidR="00FE7F8B" w14:paraId="64560181" w14:textId="77777777" w:rsidTr="0005782C">
        <w:trPr>
          <w:trHeight w:hRule="exact" w:val="284"/>
        </w:trPr>
        <w:tc>
          <w:tcPr>
            <w:tcW w:w="5000" w:type="pct"/>
            <w:gridSpan w:val="3"/>
            <w:tcBorders>
              <w:top w:val="single" w:sz="4" w:space="0" w:color="auto"/>
              <w:left w:val="nil"/>
              <w:bottom w:val="nil"/>
              <w:right w:val="nil"/>
            </w:tcBorders>
            <w:shd w:val="clear" w:color="auto" w:fill="FFFFFF"/>
            <w:noWrap/>
            <w:vAlign w:val="center"/>
            <w:hideMark/>
          </w:tcPr>
          <w:p w14:paraId="03DA2F52" w14:textId="77777777" w:rsidR="00FE7F8B" w:rsidRDefault="00FE7F8B">
            <w:pPr>
              <w:pStyle w:val="Tabletextoutputs"/>
              <w:rPr>
                <w:lang w:eastAsia="en-US"/>
              </w:rPr>
            </w:pPr>
            <w:r>
              <w:rPr>
                <w:b/>
                <w:lang w:eastAsia="en-US"/>
              </w:rPr>
              <w:t>Administered non-financial assets</w:t>
            </w:r>
          </w:p>
        </w:tc>
      </w:tr>
      <w:tr w:rsidR="00FE7F8B" w14:paraId="1BDD3686" w14:textId="77777777" w:rsidTr="0005782C">
        <w:trPr>
          <w:trHeight w:hRule="exact" w:val="284"/>
        </w:trPr>
        <w:tc>
          <w:tcPr>
            <w:tcW w:w="3500" w:type="pct"/>
            <w:tcBorders>
              <w:top w:val="nil"/>
              <w:left w:val="nil"/>
              <w:bottom w:val="single" w:sz="4" w:space="0" w:color="auto"/>
              <w:right w:val="nil"/>
            </w:tcBorders>
            <w:shd w:val="clear" w:color="auto" w:fill="FFFFFF"/>
            <w:hideMark/>
          </w:tcPr>
          <w:p w14:paraId="52848BDA" w14:textId="77777777" w:rsidR="00FE7F8B" w:rsidRDefault="00FE7F8B">
            <w:pPr>
              <w:pStyle w:val="Tabletextoutputs"/>
              <w:rPr>
                <w:lang w:eastAsia="en-US"/>
              </w:rPr>
            </w:pPr>
            <w:r>
              <w:rPr>
                <w:lang w:eastAsia="en-US"/>
              </w:rPr>
              <w:t>Property, plant and equipment</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41F609CE" w14:textId="77777777" w:rsidR="00FE7F8B" w:rsidRDefault="00FE7F8B">
            <w:pPr>
              <w:pStyle w:val="Tabletextoutputs"/>
              <w:jc w:val="right"/>
              <w:rPr>
                <w:b/>
                <w:lang w:eastAsia="en-US"/>
              </w:rPr>
            </w:pPr>
            <w:r>
              <w:rPr>
                <w:b/>
                <w:lang w:eastAsia="en-US"/>
              </w:rPr>
              <w:t>-</w:t>
            </w:r>
          </w:p>
        </w:tc>
        <w:tc>
          <w:tcPr>
            <w:tcW w:w="750" w:type="pct"/>
            <w:tcBorders>
              <w:top w:val="nil"/>
              <w:left w:val="nil"/>
              <w:bottom w:val="single" w:sz="4" w:space="0" w:color="auto"/>
              <w:right w:val="nil"/>
            </w:tcBorders>
            <w:shd w:val="clear" w:color="auto" w:fill="FFFFFF"/>
            <w:noWrap/>
            <w:vAlign w:val="bottom"/>
            <w:hideMark/>
          </w:tcPr>
          <w:p w14:paraId="16E2F4FC" w14:textId="77777777" w:rsidR="00FE7F8B" w:rsidRDefault="00FE7F8B">
            <w:pPr>
              <w:pStyle w:val="Tabletextoutputs"/>
              <w:jc w:val="right"/>
              <w:rPr>
                <w:lang w:eastAsia="en-US"/>
              </w:rPr>
            </w:pPr>
            <w:r>
              <w:rPr>
                <w:lang w:eastAsia="en-US"/>
              </w:rPr>
              <w:t>8.3</w:t>
            </w:r>
          </w:p>
        </w:tc>
      </w:tr>
      <w:tr w:rsidR="00FE7F8B" w14:paraId="4A0B8904" w14:textId="77777777" w:rsidTr="0005782C">
        <w:trPr>
          <w:trHeight w:hRule="exact" w:val="284"/>
        </w:trPr>
        <w:tc>
          <w:tcPr>
            <w:tcW w:w="3500" w:type="pct"/>
            <w:tcBorders>
              <w:top w:val="single" w:sz="4" w:space="0" w:color="auto"/>
              <w:left w:val="nil"/>
              <w:bottom w:val="single" w:sz="6" w:space="0" w:color="auto"/>
              <w:right w:val="nil"/>
            </w:tcBorders>
            <w:shd w:val="clear" w:color="auto" w:fill="FFFFFF"/>
            <w:noWrap/>
            <w:vAlign w:val="center"/>
            <w:hideMark/>
          </w:tcPr>
          <w:p w14:paraId="10817764" w14:textId="77777777" w:rsidR="00FE7F8B" w:rsidRDefault="00FE7F8B">
            <w:pPr>
              <w:pStyle w:val="Tabletextoutputs"/>
              <w:rPr>
                <w:b/>
                <w:lang w:eastAsia="en-US"/>
              </w:rPr>
            </w:pPr>
            <w:r>
              <w:rPr>
                <w:b/>
                <w:lang w:eastAsia="en-US"/>
              </w:rPr>
              <w:t>Total administered non-financial assets</w:t>
            </w:r>
          </w:p>
        </w:tc>
        <w:tc>
          <w:tcPr>
            <w:tcW w:w="750" w:type="pct"/>
            <w:tcBorders>
              <w:top w:val="single" w:sz="4" w:space="0" w:color="auto"/>
              <w:left w:val="nil"/>
              <w:bottom w:val="single" w:sz="6" w:space="0" w:color="auto"/>
              <w:right w:val="nil"/>
            </w:tcBorders>
            <w:shd w:val="clear" w:color="auto" w:fill="F2F2F2" w:themeFill="background1" w:themeFillShade="F2"/>
            <w:noWrap/>
            <w:vAlign w:val="bottom"/>
            <w:hideMark/>
          </w:tcPr>
          <w:p w14:paraId="51CE0075" w14:textId="77777777" w:rsidR="00FE7F8B" w:rsidRDefault="00FE7F8B">
            <w:pPr>
              <w:pStyle w:val="Tabletextoutputs"/>
              <w:jc w:val="right"/>
              <w:rPr>
                <w:b/>
                <w:lang w:eastAsia="en-US"/>
              </w:rPr>
            </w:pPr>
            <w:r>
              <w:rPr>
                <w:b/>
                <w:lang w:eastAsia="en-US"/>
              </w:rPr>
              <w:t>-</w:t>
            </w:r>
          </w:p>
        </w:tc>
        <w:tc>
          <w:tcPr>
            <w:tcW w:w="750" w:type="pct"/>
            <w:tcBorders>
              <w:top w:val="single" w:sz="4" w:space="0" w:color="auto"/>
              <w:left w:val="nil"/>
              <w:bottom w:val="single" w:sz="6" w:space="0" w:color="auto"/>
              <w:right w:val="nil"/>
            </w:tcBorders>
            <w:shd w:val="clear" w:color="auto" w:fill="FFFFFF"/>
            <w:noWrap/>
            <w:vAlign w:val="bottom"/>
            <w:hideMark/>
          </w:tcPr>
          <w:p w14:paraId="66F46D21" w14:textId="77777777" w:rsidR="00FE7F8B" w:rsidRDefault="00FE7F8B">
            <w:pPr>
              <w:pStyle w:val="Tabletextoutputs"/>
              <w:jc w:val="right"/>
              <w:rPr>
                <w:lang w:eastAsia="en-US"/>
              </w:rPr>
            </w:pPr>
            <w:r>
              <w:rPr>
                <w:lang w:eastAsia="en-US"/>
              </w:rPr>
              <w:t>8.3</w:t>
            </w:r>
          </w:p>
        </w:tc>
      </w:tr>
      <w:tr w:rsidR="00FE7F8B" w14:paraId="0F294301" w14:textId="77777777" w:rsidTr="0005782C">
        <w:trPr>
          <w:trHeight w:hRule="exact" w:val="284"/>
        </w:trPr>
        <w:tc>
          <w:tcPr>
            <w:tcW w:w="3500" w:type="pct"/>
            <w:tcBorders>
              <w:top w:val="single" w:sz="6" w:space="0" w:color="auto"/>
              <w:left w:val="nil"/>
              <w:bottom w:val="single" w:sz="4" w:space="0" w:color="auto"/>
              <w:right w:val="nil"/>
            </w:tcBorders>
            <w:shd w:val="clear" w:color="auto" w:fill="FFFFFF"/>
            <w:noWrap/>
            <w:vAlign w:val="center"/>
            <w:hideMark/>
          </w:tcPr>
          <w:p w14:paraId="37944C39" w14:textId="77777777" w:rsidR="00FE7F8B" w:rsidRDefault="00FE7F8B">
            <w:pPr>
              <w:pStyle w:val="Tabletextoutputs"/>
              <w:rPr>
                <w:b/>
                <w:lang w:eastAsia="en-US"/>
              </w:rPr>
            </w:pPr>
            <w:r>
              <w:rPr>
                <w:b/>
                <w:lang w:eastAsia="en-US"/>
              </w:rPr>
              <w:t>Total administered assets</w:t>
            </w:r>
          </w:p>
        </w:tc>
        <w:tc>
          <w:tcPr>
            <w:tcW w:w="750" w:type="pct"/>
            <w:tcBorders>
              <w:top w:val="single" w:sz="6" w:space="0" w:color="auto"/>
              <w:left w:val="nil"/>
              <w:bottom w:val="single" w:sz="4" w:space="0" w:color="auto"/>
              <w:right w:val="nil"/>
            </w:tcBorders>
            <w:shd w:val="clear" w:color="auto" w:fill="F2F2F2" w:themeFill="background1" w:themeFillShade="F2"/>
            <w:noWrap/>
            <w:vAlign w:val="bottom"/>
            <w:hideMark/>
          </w:tcPr>
          <w:p w14:paraId="4F3D0484" w14:textId="77777777" w:rsidR="00FE7F8B" w:rsidRDefault="00FE7F8B">
            <w:pPr>
              <w:pStyle w:val="Tabletextoutputs"/>
              <w:jc w:val="right"/>
              <w:rPr>
                <w:b/>
                <w:lang w:eastAsia="en-US"/>
              </w:rPr>
            </w:pPr>
            <w:r>
              <w:rPr>
                <w:b/>
                <w:lang w:eastAsia="en-US"/>
              </w:rPr>
              <w:t>14.9</w:t>
            </w:r>
          </w:p>
        </w:tc>
        <w:tc>
          <w:tcPr>
            <w:tcW w:w="750" w:type="pct"/>
            <w:tcBorders>
              <w:top w:val="single" w:sz="6" w:space="0" w:color="auto"/>
              <w:left w:val="nil"/>
              <w:bottom w:val="single" w:sz="4" w:space="0" w:color="auto"/>
              <w:right w:val="nil"/>
            </w:tcBorders>
            <w:shd w:val="clear" w:color="auto" w:fill="FFFFFF"/>
            <w:vAlign w:val="bottom"/>
            <w:hideMark/>
          </w:tcPr>
          <w:p w14:paraId="72E325AD" w14:textId="77777777" w:rsidR="00FE7F8B" w:rsidRDefault="00FE7F8B">
            <w:pPr>
              <w:pStyle w:val="Tabletextoutputs"/>
              <w:jc w:val="right"/>
              <w:rPr>
                <w:lang w:eastAsia="en-US"/>
              </w:rPr>
            </w:pPr>
            <w:r>
              <w:rPr>
                <w:lang w:eastAsia="en-US"/>
              </w:rPr>
              <w:t>20.3</w:t>
            </w:r>
          </w:p>
        </w:tc>
      </w:tr>
      <w:tr w:rsidR="00FE7F8B" w14:paraId="332C6B4B" w14:textId="77777777" w:rsidTr="0005782C">
        <w:trPr>
          <w:trHeight w:hRule="exact" w:val="284"/>
        </w:trPr>
        <w:tc>
          <w:tcPr>
            <w:tcW w:w="5000" w:type="pct"/>
            <w:gridSpan w:val="3"/>
            <w:tcBorders>
              <w:top w:val="single" w:sz="4" w:space="0" w:color="auto"/>
              <w:left w:val="nil"/>
              <w:bottom w:val="single" w:sz="6" w:space="0" w:color="auto"/>
              <w:right w:val="nil"/>
            </w:tcBorders>
            <w:shd w:val="clear" w:color="auto" w:fill="FFFFFF"/>
            <w:hideMark/>
          </w:tcPr>
          <w:p w14:paraId="3CFC393B" w14:textId="77777777" w:rsidR="00FE7F8B" w:rsidRDefault="00FE7F8B">
            <w:pPr>
              <w:pStyle w:val="Tabletextoutputs"/>
              <w:rPr>
                <w:lang w:eastAsia="en-US"/>
              </w:rPr>
            </w:pPr>
            <w:r>
              <w:rPr>
                <w:b/>
                <w:lang w:eastAsia="en-US"/>
              </w:rPr>
              <w:t>Administered liabilities</w:t>
            </w:r>
          </w:p>
        </w:tc>
      </w:tr>
      <w:tr w:rsidR="00FE7F8B" w14:paraId="7C925591" w14:textId="77777777" w:rsidTr="0005782C">
        <w:trPr>
          <w:trHeight w:hRule="exact" w:val="284"/>
        </w:trPr>
        <w:tc>
          <w:tcPr>
            <w:tcW w:w="3500" w:type="pct"/>
            <w:tcBorders>
              <w:top w:val="single" w:sz="6" w:space="0" w:color="auto"/>
              <w:left w:val="nil"/>
              <w:bottom w:val="single" w:sz="4" w:space="0" w:color="auto"/>
              <w:right w:val="nil"/>
            </w:tcBorders>
            <w:shd w:val="clear" w:color="auto" w:fill="FFFFFF"/>
            <w:noWrap/>
            <w:vAlign w:val="center"/>
            <w:hideMark/>
          </w:tcPr>
          <w:p w14:paraId="4A1CF470" w14:textId="77777777" w:rsidR="00FE7F8B" w:rsidRDefault="00FE7F8B">
            <w:pPr>
              <w:pStyle w:val="Tabletextoutputs"/>
              <w:rPr>
                <w:b/>
                <w:lang w:eastAsia="en-US"/>
              </w:rPr>
            </w:pPr>
            <w:r>
              <w:rPr>
                <w:b/>
                <w:lang w:eastAsia="en-US"/>
              </w:rPr>
              <w:t>Total administered liabilities</w:t>
            </w:r>
          </w:p>
        </w:tc>
        <w:tc>
          <w:tcPr>
            <w:tcW w:w="750" w:type="pct"/>
            <w:tcBorders>
              <w:top w:val="single" w:sz="6" w:space="0" w:color="auto"/>
              <w:left w:val="nil"/>
              <w:bottom w:val="single" w:sz="4" w:space="0" w:color="auto"/>
              <w:right w:val="nil"/>
            </w:tcBorders>
            <w:shd w:val="clear" w:color="auto" w:fill="F2F2F2" w:themeFill="background1" w:themeFillShade="F2"/>
            <w:noWrap/>
            <w:vAlign w:val="bottom"/>
            <w:hideMark/>
          </w:tcPr>
          <w:p w14:paraId="53DA3E82" w14:textId="77777777" w:rsidR="00FE7F8B" w:rsidRDefault="00FE7F8B">
            <w:pPr>
              <w:pStyle w:val="Tabletextoutputs"/>
              <w:jc w:val="right"/>
              <w:rPr>
                <w:b/>
                <w:lang w:eastAsia="en-US"/>
              </w:rPr>
            </w:pPr>
            <w:r>
              <w:rPr>
                <w:b/>
                <w:lang w:eastAsia="en-US"/>
              </w:rPr>
              <w:t>-</w:t>
            </w:r>
          </w:p>
        </w:tc>
        <w:tc>
          <w:tcPr>
            <w:tcW w:w="750" w:type="pct"/>
            <w:tcBorders>
              <w:top w:val="single" w:sz="6" w:space="0" w:color="auto"/>
              <w:left w:val="nil"/>
              <w:bottom w:val="single" w:sz="4" w:space="0" w:color="auto"/>
              <w:right w:val="nil"/>
            </w:tcBorders>
            <w:shd w:val="clear" w:color="auto" w:fill="FFFFFF"/>
            <w:vAlign w:val="bottom"/>
            <w:hideMark/>
          </w:tcPr>
          <w:p w14:paraId="769CE88D" w14:textId="77777777" w:rsidR="00FE7F8B" w:rsidRDefault="00FE7F8B">
            <w:pPr>
              <w:pStyle w:val="Tabletextoutputs"/>
              <w:jc w:val="right"/>
              <w:rPr>
                <w:lang w:eastAsia="en-US"/>
              </w:rPr>
            </w:pPr>
            <w:r>
              <w:rPr>
                <w:lang w:eastAsia="en-US"/>
              </w:rPr>
              <w:t>-</w:t>
            </w:r>
          </w:p>
        </w:tc>
      </w:tr>
      <w:tr w:rsidR="00FE7F8B" w14:paraId="70C75532" w14:textId="77777777" w:rsidTr="0005782C">
        <w:trPr>
          <w:trHeight w:hRule="exact" w:val="284"/>
        </w:trPr>
        <w:tc>
          <w:tcPr>
            <w:tcW w:w="3500" w:type="pct"/>
            <w:tcBorders>
              <w:top w:val="single" w:sz="4" w:space="0" w:color="auto"/>
              <w:left w:val="nil"/>
              <w:bottom w:val="single" w:sz="4" w:space="0" w:color="auto"/>
              <w:right w:val="nil"/>
            </w:tcBorders>
            <w:shd w:val="clear" w:color="auto" w:fill="FFFFFF"/>
            <w:noWrap/>
            <w:vAlign w:val="center"/>
            <w:hideMark/>
          </w:tcPr>
          <w:p w14:paraId="14E98EB2" w14:textId="77777777" w:rsidR="00FE7F8B" w:rsidRDefault="00FE7F8B">
            <w:pPr>
              <w:pStyle w:val="Tabletextoutputs"/>
              <w:rPr>
                <w:b/>
                <w:lang w:eastAsia="en-US"/>
              </w:rPr>
            </w:pPr>
            <w:r>
              <w:rPr>
                <w:b/>
                <w:lang w:eastAsia="en-US"/>
              </w:rPr>
              <w:t>Total administered net assets</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5F13EF3F" w14:textId="77777777" w:rsidR="00FE7F8B" w:rsidRDefault="00FE7F8B">
            <w:pPr>
              <w:pStyle w:val="Tabletextoutputs"/>
              <w:jc w:val="right"/>
              <w:rPr>
                <w:b/>
                <w:lang w:eastAsia="en-US"/>
              </w:rPr>
            </w:pPr>
            <w:r>
              <w:rPr>
                <w:b/>
                <w:lang w:eastAsia="en-US"/>
              </w:rPr>
              <w:t>14.9</w:t>
            </w:r>
          </w:p>
        </w:tc>
        <w:tc>
          <w:tcPr>
            <w:tcW w:w="750" w:type="pct"/>
            <w:tcBorders>
              <w:top w:val="single" w:sz="4" w:space="0" w:color="auto"/>
              <w:left w:val="nil"/>
              <w:bottom w:val="single" w:sz="4" w:space="0" w:color="auto"/>
              <w:right w:val="nil"/>
            </w:tcBorders>
            <w:shd w:val="clear" w:color="auto" w:fill="FFFFFF"/>
            <w:noWrap/>
            <w:vAlign w:val="bottom"/>
            <w:hideMark/>
          </w:tcPr>
          <w:p w14:paraId="1ACE20A7" w14:textId="77777777" w:rsidR="00FE7F8B" w:rsidRDefault="00FE7F8B">
            <w:pPr>
              <w:pStyle w:val="Tabletextoutputs"/>
              <w:jc w:val="right"/>
              <w:rPr>
                <w:b/>
                <w:lang w:eastAsia="en-US"/>
              </w:rPr>
            </w:pPr>
            <w:r>
              <w:rPr>
                <w:b/>
                <w:lang w:eastAsia="en-US"/>
              </w:rPr>
              <w:t>20.3</w:t>
            </w:r>
          </w:p>
        </w:tc>
      </w:tr>
    </w:tbl>
    <w:p w14:paraId="2A1C57A7" w14:textId="77777777" w:rsidR="00FE7F8B" w:rsidRDefault="00FE7F8B" w:rsidP="00AD641C">
      <w:pPr>
        <w:pStyle w:val="Heading2notes"/>
        <w:numPr>
          <w:ilvl w:val="0"/>
          <w:numId w:val="39"/>
        </w:numPr>
      </w:pPr>
      <w:bookmarkStart w:id="69" w:name="_Toc461176293"/>
      <w:bookmarkStart w:id="70" w:name="_Toc399491061"/>
      <w:bookmarkStart w:id="71" w:name="_Ref399423062"/>
      <w:r>
        <w:t>Net result from transactions (net operating balance)</w:t>
      </w:r>
      <w:bookmarkEnd w:id="69"/>
      <w:bookmarkEnd w:id="70"/>
      <w:bookmarkEnd w:id="71"/>
    </w:p>
    <w:tbl>
      <w:tblPr>
        <w:tblW w:w="5000" w:type="pct"/>
        <w:tblLayout w:type="fixed"/>
        <w:tblLook w:val="04A0" w:firstRow="1" w:lastRow="0" w:firstColumn="1" w:lastColumn="0" w:noHBand="0" w:noVBand="1"/>
      </w:tblPr>
      <w:tblGrid>
        <w:gridCol w:w="5779"/>
        <w:gridCol w:w="851"/>
        <w:gridCol w:w="851"/>
      </w:tblGrid>
      <w:tr w:rsidR="00FE7F8B" w14:paraId="2BE65583" w14:textId="77777777" w:rsidTr="0005782C">
        <w:trPr>
          <w:trHeight w:val="585"/>
          <w:tblHeader/>
        </w:trPr>
        <w:tc>
          <w:tcPr>
            <w:tcW w:w="3862" w:type="pct"/>
            <w:shd w:val="clear" w:color="auto" w:fill="7F7F7F" w:themeFill="text1" w:themeFillTint="80"/>
            <w:noWrap/>
            <w:vAlign w:val="bottom"/>
          </w:tcPr>
          <w:p w14:paraId="1C5B5825" w14:textId="77777777" w:rsidR="00FE7F8B" w:rsidRDefault="00FE7F8B">
            <w:pPr>
              <w:pStyle w:val="Tablecolumnheading"/>
              <w:rPr>
                <w:lang w:eastAsia="en-AU"/>
              </w:rPr>
            </w:pPr>
          </w:p>
        </w:tc>
        <w:tc>
          <w:tcPr>
            <w:tcW w:w="569" w:type="pct"/>
            <w:shd w:val="clear" w:color="auto" w:fill="7F7F7F" w:themeFill="text1" w:themeFillTint="80"/>
            <w:vAlign w:val="bottom"/>
            <w:hideMark/>
          </w:tcPr>
          <w:p w14:paraId="775138F0" w14:textId="77777777" w:rsidR="00FE7F8B" w:rsidRDefault="00FE7F8B">
            <w:pPr>
              <w:pStyle w:val="Tablecolumnheading"/>
              <w:jc w:val="center"/>
              <w:rPr>
                <w:lang w:eastAsia="en-AU"/>
              </w:rPr>
            </w:pPr>
            <w:r>
              <w:rPr>
                <w:lang w:eastAsia="en-AU"/>
              </w:rPr>
              <w:t>2016</w:t>
            </w:r>
            <w:r>
              <w:rPr>
                <w:lang w:eastAsia="en-AU"/>
              </w:rPr>
              <w:br/>
              <w:t>$m</w:t>
            </w:r>
          </w:p>
        </w:tc>
        <w:tc>
          <w:tcPr>
            <w:tcW w:w="569" w:type="pct"/>
            <w:shd w:val="clear" w:color="auto" w:fill="7F7F7F" w:themeFill="text1" w:themeFillTint="80"/>
            <w:tcMar>
              <w:top w:w="0" w:type="dxa"/>
              <w:left w:w="0" w:type="dxa"/>
              <w:bottom w:w="0" w:type="dxa"/>
              <w:right w:w="0" w:type="dxa"/>
            </w:tcMar>
            <w:vAlign w:val="bottom"/>
            <w:hideMark/>
          </w:tcPr>
          <w:p w14:paraId="0202438E" w14:textId="77777777" w:rsidR="00FE7F8B" w:rsidRDefault="00FE7F8B">
            <w:pPr>
              <w:pStyle w:val="Tablecolumnheading"/>
              <w:jc w:val="center"/>
              <w:rPr>
                <w:lang w:eastAsia="en-AU"/>
              </w:rPr>
            </w:pPr>
            <w:r>
              <w:rPr>
                <w:lang w:eastAsia="en-AU"/>
              </w:rPr>
              <w:t>2015</w:t>
            </w:r>
            <w:r>
              <w:rPr>
                <w:lang w:eastAsia="en-AU"/>
              </w:rPr>
              <w:br/>
              <w:t>$m</w:t>
            </w:r>
          </w:p>
        </w:tc>
      </w:tr>
      <w:tr w:rsidR="00FE7F8B" w14:paraId="5BB96D2B" w14:textId="77777777" w:rsidTr="0005782C">
        <w:trPr>
          <w:trHeight w:val="240"/>
        </w:trPr>
        <w:tc>
          <w:tcPr>
            <w:tcW w:w="3862" w:type="pct"/>
            <w:shd w:val="clear" w:color="auto" w:fill="FFFFFF"/>
            <w:noWrap/>
            <w:vAlign w:val="bottom"/>
            <w:hideMark/>
          </w:tcPr>
          <w:p w14:paraId="3E6B3B8A" w14:textId="77777777" w:rsidR="00FE7F8B" w:rsidRDefault="00FE7F8B">
            <w:pPr>
              <w:pStyle w:val="Tabletextnoindent"/>
              <w:rPr>
                <w:b/>
              </w:rPr>
            </w:pPr>
            <w:r>
              <w:rPr>
                <w:b/>
              </w:rPr>
              <w:t>Income from transactions</w:t>
            </w:r>
          </w:p>
        </w:tc>
        <w:tc>
          <w:tcPr>
            <w:tcW w:w="569" w:type="pct"/>
            <w:shd w:val="clear" w:color="auto" w:fill="F2F2F2" w:themeFill="background1" w:themeFillShade="F2"/>
            <w:noWrap/>
            <w:vAlign w:val="bottom"/>
          </w:tcPr>
          <w:p w14:paraId="32D7E969" w14:textId="77777777" w:rsidR="00FE7F8B" w:rsidRDefault="00FE7F8B">
            <w:pPr>
              <w:pStyle w:val="Tabletextnoindent"/>
              <w:jc w:val="right"/>
              <w:rPr>
                <w:b/>
              </w:rPr>
            </w:pPr>
          </w:p>
        </w:tc>
        <w:tc>
          <w:tcPr>
            <w:tcW w:w="569" w:type="pct"/>
            <w:shd w:val="clear" w:color="auto" w:fill="FFFFFF"/>
            <w:noWrap/>
            <w:vAlign w:val="bottom"/>
          </w:tcPr>
          <w:p w14:paraId="2022378A" w14:textId="77777777" w:rsidR="00FE7F8B" w:rsidRDefault="00FE7F8B">
            <w:pPr>
              <w:pStyle w:val="Tabletextnoindent"/>
              <w:jc w:val="right"/>
              <w:rPr>
                <w:b/>
              </w:rPr>
            </w:pPr>
          </w:p>
        </w:tc>
      </w:tr>
      <w:tr w:rsidR="00FE7F8B" w14:paraId="514B5A59" w14:textId="77777777" w:rsidTr="0005782C">
        <w:trPr>
          <w:trHeight w:val="240"/>
        </w:trPr>
        <w:tc>
          <w:tcPr>
            <w:tcW w:w="3862" w:type="pct"/>
            <w:shd w:val="clear" w:color="auto" w:fill="FFFFFF"/>
            <w:noWrap/>
            <w:vAlign w:val="bottom"/>
            <w:hideMark/>
          </w:tcPr>
          <w:p w14:paraId="739DE1C3" w14:textId="77777777" w:rsidR="00FE7F8B" w:rsidRDefault="00FE7F8B">
            <w:pPr>
              <w:pStyle w:val="Tabletextnoindent"/>
              <w:rPr>
                <w:b/>
                <w:i/>
              </w:rPr>
            </w:pPr>
            <w:r>
              <w:rPr>
                <w:b/>
                <w:i/>
              </w:rPr>
              <w:t>(a) Grants</w:t>
            </w:r>
          </w:p>
        </w:tc>
        <w:tc>
          <w:tcPr>
            <w:tcW w:w="569" w:type="pct"/>
            <w:shd w:val="clear" w:color="auto" w:fill="F2F2F2" w:themeFill="background1" w:themeFillShade="F2"/>
            <w:noWrap/>
            <w:vAlign w:val="bottom"/>
          </w:tcPr>
          <w:p w14:paraId="0AEAD933" w14:textId="77777777" w:rsidR="00FE7F8B" w:rsidRDefault="00FE7F8B">
            <w:pPr>
              <w:pStyle w:val="Tabletextnoindent"/>
              <w:jc w:val="right"/>
              <w:rPr>
                <w:b/>
                <w:i/>
              </w:rPr>
            </w:pPr>
          </w:p>
        </w:tc>
        <w:tc>
          <w:tcPr>
            <w:tcW w:w="569" w:type="pct"/>
            <w:shd w:val="clear" w:color="auto" w:fill="FFFFFF"/>
            <w:noWrap/>
            <w:vAlign w:val="bottom"/>
          </w:tcPr>
          <w:p w14:paraId="6E9B279B" w14:textId="77777777" w:rsidR="00FE7F8B" w:rsidRDefault="00FE7F8B">
            <w:pPr>
              <w:pStyle w:val="Tabletextnoindent"/>
              <w:jc w:val="right"/>
              <w:rPr>
                <w:b/>
                <w:i/>
              </w:rPr>
            </w:pPr>
          </w:p>
        </w:tc>
      </w:tr>
      <w:tr w:rsidR="00FE7F8B" w14:paraId="39952A26" w14:textId="77777777" w:rsidTr="0005782C">
        <w:trPr>
          <w:trHeight w:val="240"/>
        </w:trPr>
        <w:tc>
          <w:tcPr>
            <w:tcW w:w="3862" w:type="pct"/>
            <w:shd w:val="clear" w:color="auto" w:fill="FFFFFF"/>
            <w:noWrap/>
            <w:vAlign w:val="bottom"/>
            <w:hideMark/>
          </w:tcPr>
          <w:p w14:paraId="52D5D7AE" w14:textId="77777777" w:rsidR="00FE7F8B" w:rsidRDefault="00FE7F8B">
            <w:pPr>
              <w:pStyle w:val="Tabletextnoindent"/>
              <w:spacing w:before="40"/>
            </w:pPr>
            <w:r>
              <w:t>Commonwealth</w:t>
            </w:r>
          </w:p>
        </w:tc>
        <w:tc>
          <w:tcPr>
            <w:tcW w:w="569" w:type="pct"/>
            <w:shd w:val="clear" w:color="auto" w:fill="F2F2F2" w:themeFill="background1" w:themeFillShade="F2"/>
            <w:noWrap/>
            <w:vAlign w:val="bottom"/>
            <w:hideMark/>
          </w:tcPr>
          <w:p w14:paraId="70C015C2" w14:textId="77777777" w:rsidR="00FE7F8B" w:rsidRDefault="00FE7F8B">
            <w:pPr>
              <w:pStyle w:val="Tabletextnoindent"/>
              <w:spacing w:before="40"/>
              <w:jc w:val="right"/>
            </w:pPr>
            <w:r>
              <w:rPr>
                <w:b/>
              </w:rPr>
              <w:t>18.8</w:t>
            </w:r>
          </w:p>
        </w:tc>
        <w:tc>
          <w:tcPr>
            <w:tcW w:w="569" w:type="pct"/>
            <w:shd w:val="clear" w:color="auto" w:fill="FFFFFF"/>
            <w:noWrap/>
            <w:vAlign w:val="bottom"/>
            <w:hideMark/>
          </w:tcPr>
          <w:p w14:paraId="140FB4BB" w14:textId="77777777" w:rsidR="00FE7F8B" w:rsidRDefault="00FE7F8B">
            <w:pPr>
              <w:pStyle w:val="Tabletextnoindent"/>
              <w:spacing w:before="40"/>
              <w:jc w:val="right"/>
            </w:pPr>
            <w:r>
              <w:t>15.7</w:t>
            </w:r>
          </w:p>
        </w:tc>
      </w:tr>
      <w:tr w:rsidR="00FE7F8B" w14:paraId="42559526"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2A7EC0D5" w14:textId="77777777" w:rsidR="00FE7F8B" w:rsidRDefault="00FE7F8B">
            <w:pPr>
              <w:pStyle w:val="Tabletextnoindent"/>
              <w:spacing w:before="40"/>
            </w:pPr>
            <w:r>
              <w:t>Other public bodies</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5BB87ABA" w14:textId="77777777" w:rsidR="00FE7F8B" w:rsidRDefault="00FE7F8B">
            <w:pPr>
              <w:pStyle w:val="Tabletextnoindent"/>
              <w:spacing w:before="40"/>
              <w:jc w:val="right"/>
            </w:pPr>
            <w:r>
              <w:rPr>
                <w:b/>
              </w:rPr>
              <w:t>4.7</w:t>
            </w:r>
          </w:p>
        </w:tc>
        <w:tc>
          <w:tcPr>
            <w:tcW w:w="569" w:type="pct"/>
            <w:tcBorders>
              <w:top w:val="nil"/>
              <w:left w:val="nil"/>
              <w:bottom w:val="single" w:sz="4" w:space="0" w:color="auto"/>
              <w:right w:val="nil"/>
            </w:tcBorders>
            <w:shd w:val="clear" w:color="auto" w:fill="FFFFFF"/>
            <w:noWrap/>
            <w:vAlign w:val="bottom"/>
            <w:hideMark/>
          </w:tcPr>
          <w:p w14:paraId="4F49191F" w14:textId="77777777" w:rsidR="00FE7F8B" w:rsidRDefault="00FE7F8B">
            <w:pPr>
              <w:pStyle w:val="Tabletextnoindent"/>
              <w:spacing w:before="40"/>
              <w:jc w:val="right"/>
            </w:pPr>
            <w:r>
              <w:t>4.1</w:t>
            </w:r>
          </w:p>
        </w:tc>
      </w:tr>
      <w:tr w:rsidR="00FE7F8B" w14:paraId="13D47518" w14:textId="77777777" w:rsidTr="0005782C">
        <w:trPr>
          <w:trHeight w:val="300"/>
        </w:trPr>
        <w:tc>
          <w:tcPr>
            <w:tcW w:w="3862" w:type="pct"/>
            <w:tcBorders>
              <w:top w:val="single" w:sz="4" w:space="0" w:color="auto"/>
              <w:left w:val="nil"/>
              <w:bottom w:val="single" w:sz="4" w:space="0" w:color="auto"/>
              <w:right w:val="nil"/>
            </w:tcBorders>
            <w:shd w:val="clear" w:color="auto" w:fill="FFFFFF"/>
            <w:noWrap/>
            <w:vAlign w:val="center"/>
            <w:hideMark/>
          </w:tcPr>
          <w:p w14:paraId="6847B94E" w14:textId="77777777" w:rsidR="00FE7F8B" w:rsidRDefault="00FE7F8B">
            <w:pPr>
              <w:pStyle w:val="Tabletextnoindent"/>
              <w:rPr>
                <w:b/>
              </w:rPr>
            </w:pPr>
            <w:r>
              <w:rPr>
                <w:b/>
              </w:rPr>
              <w:t>Total grants</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229CD1C2" w14:textId="77777777" w:rsidR="00FE7F8B" w:rsidRDefault="00FE7F8B">
            <w:pPr>
              <w:pStyle w:val="Tabletextnoindent"/>
              <w:jc w:val="right"/>
              <w:rPr>
                <w:b/>
              </w:rPr>
            </w:pPr>
            <w:r>
              <w:rPr>
                <w:b/>
              </w:rPr>
              <w:t>23.4</w:t>
            </w:r>
          </w:p>
        </w:tc>
        <w:tc>
          <w:tcPr>
            <w:tcW w:w="569" w:type="pct"/>
            <w:tcBorders>
              <w:top w:val="single" w:sz="4" w:space="0" w:color="auto"/>
              <w:left w:val="nil"/>
              <w:bottom w:val="single" w:sz="4" w:space="0" w:color="auto"/>
              <w:right w:val="nil"/>
            </w:tcBorders>
            <w:shd w:val="clear" w:color="auto" w:fill="FFFFFF"/>
            <w:noWrap/>
            <w:vAlign w:val="bottom"/>
            <w:hideMark/>
          </w:tcPr>
          <w:p w14:paraId="7527D2F2" w14:textId="77777777" w:rsidR="00FE7F8B" w:rsidRDefault="00FE7F8B">
            <w:pPr>
              <w:pStyle w:val="Tabletextnoindent"/>
              <w:jc w:val="right"/>
              <w:rPr>
                <w:b/>
              </w:rPr>
            </w:pPr>
            <w:r>
              <w:t>19.7</w:t>
            </w:r>
          </w:p>
        </w:tc>
      </w:tr>
      <w:tr w:rsidR="00FE7F8B" w14:paraId="563DBA26"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589CD1D7" w14:textId="77777777" w:rsidR="00FE7F8B" w:rsidRDefault="00FE7F8B">
            <w:pPr>
              <w:pStyle w:val="Tabletextnoindent"/>
              <w:rPr>
                <w:b/>
                <w:i/>
              </w:rPr>
            </w:pPr>
            <w:r>
              <w:rPr>
                <w:b/>
                <w:i/>
              </w:rPr>
              <w:t>(b) Sales of goods and services</w:t>
            </w:r>
          </w:p>
        </w:tc>
        <w:tc>
          <w:tcPr>
            <w:tcW w:w="569" w:type="pct"/>
            <w:tcBorders>
              <w:top w:val="single" w:sz="4" w:space="0" w:color="auto"/>
              <w:left w:val="nil"/>
              <w:bottom w:val="nil"/>
              <w:right w:val="nil"/>
            </w:tcBorders>
            <w:shd w:val="clear" w:color="auto" w:fill="F2F2F2" w:themeFill="background1" w:themeFillShade="F2"/>
            <w:noWrap/>
            <w:vAlign w:val="bottom"/>
          </w:tcPr>
          <w:p w14:paraId="132B00D2" w14:textId="77777777" w:rsidR="00FE7F8B" w:rsidRDefault="00FE7F8B">
            <w:pPr>
              <w:pStyle w:val="Tabletextnoindent"/>
              <w:jc w:val="right"/>
              <w:rPr>
                <w:b/>
                <w:i/>
              </w:rPr>
            </w:pPr>
          </w:p>
        </w:tc>
        <w:tc>
          <w:tcPr>
            <w:tcW w:w="569" w:type="pct"/>
            <w:tcBorders>
              <w:top w:val="single" w:sz="4" w:space="0" w:color="auto"/>
              <w:left w:val="nil"/>
              <w:bottom w:val="nil"/>
              <w:right w:val="nil"/>
            </w:tcBorders>
            <w:shd w:val="clear" w:color="auto" w:fill="FFFFFF"/>
            <w:noWrap/>
            <w:vAlign w:val="bottom"/>
          </w:tcPr>
          <w:p w14:paraId="73CB385A" w14:textId="77777777" w:rsidR="00FE7F8B" w:rsidRDefault="00FE7F8B">
            <w:pPr>
              <w:pStyle w:val="Tabletextnoindent"/>
              <w:jc w:val="right"/>
              <w:rPr>
                <w:b/>
                <w:i/>
              </w:rPr>
            </w:pPr>
          </w:p>
        </w:tc>
      </w:tr>
      <w:tr w:rsidR="00FE7F8B" w14:paraId="5183F225" w14:textId="77777777" w:rsidTr="0005782C">
        <w:trPr>
          <w:trHeight w:val="240"/>
        </w:trPr>
        <w:tc>
          <w:tcPr>
            <w:tcW w:w="3862" w:type="pct"/>
            <w:noWrap/>
            <w:vAlign w:val="bottom"/>
            <w:hideMark/>
          </w:tcPr>
          <w:p w14:paraId="191B1B8C" w14:textId="77777777" w:rsidR="00FE7F8B" w:rsidRDefault="00FE7F8B">
            <w:pPr>
              <w:pStyle w:val="Tabletextnoindent"/>
              <w:spacing w:before="40"/>
            </w:pPr>
            <w:r>
              <w:t>Schools revenue – including sales of classroom material, before and after school care, and other trading operations</w:t>
            </w:r>
          </w:p>
        </w:tc>
        <w:tc>
          <w:tcPr>
            <w:tcW w:w="569" w:type="pct"/>
            <w:shd w:val="clear" w:color="auto" w:fill="F2F2F2" w:themeFill="background1" w:themeFillShade="F2"/>
            <w:noWrap/>
            <w:vAlign w:val="bottom"/>
            <w:hideMark/>
          </w:tcPr>
          <w:p w14:paraId="3FFC983C" w14:textId="77777777" w:rsidR="00FE7F8B" w:rsidRDefault="00FE7F8B">
            <w:pPr>
              <w:pStyle w:val="Tabletextnoindent"/>
              <w:spacing w:before="40"/>
              <w:jc w:val="right"/>
            </w:pPr>
            <w:r>
              <w:rPr>
                <w:b/>
              </w:rPr>
              <w:t>141.7</w:t>
            </w:r>
          </w:p>
        </w:tc>
        <w:tc>
          <w:tcPr>
            <w:tcW w:w="569" w:type="pct"/>
            <w:shd w:val="clear" w:color="auto" w:fill="FFFFFF"/>
            <w:noWrap/>
            <w:vAlign w:val="bottom"/>
            <w:hideMark/>
          </w:tcPr>
          <w:p w14:paraId="58690F7C" w14:textId="77777777" w:rsidR="00FE7F8B" w:rsidRDefault="00FE7F8B">
            <w:pPr>
              <w:pStyle w:val="Tabletextnoindent"/>
              <w:spacing w:before="40"/>
              <w:jc w:val="right"/>
            </w:pPr>
            <w:r>
              <w:t>160.9</w:t>
            </w:r>
          </w:p>
        </w:tc>
      </w:tr>
      <w:tr w:rsidR="00FE7F8B" w14:paraId="51189D18"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4DED5713" w14:textId="77777777" w:rsidR="00FE7F8B" w:rsidRDefault="00FE7F8B">
            <w:pPr>
              <w:pStyle w:val="Tabletextnoindent"/>
              <w:spacing w:before="40"/>
            </w:pPr>
            <w:r>
              <w:t>Provision of services</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25324161" w14:textId="77777777" w:rsidR="00FE7F8B" w:rsidRDefault="00FE7F8B">
            <w:pPr>
              <w:pStyle w:val="Tabletextnoindent"/>
              <w:spacing w:before="40"/>
              <w:jc w:val="right"/>
            </w:pPr>
            <w:r>
              <w:rPr>
                <w:b/>
              </w:rPr>
              <w:t>68.0</w:t>
            </w:r>
          </w:p>
        </w:tc>
        <w:tc>
          <w:tcPr>
            <w:tcW w:w="569" w:type="pct"/>
            <w:tcBorders>
              <w:top w:val="nil"/>
              <w:left w:val="nil"/>
              <w:bottom w:val="single" w:sz="4" w:space="0" w:color="auto"/>
              <w:right w:val="nil"/>
            </w:tcBorders>
            <w:shd w:val="clear" w:color="auto" w:fill="FFFFFF"/>
            <w:noWrap/>
            <w:vAlign w:val="bottom"/>
            <w:hideMark/>
          </w:tcPr>
          <w:p w14:paraId="1402F909" w14:textId="77777777" w:rsidR="00FE7F8B" w:rsidRDefault="00FE7F8B">
            <w:pPr>
              <w:pStyle w:val="Tabletextnoindent"/>
              <w:spacing w:before="40"/>
              <w:jc w:val="right"/>
            </w:pPr>
            <w:r>
              <w:t>53.4</w:t>
            </w:r>
          </w:p>
        </w:tc>
      </w:tr>
      <w:tr w:rsidR="00FE7F8B" w14:paraId="243D2651" w14:textId="77777777" w:rsidTr="0005782C">
        <w:trPr>
          <w:trHeight w:val="300"/>
        </w:trPr>
        <w:tc>
          <w:tcPr>
            <w:tcW w:w="3862" w:type="pct"/>
            <w:tcBorders>
              <w:top w:val="single" w:sz="4" w:space="0" w:color="auto"/>
              <w:left w:val="nil"/>
              <w:bottom w:val="single" w:sz="4" w:space="0" w:color="auto"/>
              <w:right w:val="nil"/>
            </w:tcBorders>
            <w:shd w:val="clear" w:color="auto" w:fill="FFFFFF"/>
            <w:noWrap/>
            <w:vAlign w:val="center"/>
            <w:hideMark/>
          </w:tcPr>
          <w:p w14:paraId="384F7EDB" w14:textId="77777777" w:rsidR="00FE7F8B" w:rsidRDefault="00FE7F8B">
            <w:pPr>
              <w:pStyle w:val="Tabletextnoindent"/>
              <w:rPr>
                <w:b/>
              </w:rPr>
            </w:pPr>
            <w:r>
              <w:rPr>
                <w:b/>
              </w:rPr>
              <w:t>Total sales of goods and services</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5CC268EE" w14:textId="77777777" w:rsidR="00FE7F8B" w:rsidRDefault="00FE7F8B">
            <w:pPr>
              <w:pStyle w:val="Tabletextnoindent"/>
              <w:jc w:val="right"/>
              <w:rPr>
                <w:b/>
              </w:rPr>
            </w:pPr>
            <w:r>
              <w:rPr>
                <w:b/>
              </w:rPr>
              <w:t>209.6</w:t>
            </w:r>
          </w:p>
        </w:tc>
        <w:tc>
          <w:tcPr>
            <w:tcW w:w="569" w:type="pct"/>
            <w:tcBorders>
              <w:top w:val="single" w:sz="4" w:space="0" w:color="auto"/>
              <w:left w:val="nil"/>
              <w:bottom w:val="single" w:sz="4" w:space="0" w:color="auto"/>
              <w:right w:val="nil"/>
            </w:tcBorders>
            <w:shd w:val="clear" w:color="auto" w:fill="FFFFFF"/>
            <w:noWrap/>
            <w:vAlign w:val="bottom"/>
            <w:hideMark/>
          </w:tcPr>
          <w:p w14:paraId="29405658" w14:textId="77777777" w:rsidR="00FE7F8B" w:rsidRDefault="00FE7F8B">
            <w:pPr>
              <w:pStyle w:val="Tabletextnoindent"/>
              <w:jc w:val="right"/>
              <w:rPr>
                <w:b/>
              </w:rPr>
            </w:pPr>
            <w:r>
              <w:t>214.4</w:t>
            </w:r>
          </w:p>
        </w:tc>
      </w:tr>
      <w:tr w:rsidR="00FE7F8B" w14:paraId="14C829C1"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58F3BBAE" w14:textId="77777777" w:rsidR="00FE7F8B" w:rsidRDefault="00FE7F8B">
            <w:pPr>
              <w:pStyle w:val="Tabletextnoindent"/>
              <w:rPr>
                <w:b/>
                <w:i/>
              </w:rPr>
            </w:pPr>
            <w:r>
              <w:rPr>
                <w:b/>
                <w:i/>
              </w:rPr>
              <w:t>(c) Other income</w:t>
            </w:r>
          </w:p>
        </w:tc>
        <w:tc>
          <w:tcPr>
            <w:tcW w:w="569" w:type="pct"/>
            <w:tcBorders>
              <w:top w:val="single" w:sz="4" w:space="0" w:color="auto"/>
              <w:left w:val="nil"/>
              <w:bottom w:val="nil"/>
              <w:right w:val="nil"/>
            </w:tcBorders>
            <w:shd w:val="clear" w:color="auto" w:fill="F2F2F2" w:themeFill="background1" w:themeFillShade="F2"/>
            <w:noWrap/>
            <w:vAlign w:val="bottom"/>
            <w:hideMark/>
          </w:tcPr>
          <w:p w14:paraId="1973DC47" w14:textId="77777777" w:rsidR="00FE7F8B" w:rsidRDefault="00FE7F8B">
            <w:pPr>
              <w:rPr>
                <w:b/>
                <w:i/>
              </w:rPr>
            </w:pPr>
          </w:p>
        </w:tc>
        <w:tc>
          <w:tcPr>
            <w:tcW w:w="569" w:type="pct"/>
            <w:tcBorders>
              <w:top w:val="single" w:sz="4" w:space="0" w:color="auto"/>
              <w:left w:val="nil"/>
              <w:bottom w:val="nil"/>
              <w:right w:val="nil"/>
            </w:tcBorders>
            <w:noWrap/>
            <w:vAlign w:val="bottom"/>
            <w:hideMark/>
          </w:tcPr>
          <w:p w14:paraId="0CD65003"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6AED55FA" w14:textId="77777777" w:rsidTr="0005782C">
        <w:trPr>
          <w:trHeight w:val="270"/>
        </w:trPr>
        <w:tc>
          <w:tcPr>
            <w:tcW w:w="3862" w:type="pct"/>
            <w:vAlign w:val="bottom"/>
            <w:hideMark/>
          </w:tcPr>
          <w:p w14:paraId="5DF6A076" w14:textId="77777777" w:rsidR="00FE7F8B" w:rsidRDefault="00FE7F8B">
            <w:pPr>
              <w:pStyle w:val="Tabletextnoindent"/>
              <w:spacing w:before="40"/>
            </w:pPr>
            <w:r>
              <w:t>Schools revenue – including parents’ voluntary contributions and other locally raised funds</w:t>
            </w:r>
          </w:p>
        </w:tc>
        <w:tc>
          <w:tcPr>
            <w:tcW w:w="569" w:type="pct"/>
            <w:shd w:val="clear" w:color="auto" w:fill="F2F2F2" w:themeFill="background1" w:themeFillShade="F2"/>
            <w:noWrap/>
            <w:vAlign w:val="bottom"/>
            <w:hideMark/>
          </w:tcPr>
          <w:p w14:paraId="5976B66B" w14:textId="77777777" w:rsidR="00FE7F8B" w:rsidRDefault="00FE7F8B">
            <w:pPr>
              <w:pStyle w:val="Tabletextnoindent"/>
              <w:spacing w:before="40"/>
              <w:jc w:val="right"/>
            </w:pPr>
            <w:r>
              <w:rPr>
                <w:b/>
              </w:rPr>
              <w:t>512.3</w:t>
            </w:r>
          </w:p>
        </w:tc>
        <w:tc>
          <w:tcPr>
            <w:tcW w:w="569" w:type="pct"/>
            <w:noWrap/>
            <w:vAlign w:val="bottom"/>
            <w:hideMark/>
          </w:tcPr>
          <w:p w14:paraId="3A4101C3" w14:textId="77777777" w:rsidR="00FE7F8B" w:rsidRDefault="00FE7F8B">
            <w:pPr>
              <w:pStyle w:val="Tabletextnoindent"/>
              <w:spacing w:before="40"/>
              <w:jc w:val="right"/>
            </w:pPr>
            <w:r>
              <w:t>510.1</w:t>
            </w:r>
          </w:p>
        </w:tc>
      </w:tr>
      <w:tr w:rsidR="00FE7F8B" w14:paraId="1DA15814"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2E08443E" w14:textId="77777777" w:rsidR="00FE7F8B" w:rsidRDefault="00FE7F8B">
            <w:pPr>
              <w:pStyle w:val="Tabletextnoindent"/>
              <w:spacing w:before="40"/>
            </w:pPr>
            <w:r>
              <w:t>Other revenue</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0E2ED212" w14:textId="77777777" w:rsidR="00FE7F8B" w:rsidRDefault="00FE7F8B">
            <w:pPr>
              <w:pStyle w:val="Tabletextnoindent"/>
              <w:spacing w:before="40"/>
              <w:jc w:val="right"/>
            </w:pPr>
            <w:r>
              <w:rPr>
                <w:b/>
              </w:rPr>
              <w:t>14.4</w:t>
            </w:r>
          </w:p>
        </w:tc>
        <w:tc>
          <w:tcPr>
            <w:tcW w:w="569" w:type="pct"/>
            <w:tcBorders>
              <w:top w:val="nil"/>
              <w:left w:val="nil"/>
              <w:bottom w:val="single" w:sz="4" w:space="0" w:color="auto"/>
              <w:right w:val="nil"/>
            </w:tcBorders>
            <w:noWrap/>
            <w:vAlign w:val="bottom"/>
            <w:hideMark/>
          </w:tcPr>
          <w:p w14:paraId="353DC452" w14:textId="77777777" w:rsidR="00FE7F8B" w:rsidRDefault="00FE7F8B">
            <w:pPr>
              <w:pStyle w:val="Tabletextnoindent"/>
              <w:spacing w:before="40"/>
              <w:jc w:val="right"/>
            </w:pPr>
            <w:r>
              <w:t>13.2</w:t>
            </w:r>
          </w:p>
        </w:tc>
      </w:tr>
      <w:tr w:rsidR="00FE7F8B" w14:paraId="3FB3AC5B" w14:textId="77777777" w:rsidTr="0005782C">
        <w:trPr>
          <w:trHeight w:val="300"/>
        </w:trPr>
        <w:tc>
          <w:tcPr>
            <w:tcW w:w="3862" w:type="pct"/>
            <w:tcBorders>
              <w:top w:val="single" w:sz="4" w:space="0" w:color="auto"/>
              <w:left w:val="nil"/>
              <w:bottom w:val="single" w:sz="4" w:space="0" w:color="auto"/>
              <w:right w:val="nil"/>
            </w:tcBorders>
            <w:shd w:val="clear" w:color="auto" w:fill="FFFFFF"/>
            <w:noWrap/>
            <w:vAlign w:val="center"/>
            <w:hideMark/>
          </w:tcPr>
          <w:p w14:paraId="51BCCC62" w14:textId="77777777" w:rsidR="00FE7F8B" w:rsidRDefault="00FE7F8B">
            <w:pPr>
              <w:pStyle w:val="Tabletextnoindent"/>
              <w:rPr>
                <w:b/>
              </w:rPr>
            </w:pPr>
            <w:r>
              <w:rPr>
                <w:b/>
              </w:rPr>
              <w:t>Total other income</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52F9B2A1" w14:textId="77777777" w:rsidR="00FE7F8B" w:rsidRDefault="00FE7F8B">
            <w:pPr>
              <w:pStyle w:val="Tabletextnoindent"/>
              <w:jc w:val="right"/>
              <w:rPr>
                <w:b/>
              </w:rPr>
            </w:pPr>
            <w:r>
              <w:rPr>
                <w:b/>
              </w:rPr>
              <w:t>526.7</w:t>
            </w:r>
          </w:p>
        </w:tc>
        <w:tc>
          <w:tcPr>
            <w:tcW w:w="569" w:type="pct"/>
            <w:tcBorders>
              <w:top w:val="single" w:sz="4" w:space="0" w:color="auto"/>
              <w:left w:val="nil"/>
              <w:bottom w:val="single" w:sz="4" w:space="0" w:color="auto"/>
              <w:right w:val="nil"/>
            </w:tcBorders>
            <w:noWrap/>
            <w:vAlign w:val="bottom"/>
            <w:hideMark/>
          </w:tcPr>
          <w:p w14:paraId="50469AF6" w14:textId="77777777" w:rsidR="00FE7F8B" w:rsidRDefault="00FE7F8B">
            <w:pPr>
              <w:pStyle w:val="Tabletextnoindent"/>
              <w:jc w:val="right"/>
              <w:rPr>
                <w:b/>
              </w:rPr>
            </w:pPr>
            <w:r>
              <w:t>523.3</w:t>
            </w:r>
          </w:p>
        </w:tc>
      </w:tr>
      <w:tr w:rsidR="00FE7F8B" w14:paraId="3A9BFB56"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6AE7E27E" w14:textId="77777777" w:rsidR="00FE7F8B" w:rsidRDefault="00FE7F8B">
            <w:pPr>
              <w:pStyle w:val="Tablerowheading12before"/>
            </w:pPr>
            <w:r>
              <w:t>Expenses from transactions</w:t>
            </w:r>
          </w:p>
        </w:tc>
        <w:tc>
          <w:tcPr>
            <w:tcW w:w="569" w:type="pct"/>
            <w:tcBorders>
              <w:top w:val="single" w:sz="4" w:space="0" w:color="auto"/>
              <w:left w:val="nil"/>
              <w:bottom w:val="nil"/>
              <w:right w:val="nil"/>
            </w:tcBorders>
            <w:shd w:val="clear" w:color="auto" w:fill="F2F2F2" w:themeFill="background1" w:themeFillShade="F2"/>
            <w:noWrap/>
            <w:vAlign w:val="bottom"/>
          </w:tcPr>
          <w:p w14:paraId="5CE8E7E5" w14:textId="77777777" w:rsidR="00FE7F8B" w:rsidRDefault="00FE7F8B">
            <w:pPr>
              <w:pStyle w:val="Tabletextnoindent"/>
              <w:jc w:val="right"/>
              <w:rPr>
                <w:b/>
              </w:rPr>
            </w:pPr>
          </w:p>
        </w:tc>
        <w:tc>
          <w:tcPr>
            <w:tcW w:w="569" w:type="pct"/>
            <w:tcBorders>
              <w:top w:val="single" w:sz="4" w:space="0" w:color="auto"/>
              <w:left w:val="nil"/>
              <w:bottom w:val="nil"/>
              <w:right w:val="nil"/>
            </w:tcBorders>
            <w:shd w:val="clear" w:color="auto" w:fill="FFFFFF"/>
            <w:noWrap/>
            <w:vAlign w:val="bottom"/>
          </w:tcPr>
          <w:p w14:paraId="6E151A39" w14:textId="77777777" w:rsidR="00FE7F8B" w:rsidRDefault="00FE7F8B">
            <w:pPr>
              <w:pStyle w:val="Tabletextnoindent"/>
              <w:jc w:val="right"/>
              <w:rPr>
                <w:b/>
              </w:rPr>
            </w:pPr>
          </w:p>
        </w:tc>
      </w:tr>
      <w:tr w:rsidR="00FE7F8B" w14:paraId="21767D94" w14:textId="77777777" w:rsidTr="0005782C">
        <w:trPr>
          <w:trHeight w:val="240"/>
        </w:trPr>
        <w:tc>
          <w:tcPr>
            <w:tcW w:w="3862" w:type="pct"/>
            <w:shd w:val="clear" w:color="auto" w:fill="FFFFFF"/>
            <w:noWrap/>
            <w:vAlign w:val="bottom"/>
            <w:hideMark/>
          </w:tcPr>
          <w:p w14:paraId="0D05EB2F" w14:textId="77777777" w:rsidR="00FE7F8B" w:rsidRDefault="00FE7F8B">
            <w:pPr>
              <w:pStyle w:val="Tabletextnoindent"/>
              <w:rPr>
                <w:b/>
                <w:i/>
              </w:rPr>
            </w:pPr>
            <w:r>
              <w:rPr>
                <w:b/>
                <w:i/>
              </w:rPr>
              <w:t>(d) Employee expenses</w:t>
            </w:r>
          </w:p>
        </w:tc>
        <w:tc>
          <w:tcPr>
            <w:tcW w:w="569" w:type="pct"/>
            <w:shd w:val="clear" w:color="auto" w:fill="F2F2F2" w:themeFill="background1" w:themeFillShade="F2"/>
            <w:noWrap/>
            <w:vAlign w:val="bottom"/>
          </w:tcPr>
          <w:p w14:paraId="371C34DB" w14:textId="77777777" w:rsidR="00FE7F8B" w:rsidRDefault="00FE7F8B">
            <w:pPr>
              <w:pStyle w:val="Tabletextnoindent"/>
              <w:jc w:val="right"/>
              <w:rPr>
                <w:b/>
                <w:i/>
              </w:rPr>
            </w:pPr>
          </w:p>
        </w:tc>
        <w:tc>
          <w:tcPr>
            <w:tcW w:w="569" w:type="pct"/>
            <w:shd w:val="clear" w:color="auto" w:fill="FFFFFF"/>
            <w:noWrap/>
            <w:vAlign w:val="bottom"/>
          </w:tcPr>
          <w:p w14:paraId="502473AC" w14:textId="77777777" w:rsidR="00FE7F8B" w:rsidRDefault="00FE7F8B">
            <w:pPr>
              <w:pStyle w:val="Tabletextnoindent"/>
              <w:jc w:val="right"/>
              <w:rPr>
                <w:b/>
                <w:i/>
              </w:rPr>
            </w:pPr>
          </w:p>
        </w:tc>
      </w:tr>
      <w:tr w:rsidR="00FE7F8B" w14:paraId="220AEB0E" w14:textId="77777777" w:rsidTr="0005782C">
        <w:trPr>
          <w:trHeight w:val="240"/>
        </w:trPr>
        <w:tc>
          <w:tcPr>
            <w:tcW w:w="3862" w:type="pct"/>
            <w:shd w:val="clear" w:color="auto" w:fill="FFFFFF"/>
            <w:noWrap/>
            <w:vAlign w:val="bottom"/>
            <w:hideMark/>
          </w:tcPr>
          <w:p w14:paraId="59BC666A" w14:textId="77777777" w:rsidR="00FE7F8B" w:rsidRDefault="00FE7F8B">
            <w:pPr>
              <w:pStyle w:val="Tabletextnoindent"/>
              <w:spacing w:before="40"/>
            </w:pPr>
            <w:r>
              <w:t>Salaries and wages—departmental employees</w:t>
            </w:r>
          </w:p>
        </w:tc>
        <w:tc>
          <w:tcPr>
            <w:tcW w:w="569" w:type="pct"/>
            <w:shd w:val="clear" w:color="auto" w:fill="F2F2F2" w:themeFill="background1" w:themeFillShade="F2"/>
            <w:noWrap/>
            <w:vAlign w:val="bottom"/>
            <w:hideMark/>
          </w:tcPr>
          <w:p w14:paraId="2BB1CD92" w14:textId="77777777" w:rsidR="00FE7F8B" w:rsidRDefault="00FE7F8B">
            <w:pPr>
              <w:pStyle w:val="Tabletextnoindent"/>
              <w:spacing w:before="40"/>
              <w:jc w:val="right"/>
            </w:pPr>
            <w:r>
              <w:rPr>
                <w:b/>
              </w:rPr>
              <w:t>4,499.7</w:t>
            </w:r>
          </w:p>
        </w:tc>
        <w:tc>
          <w:tcPr>
            <w:tcW w:w="569" w:type="pct"/>
            <w:shd w:val="clear" w:color="auto" w:fill="FFFFFF"/>
            <w:noWrap/>
            <w:vAlign w:val="bottom"/>
            <w:hideMark/>
          </w:tcPr>
          <w:p w14:paraId="5F282471" w14:textId="77777777" w:rsidR="00FE7F8B" w:rsidRDefault="00FE7F8B">
            <w:pPr>
              <w:pStyle w:val="Tabletextnoindent"/>
              <w:spacing w:before="40"/>
              <w:jc w:val="right"/>
            </w:pPr>
            <w:r>
              <w:t>4,226.0</w:t>
            </w:r>
          </w:p>
        </w:tc>
      </w:tr>
      <w:tr w:rsidR="00FE7F8B" w14:paraId="1D516195" w14:textId="77777777" w:rsidTr="0005782C">
        <w:trPr>
          <w:trHeight w:val="240"/>
        </w:trPr>
        <w:tc>
          <w:tcPr>
            <w:tcW w:w="3862" w:type="pct"/>
            <w:shd w:val="clear" w:color="auto" w:fill="FFFFFF"/>
            <w:noWrap/>
            <w:vAlign w:val="bottom"/>
            <w:hideMark/>
          </w:tcPr>
          <w:p w14:paraId="17E8300F" w14:textId="77777777" w:rsidR="00FE7F8B" w:rsidRDefault="00FE7F8B">
            <w:pPr>
              <w:pStyle w:val="Tabletextnoindent"/>
              <w:spacing w:before="40"/>
            </w:pPr>
            <w:r>
              <w:t>Salaries and wages—staff employed by school councils</w:t>
            </w:r>
          </w:p>
        </w:tc>
        <w:tc>
          <w:tcPr>
            <w:tcW w:w="569" w:type="pct"/>
            <w:shd w:val="clear" w:color="auto" w:fill="F2F2F2" w:themeFill="background1" w:themeFillShade="F2"/>
            <w:noWrap/>
            <w:vAlign w:val="bottom"/>
            <w:hideMark/>
          </w:tcPr>
          <w:p w14:paraId="41887D3A" w14:textId="77777777" w:rsidR="00FE7F8B" w:rsidRDefault="00FE7F8B">
            <w:pPr>
              <w:pStyle w:val="Tabletextnoindent"/>
              <w:spacing w:before="40"/>
              <w:jc w:val="right"/>
            </w:pPr>
            <w:r>
              <w:rPr>
                <w:b/>
              </w:rPr>
              <w:t>231.3</w:t>
            </w:r>
          </w:p>
        </w:tc>
        <w:tc>
          <w:tcPr>
            <w:tcW w:w="569" w:type="pct"/>
            <w:shd w:val="clear" w:color="auto" w:fill="FFFFFF"/>
            <w:noWrap/>
            <w:vAlign w:val="bottom"/>
            <w:hideMark/>
          </w:tcPr>
          <w:p w14:paraId="2C38E261" w14:textId="77777777" w:rsidR="00FE7F8B" w:rsidRDefault="00FE7F8B">
            <w:pPr>
              <w:pStyle w:val="Tabletextnoindent"/>
              <w:spacing w:before="40"/>
              <w:jc w:val="right"/>
            </w:pPr>
            <w:r>
              <w:t>226.2</w:t>
            </w:r>
          </w:p>
        </w:tc>
      </w:tr>
      <w:tr w:rsidR="00FE7F8B" w14:paraId="6519B79A" w14:textId="77777777" w:rsidTr="0005782C">
        <w:trPr>
          <w:trHeight w:val="240"/>
        </w:trPr>
        <w:tc>
          <w:tcPr>
            <w:tcW w:w="3862" w:type="pct"/>
            <w:shd w:val="clear" w:color="auto" w:fill="FFFFFF"/>
            <w:noWrap/>
            <w:vAlign w:val="bottom"/>
            <w:hideMark/>
          </w:tcPr>
          <w:p w14:paraId="56194966" w14:textId="77777777" w:rsidR="00FE7F8B" w:rsidRDefault="00FE7F8B">
            <w:pPr>
              <w:pStyle w:val="Tabletextnoindent"/>
              <w:spacing w:before="40"/>
            </w:pPr>
            <w:r>
              <w:t>Superannuation</w:t>
            </w:r>
          </w:p>
        </w:tc>
        <w:tc>
          <w:tcPr>
            <w:tcW w:w="569" w:type="pct"/>
            <w:shd w:val="clear" w:color="auto" w:fill="F2F2F2" w:themeFill="background1" w:themeFillShade="F2"/>
            <w:noWrap/>
            <w:vAlign w:val="bottom"/>
            <w:hideMark/>
          </w:tcPr>
          <w:p w14:paraId="2321B7B5" w14:textId="77777777" w:rsidR="00FE7F8B" w:rsidRDefault="00FE7F8B">
            <w:pPr>
              <w:pStyle w:val="Tabletextnoindent"/>
              <w:spacing w:before="40"/>
              <w:jc w:val="right"/>
            </w:pPr>
            <w:r>
              <w:rPr>
                <w:b/>
              </w:rPr>
              <w:t>473.2</w:t>
            </w:r>
          </w:p>
        </w:tc>
        <w:tc>
          <w:tcPr>
            <w:tcW w:w="569" w:type="pct"/>
            <w:shd w:val="clear" w:color="auto" w:fill="FFFFFF"/>
            <w:noWrap/>
            <w:vAlign w:val="bottom"/>
            <w:hideMark/>
          </w:tcPr>
          <w:p w14:paraId="5F915293" w14:textId="77777777" w:rsidR="00FE7F8B" w:rsidRDefault="00FE7F8B">
            <w:pPr>
              <w:pStyle w:val="Tabletextnoindent"/>
              <w:spacing w:before="40"/>
              <w:jc w:val="right"/>
            </w:pPr>
            <w:r>
              <w:t>451.9</w:t>
            </w:r>
          </w:p>
        </w:tc>
      </w:tr>
      <w:tr w:rsidR="00FE7F8B" w14:paraId="1A99DE34" w14:textId="77777777" w:rsidTr="0005782C">
        <w:trPr>
          <w:trHeight w:val="240"/>
        </w:trPr>
        <w:tc>
          <w:tcPr>
            <w:tcW w:w="3862" w:type="pct"/>
            <w:shd w:val="clear" w:color="auto" w:fill="FFFFFF"/>
            <w:noWrap/>
            <w:vAlign w:val="bottom"/>
            <w:hideMark/>
          </w:tcPr>
          <w:p w14:paraId="26A585DC" w14:textId="77777777" w:rsidR="00FE7F8B" w:rsidRDefault="00FE7F8B">
            <w:pPr>
              <w:pStyle w:val="Tabletextnoindent"/>
              <w:spacing w:before="40"/>
            </w:pPr>
            <w:r>
              <w:t>Annual leave and long service leave expense</w:t>
            </w:r>
          </w:p>
        </w:tc>
        <w:tc>
          <w:tcPr>
            <w:tcW w:w="569" w:type="pct"/>
            <w:shd w:val="clear" w:color="auto" w:fill="F2F2F2" w:themeFill="background1" w:themeFillShade="F2"/>
            <w:noWrap/>
            <w:vAlign w:val="bottom"/>
            <w:hideMark/>
          </w:tcPr>
          <w:p w14:paraId="370D0684" w14:textId="77777777" w:rsidR="00FE7F8B" w:rsidRDefault="00FE7F8B">
            <w:pPr>
              <w:pStyle w:val="Tabletextnoindent"/>
              <w:spacing w:before="40"/>
              <w:jc w:val="right"/>
            </w:pPr>
            <w:r>
              <w:rPr>
                <w:b/>
              </w:rPr>
              <w:t>298.7</w:t>
            </w:r>
          </w:p>
        </w:tc>
        <w:tc>
          <w:tcPr>
            <w:tcW w:w="569" w:type="pct"/>
            <w:shd w:val="clear" w:color="auto" w:fill="FFFFFF"/>
            <w:noWrap/>
            <w:vAlign w:val="bottom"/>
            <w:hideMark/>
          </w:tcPr>
          <w:p w14:paraId="09BFB545" w14:textId="77777777" w:rsidR="00FE7F8B" w:rsidRDefault="00FE7F8B">
            <w:pPr>
              <w:pStyle w:val="Tabletextnoindent"/>
              <w:spacing w:before="40"/>
              <w:jc w:val="right"/>
            </w:pPr>
            <w:r>
              <w:t>276.3</w:t>
            </w:r>
          </w:p>
        </w:tc>
      </w:tr>
      <w:tr w:rsidR="00FE7F8B" w14:paraId="6A19E30E"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1BEE24F8" w14:textId="77777777" w:rsidR="00FE7F8B" w:rsidRDefault="00FE7F8B">
            <w:pPr>
              <w:pStyle w:val="Tabletextnoindent"/>
              <w:spacing w:before="40"/>
            </w:pPr>
            <w:r>
              <w:t>Other on-costs (fringe benefits tax, payroll tax and WorkCover levy)</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1A0CFACA" w14:textId="77777777" w:rsidR="00FE7F8B" w:rsidRDefault="00FE7F8B">
            <w:pPr>
              <w:pStyle w:val="Tabletextnoindent"/>
              <w:spacing w:before="40"/>
              <w:jc w:val="right"/>
            </w:pPr>
            <w:r>
              <w:rPr>
                <w:b/>
              </w:rPr>
              <w:t>315.1</w:t>
            </w:r>
          </w:p>
        </w:tc>
        <w:tc>
          <w:tcPr>
            <w:tcW w:w="569" w:type="pct"/>
            <w:tcBorders>
              <w:top w:val="nil"/>
              <w:left w:val="nil"/>
              <w:bottom w:val="single" w:sz="4" w:space="0" w:color="auto"/>
              <w:right w:val="nil"/>
            </w:tcBorders>
            <w:shd w:val="clear" w:color="auto" w:fill="FFFFFF"/>
            <w:noWrap/>
            <w:vAlign w:val="bottom"/>
            <w:hideMark/>
          </w:tcPr>
          <w:p w14:paraId="7EFDCFCD" w14:textId="77777777" w:rsidR="00FE7F8B" w:rsidRDefault="00FE7F8B">
            <w:pPr>
              <w:pStyle w:val="Tabletextnoindent"/>
              <w:spacing w:before="40"/>
              <w:jc w:val="right"/>
            </w:pPr>
            <w:r>
              <w:t>297.1</w:t>
            </w:r>
          </w:p>
        </w:tc>
      </w:tr>
      <w:tr w:rsidR="00FE7F8B" w14:paraId="37355252" w14:textId="77777777" w:rsidTr="0005782C">
        <w:trPr>
          <w:trHeight w:val="285"/>
        </w:trPr>
        <w:tc>
          <w:tcPr>
            <w:tcW w:w="3862" w:type="pct"/>
            <w:tcBorders>
              <w:top w:val="single" w:sz="4" w:space="0" w:color="auto"/>
              <w:left w:val="nil"/>
              <w:bottom w:val="single" w:sz="4" w:space="0" w:color="auto"/>
              <w:right w:val="nil"/>
            </w:tcBorders>
            <w:shd w:val="clear" w:color="auto" w:fill="FFFFFF"/>
            <w:noWrap/>
            <w:vAlign w:val="center"/>
            <w:hideMark/>
          </w:tcPr>
          <w:p w14:paraId="7E288C63" w14:textId="77777777" w:rsidR="00FE7F8B" w:rsidRDefault="00FE7F8B">
            <w:pPr>
              <w:pStyle w:val="Tabletextnoindent"/>
              <w:rPr>
                <w:b/>
              </w:rPr>
            </w:pPr>
            <w:r>
              <w:rPr>
                <w:b/>
              </w:rPr>
              <w:t>Total employee expenses</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749EBF47" w14:textId="77777777" w:rsidR="00FE7F8B" w:rsidRDefault="00FE7F8B">
            <w:pPr>
              <w:pStyle w:val="Tabletextnoindent"/>
              <w:jc w:val="right"/>
              <w:rPr>
                <w:b/>
              </w:rPr>
            </w:pPr>
            <w:r>
              <w:rPr>
                <w:b/>
              </w:rPr>
              <w:t>5,817.9</w:t>
            </w:r>
          </w:p>
        </w:tc>
        <w:tc>
          <w:tcPr>
            <w:tcW w:w="569" w:type="pct"/>
            <w:tcBorders>
              <w:top w:val="single" w:sz="4" w:space="0" w:color="auto"/>
              <w:left w:val="nil"/>
              <w:bottom w:val="single" w:sz="4" w:space="0" w:color="auto"/>
              <w:right w:val="nil"/>
            </w:tcBorders>
            <w:shd w:val="clear" w:color="auto" w:fill="FFFFFF"/>
            <w:noWrap/>
            <w:vAlign w:val="bottom"/>
            <w:hideMark/>
          </w:tcPr>
          <w:p w14:paraId="091CF6D0" w14:textId="77777777" w:rsidR="00FE7F8B" w:rsidRDefault="00FE7F8B">
            <w:pPr>
              <w:pStyle w:val="Tabletextnoindent"/>
              <w:jc w:val="right"/>
              <w:rPr>
                <w:b/>
              </w:rPr>
            </w:pPr>
            <w:r>
              <w:t>5,477.5</w:t>
            </w:r>
          </w:p>
        </w:tc>
      </w:tr>
      <w:tr w:rsidR="00FE7F8B" w14:paraId="0F0916A9"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13A3D594" w14:textId="77777777" w:rsidR="00FE7F8B" w:rsidRDefault="00FE7F8B">
            <w:pPr>
              <w:pStyle w:val="Tabletextnoindent"/>
              <w:rPr>
                <w:b/>
                <w:i/>
              </w:rPr>
            </w:pPr>
            <w:r>
              <w:rPr>
                <w:b/>
                <w:i/>
              </w:rPr>
              <w:t>(e) Depreciation and amortisation</w:t>
            </w:r>
          </w:p>
        </w:tc>
        <w:tc>
          <w:tcPr>
            <w:tcW w:w="569" w:type="pct"/>
            <w:tcBorders>
              <w:top w:val="single" w:sz="4" w:space="0" w:color="auto"/>
              <w:left w:val="nil"/>
              <w:bottom w:val="nil"/>
              <w:right w:val="nil"/>
            </w:tcBorders>
            <w:shd w:val="clear" w:color="auto" w:fill="F2F2F2" w:themeFill="background1" w:themeFillShade="F2"/>
            <w:noWrap/>
            <w:vAlign w:val="bottom"/>
          </w:tcPr>
          <w:p w14:paraId="0F4554AD" w14:textId="77777777" w:rsidR="00FE7F8B" w:rsidRDefault="00FE7F8B">
            <w:pPr>
              <w:pStyle w:val="Tabletextnoindent"/>
              <w:jc w:val="right"/>
              <w:rPr>
                <w:b/>
                <w:i/>
              </w:rPr>
            </w:pPr>
          </w:p>
        </w:tc>
        <w:tc>
          <w:tcPr>
            <w:tcW w:w="569" w:type="pct"/>
            <w:tcBorders>
              <w:top w:val="single" w:sz="4" w:space="0" w:color="auto"/>
              <w:left w:val="nil"/>
              <w:bottom w:val="nil"/>
              <w:right w:val="nil"/>
            </w:tcBorders>
            <w:shd w:val="clear" w:color="auto" w:fill="FFFFFF"/>
            <w:noWrap/>
            <w:vAlign w:val="bottom"/>
          </w:tcPr>
          <w:p w14:paraId="71CE3661" w14:textId="77777777" w:rsidR="00FE7F8B" w:rsidRDefault="00FE7F8B">
            <w:pPr>
              <w:pStyle w:val="Tabletextnoindent"/>
              <w:jc w:val="right"/>
              <w:rPr>
                <w:b/>
                <w:i/>
              </w:rPr>
            </w:pPr>
          </w:p>
        </w:tc>
      </w:tr>
      <w:tr w:rsidR="00FE7F8B" w14:paraId="0ADBD681" w14:textId="77777777" w:rsidTr="0005782C">
        <w:trPr>
          <w:trHeight w:val="240"/>
        </w:trPr>
        <w:tc>
          <w:tcPr>
            <w:tcW w:w="3862" w:type="pct"/>
            <w:shd w:val="clear" w:color="auto" w:fill="FFFFFF"/>
            <w:noWrap/>
            <w:vAlign w:val="bottom"/>
            <w:hideMark/>
          </w:tcPr>
          <w:p w14:paraId="6AB708C4" w14:textId="77777777" w:rsidR="00FE7F8B" w:rsidRDefault="00FE7F8B">
            <w:pPr>
              <w:pStyle w:val="Tabletextnoindent"/>
              <w:spacing w:before="40"/>
              <w:rPr>
                <w:b/>
              </w:rPr>
            </w:pPr>
            <w:r>
              <w:rPr>
                <w:b/>
              </w:rPr>
              <w:t>Depreciation</w:t>
            </w:r>
          </w:p>
        </w:tc>
        <w:tc>
          <w:tcPr>
            <w:tcW w:w="569" w:type="pct"/>
            <w:shd w:val="clear" w:color="auto" w:fill="F2F2F2" w:themeFill="background1" w:themeFillShade="F2"/>
            <w:noWrap/>
            <w:vAlign w:val="bottom"/>
          </w:tcPr>
          <w:p w14:paraId="0AD829F6" w14:textId="77777777" w:rsidR="00FE7F8B" w:rsidRDefault="00FE7F8B">
            <w:pPr>
              <w:pStyle w:val="Tabletextnoindent"/>
              <w:spacing w:before="40"/>
              <w:jc w:val="right"/>
              <w:rPr>
                <w:b/>
              </w:rPr>
            </w:pPr>
          </w:p>
        </w:tc>
        <w:tc>
          <w:tcPr>
            <w:tcW w:w="569" w:type="pct"/>
            <w:shd w:val="clear" w:color="auto" w:fill="FFFFFF"/>
            <w:noWrap/>
            <w:vAlign w:val="bottom"/>
          </w:tcPr>
          <w:p w14:paraId="21CE8548" w14:textId="77777777" w:rsidR="00FE7F8B" w:rsidRDefault="00FE7F8B">
            <w:pPr>
              <w:pStyle w:val="Tabletextnoindent"/>
              <w:spacing w:before="40"/>
              <w:jc w:val="right"/>
              <w:rPr>
                <w:b/>
              </w:rPr>
            </w:pPr>
          </w:p>
        </w:tc>
      </w:tr>
      <w:tr w:rsidR="00FE7F8B" w14:paraId="7B2384B2" w14:textId="77777777" w:rsidTr="0005782C">
        <w:trPr>
          <w:trHeight w:val="240"/>
        </w:trPr>
        <w:tc>
          <w:tcPr>
            <w:tcW w:w="3862" w:type="pct"/>
            <w:shd w:val="clear" w:color="auto" w:fill="FFFFFF"/>
            <w:noWrap/>
            <w:vAlign w:val="bottom"/>
            <w:hideMark/>
          </w:tcPr>
          <w:p w14:paraId="2EC0C0F2" w14:textId="77777777" w:rsidR="00FE7F8B" w:rsidRDefault="00FE7F8B">
            <w:pPr>
              <w:pStyle w:val="Tabletextnoindent"/>
              <w:spacing w:before="40"/>
            </w:pPr>
            <w:r>
              <w:t>Buildings</w:t>
            </w:r>
          </w:p>
        </w:tc>
        <w:tc>
          <w:tcPr>
            <w:tcW w:w="569" w:type="pct"/>
            <w:shd w:val="clear" w:color="auto" w:fill="F2F2F2" w:themeFill="background1" w:themeFillShade="F2"/>
            <w:noWrap/>
            <w:vAlign w:val="bottom"/>
            <w:hideMark/>
          </w:tcPr>
          <w:p w14:paraId="33B6D297" w14:textId="77777777" w:rsidR="00FE7F8B" w:rsidRDefault="00FE7F8B">
            <w:pPr>
              <w:pStyle w:val="Tabletextnoindent"/>
              <w:spacing w:before="40"/>
              <w:jc w:val="right"/>
            </w:pPr>
            <w:r>
              <w:rPr>
                <w:b/>
              </w:rPr>
              <w:t>248.6</w:t>
            </w:r>
          </w:p>
        </w:tc>
        <w:tc>
          <w:tcPr>
            <w:tcW w:w="569" w:type="pct"/>
            <w:shd w:val="clear" w:color="auto" w:fill="FFFFFF"/>
            <w:noWrap/>
            <w:vAlign w:val="bottom"/>
            <w:hideMark/>
          </w:tcPr>
          <w:p w14:paraId="07B9BA0F" w14:textId="77777777" w:rsidR="00FE7F8B" w:rsidRDefault="00FE7F8B">
            <w:pPr>
              <w:pStyle w:val="Tabletextnoindent"/>
              <w:spacing w:before="40"/>
              <w:jc w:val="right"/>
            </w:pPr>
            <w:r>
              <w:t>238.2</w:t>
            </w:r>
          </w:p>
        </w:tc>
      </w:tr>
      <w:tr w:rsidR="00FE7F8B" w14:paraId="195312F9" w14:textId="77777777" w:rsidTr="0005782C">
        <w:trPr>
          <w:trHeight w:val="240"/>
        </w:trPr>
        <w:tc>
          <w:tcPr>
            <w:tcW w:w="3862" w:type="pct"/>
            <w:shd w:val="clear" w:color="auto" w:fill="FFFFFF"/>
            <w:noWrap/>
            <w:vAlign w:val="bottom"/>
            <w:hideMark/>
          </w:tcPr>
          <w:p w14:paraId="1CA6AA29" w14:textId="77777777" w:rsidR="00FE7F8B" w:rsidRDefault="00FE7F8B">
            <w:pPr>
              <w:pStyle w:val="Tabletextnoindent"/>
              <w:spacing w:before="40"/>
            </w:pPr>
            <w:r>
              <w:t>Heritage buildings</w:t>
            </w:r>
          </w:p>
        </w:tc>
        <w:tc>
          <w:tcPr>
            <w:tcW w:w="569" w:type="pct"/>
            <w:shd w:val="clear" w:color="auto" w:fill="F2F2F2" w:themeFill="background1" w:themeFillShade="F2"/>
            <w:noWrap/>
            <w:vAlign w:val="bottom"/>
            <w:hideMark/>
          </w:tcPr>
          <w:p w14:paraId="40DAA65C" w14:textId="77777777" w:rsidR="00FE7F8B" w:rsidRDefault="00FE7F8B">
            <w:pPr>
              <w:pStyle w:val="Tabletextnoindent"/>
              <w:spacing w:before="40"/>
              <w:jc w:val="right"/>
              <w:rPr>
                <w:b/>
              </w:rPr>
            </w:pPr>
            <w:r>
              <w:rPr>
                <w:b/>
              </w:rPr>
              <w:t>2.6</w:t>
            </w:r>
          </w:p>
        </w:tc>
        <w:tc>
          <w:tcPr>
            <w:tcW w:w="569" w:type="pct"/>
            <w:shd w:val="clear" w:color="auto" w:fill="FFFFFF"/>
            <w:noWrap/>
            <w:vAlign w:val="bottom"/>
            <w:hideMark/>
          </w:tcPr>
          <w:p w14:paraId="1F2CEB7E" w14:textId="77777777" w:rsidR="00FE7F8B" w:rsidRDefault="00FE7F8B">
            <w:pPr>
              <w:pStyle w:val="Tabletextnoindent"/>
              <w:spacing w:before="40"/>
              <w:jc w:val="right"/>
            </w:pPr>
            <w:r>
              <w:t>2.5</w:t>
            </w:r>
          </w:p>
        </w:tc>
      </w:tr>
      <w:tr w:rsidR="00FE7F8B" w14:paraId="72EC643C" w14:textId="77777777" w:rsidTr="0005782C">
        <w:trPr>
          <w:trHeight w:val="240"/>
        </w:trPr>
        <w:tc>
          <w:tcPr>
            <w:tcW w:w="3862" w:type="pct"/>
            <w:shd w:val="clear" w:color="auto" w:fill="FFFFFF"/>
            <w:noWrap/>
            <w:vAlign w:val="bottom"/>
            <w:hideMark/>
          </w:tcPr>
          <w:p w14:paraId="230B97E6" w14:textId="77777777" w:rsidR="00FE7F8B" w:rsidRDefault="00FE7F8B">
            <w:pPr>
              <w:pStyle w:val="Tabletextnoindent"/>
              <w:spacing w:before="40"/>
            </w:pPr>
            <w:r>
              <w:t>Leasehold buildings</w:t>
            </w:r>
          </w:p>
        </w:tc>
        <w:tc>
          <w:tcPr>
            <w:tcW w:w="569" w:type="pct"/>
            <w:shd w:val="clear" w:color="auto" w:fill="F2F2F2" w:themeFill="background1" w:themeFillShade="F2"/>
            <w:noWrap/>
            <w:vAlign w:val="bottom"/>
            <w:hideMark/>
          </w:tcPr>
          <w:p w14:paraId="0ECF2A4D" w14:textId="77777777" w:rsidR="00FE7F8B" w:rsidRDefault="00FE7F8B">
            <w:pPr>
              <w:pStyle w:val="Tabletextnoindent"/>
              <w:spacing w:before="40"/>
              <w:jc w:val="right"/>
            </w:pPr>
            <w:r>
              <w:rPr>
                <w:b/>
              </w:rPr>
              <w:t>3.2</w:t>
            </w:r>
          </w:p>
        </w:tc>
        <w:tc>
          <w:tcPr>
            <w:tcW w:w="569" w:type="pct"/>
            <w:shd w:val="clear" w:color="auto" w:fill="FFFFFF"/>
            <w:noWrap/>
            <w:vAlign w:val="bottom"/>
            <w:hideMark/>
          </w:tcPr>
          <w:p w14:paraId="3C9673FC" w14:textId="77777777" w:rsidR="00FE7F8B" w:rsidRDefault="00FE7F8B">
            <w:pPr>
              <w:pStyle w:val="Tabletextnoindent"/>
              <w:spacing w:before="40"/>
              <w:jc w:val="right"/>
            </w:pPr>
            <w:r>
              <w:t>3.2</w:t>
            </w:r>
          </w:p>
        </w:tc>
      </w:tr>
      <w:tr w:rsidR="00FE7F8B" w14:paraId="085749A9" w14:textId="77777777" w:rsidTr="0005782C">
        <w:trPr>
          <w:trHeight w:val="240"/>
        </w:trPr>
        <w:tc>
          <w:tcPr>
            <w:tcW w:w="3862" w:type="pct"/>
            <w:shd w:val="clear" w:color="auto" w:fill="FFFFFF"/>
            <w:noWrap/>
            <w:vAlign w:val="bottom"/>
            <w:hideMark/>
          </w:tcPr>
          <w:p w14:paraId="71CE3BE5" w14:textId="77777777" w:rsidR="00FE7F8B" w:rsidRDefault="00FE7F8B">
            <w:pPr>
              <w:pStyle w:val="Tabletextnoindent"/>
            </w:pPr>
            <w:r>
              <w:t>Leasehold improvements</w:t>
            </w:r>
          </w:p>
        </w:tc>
        <w:tc>
          <w:tcPr>
            <w:tcW w:w="569" w:type="pct"/>
            <w:shd w:val="clear" w:color="auto" w:fill="F2F2F2" w:themeFill="background1" w:themeFillShade="F2"/>
            <w:noWrap/>
            <w:vAlign w:val="bottom"/>
            <w:hideMark/>
          </w:tcPr>
          <w:p w14:paraId="0FDCA1D4" w14:textId="77777777" w:rsidR="00FE7F8B" w:rsidRDefault="00FE7F8B">
            <w:pPr>
              <w:pStyle w:val="Tabletextnoindent"/>
              <w:jc w:val="right"/>
            </w:pPr>
            <w:r>
              <w:rPr>
                <w:b/>
              </w:rPr>
              <w:t>1.3</w:t>
            </w:r>
          </w:p>
        </w:tc>
        <w:tc>
          <w:tcPr>
            <w:tcW w:w="569" w:type="pct"/>
            <w:shd w:val="clear" w:color="auto" w:fill="FFFFFF"/>
            <w:noWrap/>
            <w:vAlign w:val="bottom"/>
            <w:hideMark/>
          </w:tcPr>
          <w:p w14:paraId="1E38E935" w14:textId="77777777" w:rsidR="00FE7F8B" w:rsidRDefault="00FE7F8B">
            <w:pPr>
              <w:pStyle w:val="Tabletextnoindent"/>
              <w:jc w:val="right"/>
            </w:pPr>
            <w:r>
              <w:t>0.2</w:t>
            </w:r>
          </w:p>
        </w:tc>
      </w:tr>
      <w:tr w:rsidR="00FE7F8B" w14:paraId="2480E600"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17B17CBD" w14:textId="77777777" w:rsidR="00FE7F8B" w:rsidRDefault="00FE7F8B">
            <w:pPr>
              <w:pStyle w:val="Tabletextnoindent"/>
            </w:pPr>
            <w:r>
              <w:t>Plant and equipment</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0F0B15D0" w14:textId="77777777" w:rsidR="00FE7F8B" w:rsidRDefault="00FE7F8B">
            <w:pPr>
              <w:pStyle w:val="Tabletextnoindent"/>
              <w:jc w:val="right"/>
            </w:pPr>
            <w:r>
              <w:rPr>
                <w:b/>
              </w:rPr>
              <w:t>39.1</w:t>
            </w:r>
          </w:p>
        </w:tc>
        <w:tc>
          <w:tcPr>
            <w:tcW w:w="569" w:type="pct"/>
            <w:tcBorders>
              <w:top w:val="nil"/>
              <w:left w:val="nil"/>
              <w:bottom w:val="single" w:sz="4" w:space="0" w:color="auto"/>
              <w:right w:val="nil"/>
            </w:tcBorders>
            <w:shd w:val="clear" w:color="auto" w:fill="FFFFFF"/>
            <w:noWrap/>
            <w:vAlign w:val="bottom"/>
            <w:hideMark/>
          </w:tcPr>
          <w:p w14:paraId="3750740D" w14:textId="77777777" w:rsidR="00FE7F8B" w:rsidRDefault="00FE7F8B">
            <w:pPr>
              <w:pStyle w:val="Tabletextnoindent"/>
              <w:jc w:val="right"/>
            </w:pPr>
            <w:r>
              <w:t>52.3</w:t>
            </w:r>
          </w:p>
        </w:tc>
      </w:tr>
      <w:tr w:rsidR="00FE7F8B" w14:paraId="01CC1319"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00044839" w14:textId="77777777" w:rsidR="00FE7F8B" w:rsidRDefault="00FE7F8B"/>
        </w:tc>
        <w:tc>
          <w:tcPr>
            <w:tcW w:w="569" w:type="pct"/>
            <w:tcBorders>
              <w:top w:val="single" w:sz="4" w:space="0" w:color="auto"/>
              <w:left w:val="nil"/>
              <w:bottom w:val="nil"/>
              <w:right w:val="nil"/>
            </w:tcBorders>
            <w:shd w:val="clear" w:color="auto" w:fill="F2F2F2" w:themeFill="background1" w:themeFillShade="F2"/>
            <w:noWrap/>
            <w:vAlign w:val="bottom"/>
            <w:hideMark/>
          </w:tcPr>
          <w:p w14:paraId="3F536B5A" w14:textId="77777777" w:rsidR="00FE7F8B" w:rsidRDefault="00FE7F8B">
            <w:pPr>
              <w:pStyle w:val="Tabletextnoindent"/>
              <w:jc w:val="right"/>
              <w:rPr>
                <w:b/>
              </w:rPr>
            </w:pPr>
            <w:r>
              <w:rPr>
                <w:b/>
              </w:rPr>
              <w:t>294.8</w:t>
            </w:r>
          </w:p>
        </w:tc>
        <w:tc>
          <w:tcPr>
            <w:tcW w:w="569" w:type="pct"/>
            <w:tcBorders>
              <w:top w:val="single" w:sz="4" w:space="0" w:color="auto"/>
              <w:left w:val="nil"/>
              <w:bottom w:val="nil"/>
              <w:right w:val="nil"/>
            </w:tcBorders>
            <w:shd w:val="clear" w:color="auto" w:fill="FFFFFF"/>
            <w:noWrap/>
            <w:vAlign w:val="bottom"/>
            <w:hideMark/>
          </w:tcPr>
          <w:p w14:paraId="7E4A41D2" w14:textId="77777777" w:rsidR="00FE7F8B" w:rsidRDefault="00FE7F8B">
            <w:pPr>
              <w:pStyle w:val="Tabletextnoindent"/>
              <w:jc w:val="right"/>
              <w:rPr>
                <w:b/>
              </w:rPr>
            </w:pPr>
            <w:r>
              <w:t>296.4</w:t>
            </w:r>
          </w:p>
        </w:tc>
      </w:tr>
      <w:tr w:rsidR="00FE7F8B" w14:paraId="25FB0D49" w14:textId="77777777" w:rsidTr="0005782C">
        <w:trPr>
          <w:trHeight w:val="240"/>
        </w:trPr>
        <w:tc>
          <w:tcPr>
            <w:tcW w:w="3862" w:type="pct"/>
            <w:shd w:val="clear" w:color="auto" w:fill="FFFFFF"/>
            <w:noWrap/>
            <w:vAlign w:val="bottom"/>
            <w:hideMark/>
          </w:tcPr>
          <w:p w14:paraId="0D0558A9" w14:textId="77777777" w:rsidR="00FE7F8B" w:rsidRDefault="00FE7F8B">
            <w:pPr>
              <w:pStyle w:val="Tabletextnoindent"/>
              <w:spacing w:before="40"/>
              <w:rPr>
                <w:b/>
              </w:rPr>
            </w:pPr>
            <w:r>
              <w:rPr>
                <w:b/>
              </w:rPr>
              <w:t>Amortisation</w:t>
            </w:r>
          </w:p>
        </w:tc>
        <w:tc>
          <w:tcPr>
            <w:tcW w:w="569" w:type="pct"/>
            <w:shd w:val="clear" w:color="auto" w:fill="F2F2F2" w:themeFill="background1" w:themeFillShade="F2"/>
            <w:noWrap/>
            <w:vAlign w:val="bottom"/>
          </w:tcPr>
          <w:p w14:paraId="2127162D" w14:textId="77777777" w:rsidR="00FE7F8B" w:rsidRDefault="00FE7F8B">
            <w:pPr>
              <w:pStyle w:val="Tabletextnoindent"/>
              <w:spacing w:before="40"/>
              <w:jc w:val="right"/>
              <w:rPr>
                <w:b/>
              </w:rPr>
            </w:pPr>
          </w:p>
        </w:tc>
        <w:tc>
          <w:tcPr>
            <w:tcW w:w="569" w:type="pct"/>
            <w:shd w:val="clear" w:color="auto" w:fill="FFFFFF"/>
            <w:noWrap/>
            <w:vAlign w:val="bottom"/>
          </w:tcPr>
          <w:p w14:paraId="738A9174" w14:textId="77777777" w:rsidR="00FE7F8B" w:rsidRDefault="00FE7F8B">
            <w:pPr>
              <w:pStyle w:val="Tabletextnoindent"/>
              <w:spacing w:before="40"/>
              <w:jc w:val="right"/>
              <w:rPr>
                <w:b/>
              </w:rPr>
            </w:pPr>
          </w:p>
        </w:tc>
      </w:tr>
      <w:tr w:rsidR="00FE7F8B" w14:paraId="07D74300"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2B39683C" w14:textId="77777777" w:rsidR="00FE7F8B" w:rsidRDefault="00FE7F8B">
            <w:pPr>
              <w:pStyle w:val="Tabletextnoindent"/>
              <w:spacing w:before="40"/>
            </w:pPr>
            <w:r>
              <w:t>Software</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5460A0E9" w14:textId="77777777" w:rsidR="00FE7F8B" w:rsidRDefault="00FE7F8B">
            <w:pPr>
              <w:pStyle w:val="Tabletextnoindent"/>
              <w:spacing w:before="40"/>
              <w:jc w:val="right"/>
            </w:pPr>
            <w:r>
              <w:rPr>
                <w:b/>
              </w:rPr>
              <w:t>15.7</w:t>
            </w:r>
          </w:p>
        </w:tc>
        <w:tc>
          <w:tcPr>
            <w:tcW w:w="569" w:type="pct"/>
            <w:tcBorders>
              <w:top w:val="nil"/>
              <w:left w:val="nil"/>
              <w:bottom w:val="single" w:sz="4" w:space="0" w:color="auto"/>
              <w:right w:val="nil"/>
            </w:tcBorders>
            <w:shd w:val="clear" w:color="auto" w:fill="FFFFFF"/>
            <w:noWrap/>
            <w:vAlign w:val="bottom"/>
            <w:hideMark/>
          </w:tcPr>
          <w:p w14:paraId="1A09DFB1" w14:textId="77777777" w:rsidR="00FE7F8B" w:rsidRDefault="00FE7F8B">
            <w:pPr>
              <w:pStyle w:val="Tabletextnoindent"/>
              <w:spacing w:before="40"/>
              <w:jc w:val="right"/>
            </w:pPr>
            <w:r>
              <w:t>20.3</w:t>
            </w:r>
          </w:p>
        </w:tc>
      </w:tr>
      <w:tr w:rsidR="00FE7F8B" w14:paraId="6B06D1C9" w14:textId="77777777" w:rsidTr="0005782C">
        <w:trPr>
          <w:trHeight w:val="300"/>
        </w:trPr>
        <w:tc>
          <w:tcPr>
            <w:tcW w:w="3862" w:type="pct"/>
            <w:tcBorders>
              <w:top w:val="single" w:sz="4" w:space="0" w:color="auto"/>
              <w:left w:val="nil"/>
              <w:bottom w:val="single" w:sz="4" w:space="0" w:color="auto"/>
              <w:right w:val="nil"/>
            </w:tcBorders>
            <w:shd w:val="clear" w:color="auto" w:fill="FFFFFF"/>
            <w:noWrap/>
            <w:vAlign w:val="bottom"/>
            <w:hideMark/>
          </w:tcPr>
          <w:p w14:paraId="6832053B" w14:textId="77777777" w:rsidR="00FE7F8B" w:rsidRDefault="00FE7F8B"/>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61FF850B" w14:textId="77777777" w:rsidR="00FE7F8B" w:rsidRDefault="00FE7F8B">
            <w:pPr>
              <w:pStyle w:val="Tabletextnoindent"/>
              <w:jc w:val="right"/>
              <w:rPr>
                <w:b/>
              </w:rPr>
            </w:pPr>
            <w:r>
              <w:rPr>
                <w:b/>
              </w:rPr>
              <w:t>15.7</w:t>
            </w:r>
          </w:p>
        </w:tc>
        <w:tc>
          <w:tcPr>
            <w:tcW w:w="569" w:type="pct"/>
            <w:tcBorders>
              <w:top w:val="single" w:sz="4" w:space="0" w:color="auto"/>
              <w:left w:val="nil"/>
              <w:bottom w:val="single" w:sz="4" w:space="0" w:color="auto"/>
              <w:right w:val="nil"/>
            </w:tcBorders>
            <w:shd w:val="clear" w:color="auto" w:fill="FFFFFF"/>
            <w:noWrap/>
            <w:vAlign w:val="bottom"/>
            <w:hideMark/>
          </w:tcPr>
          <w:p w14:paraId="229FE452" w14:textId="77777777" w:rsidR="00FE7F8B" w:rsidRDefault="00FE7F8B">
            <w:pPr>
              <w:pStyle w:val="Tabletextnoindent"/>
              <w:jc w:val="right"/>
              <w:rPr>
                <w:b/>
              </w:rPr>
            </w:pPr>
            <w:r>
              <w:t>20.3</w:t>
            </w:r>
          </w:p>
        </w:tc>
      </w:tr>
      <w:tr w:rsidR="00FE7F8B" w14:paraId="0646B090" w14:textId="77777777" w:rsidTr="0005782C">
        <w:trPr>
          <w:trHeight w:val="300"/>
        </w:trPr>
        <w:tc>
          <w:tcPr>
            <w:tcW w:w="3862" w:type="pct"/>
            <w:tcBorders>
              <w:top w:val="single" w:sz="4" w:space="0" w:color="auto"/>
              <w:left w:val="nil"/>
              <w:bottom w:val="single" w:sz="4" w:space="0" w:color="auto"/>
              <w:right w:val="nil"/>
            </w:tcBorders>
            <w:shd w:val="clear" w:color="auto" w:fill="FFFFFF"/>
            <w:noWrap/>
            <w:vAlign w:val="center"/>
            <w:hideMark/>
          </w:tcPr>
          <w:p w14:paraId="7FAB0E77" w14:textId="77777777" w:rsidR="00FE7F8B" w:rsidRDefault="00FE7F8B">
            <w:pPr>
              <w:pStyle w:val="Tabletextnoindent"/>
              <w:rPr>
                <w:b/>
              </w:rPr>
            </w:pPr>
            <w:r>
              <w:rPr>
                <w:b/>
              </w:rPr>
              <w:t>Total depreciation and amortisation</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6056F493" w14:textId="77777777" w:rsidR="00FE7F8B" w:rsidRDefault="00FE7F8B">
            <w:pPr>
              <w:pStyle w:val="Tabletextnoindent"/>
              <w:jc w:val="right"/>
              <w:rPr>
                <w:b/>
              </w:rPr>
            </w:pPr>
            <w:r>
              <w:rPr>
                <w:b/>
              </w:rPr>
              <w:t>310.5</w:t>
            </w:r>
          </w:p>
        </w:tc>
        <w:tc>
          <w:tcPr>
            <w:tcW w:w="569" w:type="pct"/>
            <w:tcBorders>
              <w:top w:val="single" w:sz="4" w:space="0" w:color="auto"/>
              <w:left w:val="nil"/>
              <w:bottom w:val="single" w:sz="4" w:space="0" w:color="auto"/>
              <w:right w:val="nil"/>
            </w:tcBorders>
            <w:shd w:val="clear" w:color="auto" w:fill="FFFFFF"/>
            <w:noWrap/>
            <w:vAlign w:val="bottom"/>
            <w:hideMark/>
          </w:tcPr>
          <w:p w14:paraId="02F1834C" w14:textId="77777777" w:rsidR="00FE7F8B" w:rsidRDefault="00FE7F8B">
            <w:pPr>
              <w:pStyle w:val="Tabletextnoindent"/>
              <w:jc w:val="right"/>
              <w:rPr>
                <w:b/>
              </w:rPr>
            </w:pPr>
            <w:r>
              <w:t>316.7</w:t>
            </w:r>
          </w:p>
        </w:tc>
      </w:tr>
      <w:tr w:rsidR="00FE7F8B" w14:paraId="4D8623CC" w14:textId="77777777" w:rsidTr="0005782C">
        <w:trPr>
          <w:trHeight w:val="240"/>
        </w:trPr>
        <w:tc>
          <w:tcPr>
            <w:tcW w:w="3862" w:type="pct"/>
            <w:tcBorders>
              <w:top w:val="single" w:sz="4" w:space="0" w:color="auto"/>
              <w:left w:val="nil"/>
              <w:bottom w:val="nil"/>
              <w:right w:val="nil"/>
            </w:tcBorders>
            <w:shd w:val="clear" w:color="auto" w:fill="FFFFFF"/>
            <w:noWrap/>
            <w:vAlign w:val="bottom"/>
          </w:tcPr>
          <w:p w14:paraId="60F02F66" w14:textId="77777777" w:rsidR="00FE7F8B" w:rsidRDefault="00FE7F8B">
            <w:pPr>
              <w:pStyle w:val="Tabletextnoindent"/>
              <w:rPr>
                <w:b/>
                <w:i/>
              </w:rPr>
            </w:pPr>
          </w:p>
          <w:p w14:paraId="79573788" w14:textId="77777777" w:rsidR="00FE7F8B" w:rsidRDefault="00FE7F8B">
            <w:pPr>
              <w:pStyle w:val="Tabletextnoindent"/>
              <w:rPr>
                <w:b/>
                <w:i/>
              </w:rPr>
            </w:pPr>
            <w:r>
              <w:rPr>
                <w:b/>
                <w:i/>
              </w:rPr>
              <w:t>(f) Grants and other expense transfers</w:t>
            </w:r>
          </w:p>
        </w:tc>
        <w:tc>
          <w:tcPr>
            <w:tcW w:w="569" w:type="pct"/>
            <w:tcBorders>
              <w:top w:val="single" w:sz="4" w:space="0" w:color="auto"/>
              <w:left w:val="nil"/>
              <w:bottom w:val="nil"/>
              <w:right w:val="nil"/>
            </w:tcBorders>
            <w:noWrap/>
            <w:vAlign w:val="bottom"/>
          </w:tcPr>
          <w:p w14:paraId="21FA4502" w14:textId="77777777" w:rsidR="00FE7F8B" w:rsidRDefault="00FE7F8B">
            <w:pPr>
              <w:pStyle w:val="Tabletextnoindent"/>
              <w:jc w:val="right"/>
              <w:rPr>
                <w:b/>
                <w:i/>
              </w:rPr>
            </w:pPr>
          </w:p>
        </w:tc>
        <w:tc>
          <w:tcPr>
            <w:tcW w:w="569" w:type="pct"/>
            <w:tcBorders>
              <w:top w:val="single" w:sz="4" w:space="0" w:color="auto"/>
              <w:left w:val="nil"/>
              <w:bottom w:val="nil"/>
              <w:right w:val="nil"/>
            </w:tcBorders>
            <w:shd w:val="clear" w:color="auto" w:fill="FFFFFF"/>
            <w:noWrap/>
            <w:vAlign w:val="bottom"/>
          </w:tcPr>
          <w:p w14:paraId="19362716" w14:textId="77777777" w:rsidR="00FE7F8B" w:rsidRDefault="00FE7F8B">
            <w:pPr>
              <w:pStyle w:val="Tabletextnoindent"/>
              <w:jc w:val="right"/>
              <w:rPr>
                <w:b/>
                <w:i/>
              </w:rPr>
            </w:pPr>
          </w:p>
        </w:tc>
      </w:tr>
      <w:tr w:rsidR="00FE7F8B" w14:paraId="630862E6" w14:textId="77777777" w:rsidTr="0005782C">
        <w:trPr>
          <w:trHeight w:val="240"/>
        </w:trPr>
        <w:tc>
          <w:tcPr>
            <w:tcW w:w="3862" w:type="pct"/>
            <w:shd w:val="clear" w:color="auto" w:fill="FFFFFF"/>
            <w:noWrap/>
            <w:vAlign w:val="bottom"/>
            <w:hideMark/>
          </w:tcPr>
          <w:p w14:paraId="2E183AC7" w14:textId="77777777" w:rsidR="00FE7F8B" w:rsidRDefault="00FE7F8B">
            <w:pPr>
              <w:pStyle w:val="Tabletextnoindent"/>
            </w:pPr>
            <w:r>
              <w:t>Grants to Victorian Curriculum and Assessment Authority</w:t>
            </w:r>
          </w:p>
        </w:tc>
        <w:tc>
          <w:tcPr>
            <w:tcW w:w="569" w:type="pct"/>
            <w:shd w:val="clear" w:color="auto" w:fill="F2F2F2" w:themeFill="background1" w:themeFillShade="F2"/>
            <w:noWrap/>
            <w:vAlign w:val="bottom"/>
            <w:hideMark/>
          </w:tcPr>
          <w:p w14:paraId="7293ACD2" w14:textId="77777777" w:rsidR="00FE7F8B" w:rsidRDefault="00FE7F8B">
            <w:pPr>
              <w:pStyle w:val="Tabletextnoindent"/>
              <w:jc w:val="right"/>
            </w:pPr>
            <w:r>
              <w:rPr>
                <w:b/>
              </w:rPr>
              <w:t>49.9</w:t>
            </w:r>
          </w:p>
        </w:tc>
        <w:tc>
          <w:tcPr>
            <w:tcW w:w="569" w:type="pct"/>
            <w:shd w:val="clear" w:color="auto" w:fill="FFFFFF"/>
            <w:noWrap/>
            <w:vAlign w:val="bottom"/>
            <w:hideMark/>
          </w:tcPr>
          <w:p w14:paraId="2659EDE6" w14:textId="77777777" w:rsidR="00FE7F8B" w:rsidRDefault="00FE7F8B">
            <w:pPr>
              <w:pStyle w:val="Tabletextnoindent"/>
              <w:jc w:val="right"/>
            </w:pPr>
            <w:r>
              <w:t>47.3</w:t>
            </w:r>
          </w:p>
        </w:tc>
      </w:tr>
      <w:tr w:rsidR="00FE7F8B" w14:paraId="3D4DAD41" w14:textId="77777777" w:rsidTr="0005782C">
        <w:trPr>
          <w:trHeight w:val="240"/>
        </w:trPr>
        <w:tc>
          <w:tcPr>
            <w:tcW w:w="3862" w:type="pct"/>
            <w:shd w:val="clear" w:color="auto" w:fill="FFFFFF"/>
            <w:noWrap/>
            <w:vAlign w:val="bottom"/>
            <w:hideMark/>
          </w:tcPr>
          <w:p w14:paraId="53C7034C" w14:textId="77777777" w:rsidR="00FE7F8B" w:rsidRDefault="00FE7F8B">
            <w:pPr>
              <w:pStyle w:val="Tabletextnoindent"/>
            </w:pPr>
            <w:r>
              <w:t>Grants to Victorian Registration and Qualifications Authority</w:t>
            </w:r>
          </w:p>
        </w:tc>
        <w:tc>
          <w:tcPr>
            <w:tcW w:w="569" w:type="pct"/>
            <w:shd w:val="clear" w:color="auto" w:fill="F2F2F2" w:themeFill="background1" w:themeFillShade="F2"/>
            <w:vAlign w:val="bottom"/>
            <w:hideMark/>
          </w:tcPr>
          <w:p w14:paraId="14D64A1C" w14:textId="77777777" w:rsidR="00FE7F8B" w:rsidRDefault="00FE7F8B">
            <w:pPr>
              <w:pStyle w:val="Tabletextnoindent"/>
              <w:jc w:val="right"/>
            </w:pPr>
            <w:r>
              <w:rPr>
                <w:b/>
              </w:rPr>
              <w:t>12.2</w:t>
            </w:r>
          </w:p>
        </w:tc>
        <w:tc>
          <w:tcPr>
            <w:tcW w:w="569" w:type="pct"/>
            <w:shd w:val="clear" w:color="auto" w:fill="FFFFFF"/>
            <w:vAlign w:val="bottom"/>
            <w:hideMark/>
          </w:tcPr>
          <w:p w14:paraId="7BE5E34B" w14:textId="77777777" w:rsidR="00FE7F8B" w:rsidRDefault="00FE7F8B">
            <w:pPr>
              <w:pStyle w:val="Tabletextnoindent"/>
              <w:jc w:val="right"/>
            </w:pPr>
            <w:r>
              <w:t>9.1</w:t>
            </w:r>
          </w:p>
        </w:tc>
      </w:tr>
      <w:tr w:rsidR="00FE7F8B" w14:paraId="073A725E" w14:textId="77777777" w:rsidTr="0005782C">
        <w:trPr>
          <w:trHeight w:val="240"/>
        </w:trPr>
        <w:tc>
          <w:tcPr>
            <w:tcW w:w="3862" w:type="pct"/>
            <w:shd w:val="clear" w:color="auto" w:fill="FFFFFF"/>
            <w:noWrap/>
            <w:vAlign w:val="bottom"/>
            <w:hideMark/>
          </w:tcPr>
          <w:p w14:paraId="67FC7DF0" w14:textId="77777777" w:rsidR="00FE7F8B" w:rsidRDefault="00FE7F8B">
            <w:pPr>
              <w:pStyle w:val="Tabletextnoindent"/>
            </w:pPr>
            <w:r>
              <w:t>Grants to Technical and Further Education</w:t>
            </w:r>
          </w:p>
        </w:tc>
        <w:tc>
          <w:tcPr>
            <w:tcW w:w="569" w:type="pct"/>
            <w:shd w:val="clear" w:color="auto" w:fill="F2F2F2" w:themeFill="background1" w:themeFillShade="F2"/>
            <w:vAlign w:val="bottom"/>
            <w:hideMark/>
          </w:tcPr>
          <w:p w14:paraId="5C784C88" w14:textId="77777777" w:rsidR="00FE7F8B" w:rsidRDefault="00FE7F8B">
            <w:pPr>
              <w:pStyle w:val="Tabletextnoindent"/>
              <w:jc w:val="right"/>
            </w:pPr>
            <w:r>
              <w:rPr>
                <w:b/>
              </w:rPr>
              <w:t>548.5</w:t>
            </w:r>
          </w:p>
        </w:tc>
        <w:tc>
          <w:tcPr>
            <w:tcW w:w="569" w:type="pct"/>
            <w:shd w:val="clear" w:color="auto" w:fill="FFFFFF"/>
            <w:vAlign w:val="bottom"/>
            <w:hideMark/>
          </w:tcPr>
          <w:p w14:paraId="0E1CF046" w14:textId="77777777" w:rsidR="00FE7F8B" w:rsidRDefault="00FE7F8B">
            <w:pPr>
              <w:pStyle w:val="Tabletextnoindent"/>
              <w:jc w:val="right"/>
            </w:pPr>
            <w:r>
              <w:t>495.7</w:t>
            </w:r>
          </w:p>
        </w:tc>
      </w:tr>
      <w:tr w:rsidR="00FE7F8B" w14:paraId="5D5EC914" w14:textId="77777777" w:rsidTr="0005782C">
        <w:trPr>
          <w:trHeight w:val="240"/>
        </w:trPr>
        <w:tc>
          <w:tcPr>
            <w:tcW w:w="3862" w:type="pct"/>
            <w:shd w:val="clear" w:color="auto" w:fill="FFFFFF"/>
            <w:noWrap/>
            <w:vAlign w:val="bottom"/>
            <w:hideMark/>
          </w:tcPr>
          <w:p w14:paraId="684237D1" w14:textId="77777777" w:rsidR="00FE7F8B" w:rsidRDefault="00FE7F8B">
            <w:pPr>
              <w:pStyle w:val="Tabletextnoindent"/>
            </w:pPr>
            <w:r>
              <w:t>Grants to Adult, Community and Further Education Board</w:t>
            </w:r>
          </w:p>
        </w:tc>
        <w:tc>
          <w:tcPr>
            <w:tcW w:w="569" w:type="pct"/>
            <w:shd w:val="clear" w:color="auto" w:fill="F2F2F2" w:themeFill="background1" w:themeFillShade="F2"/>
            <w:vAlign w:val="bottom"/>
            <w:hideMark/>
          </w:tcPr>
          <w:p w14:paraId="4F644B8E" w14:textId="77777777" w:rsidR="00FE7F8B" w:rsidRDefault="00FE7F8B">
            <w:pPr>
              <w:pStyle w:val="Tabletextnoindent"/>
              <w:jc w:val="right"/>
            </w:pPr>
            <w:r>
              <w:rPr>
                <w:b/>
              </w:rPr>
              <w:t>29.0</w:t>
            </w:r>
          </w:p>
        </w:tc>
        <w:tc>
          <w:tcPr>
            <w:tcW w:w="569" w:type="pct"/>
            <w:shd w:val="clear" w:color="auto" w:fill="FFFFFF"/>
            <w:vAlign w:val="bottom"/>
            <w:hideMark/>
          </w:tcPr>
          <w:p w14:paraId="55B35F60" w14:textId="77777777" w:rsidR="00FE7F8B" w:rsidRDefault="00FE7F8B">
            <w:pPr>
              <w:pStyle w:val="Tabletextnoindent"/>
              <w:jc w:val="right"/>
            </w:pPr>
            <w:r>
              <w:t>25.4</w:t>
            </w:r>
          </w:p>
        </w:tc>
      </w:tr>
      <w:tr w:rsidR="00FE7F8B" w14:paraId="30BA9D3A" w14:textId="77777777" w:rsidTr="0005782C">
        <w:trPr>
          <w:trHeight w:val="240"/>
        </w:trPr>
        <w:tc>
          <w:tcPr>
            <w:tcW w:w="3862" w:type="pct"/>
            <w:shd w:val="clear" w:color="auto" w:fill="FFFFFF"/>
            <w:noWrap/>
            <w:vAlign w:val="bottom"/>
            <w:hideMark/>
          </w:tcPr>
          <w:p w14:paraId="1854F0FD" w14:textId="77777777" w:rsidR="00FE7F8B" w:rsidRDefault="00FE7F8B">
            <w:pPr>
              <w:pStyle w:val="Tabletextnoindent"/>
            </w:pPr>
            <w:r>
              <w:t>Grants to non-government schools</w:t>
            </w:r>
          </w:p>
        </w:tc>
        <w:tc>
          <w:tcPr>
            <w:tcW w:w="569" w:type="pct"/>
            <w:shd w:val="clear" w:color="auto" w:fill="F2F2F2" w:themeFill="background1" w:themeFillShade="F2"/>
            <w:vAlign w:val="bottom"/>
            <w:hideMark/>
          </w:tcPr>
          <w:p w14:paraId="0DADE2E5" w14:textId="77777777" w:rsidR="00FE7F8B" w:rsidRDefault="00FE7F8B">
            <w:pPr>
              <w:pStyle w:val="Tabletextnoindent"/>
              <w:jc w:val="right"/>
            </w:pPr>
            <w:r>
              <w:rPr>
                <w:b/>
              </w:rPr>
              <w:t>661.5</w:t>
            </w:r>
          </w:p>
        </w:tc>
        <w:tc>
          <w:tcPr>
            <w:tcW w:w="569" w:type="pct"/>
            <w:shd w:val="clear" w:color="auto" w:fill="FFFFFF"/>
            <w:noWrap/>
            <w:vAlign w:val="bottom"/>
            <w:hideMark/>
          </w:tcPr>
          <w:p w14:paraId="62E61B85" w14:textId="77777777" w:rsidR="00FE7F8B" w:rsidRDefault="00FE7F8B">
            <w:pPr>
              <w:pStyle w:val="Tabletextnoindent"/>
              <w:jc w:val="right"/>
            </w:pPr>
            <w:r>
              <w:t>669.3</w:t>
            </w:r>
          </w:p>
        </w:tc>
      </w:tr>
      <w:tr w:rsidR="00FE7F8B" w14:paraId="4D5F0A3F" w14:textId="77777777" w:rsidTr="0005782C">
        <w:trPr>
          <w:trHeight w:val="240"/>
        </w:trPr>
        <w:tc>
          <w:tcPr>
            <w:tcW w:w="3862" w:type="pct"/>
            <w:shd w:val="clear" w:color="auto" w:fill="FFFFFF"/>
            <w:noWrap/>
            <w:vAlign w:val="bottom"/>
            <w:hideMark/>
          </w:tcPr>
          <w:p w14:paraId="022E80BB" w14:textId="77777777" w:rsidR="00FE7F8B" w:rsidRDefault="00FE7F8B">
            <w:pPr>
              <w:pStyle w:val="Tabletextnoindent"/>
            </w:pPr>
            <w:r>
              <w:t>Grants to external organisations</w:t>
            </w:r>
          </w:p>
        </w:tc>
        <w:tc>
          <w:tcPr>
            <w:tcW w:w="569" w:type="pct"/>
            <w:shd w:val="clear" w:color="auto" w:fill="F2F2F2" w:themeFill="background1" w:themeFillShade="F2"/>
            <w:noWrap/>
            <w:vAlign w:val="bottom"/>
            <w:hideMark/>
          </w:tcPr>
          <w:p w14:paraId="4D0D446C" w14:textId="77777777" w:rsidR="00FE7F8B" w:rsidRDefault="00FE7F8B">
            <w:pPr>
              <w:pStyle w:val="Tabletextnoindent"/>
              <w:jc w:val="right"/>
            </w:pPr>
            <w:r>
              <w:rPr>
                <w:b/>
              </w:rPr>
              <w:t>129.2</w:t>
            </w:r>
          </w:p>
        </w:tc>
        <w:tc>
          <w:tcPr>
            <w:tcW w:w="569" w:type="pct"/>
            <w:shd w:val="clear" w:color="auto" w:fill="FFFFFF"/>
            <w:noWrap/>
            <w:vAlign w:val="bottom"/>
            <w:hideMark/>
          </w:tcPr>
          <w:p w14:paraId="1106CFD0" w14:textId="77777777" w:rsidR="00FE7F8B" w:rsidRDefault="00FE7F8B">
            <w:pPr>
              <w:pStyle w:val="Tabletextnoindent"/>
              <w:jc w:val="right"/>
            </w:pPr>
            <w:r>
              <w:t>95.0</w:t>
            </w:r>
          </w:p>
        </w:tc>
      </w:tr>
      <w:tr w:rsidR="00FE7F8B" w14:paraId="101C907D" w14:textId="77777777" w:rsidTr="0005782C">
        <w:trPr>
          <w:trHeight w:val="240"/>
        </w:trPr>
        <w:tc>
          <w:tcPr>
            <w:tcW w:w="3862" w:type="pct"/>
            <w:shd w:val="clear" w:color="auto" w:fill="FFFFFF"/>
            <w:noWrap/>
            <w:vAlign w:val="bottom"/>
            <w:hideMark/>
          </w:tcPr>
          <w:p w14:paraId="5218E8C1" w14:textId="77777777" w:rsidR="00FE7F8B" w:rsidRDefault="00FE7F8B">
            <w:pPr>
              <w:pStyle w:val="Tabletextnoindent"/>
            </w:pPr>
            <w:r>
              <w:t>Education Maintenance Allowance payments</w:t>
            </w:r>
          </w:p>
        </w:tc>
        <w:tc>
          <w:tcPr>
            <w:tcW w:w="569" w:type="pct"/>
            <w:shd w:val="clear" w:color="auto" w:fill="F2F2F2" w:themeFill="background1" w:themeFillShade="F2"/>
            <w:noWrap/>
            <w:vAlign w:val="bottom"/>
            <w:hideMark/>
          </w:tcPr>
          <w:p w14:paraId="20A61419" w14:textId="77777777" w:rsidR="00FE7F8B" w:rsidRDefault="00FE7F8B">
            <w:pPr>
              <w:pStyle w:val="Tabletextnoindent"/>
              <w:jc w:val="right"/>
            </w:pPr>
            <w:r>
              <w:rPr>
                <w:b/>
              </w:rPr>
              <w:t>0.0</w:t>
            </w:r>
          </w:p>
        </w:tc>
        <w:tc>
          <w:tcPr>
            <w:tcW w:w="569" w:type="pct"/>
            <w:shd w:val="clear" w:color="auto" w:fill="FFFFFF"/>
            <w:noWrap/>
            <w:vAlign w:val="bottom"/>
            <w:hideMark/>
          </w:tcPr>
          <w:p w14:paraId="1E5DD0B6" w14:textId="77777777" w:rsidR="00FE7F8B" w:rsidRDefault="00FE7F8B">
            <w:pPr>
              <w:pStyle w:val="Tabletextnoindent"/>
              <w:jc w:val="right"/>
            </w:pPr>
            <w:r>
              <w:t>10.9</w:t>
            </w:r>
          </w:p>
        </w:tc>
      </w:tr>
      <w:tr w:rsidR="00FE7F8B" w14:paraId="63CA31BD" w14:textId="77777777" w:rsidTr="0005782C">
        <w:trPr>
          <w:trHeight w:val="240"/>
        </w:trPr>
        <w:tc>
          <w:tcPr>
            <w:tcW w:w="3862" w:type="pct"/>
            <w:shd w:val="clear" w:color="auto" w:fill="FFFFFF"/>
            <w:noWrap/>
            <w:vAlign w:val="bottom"/>
            <w:hideMark/>
          </w:tcPr>
          <w:p w14:paraId="32DFD1FE" w14:textId="77777777" w:rsidR="00FE7F8B" w:rsidRDefault="00FE7F8B">
            <w:pPr>
              <w:pStyle w:val="Tabletextnoindent"/>
            </w:pPr>
            <w:r>
              <w:t>Camps Sports and Excursions Fund payments</w:t>
            </w:r>
          </w:p>
        </w:tc>
        <w:tc>
          <w:tcPr>
            <w:tcW w:w="569" w:type="pct"/>
            <w:shd w:val="clear" w:color="auto" w:fill="F2F2F2" w:themeFill="background1" w:themeFillShade="F2"/>
            <w:noWrap/>
            <w:vAlign w:val="bottom"/>
            <w:hideMark/>
          </w:tcPr>
          <w:p w14:paraId="4F87DB28" w14:textId="77777777" w:rsidR="00FE7F8B" w:rsidRDefault="00FE7F8B">
            <w:pPr>
              <w:pStyle w:val="Tabletextnoindent"/>
              <w:jc w:val="right"/>
            </w:pPr>
            <w:r>
              <w:rPr>
                <w:b/>
              </w:rPr>
              <w:t>15.9</w:t>
            </w:r>
          </w:p>
        </w:tc>
        <w:tc>
          <w:tcPr>
            <w:tcW w:w="569" w:type="pct"/>
            <w:shd w:val="clear" w:color="auto" w:fill="FFFFFF"/>
            <w:noWrap/>
            <w:vAlign w:val="bottom"/>
            <w:hideMark/>
          </w:tcPr>
          <w:p w14:paraId="29EF7E3A" w14:textId="77777777" w:rsidR="00FE7F8B" w:rsidRDefault="00FE7F8B">
            <w:pPr>
              <w:pStyle w:val="Tabletextnoindent"/>
              <w:jc w:val="right"/>
            </w:pPr>
            <w:r>
              <w:t>-</w:t>
            </w:r>
          </w:p>
        </w:tc>
      </w:tr>
      <w:tr w:rsidR="00FE7F8B" w14:paraId="2350226C"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5EE3021D" w14:textId="77777777" w:rsidR="00FE7F8B" w:rsidRDefault="00FE7F8B">
            <w:pPr>
              <w:pStyle w:val="Tabletextnoindent"/>
            </w:pPr>
            <w:r>
              <w:t>Conveyance payments</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45D5064D" w14:textId="77777777" w:rsidR="00FE7F8B" w:rsidRDefault="00FE7F8B">
            <w:pPr>
              <w:pStyle w:val="Tabletextnoindent"/>
              <w:jc w:val="right"/>
            </w:pPr>
            <w:r>
              <w:rPr>
                <w:b/>
              </w:rPr>
              <w:t>20.1</w:t>
            </w:r>
          </w:p>
        </w:tc>
        <w:tc>
          <w:tcPr>
            <w:tcW w:w="569" w:type="pct"/>
            <w:tcBorders>
              <w:top w:val="nil"/>
              <w:left w:val="nil"/>
              <w:bottom w:val="single" w:sz="4" w:space="0" w:color="auto"/>
              <w:right w:val="nil"/>
            </w:tcBorders>
            <w:shd w:val="clear" w:color="auto" w:fill="FFFFFF"/>
            <w:noWrap/>
            <w:vAlign w:val="bottom"/>
            <w:hideMark/>
          </w:tcPr>
          <w:p w14:paraId="185F83CE" w14:textId="77777777" w:rsidR="00FE7F8B" w:rsidRDefault="00FE7F8B">
            <w:pPr>
              <w:pStyle w:val="Tabletextnoindent"/>
              <w:jc w:val="right"/>
            </w:pPr>
            <w:r>
              <w:t>21.5</w:t>
            </w:r>
          </w:p>
        </w:tc>
      </w:tr>
      <w:tr w:rsidR="00FE7F8B" w14:paraId="2597D311" w14:textId="77777777" w:rsidTr="0005782C">
        <w:trPr>
          <w:trHeight w:val="300"/>
        </w:trPr>
        <w:tc>
          <w:tcPr>
            <w:tcW w:w="3862" w:type="pct"/>
            <w:tcBorders>
              <w:top w:val="single" w:sz="4" w:space="0" w:color="auto"/>
              <w:left w:val="nil"/>
              <w:bottom w:val="single" w:sz="4" w:space="0" w:color="auto"/>
              <w:right w:val="nil"/>
            </w:tcBorders>
            <w:shd w:val="clear" w:color="auto" w:fill="FFFFFF"/>
            <w:noWrap/>
            <w:vAlign w:val="center"/>
            <w:hideMark/>
          </w:tcPr>
          <w:p w14:paraId="54453FA2" w14:textId="77777777" w:rsidR="00FE7F8B" w:rsidRDefault="00FE7F8B">
            <w:pPr>
              <w:pStyle w:val="Tabletextnoindent"/>
              <w:rPr>
                <w:b/>
              </w:rPr>
            </w:pPr>
            <w:r>
              <w:rPr>
                <w:b/>
              </w:rPr>
              <w:t>Total grants and other expense transfers</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7FA6FEBE" w14:textId="77777777" w:rsidR="00FE7F8B" w:rsidRDefault="00FE7F8B">
            <w:pPr>
              <w:pStyle w:val="Tabletextnoindent"/>
              <w:jc w:val="right"/>
              <w:rPr>
                <w:b/>
              </w:rPr>
            </w:pPr>
            <w:r>
              <w:rPr>
                <w:b/>
              </w:rPr>
              <w:t>1,466.4</w:t>
            </w:r>
          </w:p>
        </w:tc>
        <w:tc>
          <w:tcPr>
            <w:tcW w:w="569" w:type="pct"/>
            <w:tcBorders>
              <w:top w:val="single" w:sz="4" w:space="0" w:color="auto"/>
              <w:left w:val="nil"/>
              <w:bottom w:val="single" w:sz="4" w:space="0" w:color="auto"/>
              <w:right w:val="nil"/>
            </w:tcBorders>
            <w:shd w:val="clear" w:color="auto" w:fill="FFFFFF"/>
            <w:noWrap/>
            <w:vAlign w:val="bottom"/>
            <w:hideMark/>
          </w:tcPr>
          <w:p w14:paraId="4487B782" w14:textId="77777777" w:rsidR="00FE7F8B" w:rsidRDefault="00FE7F8B">
            <w:pPr>
              <w:pStyle w:val="Tabletextnoindent"/>
              <w:jc w:val="right"/>
              <w:rPr>
                <w:b/>
              </w:rPr>
            </w:pPr>
            <w:r>
              <w:t>1,374.2</w:t>
            </w:r>
          </w:p>
        </w:tc>
      </w:tr>
      <w:tr w:rsidR="00FE7F8B" w14:paraId="11BDAA57"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4C88E8AD" w14:textId="77777777" w:rsidR="00FE7F8B" w:rsidRDefault="00FE7F8B">
            <w:pPr>
              <w:pStyle w:val="Tabletextnoindent"/>
              <w:rPr>
                <w:b/>
                <w:i/>
              </w:rPr>
            </w:pPr>
            <w:r>
              <w:rPr>
                <w:b/>
                <w:i/>
              </w:rPr>
              <w:t>(g) Supplies and services</w:t>
            </w:r>
          </w:p>
        </w:tc>
        <w:tc>
          <w:tcPr>
            <w:tcW w:w="569" w:type="pct"/>
            <w:tcBorders>
              <w:top w:val="single" w:sz="4" w:space="0" w:color="auto"/>
              <w:left w:val="nil"/>
              <w:bottom w:val="nil"/>
              <w:right w:val="nil"/>
            </w:tcBorders>
            <w:shd w:val="clear" w:color="auto" w:fill="F2F2F2" w:themeFill="background1" w:themeFillShade="F2"/>
            <w:noWrap/>
            <w:vAlign w:val="bottom"/>
          </w:tcPr>
          <w:p w14:paraId="3B5302D9" w14:textId="77777777" w:rsidR="00FE7F8B" w:rsidRDefault="00FE7F8B">
            <w:pPr>
              <w:pStyle w:val="Tabletextnoindent"/>
              <w:jc w:val="right"/>
              <w:rPr>
                <w:b/>
                <w:i/>
              </w:rPr>
            </w:pPr>
          </w:p>
        </w:tc>
        <w:tc>
          <w:tcPr>
            <w:tcW w:w="569" w:type="pct"/>
            <w:tcBorders>
              <w:top w:val="single" w:sz="4" w:space="0" w:color="auto"/>
              <w:left w:val="nil"/>
              <w:bottom w:val="nil"/>
              <w:right w:val="nil"/>
            </w:tcBorders>
            <w:shd w:val="clear" w:color="auto" w:fill="FFFFFF"/>
            <w:noWrap/>
            <w:vAlign w:val="bottom"/>
          </w:tcPr>
          <w:p w14:paraId="7AA11C0A" w14:textId="77777777" w:rsidR="00FE7F8B" w:rsidRDefault="00FE7F8B">
            <w:pPr>
              <w:pStyle w:val="Tabletextnoindent"/>
              <w:jc w:val="right"/>
              <w:rPr>
                <w:b/>
                <w:i/>
              </w:rPr>
            </w:pPr>
          </w:p>
        </w:tc>
      </w:tr>
      <w:tr w:rsidR="00FE7F8B" w14:paraId="60CC2F3B" w14:textId="77777777" w:rsidTr="0005782C">
        <w:trPr>
          <w:trHeight w:val="240"/>
        </w:trPr>
        <w:tc>
          <w:tcPr>
            <w:tcW w:w="3862" w:type="pct"/>
            <w:shd w:val="clear" w:color="auto" w:fill="FFFFFF"/>
            <w:noWrap/>
            <w:vAlign w:val="bottom"/>
            <w:hideMark/>
          </w:tcPr>
          <w:p w14:paraId="343C8514" w14:textId="77777777" w:rsidR="00FE7F8B" w:rsidRDefault="00FE7F8B">
            <w:pPr>
              <w:pStyle w:val="Tabletextnoindent"/>
            </w:pPr>
            <w:r>
              <w:t>Administration</w:t>
            </w:r>
          </w:p>
        </w:tc>
        <w:tc>
          <w:tcPr>
            <w:tcW w:w="569" w:type="pct"/>
            <w:shd w:val="clear" w:color="auto" w:fill="F2F2F2" w:themeFill="background1" w:themeFillShade="F2"/>
            <w:noWrap/>
            <w:vAlign w:val="bottom"/>
            <w:hideMark/>
          </w:tcPr>
          <w:p w14:paraId="10CA0FF5" w14:textId="77777777" w:rsidR="00FE7F8B" w:rsidRDefault="00FE7F8B">
            <w:pPr>
              <w:pStyle w:val="Tabletextnoindent"/>
              <w:jc w:val="right"/>
            </w:pPr>
            <w:r>
              <w:rPr>
                <w:b/>
              </w:rPr>
              <w:t>273.3</w:t>
            </w:r>
          </w:p>
        </w:tc>
        <w:tc>
          <w:tcPr>
            <w:tcW w:w="569" w:type="pct"/>
            <w:shd w:val="clear" w:color="auto" w:fill="FFFFFF"/>
            <w:noWrap/>
            <w:vAlign w:val="bottom"/>
            <w:hideMark/>
          </w:tcPr>
          <w:p w14:paraId="32D2EC9E" w14:textId="77777777" w:rsidR="00FE7F8B" w:rsidRDefault="00FE7F8B">
            <w:pPr>
              <w:pStyle w:val="Tabletextnoindent"/>
              <w:jc w:val="right"/>
            </w:pPr>
            <w:r>
              <w:t>243.4</w:t>
            </w:r>
          </w:p>
        </w:tc>
      </w:tr>
      <w:tr w:rsidR="00FE7F8B" w14:paraId="2A841F0E" w14:textId="77777777" w:rsidTr="0005782C">
        <w:trPr>
          <w:trHeight w:val="240"/>
        </w:trPr>
        <w:tc>
          <w:tcPr>
            <w:tcW w:w="3862" w:type="pct"/>
            <w:shd w:val="clear" w:color="auto" w:fill="FFFFFF"/>
            <w:noWrap/>
            <w:vAlign w:val="bottom"/>
            <w:hideMark/>
          </w:tcPr>
          <w:p w14:paraId="143CCF5D" w14:textId="77777777" w:rsidR="00FE7F8B" w:rsidRDefault="00FE7F8B">
            <w:pPr>
              <w:pStyle w:val="Tabletextnoindent"/>
            </w:pPr>
            <w:r>
              <w:t>Maintenance</w:t>
            </w:r>
          </w:p>
        </w:tc>
        <w:tc>
          <w:tcPr>
            <w:tcW w:w="569" w:type="pct"/>
            <w:shd w:val="clear" w:color="auto" w:fill="F2F2F2" w:themeFill="background1" w:themeFillShade="F2"/>
            <w:noWrap/>
            <w:vAlign w:val="bottom"/>
            <w:hideMark/>
          </w:tcPr>
          <w:p w14:paraId="7BEBEFF5" w14:textId="77777777" w:rsidR="00FE7F8B" w:rsidRDefault="00FE7F8B">
            <w:pPr>
              <w:pStyle w:val="Tabletextnoindent"/>
              <w:jc w:val="right"/>
            </w:pPr>
            <w:r>
              <w:rPr>
                <w:b/>
              </w:rPr>
              <w:t>252.5</w:t>
            </w:r>
          </w:p>
        </w:tc>
        <w:tc>
          <w:tcPr>
            <w:tcW w:w="569" w:type="pct"/>
            <w:shd w:val="clear" w:color="auto" w:fill="FFFFFF"/>
            <w:noWrap/>
            <w:vAlign w:val="bottom"/>
            <w:hideMark/>
          </w:tcPr>
          <w:p w14:paraId="25618DA8" w14:textId="77777777" w:rsidR="00FE7F8B" w:rsidRDefault="00FE7F8B">
            <w:pPr>
              <w:pStyle w:val="Tabletextnoindent"/>
              <w:jc w:val="right"/>
            </w:pPr>
            <w:r>
              <w:t>240.2</w:t>
            </w:r>
          </w:p>
        </w:tc>
      </w:tr>
      <w:tr w:rsidR="00FE7F8B" w14:paraId="082EB124" w14:textId="77777777" w:rsidTr="0005782C">
        <w:trPr>
          <w:trHeight w:val="240"/>
        </w:trPr>
        <w:tc>
          <w:tcPr>
            <w:tcW w:w="3862" w:type="pct"/>
            <w:shd w:val="clear" w:color="auto" w:fill="FFFFFF"/>
            <w:noWrap/>
            <w:vAlign w:val="bottom"/>
            <w:hideMark/>
          </w:tcPr>
          <w:p w14:paraId="29A81854" w14:textId="77777777" w:rsidR="00FE7F8B" w:rsidRDefault="00FE7F8B">
            <w:pPr>
              <w:pStyle w:val="Tabletextnoindent"/>
            </w:pPr>
            <w:r>
              <w:t>School requisites</w:t>
            </w:r>
          </w:p>
        </w:tc>
        <w:tc>
          <w:tcPr>
            <w:tcW w:w="569" w:type="pct"/>
            <w:shd w:val="clear" w:color="auto" w:fill="F2F2F2" w:themeFill="background1" w:themeFillShade="F2"/>
            <w:noWrap/>
            <w:vAlign w:val="bottom"/>
            <w:hideMark/>
          </w:tcPr>
          <w:p w14:paraId="30BA29DB" w14:textId="77777777" w:rsidR="00FE7F8B" w:rsidRDefault="00FE7F8B">
            <w:pPr>
              <w:pStyle w:val="Tabletextnoindent"/>
              <w:jc w:val="right"/>
            </w:pPr>
            <w:r>
              <w:rPr>
                <w:b/>
              </w:rPr>
              <w:t>945.0</w:t>
            </w:r>
          </w:p>
        </w:tc>
        <w:tc>
          <w:tcPr>
            <w:tcW w:w="569" w:type="pct"/>
            <w:shd w:val="clear" w:color="auto" w:fill="FFFFFF"/>
            <w:noWrap/>
            <w:vAlign w:val="bottom"/>
            <w:hideMark/>
          </w:tcPr>
          <w:p w14:paraId="70E47A24" w14:textId="77777777" w:rsidR="00FE7F8B" w:rsidRDefault="00FE7F8B">
            <w:pPr>
              <w:pStyle w:val="Tabletextnoindent"/>
              <w:jc w:val="right"/>
            </w:pPr>
            <w:r>
              <w:t>886.2</w:t>
            </w:r>
          </w:p>
        </w:tc>
      </w:tr>
      <w:tr w:rsidR="00FE7F8B" w14:paraId="4AFD536D" w14:textId="77777777" w:rsidTr="0005782C">
        <w:trPr>
          <w:trHeight w:val="240"/>
        </w:trPr>
        <w:tc>
          <w:tcPr>
            <w:tcW w:w="3862" w:type="pct"/>
            <w:shd w:val="clear" w:color="auto" w:fill="FFFFFF"/>
            <w:noWrap/>
            <w:vAlign w:val="bottom"/>
            <w:hideMark/>
          </w:tcPr>
          <w:p w14:paraId="024E6183" w14:textId="77777777" w:rsidR="00FE7F8B" w:rsidRDefault="00FE7F8B">
            <w:pPr>
              <w:pStyle w:val="Tabletextnoindent"/>
            </w:pPr>
            <w:r>
              <w:t>Service agreement payments</w:t>
            </w:r>
          </w:p>
        </w:tc>
        <w:tc>
          <w:tcPr>
            <w:tcW w:w="569" w:type="pct"/>
            <w:shd w:val="clear" w:color="auto" w:fill="F2F2F2" w:themeFill="background1" w:themeFillShade="F2"/>
            <w:noWrap/>
            <w:vAlign w:val="bottom"/>
            <w:hideMark/>
          </w:tcPr>
          <w:p w14:paraId="13FF913F" w14:textId="77777777" w:rsidR="00FE7F8B" w:rsidRDefault="00FE7F8B">
            <w:pPr>
              <w:pStyle w:val="Tabletextnoindent"/>
              <w:jc w:val="right"/>
            </w:pPr>
            <w:r>
              <w:rPr>
                <w:b/>
              </w:rPr>
              <w:t>1,072.8</w:t>
            </w:r>
          </w:p>
        </w:tc>
        <w:tc>
          <w:tcPr>
            <w:tcW w:w="569" w:type="pct"/>
            <w:shd w:val="clear" w:color="auto" w:fill="FFFFFF"/>
            <w:noWrap/>
            <w:vAlign w:val="bottom"/>
            <w:hideMark/>
          </w:tcPr>
          <w:p w14:paraId="4E73C946" w14:textId="77777777" w:rsidR="00FE7F8B" w:rsidRDefault="00FE7F8B">
            <w:pPr>
              <w:pStyle w:val="Tabletextnoindent"/>
              <w:jc w:val="right"/>
            </w:pPr>
            <w:r>
              <w:t>1,186.2</w:t>
            </w:r>
          </w:p>
        </w:tc>
      </w:tr>
      <w:tr w:rsidR="00FE7F8B" w14:paraId="5E4C005C" w14:textId="77777777" w:rsidTr="0005782C">
        <w:trPr>
          <w:trHeight w:val="240"/>
        </w:trPr>
        <w:tc>
          <w:tcPr>
            <w:tcW w:w="3862" w:type="pct"/>
            <w:shd w:val="clear" w:color="auto" w:fill="FFFFFF"/>
            <w:noWrap/>
            <w:vAlign w:val="bottom"/>
            <w:hideMark/>
          </w:tcPr>
          <w:p w14:paraId="737663FF" w14:textId="77777777" w:rsidR="00FE7F8B" w:rsidRDefault="00FE7F8B">
            <w:pPr>
              <w:pStyle w:val="Tabletextnoindent"/>
            </w:pPr>
            <w:r>
              <w:t>Student transport</w:t>
            </w:r>
          </w:p>
        </w:tc>
        <w:tc>
          <w:tcPr>
            <w:tcW w:w="569" w:type="pct"/>
            <w:shd w:val="clear" w:color="auto" w:fill="F2F2F2" w:themeFill="background1" w:themeFillShade="F2"/>
            <w:noWrap/>
            <w:vAlign w:val="bottom"/>
            <w:hideMark/>
          </w:tcPr>
          <w:p w14:paraId="1FE720F4" w14:textId="77777777" w:rsidR="00FE7F8B" w:rsidRDefault="00FE7F8B">
            <w:pPr>
              <w:pStyle w:val="Tabletextnoindent"/>
              <w:jc w:val="right"/>
            </w:pPr>
            <w:r>
              <w:rPr>
                <w:b/>
              </w:rPr>
              <w:t>68.1</w:t>
            </w:r>
          </w:p>
        </w:tc>
        <w:tc>
          <w:tcPr>
            <w:tcW w:w="569" w:type="pct"/>
            <w:shd w:val="clear" w:color="auto" w:fill="FFFFFF"/>
            <w:noWrap/>
            <w:vAlign w:val="bottom"/>
            <w:hideMark/>
          </w:tcPr>
          <w:p w14:paraId="00E7F91A" w14:textId="77777777" w:rsidR="00FE7F8B" w:rsidRDefault="00FE7F8B">
            <w:pPr>
              <w:pStyle w:val="Tabletextnoindent"/>
              <w:jc w:val="right"/>
            </w:pPr>
            <w:r>
              <w:t>67.4</w:t>
            </w:r>
          </w:p>
        </w:tc>
      </w:tr>
      <w:tr w:rsidR="00FE7F8B" w14:paraId="41E2A3DA"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24B69FD1" w14:textId="77777777" w:rsidR="00FE7F8B" w:rsidRDefault="00FE7F8B">
            <w:pPr>
              <w:pStyle w:val="Tabletextnoindent"/>
            </w:pPr>
            <w:r>
              <w:t>Rental expense relating to operating leases—Minimum lease payments</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0D1DE46E" w14:textId="77777777" w:rsidR="00FE7F8B" w:rsidRDefault="00FE7F8B">
            <w:pPr>
              <w:pStyle w:val="Tabletextnoindent"/>
              <w:jc w:val="right"/>
            </w:pPr>
            <w:r>
              <w:rPr>
                <w:b/>
              </w:rPr>
              <w:t>65.5</w:t>
            </w:r>
          </w:p>
        </w:tc>
        <w:tc>
          <w:tcPr>
            <w:tcW w:w="569" w:type="pct"/>
            <w:tcBorders>
              <w:top w:val="nil"/>
              <w:left w:val="nil"/>
              <w:bottom w:val="single" w:sz="4" w:space="0" w:color="auto"/>
              <w:right w:val="nil"/>
            </w:tcBorders>
            <w:shd w:val="clear" w:color="auto" w:fill="FFFFFF"/>
            <w:noWrap/>
            <w:vAlign w:val="bottom"/>
            <w:hideMark/>
          </w:tcPr>
          <w:p w14:paraId="4ED0F8B9" w14:textId="77777777" w:rsidR="00FE7F8B" w:rsidRDefault="00FE7F8B">
            <w:pPr>
              <w:pStyle w:val="Tabletextnoindent"/>
              <w:jc w:val="right"/>
            </w:pPr>
            <w:r>
              <w:t>64.5</w:t>
            </w:r>
          </w:p>
        </w:tc>
      </w:tr>
      <w:tr w:rsidR="00FE7F8B" w14:paraId="28630413" w14:textId="77777777" w:rsidTr="0005782C">
        <w:trPr>
          <w:trHeight w:val="240"/>
        </w:trPr>
        <w:tc>
          <w:tcPr>
            <w:tcW w:w="3862" w:type="pct"/>
            <w:tcBorders>
              <w:top w:val="single" w:sz="4" w:space="0" w:color="auto"/>
              <w:left w:val="nil"/>
              <w:bottom w:val="single" w:sz="4" w:space="0" w:color="auto"/>
              <w:right w:val="nil"/>
            </w:tcBorders>
            <w:shd w:val="clear" w:color="auto" w:fill="FFFFFF"/>
            <w:noWrap/>
            <w:vAlign w:val="bottom"/>
            <w:hideMark/>
          </w:tcPr>
          <w:p w14:paraId="2EB4C973" w14:textId="77777777" w:rsidR="00FE7F8B" w:rsidRDefault="00FE7F8B">
            <w:pPr>
              <w:pStyle w:val="Tabletextnoindent"/>
              <w:rPr>
                <w:b/>
              </w:rPr>
            </w:pPr>
            <w:r>
              <w:rPr>
                <w:b/>
              </w:rPr>
              <w:t>Total supplies and services</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68A0FFCA" w14:textId="77777777" w:rsidR="00FE7F8B" w:rsidRDefault="00FE7F8B">
            <w:pPr>
              <w:pStyle w:val="Tabletextnoindent"/>
              <w:jc w:val="right"/>
              <w:rPr>
                <w:b/>
              </w:rPr>
            </w:pPr>
            <w:r>
              <w:rPr>
                <w:b/>
              </w:rPr>
              <w:t>2,677.3</w:t>
            </w:r>
          </w:p>
        </w:tc>
        <w:tc>
          <w:tcPr>
            <w:tcW w:w="569" w:type="pct"/>
            <w:tcBorders>
              <w:top w:val="single" w:sz="4" w:space="0" w:color="auto"/>
              <w:left w:val="nil"/>
              <w:bottom w:val="single" w:sz="4" w:space="0" w:color="auto"/>
              <w:right w:val="nil"/>
            </w:tcBorders>
            <w:shd w:val="clear" w:color="auto" w:fill="FFFFFF"/>
            <w:noWrap/>
            <w:vAlign w:val="bottom"/>
            <w:hideMark/>
          </w:tcPr>
          <w:p w14:paraId="0381DF5F" w14:textId="77777777" w:rsidR="00FE7F8B" w:rsidRDefault="00FE7F8B">
            <w:pPr>
              <w:pStyle w:val="Tabletextnoindent"/>
              <w:jc w:val="right"/>
              <w:rPr>
                <w:b/>
              </w:rPr>
            </w:pPr>
            <w:r>
              <w:t>2,687.9</w:t>
            </w:r>
          </w:p>
        </w:tc>
      </w:tr>
      <w:tr w:rsidR="00FE7F8B" w14:paraId="66432A40"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79A00818" w14:textId="77777777" w:rsidR="00FE7F8B" w:rsidRDefault="00FE7F8B">
            <w:pPr>
              <w:pStyle w:val="Tabletextnoindent"/>
              <w:rPr>
                <w:b/>
                <w:i/>
              </w:rPr>
            </w:pPr>
            <w:r>
              <w:rPr>
                <w:b/>
                <w:i/>
              </w:rPr>
              <w:t>(h) Other operating expenses</w:t>
            </w:r>
          </w:p>
        </w:tc>
        <w:tc>
          <w:tcPr>
            <w:tcW w:w="569" w:type="pct"/>
            <w:tcBorders>
              <w:top w:val="single" w:sz="4" w:space="0" w:color="auto"/>
              <w:left w:val="nil"/>
              <w:bottom w:val="nil"/>
              <w:right w:val="nil"/>
            </w:tcBorders>
            <w:shd w:val="clear" w:color="auto" w:fill="F2F2F2" w:themeFill="background1" w:themeFillShade="F2"/>
            <w:noWrap/>
            <w:vAlign w:val="bottom"/>
          </w:tcPr>
          <w:p w14:paraId="0B636D98" w14:textId="77777777" w:rsidR="00FE7F8B" w:rsidRDefault="00FE7F8B">
            <w:pPr>
              <w:pStyle w:val="Tabletextnoindent"/>
              <w:jc w:val="right"/>
              <w:rPr>
                <w:b/>
                <w:i/>
              </w:rPr>
            </w:pPr>
          </w:p>
        </w:tc>
        <w:tc>
          <w:tcPr>
            <w:tcW w:w="569" w:type="pct"/>
            <w:tcBorders>
              <w:top w:val="single" w:sz="4" w:space="0" w:color="auto"/>
              <w:left w:val="nil"/>
              <w:bottom w:val="nil"/>
              <w:right w:val="nil"/>
            </w:tcBorders>
            <w:shd w:val="clear" w:color="auto" w:fill="FFFFFF"/>
            <w:noWrap/>
            <w:vAlign w:val="bottom"/>
          </w:tcPr>
          <w:p w14:paraId="007010DA" w14:textId="77777777" w:rsidR="00FE7F8B" w:rsidRDefault="00FE7F8B">
            <w:pPr>
              <w:pStyle w:val="Tabletextnoindent"/>
              <w:jc w:val="right"/>
              <w:rPr>
                <w:b/>
                <w:i/>
              </w:rPr>
            </w:pPr>
          </w:p>
        </w:tc>
      </w:tr>
      <w:tr w:rsidR="00FE7F8B" w14:paraId="517843C5" w14:textId="77777777" w:rsidTr="0005782C">
        <w:trPr>
          <w:trHeight w:val="240"/>
        </w:trPr>
        <w:tc>
          <w:tcPr>
            <w:tcW w:w="3862" w:type="pct"/>
            <w:shd w:val="clear" w:color="auto" w:fill="FFFFFF"/>
            <w:noWrap/>
            <w:vAlign w:val="bottom"/>
            <w:hideMark/>
          </w:tcPr>
          <w:p w14:paraId="39B8B5CA" w14:textId="77777777" w:rsidR="00FE7F8B" w:rsidRDefault="00FE7F8B">
            <w:pPr>
              <w:pStyle w:val="Tablerowheading"/>
            </w:pPr>
            <w:r>
              <w:t>Fair value of assets and services provided free of charge or for nominal consideration</w:t>
            </w:r>
          </w:p>
        </w:tc>
        <w:tc>
          <w:tcPr>
            <w:tcW w:w="569" w:type="pct"/>
            <w:shd w:val="clear" w:color="auto" w:fill="F2F2F2" w:themeFill="background1" w:themeFillShade="F2"/>
            <w:noWrap/>
            <w:vAlign w:val="bottom"/>
          </w:tcPr>
          <w:p w14:paraId="7E22D1D5" w14:textId="77777777" w:rsidR="00FE7F8B" w:rsidRDefault="00FE7F8B">
            <w:pPr>
              <w:pStyle w:val="Tabletextnoindent"/>
              <w:jc w:val="right"/>
              <w:rPr>
                <w:b/>
              </w:rPr>
            </w:pPr>
          </w:p>
        </w:tc>
        <w:tc>
          <w:tcPr>
            <w:tcW w:w="569" w:type="pct"/>
            <w:shd w:val="clear" w:color="auto" w:fill="FFFFFF"/>
            <w:noWrap/>
            <w:vAlign w:val="bottom"/>
          </w:tcPr>
          <w:p w14:paraId="18D8D536" w14:textId="77777777" w:rsidR="00FE7F8B" w:rsidRDefault="00FE7F8B">
            <w:pPr>
              <w:pStyle w:val="Tabletextnoindent"/>
              <w:jc w:val="right"/>
              <w:rPr>
                <w:b/>
              </w:rPr>
            </w:pPr>
          </w:p>
        </w:tc>
      </w:tr>
      <w:tr w:rsidR="00FE7F8B" w14:paraId="7AB7CEE5" w14:textId="77777777" w:rsidTr="0005782C">
        <w:trPr>
          <w:trHeight w:val="240"/>
        </w:trPr>
        <w:tc>
          <w:tcPr>
            <w:tcW w:w="3862" w:type="pct"/>
            <w:shd w:val="clear" w:color="auto" w:fill="FFFFFF"/>
            <w:noWrap/>
            <w:vAlign w:val="bottom"/>
            <w:hideMark/>
          </w:tcPr>
          <w:p w14:paraId="0DCCBD87" w14:textId="77777777" w:rsidR="00FE7F8B" w:rsidRDefault="00FE7F8B">
            <w:pPr>
              <w:pStyle w:val="Tabletextnoindent"/>
            </w:pPr>
            <w:r>
              <w:t>Rent provided free of charge—Victorian Curriculum and Assessment Authority</w:t>
            </w:r>
          </w:p>
        </w:tc>
        <w:tc>
          <w:tcPr>
            <w:tcW w:w="569" w:type="pct"/>
            <w:shd w:val="clear" w:color="auto" w:fill="F2F2F2" w:themeFill="background1" w:themeFillShade="F2"/>
            <w:noWrap/>
            <w:vAlign w:val="bottom"/>
            <w:hideMark/>
          </w:tcPr>
          <w:p w14:paraId="028F992C" w14:textId="77777777" w:rsidR="00FE7F8B" w:rsidRDefault="00FE7F8B">
            <w:pPr>
              <w:pStyle w:val="Tabletextnoindent"/>
              <w:jc w:val="right"/>
            </w:pPr>
            <w:r>
              <w:rPr>
                <w:b/>
              </w:rPr>
              <w:t>2.3</w:t>
            </w:r>
          </w:p>
        </w:tc>
        <w:tc>
          <w:tcPr>
            <w:tcW w:w="569" w:type="pct"/>
            <w:shd w:val="clear" w:color="auto" w:fill="FFFFFF"/>
            <w:noWrap/>
            <w:vAlign w:val="bottom"/>
            <w:hideMark/>
          </w:tcPr>
          <w:p w14:paraId="59F3D824" w14:textId="77777777" w:rsidR="00FE7F8B" w:rsidRDefault="00FE7F8B">
            <w:pPr>
              <w:pStyle w:val="Tabletextnoindent"/>
              <w:jc w:val="right"/>
            </w:pPr>
            <w:r>
              <w:t>2.3</w:t>
            </w:r>
          </w:p>
        </w:tc>
      </w:tr>
      <w:tr w:rsidR="00FE7F8B" w14:paraId="41A3DFA5"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788914A9" w14:textId="77777777" w:rsidR="00FE7F8B" w:rsidRDefault="00FE7F8B">
            <w:pPr>
              <w:pStyle w:val="Tabletextnoindent"/>
            </w:pPr>
            <w:r>
              <w:t>Rent provided free of charge—Victorian Registration and Qualifications Authority</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3DEA7FC5" w14:textId="77777777" w:rsidR="00FE7F8B" w:rsidRDefault="00FE7F8B">
            <w:pPr>
              <w:pStyle w:val="Tabletextnoindent"/>
              <w:jc w:val="right"/>
            </w:pPr>
            <w:r>
              <w:rPr>
                <w:b/>
              </w:rPr>
              <w:t>0.5</w:t>
            </w:r>
          </w:p>
        </w:tc>
        <w:tc>
          <w:tcPr>
            <w:tcW w:w="569" w:type="pct"/>
            <w:tcBorders>
              <w:top w:val="nil"/>
              <w:left w:val="nil"/>
              <w:bottom w:val="single" w:sz="4" w:space="0" w:color="auto"/>
              <w:right w:val="nil"/>
            </w:tcBorders>
            <w:shd w:val="clear" w:color="auto" w:fill="FFFFFF"/>
            <w:noWrap/>
            <w:vAlign w:val="bottom"/>
            <w:hideMark/>
          </w:tcPr>
          <w:p w14:paraId="68348374" w14:textId="77777777" w:rsidR="00FE7F8B" w:rsidRDefault="00FE7F8B">
            <w:pPr>
              <w:pStyle w:val="Tabletextnoindent"/>
              <w:jc w:val="right"/>
            </w:pPr>
            <w:r>
              <w:t>0.5</w:t>
            </w:r>
          </w:p>
        </w:tc>
      </w:tr>
      <w:tr w:rsidR="00FE7F8B" w14:paraId="6604B80D" w14:textId="77777777" w:rsidTr="0005782C">
        <w:trPr>
          <w:trHeight w:val="600"/>
        </w:trPr>
        <w:tc>
          <w:tcPr>
            <w:tcW w:w="3862" w:type="pct"/>
            <w:tcBorders>
              <w:top w:val="single" w:sz="4" w:space="0" w:color="auto"/>
              <w:left w:val="nil"/>
              <w:bottom w:val="single" w:sz="4" w:space="0" w:color="auto"/>
              <w:right w:val="nil"/>
            </w:tcBorders>
            <w:shd w:val="clear" w:color="auto" w:fill="FFFFFF"/>
            <w:vAlign w:val="center"/>
            <w:hideMark/>
          </w:tcPr>
          <w:p w14:paraId="46C78300" w14:textId="77777777" w:rsidR="00FE7F8B" w:rsidRDefault="00FE7F8B">
            <w:pPr>
              <w:pStyle w:val="Tabletextnoindent"/>
              <w:rPr>
                <w:b/>
              </w:rPr>
            </w:pPr>
            <w:r>
              <w:rPr>
                <w:b/>
              </w:rPr>
              <w:t>Total fair value of assets and services provided free of charge or for nominal consideration</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6EF96A78" w14:textId="77777777" w:rsidR="00FE7F8B" w:rsidRDefault="00FE7F8B">
            <w:pPr>
              <w:pStyle w:val="Tabletextnoindent"/>
              <w:jc w:val="right"/>
              <w:rPr>
                <w:b/>
              </w:rPr>
            </w:pPr>
            <w:r>
              <w:rPr>
                <w:b/>
              </w:rPr>
              <w:t>2.9</w:t>
            </w:r>
          </w:p>
        </w:tc>
        <w:tc>
          <w:tcPr>
            <w:tcW w:w="569" w:type="pct"/>
            <w:tcBorders>
              <w:top w:val="single" w:sz="4" w:space="0" w:color="auto"/>
              <w:left w:val="nil"/>
              <w:bottom w:val="single" w:sz="4" w:space="0" w:color="auto"/>
              <w:right w:val="nil"/>
            </w:tcBorders>
            <w:shd w:val="clear" w:color="auto" w:fill="FFFFFF"/>
            <w:noWrap/>
            <w:vAlign w:val="bottom"/>
            <w:hideMark/>
          </w:tcPr>
          <w:p w14:paraId="717664C4" w14:textId="77777777" w:rsidR="00FE7F8B" w:rsidRDefault="00FE7F8B">
            <w:pPr>
              <w:pStyle w:val="Tabletextnoindent"/>
              <w:jc w:val="right"/>
              <w:rPr>
                <w:b/>
              </w:rPr>
            </w:pPr>
            <w:r>
              <w:t>2.8</w:t>
            </w:r>
          </w:p>
        </w:tc>
      </w:tr>
      <w:tr w:rsidR="00FE7F8B" w14:paraId="4D9A17C2" w14:textId="77777777" w:rsidTr="0005782C">
        <w:trPr>
          <w:trHeight w:val="240"/>
        </w:trPr>
        <w:tc>
          <w:tcPr>
            <w:tcW w:w="3862" w:type="pct"/>
            <w:tcBorders>
              <w:top w:val="single" w:sz="4" w:space="0" w:color="auto"/>
              <w:left w:val="nil"/>
              <w:bottom w:val="nil"/>
              <w:right w:val="nil"/>
            </w:tcBorders>
            <w:shd w:val="clear" w:color="auto" w:fill="FFFFFF"/>
            <w:noWrap/>
            <w:vAlign w:val="bottom"/>
            <w:hideMark/>
          </w:tcPr>
          <w:p w14:paraId="5E15A682" w14:textId="77777777" w:rsidR="00FE7F8B" w:rsidRDefault="00FE7F8B">
            <w:pPr>
              <w:pStyle w:val="Tablerowheading18before"/>
            </w:pPr>
            <w:r>
              <w:t>Victorian Auditor-General’s Office audit fees</w:t>
            </w:r>
          </w:p>
        </w:tc>
        <w:tc>
          <w:tcPr>
            <w:tcW w:w="569" w:type="pct"/>
            <w:tcBorders>
              <w:top w:val="single" w:sz="4" w:space="0" w:color="auto"/>
              <w:left w:val="nil"/>
              <w:bottom w:val="nil"/>
              <w:right w:val="nil"/>
            </w:tcBorders>
            <w:shd w:val="clear" w:color="auto" w:fill="F2F2F2" w:themeFill="background1" w:themeFillShade="F2"/>
            <w:noWrap/>
            <w:vAlign w:val="bottom"/>
          </w:tcPr>
          <w:p w14:paraId="7FA1B69E" w14:textId="77777777" w:rsidR="00FE7F8B" w:rsidRDefault="00FE7F8B">
            <w:pPr>
              <w:pStyle w:val="Tablerowheading18before"/>
            </w:pPr>
          </w:p>
        </w:tc>
        <w:tc>
          <w:tcPr>
            <w:tcW w:w="569" w:type="pct"/>
            <w:tcBorders>
              <w:top w:val="single" w:sz="4" w:space="0" w:color="auto"/>
              <w:left w:val="nil"/>
              <w:bottom w:val="nil"/>
              <w:right w:val="nil"/>
            </w:tcBorders>
            <w:shd w:val="clear" w:color="auto" w:fill="FFFFFF"/>
            <w:noWrap/>
            <w:vAlign w:val="bottom"/>
          </w:tcPr>
          <w:p w14:paraId="79E7D317" w14:textId="77777777" w:rsidR="00FE7F8B" w:rsidRDefault="00FE7F8B">
            <w:pPr>
              <w:pStyle w:val="Tablerowheading18before"/>
            </w:pPr>
          </w:p>
        </w:tc>
      </w:tr>
      <w:tr w:rsidR="00FE7F8B" w14:paraId="4103D4CB" w14:textId="77777777" w:rsidTr="00A71C13">
        <w:trPr>
          <w:trHeight w:val="240"/>
        </w:trPr>
        <w:tc>
          <w:tcPr>
            <w:tcW w:w="3862" w:type="pct"/>
            <w:tcBorders>
              <w:top w:val="nil"/>
              <w:left w:val="nil"/>
              <w:bottom w:val="single" w:sz="4" w:space="0" w:color="auto"/>
              <w:right w:val="nil"/>
            </w:tcBorders>
            <w:noWrap/>
            <w:vAlign w:val="bottom"/>
            <w:hideMark/>
          </w:tcPr>
          <w:p w14:paraId="2B8E57CD" w14:textId="77777777" w:rsidR="00FE7F8B" w:rsidRDefault="00FE7F8B">
            <w:pPr>
              <w:pStyle w:val="Tabletextnoindent"/>
            </w:pPr>
            <w:r>
              <w:t>Audit of the financial statements</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0ECB23A6" w14:textId="77777777" w:rsidR="00FE7F8B" w:rsidRDefault="00FE7F8B">
            <w:pPr>
              <w:pStyle w:val="Tabletextnoindent"/>
              <w:jc w:val="right"/>
            </w:pPr>
            <w:r>
              <w:rPr>
                <w:b/>
              </w:rPr>
              <w:t>0.8</w:t>
            </w:r>
          </w:p>
        </w:tc>
        <w:tc>
          <w:tcPr>
            <w:tcW w:w="569" w:type="pct"/>
            <w:tcBorders>
              <w:top w:val="nil"/>
              <w:left w:val="nil"/>
              <w:bottom w:val="single" w:sz="4" w:space="0" w:color="auto"/>
              <w:right w:val="nil"/>
            </w:tcBorders>
            <w:shd w:val="clear" w:color="auto" w:fill="FFFFFF"/>
            <w:noWrap/>
            <w:vAlign w:val="bottom"/>
            <w:hideMark/>
          </w:tcPr>
          <w:p w14:paraId="2223586B" w14:textId="77777777" w:rsidR="00FE7F8B" w:rsidRDefault="00FE7F8B">
            <w:pPr>
              <w:pStyle w:val="Tabletextnoindent"/>
              <w:jc w:val="right"/>
            </w:pPr>
            <w:r>
              <w:t>0.6</w:t>
            </w:r>
          </w:p>
        </w:tc>
      </w:tr>
      <w:tr w:rsidR="00FE7F8B" w14:paraId="7796A134" w14:textId="77777777" w:rsidTr="00A71C13">
        <w:trPr>
          <w:trHeight w:val="240"/>
        </w:trPr>
        <w:tc>
          <w:tcPr>
            <w:tcW w:w="3862" w:type="pct"/>
            <w:tcBorders>
              <w:top w:val="single" w:sz="4" w:space="0" w:color="auto"/>
              <w:left w:val="nil"/>
              <w:right w:val="nil"/>
            </w:tcBorders>
            <w:shd w:val="clear" w:color="auto" w:fill="FFFFFF"/>
            <w:noWrap/>
            <w:vAlign w:val="center"/>
            <w:hideMark/>
          </w:tcPr>
          <w:p w14:paraId="4B073401" w14:textId="77777777" w:rsidR="00FE7F8B" w:rsidRDefault="00FE7F8B">
            <w:pPr>
              <w:pStyle w:val="Tabletextnoindent"/>
              <w:rPr>
                <w:b/>
              </w:rPr>
            </w:pPr>
            <w:r>
              <w:rPr>
                <w:b/>
              </w:rPr>
              <w:t>Total audit fees</w:t>
            </w:r>
          </w:p>
        </w:tc>
        <w:tc>
          <w:tcPr>
            <w:tcW w:w="569" w:type="pct"/>
            <w:tcBorders>
              <w:top w:val="single" w:sz="4" w:space="0" w:color="auto"/>
              <w:left w:val="nil"/>
              <w:right w:val="nil"/>
            </w:tcBorders>
            <w:shd w:val="clear" w:color="auto" w:fill="F2F2F2" w:themeFill="background1" w:themeFillShade="F2"/>
            <w:noWrap/>
            <w:vAlign w:val="bottom"/>
            <w:hideMark/>
          </w:tcPr>
          <w:p w14:paraId="6E62F668" w14:textId="77777777" w:rsidR="00FE7F8B" w:rsidRDefault="00FE7F8B">
            <w:pPr>
              <w:pStyle w:val="Tabletextnoindent"/>
              <w:jc w:val="right"/>
              <w:rPr>
                <w:b/>
              </w:rPr>
            </w:pPr>
            <w:r>
              <w:rPr>
                <w:b/>
              </w:rPr>
              <w:t>0.8</w:t>
            </w:r>
          </w:p>
        </w:tc>
        <w:tc>
          <w:tcPr>
            <w:tcW w:w="569" w:type="pct"/>
            <w:tcBorders>
              <w:top w:val="single" w:sz="4" w:space="0" w:color="auto"/>
              <w:left w:val="nil"/>
              <w:right w:val="nil"/>
            </w:tcBorders>
            <w:shd w:val="clear" w:color="auto" w:fill="FFFFFF"/>
            <w:vAlign w:val="bottom"/>
            <w:hideMark/>
          </w:tcPr>
          <w:p w14:paraId="6593F122" w14:textId="77777777" w:rsidR="00FE7F8B" w:rsidRDefault="00FE7F8B">
            <w:pPr>
              <w:pStyle w:val="Tabletextnoindent"/>
              <w:jc w:val="right"/>
              <w:rPr>
                <w:b/>
              </w:rPr>
            </w:pPr>
            <w:r>
              <w:t>0.6</w:t>
            </w:r>
          </w:p>
        </w:tc>
      </w:tr>
      <w:tr w:rsidR="00FE7F8B" w14:paraId="273CCE3A" w14:textId="77777777" w:rsidTr="00A71C13">
        <w:trPr>
          <w:trHeight w:val="240"/>
        </w:trPr>
        <w:tc>
          <w:tcPr>
            <w:tcW w:w="3862" w:type="pct"/>
            <w:tcBorders>
              <w:left w:val="nil"/>
              <w:bottom w:val="nil"/>
              <w:right w:val="nil"/>
            </w:tcBorders>
            <w:shd w:val="clear" w:color="auto" w:fill="FFFFFF"/>
            <w:noWrap/>
            <w:vAlign w:val="center"/>
            <w:hideMark/>
          </w:tcPr>
          <w:p w14:paraId="68B351C2" w14:textId="5785FD88" w:rsidR="00FE7F8B" w:rsidRDefault="00A71C13">
            <w:pPr>
              <w:pStyle w:val="Tablerowheading18before"/>
            </w:pPr>
            <w:bookmarkStart w:id="72" w:name="exgratia"/>
            <w:r>
              <w:t>Ex-</w:t>
            </w:r>
            <w:r w:rsidR="00FE7F8B">
              <w:t>gratia expenses</w:t>
            </w:r>
            <w:bookmarkEnd w:id="72"/>
          </w:p>
        </w:tc>
        <w:tc>
          <w:tcPr>
            <w:tcW w:w="569" w:type="pct"/>
            <w:tcBorders>
              <w:left w:val="nil"/>
              <w:bottom w:val="nil"/>
              <w:right w:val="nil"/>
            </w:tcBorders>
            <w:shd w:val="clear" w:color="auto" w:fill="F2F2F2" w:themeFill="background1" w:themeFillShade="F2"/>
            <w:noWrap/>
            <w:vAlign w:val="bottom"/>
            <w:hideMark/>
          </w:tcPr>
          <w:p w14:paraId="425461B5" w14:textId="77777777" w:rsidR="00FE7F8B" w:rsidRDefault="00FE7F8B">
            <w:pPr>
              <w:pStyle w:val="Tabletextnoindent"/>
              <w:jc w:val="right"/>
            </w:pPr>
            <w:r>
              <w:t>–</w:t>
            </w:r>
          </w:p>
        </w:tc>
        <w:tc>
          <w:tcPr>
            <w:tcW w:w="569" w:type="pct"/>
            <w:tcBorders>
              <w:left w:val="nil"/>
              <w:bottom w:val="nil"/>
              <w:right w:val="nil"/>
            </w:tcBorders>
            <w:shd w:val="clear" w:color="auto" w:fill="FFFFFF"/>
            <w:noWrap/>
            <w:vAlign w:val="bottom"/>
            <w:hideMark/>
          </w:tcPr>
          <w:p w14:paraId="3A353B9D" w14:textId="77777777" w:rsidR="00FE7F8B" w:rsidRDefault="00FE7F8B">
            <w:pPr>
              <w:pStyle w:val="Tabletextnoindent"/>
              <w:jc w:val="right"/>
            </w:pPr>
            <w:r>
              <w:t>–</w:t>
            </w:r>
          </w:p>
        </w:tc>
      </w:tr>
      <w:tr w:rsidR="00FE7F8B" w14:paraId="7ACAA274" w14:textId="77777777" w:rsidTr="0005782C">
        <w:trPr>
          <w:trHeight w:val="240"/>
        </w:trPr>
        <w:tc>
          <w:tcPr>
            <w:tcW w:w="3862" w:type="pct"/>
            <w:shd w:val="clear" w:color="auto" w:fill="FFFFFF"/>
            <w:noWrap/>
            <w:vAlign w:val="bottom"/>
            <w:hideMark/>
          </w:tcPr>
          <w:p w14:paraId="62C058E4" w14:textId="77777777" w:rsidR="00FE7F8B" w:rsidRDefault="00FE7F8B">
            <w:pPr>
              <w:pStyle w:val="Tabletextnoindent"/>
              <w:rPr>
                <w:b/>
              </w:rPr>
            </w:pPr>
            <w:r>
              <w:rPr>
                <w:b/>
              </w:rPr>
              <w:t>Teachers notebook program reimbursement</w:t>
            </w:r>
          </w:p>
        </w:tc>
        <w:tc>
          <w:tcPr>
            <w:tcW w:w="569" w:type="pct"/>
            <w:shd w:val="clear" w:color="auto" w:fill="F2F2F2" w:themeFill="background1" w:themeFillShade="F2"/>
            <w:noWrap/>
            <w:vAlign w:val="bottom"/>
            <w:hideMark/>
          </w:tcPr>
          <w:p w14:paraId="081F0A28" w14:textId="77777777" w:rsidR="00FE7F8B" w:rsidRDefault="00FE7F8B">
            <w:pPr>
              <w:pStyle w:val="Tabletextnoindent"/>
              <w:jc w:val="right"/>
              <w:rPr>
                <w:b/>
              </w:rPr>
            </w:pPr>
            <w:r>
              <w:rPr>
                <w:b/>
              </w:rPr>
              <w:t>37.2</w:t>
            </w:r>
          </w:p>
        </w:tc>
        <w:tc>
          <w:tcPr>
            <w:tcW w:w="569" w:type="pct"/>
            <w:shd w:val="clear" w:color="auto" w:fill="FFFFFF"/>
            <w:noWrap/>
            <w:vAlign w:val="bottom"/>
            <w:hideMark/>
          </w:tcPr>
          <w:p w14:paraId="29D56684" w14:textId="77777777" w:rsidR="00FE7F8B" w:rsidRDefault="00FE7F8B">
            <w:pPr>
              <w:pStyle w:val="Tabletextnoindent"/>
              <w:jc w:val="right"/>
            </w:pPr>
            <w:r>
              <w:t>_</w:t>
            </w:r>
          </w:p>
        </w:tc>
      </w:tr>
      <w:tr w:rsidR="00FE7F8B" w14:paraId="3792C0BF" w14:textId="77777777" w:rsidTr="0005782C">
        <w:trPr>
          <w:trHeight w:val="240"/>
        </w:trPr>
        <w:tc>
          <w:tcPr>
            <w:tcW w:w="3862" w:type="pct"/>
            <w:shd w:val="clear" w:color="auto" w:fill="FFFFFF"/>
            <w:noWrap/>
            <w:vAlign w:val="bottom"/>
            <w:hideMark/>
          </w:tcPr>
          <w:p w14:paraId="4AC72770" w14:textId="77777777" w:rsidR="00FE7F8B" w:rsidRDefault="00FE7F8B">
            <w:pPr>
              <w:pStyle w:val="Tabletextnoindent"/>
              <w:rPr>
                <w:b/>
              </w:rPr>
            </w:pPr>
            <w:r>
              <w:rPr>
                <w:b/>
              </w:rPr>
              <w:t>Other expenses</w:t>
            </w:r>
          </w:p>
        </w:tc>
        <w:tc>
          <w:tcPr>
            <w:tcW w:w="569" w:type="pct"/>
            <w:shd w:val="clear" w:color="auto" w:fill="F2F2F2" w:themeFill="background1" w:themeFillShade="F2"/>
            <w:noWrap/>
            <w:vAlign w:val="bottom"/>
            <w:hideMark/>
          </w:tcPr>
          <w:p w14:paraId="5540D1B9" w14:textId="77777777" w:rsidR="00FE7F8B" w:rsidRDefault="00FE7F8B">
            <w:pPr>
              <w:pStyle w:val="Tabletextnoindent"/>
              <w:jc w:val="right"/>
            </w:pPr>
            <w:r>
              <w:rPr>
                <w:b/>
              </w:rPr>
              <w:t>15.5</w:t>
            </w:r>
          </w:p>
        </w:tc>
        <w:tc>
          <w:tcPr>
            <w:tcW w:w="569" w:type="pct"/>
            <w:shd w:val="clear" w:color="auto" w:fill="FFFFFF"/>
            <w:noWrap/>
            <w:vAlign w:val="bottom"/>
            <w:hideMark/>
          </w:tcPr>
          <w:p w14:paraId="32BA7E79" w14:textId="77777777" w:rsidR="00FE7F8B" w:rsidRDefault="00FE7F8B">
            <w:pPr>
              <w:pStyle w:val="Tabletextnoindent"/>
              <w:jc w:val="right"/>
            </w:pPr>
            <w:r>
              <w:t>13.7</w:t>
            </w:r>
          </w:p>
        </w:tc>
      </w:tr>
      <w:tr w:rsidR="00FE7F8B" w14:paraId="6DD1D314" w14:textId="77777777" w:rsidTr="0005782C">
        <w:trPr>
          <w:trHeight w:val="240"/>
        </w:trPr>
        <w:tc>
          <w:tcPr>
            <w:tcW w:w="3862" w:type="pct"/>
            <w:tcBorders>
              <w:top w:val="nil"/>
              <w:left w:val="nil"/>
              <w:bottom w:val="single" w:sz="4" w:space="0" w:color="auto"/>
              <w:right w:val="nil"/>
            </w:tcBorders>
            <w:shd w:val="clear" w:color="auto" w:fill="FFFFFF"/>
            <w:noWrap/>
            <w:vAlign w:val="bottom"/>
            <w:hideMark/>
          </w:tcPr>
          <w:p w14:paraId="13F94298" w14:textId="1E7292AA" w:rsidR="00FE7F8B" w:rsidRDefault="00A71C13">
            <w:pPr>
              <w:pStyle w:val="Tabletextnoindent"/>
              <w:rPr>
                <w:b/>
              </w:rPr>
            </w:pPr>
            <w:r>
              <w:rPr>
                <w:b/>
              </w:rPr>
              <w:t xml:space="preserve">Other IT </w:t>
            </w:r>
            <w:r w:rsidR="00FE7F8B">
              <w:rPr>
                <w:b/>
              </w:rPr>
              <w:t>related expenses</w:t>
            </w:r>
          </w:p>
        </w:tc>
        <w:tc>
          <w:tcPr>
            <w:tcW w:w="569" w:type="pct"/>
            <w:tcBorders>
              <w:top w:val="nil"/>
              <w:left w:val="nil"/>
              <w:bottom w:val="single" w:sz="4" w:space="0" w:color="auto"/>
              <w:right w:val="nil"/>
            </w:tcBorders>
            <w:shd w:val="clear" w:color="auto" w:fill="F2F2F2" w:themeFill="background1" w:themeFillShade="F2"/>
            <w:noWrap/>
            <w:vAlign w:val="bottom"/>
            <w:hideMark/>
          </w:tcPr>
          <w:p w14:paraId="5C7C8793" w14:textId="77777777" w:rsidR="00FE7F8B" w:rsidRDefault="00FE7F8B">
            <w:pPr>
              <w:pStyle w:val="Tabletextnoindent"/>
              <w:jc w:val="right"/>
              <w:rPr>
                <w:b/>
              </w:rPr>
            </w:pPr>
            <w:r>
              <w:rPr>
                <w:b/>
              </w:rPr>
              <w:t>105.6</w:t>
            </w:r>
          </w:p>
        </w:tc>
        <w:tc>
          <w:tcPr>
            <w:tcW w:w="569" w:type="pct"/>
            <w:tcBorders>
              <w:top w:val="nil"/>
              <w:left w:val="nil"/>
              <w:bottom w:val="single" w:sz="4" w:space="0" w:color="auto"/>
              <w:right w:val="nil"/>
            </w:tcBorders>
            <w:shd w:val="clear" w:color="auto" w:fill="FFFFFF"/>
            <w:noWrap/>
            <w:vAlign w:val="bottom"/>
            <w:hideMark/>
          </w:tcPr>
          <w:p w14:paraId="306A01BF" w14:textId="77777777" w:rsidR="00FE7F8B" w:rsidRDefault="00FE7F8B">
            <w:pPr>
              <w:pStyle w:val="Tabletextnoindent"/>
              <w:jc w:val="right"/>
            </w:pPr>
            <w:r>
              <w:t>105.6</w:t>
            </w:r>
          </w:p>
        </w:tc>
      </w:tr>
      <w:tr w:rsidR="00FE7F8B" w14:paraId="73B2348C" w14:textId="77777777" w:rsidTr="0005782C">
        <w:trPr>
          <w:trHeight w:val="278"/>
        </w:trPr>
        <w:tc>
          <w:tcPr>
            <w:tcW w:w="3862" w:type="pct"/>
            <w:tcBorders>
              <w:top w:val="single" w:sz="4" w:space="0" w:color="auto"/>
              <w:left w:val="nil"/>
              <w:bottom w:val="single" w:sz="4" w:space="0" w:color="auto"/>
              <w:right w:val="nil"/>
            </w:tcBorders>
            <w:shd w:val="clear" w:color="auto" w:fill="FFFFFF"/>
            <w:noWrap/>
            <w:vAlign w:val="bottom"/>
            <w:hideMark/>
          </w:tcPr>
          <w:p w14:paraId="259B862D" w14:textId="77777777" w:rsidR="00FE7F8B" w:rsidRDefault="00FE7F8B">
            <w:pPr>
              <w:pStyle w:val="Tabletextnoindent"/>
              <w:rPr>
                <w:b/>
              </w:rPr>
            </w:pPr>
            <w:r>
              <w:rPr>
                <w:b/>
              </w:rPr>
              <w:t>Total other operating expenses</w:t>
            </w:r>
          </w:p>
        </w:tc>
        <w:tc>
          <w:tcPr>
            <w:tcW w:w="569" w:type="pct"/>
            <w:tcBorders>
              <w:top w:val="single" w:sz="4" w:space="0" w:color="auto"/>
              <w:left w:val="nil"/>
              <w:bottom w:val="single" w:sz="4" w:space="0" w:color="auto"/>
              <w:right w:val="nil"/>
            </w:tcBorders>
            <w:shd w:val="clear" w:color="auto" w:fill="F2F2F2" w:themeFill="background1" w:themeFillShade="F2"/>
            <w:noWrap/>
            <w:vAlign w:val="bottom"/>
            <w:hideMark/>
          </w:tcPr>
          <w:p w14:paraId="5A773301" w14:textId="77777777" w:rsidR="00FE7F8B" w:rsidRDefault="00FE7F8B">
            <w:pPr>
              <w:pStyle w:val="Tabletextnoindent"/>
              <w:jc w:val="right"/>
              <w:rPr>
                <w:b/>
              </w:rPr>
            </w:pPr>
            <w:r>
              <w:rPr>
                <w:b/>
              </w:rPr>
              <w:t xml:space="preserve"> 162.0</w:t>
            </w:r>
          </w:p>
        </w:tc>
        <w:tc>
          <w:tcPr>
            <w:tcW w:w="569" w:type="pct"/>
            <w:tcBorders>
              <w:top w:val="single" w:sz="4" w:space="0" w:color="auto"/>
              <w:left w:val="nil"/>
              <w:bottom w:val="single" w:sz="4" w:space="0" w:color="auto"/>
              <w:right w:val="nil"/>
            </w:tcBorders>
            <w:shd w:val="clear" w:color="auto" w:fill="FFFFFF"/>
            <w:noWrap/>
            <w:vAlign w:val="bottom"/>
            <w:hideMark/>
          </w:tcPr>
          <w:p w14:paraId="29EC9238" w14:textId="77777777" w:rsidR="00FE7F8B" w:rsidRDefault="00FE7F8B">
            <w:pPr>
              <w:pStyle w:val="Tabletextnoindent"/>
              <w:jc w:val="right"/>
              <w:rPr>
                <w:b/>
              </w:rPr>
            </w:pPr>
            <w:r>
              <w:t>122.6</w:t>
            </w:r>
          </w:p>
        </w:tc>
      </w:tr>
    </w:tbl>
    <w:p w14:paraId="1696E6A2" w14:textId="77777777" w:rsidR="00FE7F8B" w:rsidRDefault="00FE7F8B" w:rsidP="00AD641C">
      <w:pPr>
        <w:pStyle w:val="Heading2notes"/>
        <w:numPr>
          <w:ilvl w:val="0"/>
          <w:numId w:val="39"/>
        </w:numPr>
      </w:pPr>
      <w:bookmarkStart w:id="73" w:name="_Toc461176294"/>
      <w:bookmarkStart w:id="74" w:name="_Toc399491062"/>
      <w:r>
        <w:t>Other economic flows included in net result</w:t>
      </w:r>
      <w:bookmarkEnd w:id="73"/>
      <w:bookmarkEnd w:id="74"/>
    </w:p>
    <w:tbl>
      <w:tblPr>
        <w:tblW w:w="5000" w:type="pct"/>
        <w:tblLook w:val="04A0" w:firstRow="1" w:lastRow="0" w:firstColumn="1" w:lastColumn="0" w:noHBand="0" w:noVBand="1"/>
      </w:tblPr>
      <w:tblGrid>
        <w:gridCol w:w="5379"/>
        <w:gridCol w:w="1138"/>
        <w:gridCol w:w="1072"/>
      </w:tblGrid>
      <w:tr w:rsidR="00FE7F8B" w14:paraId="4CB4D307" w14:textId="77777777" w:rsidTr="00FE7F8B">
        <w:trPr>
          <w:trHeight w:val="240"/>
        </w:trPr>
        <w:tc>
          <w:tcPr>
            <w:tcW w:w="3544" w:type="pct"/>
            <w:shd w:val="clear" w:color="auto" w:fill="7F7F7F" w:themeFill="text1" w:themeFillTint="80"/>
            <w:noWrap/>
            <w:vAlign w:val="bottom"/>
          </w:tcPr>
          <w:p w14:paraId="361A8D6C" w14:textId="77777777" w:rsidR="00FE7F8B" w:rsidRDefault="00FE7F8B">
            <w:pPr>
              <w:pStyle w:val="Tablecolumnheading"/>
              <w:rPr>
                <w:lang w:eastAsia="en-AU"/>
              </w:rPr>
            </w:pPr>
          </w:p>
        </w:tc>
        <w:tc>
          <w:tcPr>
            <w:tcW w:w="750" w:type="pct"/>
            <w:shd w:val="clear" w:color="auto" w:fill="7F7F7F" w:themeFill="text1" w:themeFillTint="80"/>
            <w:vAlign w:val="bottom"/>
            <w:hideMark/>
          </w:tcPr>
          <w:p w14:paraId="33B04765" w14:textId="77777777" w:rsidR="00FE7F8B" w:rsidRDefault="00FE7F8B">
            <w:pPr>
              <w:pStyle w:val="Tablecolumnheading"/>
              <w:jc w:val="center"/>
              <w:rPr>
                <w:lang w:eastAsia="en-AU"/>
              </w:rPr>
            </w:pPr>
            <w:r>
              <w:rPr>
                <w:lang w:eastAsia="en-AU"/>
              </w:rPr>
              <w:t>2016</w:t>
            </w:r>
            <w:r>
              <w:rPr>
                <w:lang w:eastAsia="en-AU"/>
              </w:rPr>
              <w:br/>
              <w:t>$m</w:t>
            </w:r>
          </w:p>
        </w:tc>
        <w:tc>
          <w:tcPr>
            <w:tcW w:w="706" w:type="pct"/>
            <w:shd w:val="clear" w:color="auto" w:fill="7F7F7F" w:themeFill="text1" w:themeFillTint="80"/>
            <w:vAlign w:val="bottom"/>
            <w:hideMark/>
          </w:tcPr>
          <w:p w14:paraId="0CAFBB65" w14:textId="77777777" w:rsidR="00FE7F8B" w:rsidRDefault="00FE7F8B">
            <w:pPr>
              <w:pStyle w:val="Tablecolumnheading"/>
              <w:jc w:val="center"/>
              <w:rPr>
                <w:lang w:eastAsia="en-AU"/>
              </w:rPr>
            </w:pPr>
            <w:r>
              <w:rPr>
                <w:lang w:eastAsia="en-AU"/>
              </w:rPr>
              <w:t>2015</w:t>
            </w:r>
            <w:r>
              <w:rPr>
                <w:lang w:eastAsia="en-AU"/>
              </w:rPr>
              <w:br/>
              <w:t>$m</w:t>
            </w:r>
          </w:p>
        </w:tc>
      </w:tr>
      <w:tr w:rsidR="00FE7F8B" w14:paraId="08593712" w14:textId="77777777" w:rsidTr="00FE7F8B">
        <w:trPr>
          <w:trHeight w:val="240"/>
        </w:trPr>
        <w:tc>
          <w:tcPr>
            <w:tcW w:w="3544" w:type="pct"/>
            <w:shd w:val="clear" w:color="auto" w:fill="FFFFFF"/>
            <w:noWrap/>
            <w:vAlign w:val="bottom"/>
            <w:hideMark/>
          </w:tcPr>
          <w:p w14:paraId="50109C5E" w14:textId="77777777" w:rsidR="00FE7F8B" w:rsidRDefault="00FE7F8B">
            <w:pPr>
              <w:pStyle w:val="Tabletextnoindent"/>
              <w:rPr>
                <w:b/>
              </w:rPr>
            </w:pPr>
            <w:r>
              <w:rPr>
                <w:b/>
              </w:rPr>
              <w:t>(a) Net gain/(loss) on non-financial assets</w:t>
            </w:r>
          </w:p>
        </w:tc>
        <w:tc>
          <w:tcPr>
            <w:tcW w:w="750" w:type="pct"/>
            <w:shd w:val="clear" w:color="auto" w:fill="F2F2F2" w:themeFill="background1" w:themeFillShade="F2"/>
            <w:noWrap/>
            <w:vAlign w:val="bottom"/>
          </w:tcPr>
          <w:p w14:paraId="284BA069" w14:textId="77777777" w:rsidR="00FE7F8B" w:rsidRDefault="00FE7F8B">
            <w:pPr>
              <w:pStyle w:val="Tabletextnoindent"/>
              <w:jc w:val="right"/>
              <w:rPr>
                <w:b/>
              </w:rPr>
            </w:pPr>
          </w:p>
        </w:tc>
        <w:tc>
          <w:tcPr>
            <w:tcW w:w="706" w:type="pct"/>
            <w:shd w:val="clear" w:color="auto" w:fill="FFFFFF"/>
            <w:noWrap/>
            <w:vAlign w:val="bottom"/>
          </w:tcPr>
          <w:p w14:paraId="7855A2F3" w14:textId="77777777" w:rsidR="00FE7F8B" w:rsidRDefault="00FE7F8B">
            <w:pPr>
              <w:pStyle w:val="Tabletextnoindent"/>
              <w:jc w:val="right"/>
              <w:rPr>
                <w:b/>
              </w:rPr>
            </w:pPr>
          </w:p>
        </w:tc>
      </w:tr>
      <w:tr w:rsidR="00FE7F8B" w14:paraId="0E2C1D12" w14:textId="77777777" w:rsidTr="00FE7F8B">
        <w:trPr>
          <w:trHeight w:val="240"/>
        </w:trPr>
        <w:tc>
          <w:tcPr>
            <w:tcW w:w="3544" w:type="pct"/>
            <w:shd w:val="clear" w:color="auto" w:fill="FFFFFF"/>
            <w:noWrap/>
            <w:vAlign w:val="bottom"/>
            <w:hideMark/>
          </w:tcPr>
          <w:p w14:paraId="61A26B81" w14:textId="77777777" w:rsidR="00FE7F8B" w:rsidRDefault="00FE7F8B">
            <w:pPr>
              <w:pStyle w:val="Tabletextnoindent"/>
            </w:pPr>
            <w:r>
              <w:t>Net gain/(loss) on disposals of non-financial assets</w:t>
            </w:r>
          </w:p>
        </w:tc>
        <w:tc>
          <w:tcPr>
            <w:tcW w:w="750" w:type="pct"/>
            <w:shd w:val="clear" w:color="auto" w:fill="F2F2F2" w:themeFill="background1" w:themeFillShade="F2"/>
            <w:noWrap/>
            <w:vAlign w:val="bottom"/>
            <w:hideMark/>
          </w:tcPr>
          <w:p w14:paraId="2F031605" w14:textId="77777777" w:rsidR="00FE7F8B" w:rsidRDefault="00FE7F8B">
            <w:pPr>
              <w:pStyle w:val="Tabletextnoindent"/>
              <w:jc w:val="right"/>
            </w:pPr>
            <w:r>
              <w:rPr>
                <w:b/>
              </w:rPr>
              <w:t>0.1</w:t>
            </w:r>
          </w:p>
        </w:tc>
        <w:tc>
          <w:tcPr>
            <w:tcW w:w="706" w:type="pct"/>
            <w:shd w:val="clear" w:color="auto" w:fill="FFFFFF"/>
            <w:noWrap/>
            <w:vAlign w:val="bottom"/>
            <w:hideMark/>
          </w:tcPr>
          <w:p w14:paraId="247095B6" w14:textId="77777777" w:rsidR="00FE7F8B" w:rsidRDefault="00FE7F8B">
            <w:pPr>
              <w:pStyle w:val="Tabletextnoindent"/>
              <w:jc w:val="right"/>
            </w:pPr>
            <w:r>
              <w:t>0.7</w:t>
            </w:r>
          </w:p>
        </w:tc>
      </w:tr>
      <w:tr w:rsidR="00FE7F8B" w14:paraId="2AC4EFF8" w14:textId="77777777" w:rsidTr="00FE7F8B">
        <w:trPr>
          <w:trHeight w:val="240"/>
        </w:trPr>
        <w:tc>
          <w:tcPr>
            <w:tcW w:w="3544" w:type="pct"/>
            <w:noWrap/>
            <w:vAlign w:val="bottom"/>
            <w:hideMark/>
          </w:tcPr>
          <w:p w14:paraId="4D63E69F" w14:textId="77777777" w:rsidR="00FE7F8B" w:rsidRDefault="00FE7F8B">
            <w:pPr>
              <w:pStyle w:val="Tabletextnoindent"/>
            </w:pPr>
            <w:r>
              <w:t>Assets previously not recognised</w:t>
            </w:r>
          </w:p>
        </w:tc>
        <w:tc>
          <w:tcPr>
            <w:tcW w:w="750" w:type="pct"/>
            <w:shd w:val="clear" w:color="auto" w:fill="F2F2F2" w:themeFill="background1" w:themeFillShade="F2"/>
            <w:noWrap/>
            <w:vAlign w:val="bottom"/>
            <w:hideMark/>
          </w:tcPr>
          <w:p w14:paraId="0C934C9D" w14:textId="77777777" w:rsidR="00FE7F8B" w:rsidRDefault="00FE7F8B">
            <w:pPr>
              <w:pStyle w:val="Tabletextnoindent"/>
              <w:jc w:val="right"/>
            </w:pPr>
            <w:r>
              <w:rPr>
                <w:b/>
              </w:rPr>
              <w:t>-</w:t>
            </w:r>
          </w:p>
        </w:tc>
        <w:tc>
          <w:tcPr>
            <w:tcW w:w="706" w:type="pct"/>
            <w:noWrap/>
            <w:vAlign w:val="bottom"/>
            <w:hideMark/>
          </w:tcPr>
          <w:p w14:paraId="09EED744" w14:textId="77777777" w:rsidR="00FE7F8B" w:rsidRDefault="00FE7F8B">
            <w:pPr>
              <w:pStyle w:val="Tabletextnoindent"/>
              <w:jc w:val="right"/>
            </w:pPr>
            <w:r>
              <w:t>22.0</w:t>
            </w:r>
          </w:p>
        </w:tc>
      </w:tr>
      <w:tr w:rsidR="00FE7F8B" w14:paraId="59095D58" w14:textId="77777777" w:rsidTr="00FE7F8B">
        <w:trPr>
          <w:trHeight w:val="240"/>
        </w:trPr>
        <w:tc>
          <w:tcPr>
            <w:tcW w:w="3544" w:type="pct"/>
            <w:tcBorders>
              <w:top w:val="nil"/>
              <w:left w:val="nil"/>
              <w:bottom w:val="single" w:sz="4" w:space="0" w:color="auto"/>
              <w:right w:val="nil"/>
            </w:tcBorders>
            <w:noWrap/>
            <w:vAlign w:val="bottom"/>
            <w:hideMark/>
          </w:tcPr>
          <w:p w14:paraId="6036D3A2" w14:textId="77777777" w:rsidR="00FE7F8B" w:rsidRDefault="00FE7F8B">
            <w:pPr>
              <w:pStyle w:val="Tabletextnoindent"/>
            </w:pPr>
            <w:r>
              <w:t>Impairment of non-financial assets</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3261E630" w14:textId="77777777" w:rsidR="00FE7F8B" w:rsidRDefault="00FE7F8B">
            <w:pPr>
              <w:pStyle w:val="Tabletextnoindent"/>
              <w:jc w:val="right"/>
            </w:pPr>
            <w:r>
              <w:rPr>
                <w:b/>
              </w:rPr>
              <w:t>-</w:t>
            </w:r>
          </w:p>
        </w:tc>
        <w:tc>
          <w:tcPr>
            <w:tcW w:w="706" w:type="pct"/>
            <w:tcBorders>
              <w:top w:val="nil"/>
              <w:left w:val="nil"/>
              <w:bottom w:val="single" w:sz="4" w:space="0" w:color="auto"/>
              <w:right w:val="nil"/>
            </w:tcBorders>
            <w:noWrap/>
            <w:vAlign w:val="bottom"/>
            <w:hideMark/>
          </w:tcPr>
          <w:p w14:paraId="70C88E56" w14:textId="77777777" w:rsidR="00FE7F8B" w:rsidRDefault="00FE7F8B">
            <w:pPr>
              <w:pStyle w:val="Tabletextnoindent"/>
              <w:jc w:val="right"/>
            </w:pPr>
            <w:r>
              <w:t>(2.4)</w:t>
            </w:r>
          </w:p>
        </w:tc>
      </w:tr>
      <w:tr w:rsidR="00FE7F8B" w14:paraId="0291D766" w14:textId="77777777" w:rsidTr="00FE7F8B">
        <w:trPr>
          <w:trHeight w:val="285"/>
        </w:trPr>
        <w:tc>
          <w:tcPr>
            <w:tcW w:w="3544" w:type="pct"/>
            <w:tcBorders>
              <w:top w:val="single" w:sz="4" w:space="0" w:color="auto"/>
              <w:left w:val="nil"/>
              <w:bottom w:val="single" w:sz="4" w:space="0" w:color="auto"/>
              <w:right w:val="nil"/>
            </w:tcBorders>
            <w:noWrap/>
            <w:vAlign w:val="center"/>
            <w:hideMark/>
          </w:tcPr>
          <w:p w14:paraId="574EEC95" w14:textId="77777777" w:rsidR="00FE7F8B" w:rsidRDefault="00FE7F8B">
            <w:pPr>
              <w:pStyle w:val="Tabletextnoindent"/>
              <w:rPr>
                <w:b/>
              </w:rPr>
            </w:pPr>
            <w:r>
              <w:rPr>
                <w:b/>
              </w:rPr>
              <w:t>Total net gain/(loss) on non-financial assets</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09D6F463" w14:textId="77777777" w:rsidR="00FE7F8B" w:rsidRDefault="00FE7F8B">
            <w:pPr>
              <w:pStyle w:val="Tabletextnoindent"/>
              <w:jc w:val="right"/>
              <w:rPr>
                <w:b/>
              </w:rPr>
            </w:pPr>
            <w:r>
              <w:rPr>
                <w:b/>
              </w:rPr>
              <w:t>0.1</w:t>
            </w:r>
          </w:p>
        </w:tc>
        <w:tc>
          <w:tcPr>
            <w:tcW w:w="706" w:type="pct"/>
            <w:tcBorders>
              <w:top w:val="single" w:sz="4" w:space="0" w:color="auto"/>
              <w:left w:val="nil"/>
              <w:bottom w:val="single" w:sz="4" w:space="0" w:color="auto"/>
              <w:right w:val="nil"/>
            </w:tcBorders>
            <w:noWrap/>
            <w:vAlign w:val="bottom"/>
            <w:hideMark/>
          </w:tcPr>
          <w:p w14:paraId="166A2ECB" w14:textId="77777777" w:rsidR="00FE7F8B" w:rsidRDefault="00FE7F8B">
            <w:pPr>
              <w:pStyle w:val="Tabletextnoindent"/>
              <w:jc w:val="right"/>
              <w:rPr>
                <w:b/>
              </w:rPr>
            </w:pPr>
            <w:r>
              <w:t>20.3</w:t>
            </w:r>
          </w:p>
        </w:tc>
      </w:tr>
      <w:tr w:rsidR="00FE7F8B" w14:paraId="45782F3B" w14:textId="77777777" w:rsidTr="00FE7F8B">
        <w:trPr>
          <w:trHeight w:val="240"/>
        </w:trPr>
        <w:tc>
          <w:tcPr>
            <w:tcW w:w="3544" w:type="pct"/>
            <w:tcBorders>
              <w:top w:val="single" w:sz="4" w:space="0" w:color="auto"/>
              <w:left w:val="nil"/>
              <w:bottom w:val="nil"/>
              <w:right w:val="nil"/>
            </w:tcBorders>
            <w:noWrap/>
            <w:vAlign w:val="bottom"/>
            <w:hideMark/>
          </w:tcPr>
          <w:p w14:paraId="300119A1" w14:textId="77777777" w:rsidR="00FE7F8B" w:rsidRDefault="00FE7F8B">
            <w:pPr>
              <w:pStyle w:val="Tablerowheading18before"/>
            </w:pPr>
            <w:r>
              <w:t>(b) Net gain/(loss) on financial instruments</w:t>
            </w:r>
          </w:p>
        </w:tc>
        <w:tc>
          <w:tcPr>
            <w:tcW w:w="750" w:type="pct"/>
            <w:tcBorders>
              <w:top w:val="single" w:sz="4" w:space="0" w:color="auto"/>
              <w:left w:val="nil"/>
              <w:bottom w:val="nil"/>
              <w:right w:val="nil"/>
            </w:tcBorders>
            <w:shd w:val="clear" w:color="auto" w:fill="F2F2F2" w:themeFill="background1" w:themeFillShade="F2"/>
            <w:vAlign w:val="bottom"/>
            <w:hideMark/>
          </w:tcPr>
          <w:p w14:paraId="35410A76" w14:textId="77777777" w:rsidR="00FE7F8B" w:rsidRDefault="00FE7F8B"/>
        </w:tc>
        <w:tc>
          <w:tcPr>
            <w:tcW w:w="706" w:type="pct"/>
            <w:tcBorders>
              <w:top w:val="single" w:sz="4" w:space="0" w:color="auto"/>
              <w:left w:val="nil"/>
              <w:bottom w:val="nil"/>
              <w:right w:val="nil"/>
            </w:tcBorders>
            <w:vAlign w:val="bottom"/>
            <w:hideMark/>
          </w:tcPr>
          <w:p w14:paraId="1B3B1A99"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34A339B1" w14:textId="77777777" w:rsidTr="00FE7F8B">
        <w:trPr>
          <w:trHeight w:val="240"/>
        </w:trPr>
        <w:tc>
          <w:tcPr>
            <w:tcW w:w="3544" w:type="pct"/>
            <w:tcBorders>
              <w:top w:val="nil"/>
              <w:left w:val="nil"/>
              <w:bottom w:val="single" w:sz="4" w:space="0" w:color="auto"/>
              <w:right w:val="nil"/>
            </w:tcBorders>
            <w:noWrap/>
            <w:vAlign w:val="bottom"/>
            <w:hideMark/>
          </w:tcPr>
          <w:p w14:paraId="2EB8C77F" w14:textId="77777777" w:rsidR="00FE7F8B" w:rsidRDefault="00FE7F8B">
            <w:pPr>
              <w:pStyle w:val="Tabletextnoindent"/>
            </w:pPr>
            <w:r>
              <w:t>Impairment of loans and receivables</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01CA1D8B" w14:textId="77777777" w:rsidR="00FE7F8B" w:rsidRDefault="00FE7F8B">
            <w:pPr>
              <w:pStyle w:val="Tabletextnoindent"/>
              <w:jc w:val="right"/>
            </w:pPr>
            <w:r>
              <w:rPr>
                <w:b/>
              </w:rPr>
              <w:t>(17.4)</w:t>
            </w:r>
          </w:p>
        </w:tc>
        <w:tc>
          <w:tcPr>
            <w:tcW w:w="706" w:type="pct"/>
            <w:tcBorders>
              <w:top w:val="nil"/>
              <w:left w:val="nil"/>
              <w:bottom w:val="single" w:sz="4" w:space="0" w:color="auto"/>
              <w:right w:val="nil"/>
            </w:tcBorders>
            <w:noWrap/>
            <w:vAlign w:val="bottom"/>
            <w:hideMark/>
          </w:tcPr>
          <w:p w14:paraId="41DC1F22" w14:textId="77777777" w:rsidR="00FE7F8B" w:rsidRDefault="00FE7F8B">
            <w:pPr>
              <w:pStyle w:val="Tabletextnoindent"/>
              <w:jc w:val="right"/>
            </w:pPr>
            <w:r>
              <w:t>(7.7)</w:t>
            </w:r>
          </w:p>
        </w:tc>
      </w:tr>
      <w:tr w:rsidR="00FE7F8B" w14:paraId="1CD01B18" w14:textId="77777777" w:rsidTr="00FE7F8B">
        <w:trPr>
          <w:trHeight w:val="270"/>
        </w:trPr>
        <w:tc>
          <w:tcPr>
            <w:tcW w:w="3544" w:type="pct"/>
            <w:tcBorders>
              <w:top w:val="single" w:sz="4" w:space="0" w:color="auto"/>
              <w:left w:val="nil"/>
              <w:bottom w:val="single" w:sz="4" w:space="0" w:color="auto"/>
              <w:right w:val="nil"/>
            </w:tcBorders>
            <w:noWrap/>
            <w:vAlign w:val="center"/>
            <w:hideMark/>
          </w:tcPr>
          <w:p w14:paraId="74E8F9B7" w14:textId="77777777" w:rsidR="00FE7F8B" w:rsidRDefault="00FE7F8B">
            <w:pPr>
              <w:pStyle w:val="Tabletextnoindent"/>
              <w:rPr>
                <w:b/>
              </w:rPr>
            </w:pPr>
            <w:r>
              <w:rPr>
                <w:b/>
              </w:rPr>
              <w:t>Total net gain/(loss) on financial instruments</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28C0C716" w14:textId="77777777" w:rsidR="00FE7F8B" w:rsidRDefault="00FE7F8B">
            <w:pPr>
              <w:pStyle w:val="Tabletextnoindent"/>
              <w:jc w:val="right"/>
              <w:rPr>
                <w:b/>
              </w:rPr>
            </w:pPr>
            <w:r>
              <w:rPr>
                <w:b/>
              </w:rPr>
              <w:t>(17.4)</w:t>
            </w:r>
          </w:p>
        </w:tc>
        <w:tc>
          <w:tcPr>
            <w:tcW w:w="706" w:type="pct"/>
            <w:tcBorders>
              <w:top w:val="single" w:sz="4" w:space="0" w:color="auto"/>
              <w:left w:val="nil"/>
              <w:bottom w:val="single" w:sz="4" w:space="0" w:color="auto"/>
              <w:right w:val="nil"/>
            </w:tcBorders>
            <w:noWrap/>
            <w:vAlign w:val="bottom"/>
            <w:hideMark/>
          </w:tcPr>
          <w:p w14:paraId="06A25629" w14:textId="77777777" w:rsidR="00FE7F8B" w:rsidRDefault="00FE7F8B">
            <w:pPr>
              <w:pStyle w:val="Tabletextnoindent"/>
              <w:jc w:val="right"/>
              <w:rPr>
                <w:b/>
              </w:rPr>
            </w:pPr>
            <w:r>
              <w:t>(7.7)</w:t>
            </w:r>
          </w:p>
        </w:tc>
      </w:tr>
      <w:tr w:rsidR="00FE7F8B" w14:paraId="642BCB80" w14:textId="77777777" w:rsidTr="00FE7F8B">
        <w:trPr>
          <w:trHeight w:val="255"/>
        </w:trPr>
        <w:tc>
          <w:tcPr>
            <w:tcW w:w="3544" w:type="pct"/>
            <w:tcBorders>
              <w:top w:val="single" w:sz="4" w:space="0" w:color="auto"/>
              <w:left w:val="nil"/>
              <w:bottom w:val="nil"/>
              <w:right w:val="nil"/>
            </w:tcBorders>
            <w:noWrap/>
            <w:vAlign w:val="bottom"/>
            <w:hideMark/>
          </w:tcPr>
          <w:p w14:paraId="76AC2408" w14:textId="77777777" w:rsidR="00FE7F8B" w:rsidRDefault="00FE7F8B">
            <w:pPr>
              <w:pStyle w:val="Tablerowheading18before"/>
            </w:pPr>
            <w:r>
              <w:t>(c) Other gains/(losses) from other economic flows</w:t>
            </w:r>
          </w:p>
        </w:tc>
        <w:tc>
          <w:tcPr>
            <w:tcW w:w="750" w:type="pct"/>
            <w:tcBorders>
              <w:top w:val="single" w:sz="4" w:space="0" w:color="auto"/>
              <w:left w:val="nil"/>
              <w:bottom w:val="nil"/>
              <w:right w:val="nil"/>
            </w:tcBorders>
            <w:shd w:val="clear" w:color="auto" w:fill="F2F2F2" w:themeFill="background1" w:themeFillShade="F2"/>
            <w:vAlign w:val="bottom"/>
            <w:hideMark/>
          </w:tcPr>
          <w:p w14:paraId="44EF4F93" w14:textId="77777777" w:rsidR="00FE7F8B" w:rsidRDefault="00FE7F8B"/>
        </w:tc>
        <w:tc>
          <w:tcPr>
            <w:tcW w:w="706" w:type="pct"/>
            <w:tcBorders>
              <w:top w:val="single" w:sz="4" w:space="0" w:color="auto"/>
              <w:left w:val="nil"/>
              <w:bottom w:val="nil"/>
              <w:right w:val="nil"/>
            </w:tcBorders>
            <w:vAlign w:val="bottom"/>
            <w:hideMark/>
          </w:tcPr>
          <w:p w14:paraId="2BCCA03B" w14:textId="77777777" w:rsidR="00FE7F8B" w:rsidRDefault="00FE7F8B">
            <w:pPr>
              <w:spacing w:after="0" w:line="276" w:lineRule="auto"/>
              <w:rPr>
                <w:rFonts w:asciiTheme="minorHAnsi" w:eastAsiaTheme="minorHAnsi" w:hAnsiTheme="minorHAnsi" w:cstheme="minorBidi"/>
                <w:color w:val="auto"/>
                <w:sz w:val="20"/>
                <w:szCs w:val="20"/>
                <w:lang w:eastAsia="en-AU"/>
              </w:rPr>
            </w:pPr>
          </w:p>
        </w:tc>
      </w:tr>
      <w:tr w:rsidR="00FE7F8B" w14:paraId="66AC8B6E" w14:textId="77777777" w:rsidTr="00FE7F8B">
        <w:trPr>
          <w:trHeight w:val="240"/>
        </w:trPr>
        <w:tc>
          <w:tcPr>
            <w:tcW w:w="3544" w:type="pct"/>
            <w:tcBorders>
              <w:top w:val="nil"/>
              <w:left w:val="nil"/>
              <w:bottom w:val="single" w:sz="4" w:space="0" w:color="auto"/>
              <w:right w:val="nil"/>
            </w:tcBorders>
            <w:shd w:val="clear" w:color="auto" w:fill="FFFFFF"/>
            <w:noWrap/>
            <w:vAlign w:val="bottom"/>
            <w:hideMark/>
          </w:tcPr>
          <w:p w14:paraId="7F2AE60E" w14:textId="77777777" w:rsidR="00FE7F8B" w:rsidRDefault="00FE7F8B">
            <w:pPr>
              <w:pStyle w:val="Tabletextnoindent"/>
            </w:pPr>
            <w:r>
              <w:t>Net gain/(loss) arising from revaluation of long service leave liability</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2BC8B141" w14:textId="77777777" w:rsidR="00FE7F8B" w:rsidRDefault="00FE7F8B">
            <w:pPr>
              <w:pStyle w:val="Tabletextnoindent"/>
              <w:jc w:val="right"/>
            </w:pPr>
            <w:r>
              <w:rPr>
                <w:b/>
              </w:rPr>
              <w:t>(31.1)</w:t>
            </w:r>
          </w:p>
        </w:tc>
        <w:tc>
          <w:tcPr>
            <w:tcW w:w="706" w:type="pct"/>
            <w:tcBorders>
              <w:top w:val="nil"/>
              <w:left w:val="nil"/>
              <w:bottom w:val="single" w:sz="4" w:space="0" w:color="auto"/>
              <w:right w:val="nil"/>
            </w:tcBorders>
            <w:shd w:val="clear" w:color="auto" w:fill="FFFFFF"/>
            <w:noWrap/>
            <w:vAlign w:val="bottom"/>
            <w:hideMark/>
          </w:tcPr>
          <w:p w14:paraId="4D44E25B" w14:textId="77777777" w:rsidR="00FE7F8B" w:rsidRDefault="00FE7F8B">
            <w:pPr>
              <w:pStyle w:val="Tabletextnoindent"/>
              <w:jc w:val="right"/>
            </w:pPr>
            <w:r>
              <w:t>(34.2)</w:t>
            </w:r>
          </w:p>
        </w:tc>
      </w:tr>
      <w:tr w:rsidR="00FE7F8B" w14:paraId="4D915304" w14:textId="77777777" w:rsidTr="00FE7F8B">
        <w:trPr>
          <w:trHeight w:val="255"/>
        </w:trPr>
        <w:tc>
          <w:tcPr>
            <w:tcW w:w="3544" w:type="pct"/>
            <w:tcBorders>
              <w:top w:val="single" w:sz="4" w:space="0" w:color="auto"/>
              <w:left w:val="nil"/>
              <w:bottom w:val="single" w:sz="4" w:space="0" w:color="auto"/>
              <w:right w:val="nil"/>
            </w:tcBorders>
            <w:shd w:val="clear" w:color="auto" w:fill="FFFFFF"/>
            <w:noWrap/>
            <w:vAlign w:val="center"/>
            <w:hideMark/>
          </w:tcPr>
          <w:p w14:paraId="046DFB04" w14:textId="77777777" w:rsidR="00FE7F8B" w:rsidRDefault="00FE7F8B">
            <w:pPr>
              <w:pStyle w:val="Tabletextnoindent"/>
              <w:rPr>
                <w:b/>
              </w:rPr>
            </w:pPr>
            <w:r>
              <w:rPr>
                <w:b/>
              </w:rPr>
              <w:t>Total other gains/(losses) from other economic flows</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0A438C31" w14:textId="77777777" w:rsidR="00FE7F8B" w:rsidRDefault="00FE7F8B">
            <w:pPr>
              <w:pStyle w:val="Tabletextnoindent"/>
              <w:jc w:val="right"/>
              <w:rPr>
                <w:b/>
              </w:rPr>
            </w:pPr>
            <w:r>
              <w:rPr>
                <w:b/>
              </w:rPr>
              <w:t>(31.1)</w:t>
            </w:r>
          </w:p>
        </w:tc>
        <w:tc>
          <w:tcPr>
            <w:tcW w:w="706" w:type="pct"/>
            <w:tcBorders>
              <w:top w:val="single" w:sz="4" w:space="0" w:color="auto"/>
              <w:left w:val="nil"/>
              <w:bottom w:val="single" w:sz="4" w:space="0" w:color="auto"/>
              <w:right w:val="nil"/>
            </w:tcBorders>
            <w:shd w:val="clear" w:color="auto" w:fill="FFFFFF"/>
            <w:noWrap/>
            <w:vAlign w:val="bottom"/>
            <w:hideMark/>
          </w:tcPr>
          <w:p w14:paraId="5C65EF11" w14:textId="77777777" w:rsidR="00FE7F8B" w:rsidRDefault="00FE7F8B">
            <w:pPr>
              <w:pStyle w:val="Tabletextnoindent"/>
              <w:jc w:val="right"/>
              <w:rPr>
                <w:b/>
              </w:rPr>
            </w:pPr>
            <w:r>
              <w:t>(34.2)</w:t>
            </w:r>
          </w:p>
        </w:tc>
      </w:tr>
    </w:tbl>
    <w:p w14:paraId="5B2A933F" w14:textId="77777777" w:rsidR="00FE7F8B" w:rsidRDefault="00FE7F8B" w:rsidP="00FE7F8B">
      <w:pPr>
        <w:spacing w:after="0" w:line="240" w:lineRule="auto"/>
        <w:sectPr w:rsidR="00FE7F8B">
          <w:footnotePr>
            <w:numRestart w:val="eachPage"/>
          </w:footnotePr>
          <w:pgSz w:w="11909" w:h="16834"/>
          <w:pgMar w:top="1814" w:right="1701" w:bottom="1418" w:left="2835" w:header="709" w:footer="709" w:gutter="0"/>
          <w:cols w:space="720"/>
        </w:sectPr>
      </w:pPr>
    </w:p>
    <w:p w14:paraId="0B5FCD14" w14:textId="77777777" w:rsidR="00FE7F8B" w:rsidRDefault="00FE7F8B" w:rsidP="00AD641C">
      <w:pPr>
        <w:pStyle w:val="Heading2notes"/>
        <w:numPr>
          <w:ilvl w:val="0"/>
          <w:numId w:val="39"/>
        </w:numPr>
      </w:pPr>
      <w:bookmarkStart w:id="75" w:name="_Toc399491063"/>
      <w:bookmarkStart w:id="76" w:name="_Toc461176295"/>
      <w:bookmarkStart w:id="77" w:name="appropriations"/>
      <w:r>
        <w:t>Summary of compliance with annual parliamentary and special appropriations</w:t>
      </w:r>
      <w:bookmarkEnd w:id="75"/>
      <w:bookmarkEnd w:id="76"/>
    </w:p>
    <w:bookmarkEnd w:id="77"/>
    <w:p w14:paraId="754B2F09" w14:textId="77777777" w:rsidR="00FE7F8B" w:rsidRDefault="00FE7F8B" w:rsidP="00AD641C">
      <w:pPr>
        <w:pStyle w:val="Heading3notesnumbered"/>
        <w:numPr>
          <w:ilvl w:val="0"/>
          <w:numId w:val="45"/>
        </w:numPr>
      </w:pPr>
      <w:r>
        <w:t>Summary of compliance with annual parliamentary appropriations</w:t>
      </w:r>
    </w:p>
    <w:p w14:paraId="60586401" w14:textId="77777777" w:rsidR="00FE7F8B" w:rsidRDefault="00FE7F8B" w:rsidP="00FE7F8B">
      <w:r>
        <w:t>The following table discloses the details of the various parliamentary appropriations received by the Department for the year. In accordance with accrual output-based management procedures, ‘</w:t>
      </w:r>
      <w:proofErr w:type="gramStart"/>
      <w:r>
        <w:t>provision for outputs’ and ‘additions to net assets’ are</w:t>
      </w:r>
      <w:proofErr w:type="gramEnd"/>
      <w:r>
        <w:t xml:space="preserve"> disclosed as ‘controlled activities’ of the Department. Administered transactions are those that are undertaken on behalf of the State over which the Department has no control or discretion.</w:t>
      </w:r>
    </w:p>
    <w:tbl>
      <w:tblPr>
        <w:tblpPr w:leftFromText="180" w:rightFromText="180" w:bottomFromText="200" w:vertAnchor="text" w:tblpY="3"/>
        <w:tblW w:w="5000" w:type="pct"/>
        <w:tblLayout w:type="fixed"/>
        <w:tblLook w:val="04A0" w:firstRow="1" w:lastRow="0" w:firstColumn="1" w:lastColumn="0" w:noHBand="0" w:noVBand="1"/>
      </w:tblPr>
      <w:tblGrid>
        <w:gridCol w:w="1383"/>
        <w:gridCol w:w="1188"/>
        <w:gridCol w:w="1479"/>
        <w:gridCol w:w="236"/>
        <w:gridCol w:w="835"/>
        <w:gridCol w:w="761"/>
        <w:gridCol w:w="761"/>
        <w:gridCol w:w="761"/>
        <w:gridCol w:w="1290"/>
        <w:gridCol w:w="236"/>
        <w:gridCol w:w="1668"/>
        <w:gridCol w:w="1275"/>
        <w:gridCol w:w="902"/>
      </w:tblGrid>
      <w:tr w:rsidR="00FE7F8B" w14:paraId="7C689654" w14:textId="77777777" w:rsidTr="00750088">
        <w:trPr>
          <w:trHeight w:hRule="exact" w:val="340"/>
        </w:trPr>
        <w:tc>
          <w:tcPr>
            <w:tcW w:w="541" w:type="pct"/>
            <w:shd w:val="clear" w:color="auto" w:fill="7F7F7F" w:themeFill="text1" w:themeFillTint="80"/>
            <w:noWrap/>
          </w:tcPr>
          <w:p w14:paraId="3A015E65" w14:textId="77777777" w:rsidR="00FE7F8B" w:rsidRDefault="00FE7F8B">
            <w:pPr>
              <w:pStyle w:val="Tablecolumnheading"/>
              <w:rPr>
                <w:lang w:eastAsia="en-AU"/>
              </w:rPr>
            </w:pPr>
          </w:p>
        </w:tc>
        <w:tc>
          <w:tcPr>
            <w:tcW w:w="1044" w:type="pct"/>
            <w:gridSpan w:val="2"/>
            <w:shd w:val="clear" w:color="auto" w:fill="7F7F7F" w:themeFill="text1" w:themeFillTint="80"/>
            <w:vAlign w:val="bottom"/>
            <w:hideMark/>
          </w:tcPr>
          <w:p w14:paraId="618F0EF9" w14:textId="77777777" w:rsidR="00FE7F8B" w:rsidRDefault="00FE7F8B">
            <w:pPr>
              <w:pStyle w:val="Tablecolumnheading"/>
              <w:jc w:val="center"/>
              <w:rPr>
                <w:i/>
                <w:sz w:val="16"/>
                <w:szCs w:val="16"/>
                <w:lang w:eastAsia="en-AU"/>
              </w:rPr>
            </w:pPr>
            <w:r>
              <w:rPr>
                <w:i/>
                <w:sz w:val="16"/>
                <w:szCs w:val="16"/>
                <w:lang w:eastAsia="en-AU"/>
              </w:rPr>
              <w:t>Appropriation Act</w:t>
            </w:r>
          </w:p>
        </w:tc>
        <w:tc>
          <w:tcPr>
            <w:tcW w:w="92" w:type="pct"/>
            <w:shd w:val="clear" w:color="auto" w:fill="7F7F7F" w:themeFill="text1" w:themeFillTint="80"/>
            <w:vAlign w:val="bottom"/>
          </w:tcPr>
          <w:p w14:paraId="483E4ED5" w14:textId="77777777" w:rsidR="00FE7F8B" w:rsidRDefault="00FE7F8B">
            <w:pPr>
              <w:pStyle w:val="Tablecolumnheading"/>
              <w:jc w:val="center"/>
              <w:rPr>
                <w:sz w:val="16"/>
                <w:szCs w:val="16"/>
                <w:lang w:eastAsia="en-AU"/>
              </w:rPr>
            </w:pPr>
          </w:p>
        </w:tc>
        <w:tc>
          <w:tcPr>
            <w:tcW w:w="1725" w:type="pct"/>
            <w:gridSpan w:val="5"/>
            <w:shd w:val="clear" w:color="auto" w:fill="7F7F7F" w:themeFill="text1" w:themeFillTint="80"/>
            <w:vAlign w:val="bottom"/>
            <w:hideMark/>
          </w:tcPr>
          <w:p w14:paraId="19631C32" w14:textId="77777777" w:rsidR="00FE7F8B" w:rsidRDefault="00FE7F8B">
            <w:pPr>
              <w:pStyle w:val="Tablecolumnheading"/>
              <w:jc w:val="center"/>
              <w:rPr>
                <w:sz w:val="16"/>
                <w:szCs w:val="16"/>
                <w:lang w:eastAsia="en-AU"/>
              </w:rPr>
            </w:pPr>
            <w:r>
              <w:rPr>
                <w:i/>
                <w:sz w:val="16"/>
                <w:szCs w:val="16"/>
                <w:lang w:eastAsia="en-AU"/>
              </w:rPr>
              <w:t>Financial Management Act</w:t>
            </w:r>
            <w:r>
              <w:rPr>
                <w:sz w:val="16"/>
                <w:szCs w:val="16"/>
                <w:lang w:eastAsia="en-AU"/>
              </w:rPr>
              <w:t xml:space="preserve"> 1994</w:t>
            </w:r>
          </w:p>
        </w:tc>
        <w:tc>
          <w:tcPr>
            <w:tcW w:w="92" w:type="pct"/>
            <w:shd w:val="clear" w:color="auto" w:fill="7F7F7F" w:themeFill="text1" w:themeFillTint="80"/>
            <w:noWrap/>
            <w:vAlign w:val="bottom"/>
          </w:tcPr>
          <w:p w14:paraId="0A3D6357" w14:textId="77777777" w:rsidR="00FE7F8B" w:rsidRDefault="00FE7F8B">
            <w:pPr>
              <w:pStyle w:val="Tablecolumnheading"/>
              <w:jc w:val="center"/>
              <w:rPr>
                <w:sz w:val="16"/>
                <w:szCs w:val="16"/>
                <w:lang w:eastAsia="en-AU"/>
              </w:rPr>
            </w:pPr>
          </w:p>
        </w:tc>
        <w:tc>
          <w:tcPr>
            <w:tcW w:w="1505" w:type="pct"/>
            <w:gridSpan w:val="3"/>
            <w:shd w:val="clear" w:color="auto" w:fill="7F7F7F" w:themeFill="text1" w:themeFillTint="80"/>
            <w:vAlign w:val="bottom"/>
          </w:tcPr>
          <w:p w14:paraId="7018A46B" w14:textId="77777777" w:rsidR="00FE7F8B" w:rsidRDefault="00FE7F8B">
            <w:pPr>
              <w:pStyle w:val="Tablecolumnheading"/>
              <w:jc w:val="center"/>
              <w:rPr>
                <w:sz w:val="16"/>
                <w:szCs w:val="16"/>
                <w:lang w:eastAsia="en-AU"/>
              </w:rPr>
            </w:pPr>
          </w:p>
        </w:tc>
      </w:tr>
      <w:tr w:rsidR="00FE7F8B" w14:paraId="5E52C24D" w14:textId="77777777" w:rsidTr="00FE3FF7">
        <w:trPr>
          <w:trHeight w:hRule="exact" w:val="567"/>
        </w:trPr>
        <w:tc>
          <w:tcPr>
            <w:tcW w:w="541" w:type="pct"/>
            <w:shd w:val="clear" w:color="auto" w:fill="7F7F7F" w:themeFill="text1" w:themeFillTint="80"/>
            <w:noWrap/>
          </w:tcPr>
          <w:p w14:paraId="535BFF4A" w14:textId="77777777" w:rsidR="00FE7F8B" w:rsidRDefault="00FE7F8B">
            <w:pPr>
              <w:pStyle w:val="Tablecolumnheading"/>
              <w:rPr>
                <w:lang w:eastAsia="en-AU"/>
              </w:rPr>
            </w:pPr>
          </w:p>
        </w:tc>
        <w:tc>
          <w:tcPr>
            <w:tcW w:w="465" w:type="pct"/>
            <w:shd w:val="clear" w:color="auto" w:fill="7F7F7F" w:themeFill="text1" w:themeFillTint="80"/>
            <w:hideMark/>
          </w:tcPr>
          <w:p w14:paraId="0B5D8D95" w14:textId="77777777" w:rsidR="00FE7F8B" w:rsidRDefault="00FE7F8B">
            <w:pPr>
              <w:pStyle w:val="Tablecolumnheading"/>
              <w:jc w:val="center"/>
              <w:rPr>
                <w:sz w:val="14"/>
                <w:szCs w:val="14"/>
                <w:lang w:eastAsia="en-AU"/>
              </w:rPr>
            </w:pPr>
            <w:r>
              <w:rPr>
                <w:sz w:val="14"/>
                <w:szCs w:val="14"/>
                <w:lang w:eastAsia="en-AU"/>
              </w:rPr>
              <w:t>Annual appropriation</w:t>
            </w:r>
          </w:p>
        </w:tc>
        <w:tc>
          <w:tcPr>
            <w:tcW w:w="579" w:type="pct"/>
            <w:shd w:val="clear" w:color="auto" w:fill="7F7F7F" w:themeFill="text1" w:themeFillTint="80"/>
            <w:hideMark/>
          </w:tcPr>
          <w:p w14:paraId="1F0D3C7C" w14:textId="77777777" w:rsidR="00FE7F8B" w:rsidRDefault="00FE7F8B">
            <w:pPr>
              <w:pStyle w:val="Tablecolumnheading"/>
              <w:jc w:val="center"/>
              <w:rPr>
                <w:sz w:val="14"/>
                <w:szCs w:val="14"/>
                <w:lang w:eastAsia="en-AU"/>
              </w:rPr>
            </w:pPr>
            <w:r>
              <w:rPr>
                <w:sz w:val="14"/>
                <w:szCs w:val="14"/>
                <w:lang w:eastAsia="en-AU"/>
              </w:rPr>
              <w:t>Advance from Treasurer</w:t>
            </w:r>
          </w:p>
        </w:tc>
        <w:tc>
          <w:tcPr>
            <w:tcW w:w="92" w:type="pct"/>
            <w:tcBorders>
              <w:top w:val="nil"/>
              <w:left w:val="nil"/>
              <w:bottom w:val="nil"/>
              <w:right w:val="single" w:sz="4" w:space="0" w:color="FFFFFF" w:themeColor="background1"/>
            </w:tcBorders>
            <w:shd w:val="clear" w:color="auto" w:fill="7F7F7F" w:themeFill="text1" w:themeFillTint="80"/>
          </w:tcPr>
          <w:p w14:paraId="59D63318" w14:textId="77777777" w:rsidR="00FE7F8B" w:rsidRDefault="00FE7F8B">
            <w:pPr>
              <w:pStyle w:val="Tablecolumnheading"/>
              <w:jc w:val="center"/>
              <w:rPr>
                <w:sz w:val="14"/>
                <w:szCs w:val="14"/>
                <w:lang w:eastAsia="en-AU"/>
              </w:rPr>
            </w:pPr>
          </w:p>
        </w:tc>
        <w:tc>
          <w:tcPr>
            <w:tcW w:w="327" w:type="pct"/>
            <w:tcBorders>
              <w:top w:val="nil"/>
              <w:left w:val="single" w:sz="4" w:space="0" w:color="FFFFFF" w:themeColor="background1"/>
              <w:bottom w:val="nil"/>
              <w:right w:val="nil"/>
            </w:tcBorders>
            <w:shd w:val="clear" w:color="auto" w:fill="7F7F7F" w:themeFill="text1" w:themeFillTint="80"/>
            <w:hideMark/>
          </w:tcPr>
          <w:p w14:paraId="0972F597" w14:textId="77777777" w:rsidR="00FE7F8B" w:rsidRDefault="00FE7F8B">
            <w:pPr>
              <w:pStyle w:val="Tablecolumnheading"/>
              <w:jc w:val="center"/>
              <w:rPr>
                <w:sz w:val="14"/>
                <w:szCs w:val="14"/>
                <w:lang w:eastAsia="en-AU"/>
              </w:rPr>
            </w:pPr>
            <w:r>
              <w:rPr>
                <w:sz w:val="14"/>
                <w:szCs w:val="14"/>
                <w:lang w:eastAsia="en-AU"/>
              </w:rPr>
              <w:t>Section 3(2)</w:t>
            </w:r>
          </w:p>
        </w:tc>
        <w:tc>
          <w:tcPr>
            <w:tcW w:w="298" w:type="pct"/>
            <w:shd w:val="clear" w:color="auto" w:fill="7F7F7F" w:themeFill="text1" w:themeFillTint="80"/>
            <w:hideMark/>
          </w:tcPr>
          <w:p w14:paraId="1A445B7A" w14:textId="77777777" w:rsidR="00FE7F8B" w:rsidRDefault="00FE7F8B">
            <w:pPr>
              <w:pStyle w:val="Tablecolumnheading"/>
              <w:jc w:val="center"/>
              <w:rPr>
                <w:sz w:val="14"/>
                <w:szCs w:val="14"/>
                <w:lang w:eastAsia="en-AU"/>
              </w:rPr>
            </w:pPr>
            <w:r>
              <w:rPr>
                <w:sz w:val="14"/>
                <w:szCs w:val="14"/>
                <w:lang w:eastAsia="en-AU"/>
              </w:rPr>
              <w:t>Section 29</w:t>
            </w:r>
          </w:p>
        </w:tc>
        <w:tc>
          <w:tcPr>
            <w:tcW w:w="298" w:type="pct"/>
            <w:shd w:val="clear" w:color="auto" w:fill="7F7F7F" w:themeFill="text1" w:themeFillTint="80"/>
            <w:hideMark/>
          </w:tcPr>
          <w:p w14:paraId="4B7624F2" w14:textId="77777777" w:rsidR="00FE7F8B" w:rsidRDefault="00FE7F8B">
            <w:pPr>
              <w:pStyle w:val="Tablecolumnheading"/>
              <w:jc w:val="center"/>
              <w:rPr>
                <w:sz w:val="14"/>
                <w:szCs w:val="14"/>
                <w:lang w:eastAsia="en-AU"/>
              </w:rPr>
            </w:pPr>
            <w:r>
              <w:rPr>
                <w:sz w:val="14"/>
                <w:szCs w:val="14"/>
                <w:lang w:eastAsia="en-AU"/>
              </w:rPr>
              <w:t>Section 30</w:t>
            </w:r>
          </w:p>
        </w:tc>
        <w:tc>
          <w:tcPr>
            <w:tcW w:w="298" w:type="pct"/>
            <w:shd w:val="clear" w:color="auto" w:fill="7F7F7F" w:themeFill="text1" w:themeFillTint="80"/>
            <w:hideMark/>
          </w:tcPr>
          <w:p w14:paraId="0E7438A6" w14:textId="77777777" w:rsidR="00FE7F8B" w:rsidRDefault="00FE7F8B">
            <w:pPr>
              <w:pStyle w:val="Tablecolumnheading"/>
              <w:jc w:val="center"/>
              <w:rPr>
                <w:sz w:val="14"/>
                <w:szCs w:val="14"/>
                <w:lang w:eastAsia="en-AU"/>
              </w:rPr>
            </w:pPr>
            <w:r>
              <w:rPr>
                <w:sz w:val="14"/>
                <w:szCs w:val="14"/>
                <w:lang w:eastAsia="en-AU"/>
              </w:rPr>
              <w:t>Section 32</w:t>
            </w:r>
          </w:p>
        </w:tc>
        <w:tc>
          <w:tcPr>
            <w:tcW w:w="505" w:type="pct"/>
            <w:shd w:val="clear" w:color="auto" w:fill="7F7F7F" w:themeFill="text1" w:themeFillTint="80"/>
            <w:hideMark/>
          </w:tcPr>
          <w:p w14:paraId="1BADFEE4" w14:textId="77777777" w:rsidR="00FE7F8B" w:rsidRDefault="00FE7F8B">
            <w:pPr>
              <w:pStyle w:val="Tablecolumnheading"/>
              <w:jc w:val="center"/>
              <w:rPr>
                <w:sz w:val="14"/>
                <w:szCs w:val="14"/>
                <w:lang w:eastAsia="en-AU"/>
              </w:rPr>
            </w:pPr>
            <w:r>
              <w:rPr>
                <w:sz w:val="14"/>
                <w:szCs w:val="14"/>
                <w:lang w:eastAsia="en-AU"/>
              </w:rPr>
              <w:t>Section 35 advances</w:t>
            </w:r>
          </w:p>
        </w:tc>
        <w:tc>
          <w:tcPr>
            <w:tcW w:w="92" w:type="pct"/>
            <w:tcBorders>
              <w:top w:val="nil"/>
              <w:left w:val="nil"/>
              <w:bottom w:val="nil"/>
              <w:right w:val="single" w:sz="4" w:space="0" w:color="FFFFFF" w:themeColor="background1"/>
            </w:tcBorders>
            <w:shd w:val="clear" w:color="auto" w:fill="7F7F7F" w:themeFill="text1" w:themeFillTint="80"/>
            <w:noWrap/>
          </w:tcPr>
          <w:p w14:paraId="7D182859" w14:textId="77777777" w:rsidR="00FE7F8B" w:rsidRDefault="00FE7F8B">
            <w:pPr>
              <w:pStyle w:val="Tablecolumnheading"/>
              <w:jc w:val="center"/>
              <w:rPr>
                <w:sz w:val="14"/>
                <w:szCs w:val="14"/>
                <w:lang w:eastAsia="en-AU"/>
              </w:rPr>
            </w:pPr>
          </w:p>
        </w:tc>
        <w:tc>
          <w:tcPr>
            <w:tcW w:w="653" w:type="pct"/>
            <w:tcBorders>
              <w:top w:val="nil"/>
              <w:left w:val="single" w:sz="4" w:space="0" w:color="FFFFFF" w:themeColor="background1"/>
              <w:bottom w:val="nil"/>
              <w:right w:val="nil"/>
            </w:tcBorders>
            <w:shd w:val="clear" w:color="auto" w:fill="7F7F7F" w:themeFill="text1" w:themeFillTint="80"/>
            <w:hideMark/>
          </w:tcPr>
          <w:p w14:paraId="22D0CF07" w14:textId="77777777" w:rsidR="00FE7F8B" w:rsidRDefault="00FE7F8B">
            <w:pPr>
              <w:pStyle w:val="Tablecolumnheading"/>
              <w:jc w:val="center"/>
              <w:rPr>
                <w:sz w:val="14"/>
                <w:szCs w:val="14"/>
                <w:lang w:eastAsia="en-AU"/>
              </w:rPr>
            </w:pPr>
            <w:r>
              <w:rPr>
                <w:sz w:val="14"/>
                <w:szCs w:val="14"/>
                <w:lang w:eastAsia="en-AU"/>
              </w:rPr>
              <w:t>Total parliamentary authority</w:t>
            </w:r>
          </w:p>
        </w:tc>
        <w:tc>
          <w:tcPr>
            <w:tcW w:w="499" w:type="pct"/>
            <w:shd w:val="clear" w:color="auto" w:fill="7F7F7F" w:themeFill="text1" w:themeFillTint="80"/>
            <w:hideMark/>
          </w:tcPr>
          <w:p w14:paraId="3FA2FA36" w14:textId="77777777" w:rsidR="00FE7F8B" w:rsidRDefault="00FE7F8B">
            <w:pPr>
              <w:pStyle w:val="Tablecolumnheading"/>
              <w:jc w:val="center"/>
              <w:rPr>
                <w:sz w:val="14"/>
                <w:szCs w:val="14"/>
                <w:lang w:eastAsia="en-AU"/>
              </w:rPr>
            </w:pPr>
            <w:r>
              <w:rPr>
                <w:sz w:val="14"/>
                <w:szCs w:val="14"/>
                <w:lang w:eastAsia="en-AU"/>
              </w:rPr>
              <w:t>Appropriations applied</w:t>
            </w:r>
          </w:p>
        </w:tc>
        <w:tc>
          <w:tcPr>
            <w:tcW w:w="353" w:type="pct"/>
            <w:shd w:val="clear" w:color="auto" w:fill="7F7F7F" w:themeFill="text1" w:themeFillTint="80"/>
            <w:hideMark/>
          </w:tcPr>
          <w:p w14:paraId="6A65CC12" w14:textId="77777777" w:rsidR="00FE7F8B" w:rsidRDefault="00FE7F8B">
            <w:pPr>
              <w:pStyle w:val="Tablecolumnheading"/>
              <w:jc w:val="center"/>
              <w:rPr>
                <w:sz w:val="14"/>
                <w:szCs w:val="14"/>
                <w:lang w:eastAsia="en-AU"/>
              </w:rPr>
            </w:pPr>
            <w:r>
              <w:rPr>
                <w:sz w:val="14"/>
                <w:szCs w:val="14"/>
                <w:lang w:eastAsia="en-AU"/>
              </w:rPr>
              <w:t>Variance</w:t>
            </w:r>
            <w:r>
              <w:rPr>
                <w:rStyle w:val="FootnoteReference"/>
                <w:sz w:val="14"/>
                <w:szCs w:val="14"/>
                <w:lang w:eastAsia="en-AU"/>
              </w:rPr>
              <w:footnoteReference w:id="6"/>
            </w:r>
          </w:p>
        </w:tc>
      </w:tr>
      <w:tr w:rsidR="00FE7F8B" w14:paraId="25E1B4F8" w14:textId="77777777" w:rsidTr="00FE3FF7">
        <w:trPr>
          <w:trHeight w:hRule="exact" w:val="284"/>
        </w:trPr>
        <w:tc>
          <w:tcPr>
            <w:tcW w:w="541" w:type="pct"/>
            <w:shd w:val="clear" w:color="auto" w:fill="7F7F7F" w:themeFill="text1" w:themeFillTint="80"/>
            <w:noWrap/>
          </w:tcPr>
          <w:p w14:paraId="27F4F62A" w14:textId="77777777" w:rsidR="00FE7F8B" w:rsidRDefault="00FE7F8B">
            <w:pPr>
              <w:pStyle w:val="Tablecolumnheading"/>
              <w:rPr>
                <w:lang w:eastAsia="en-AU"/>
              </w:rPr>
            </w:pPr>
          </w:p>
        </w:tc>
        <w:tc>
          <w:tcPr>
            <w:tcW w:w="465" w:type="pct"/>
            <w:shd w:val="clear" w:color="auto" w:fill="7F7F7F" w:themeFill="text1" w:themeFillTint="80"/>
            <w:hideMark/>
          </w:tcPr>
          <w:p w14:paraId="7B947C33" w14:textId="77777777" w:rsidR="00FE7F8B" w:rsidRDefault="00FE7F8B">
            <w:pPr>
              <w:pStyle w:val="Tablecolumnheading"/>
              <w:jc w:val="center"/>
              <w:rPr>
                <w:sz w:val="14"/>
                <w:szCs w:val="14"/>
                <w:lang w:eastAsia="en-AU"/>
              </w:rPr>
            </w:pPr>
            <w:r>
              <w:rPr>
                <w:sz w:val="14"/>
                <w:szCs w:val="14"/>
                <w:lang w:eastAsia="en-AU"/>
              </w:rPr>
              <w:t>$m</w:t>
            </w:r>
          </w:p>
        </w:tc>
        <w:tc>
          <w:tcPr>
            <w:tcW w:w="579" w:type="pct"/>
            <w:shd w:val="clear" w:color="auto" w:fill="7F7F7F" w:themeFill="text1" w:themeFillTint="80"/>
            <w:hideMark/>
          </w:tcPr>
          <w:p w14:paraId="0A6DB3A8" w14:textId="77777777" w:rsidR="00FE7F8B" w:rsidRDefault="00FE7F8B">
            <w:pPr>
              <w:pStyle w:val="Tablecolumnheading"/>
              <w:jc w:val="center"/>
              <w:rPr>
                <w:sz w:val="14"/>
                <w:szCs w:val="14"/>
                <w:lang w:eastAsia="en-AU"/>
              </w:rPr>
            </w:pPr>
            <w:r>
              <w:rPr>
                <w:sz w:val="14"/>
                <w:szCs w:val="14"/>
                <w:lang w:eastAsia="en-AU"/>
              </w:rPr>
              <w:t>$m</w:t>
            </w:r>
          </w:p>
        </w:tc>
        <w:tc>
          <w:tcPr>
            <w:tcW w:w="92" w:type="pct"/>
            <w:tcBorders>
              <w:top w:val="nil"/>
              <w:left w:val="nil"/>
              <w:bottom w:val="nil"/>
              <w:right w:val="single" w:sz="4" w:space="0" w:color="FFFFFF" w:themeColor="background1"/>
            </w:tcBorders>
            <w:shd w:val="clear" w:color="auto" w:fill="7F7F7F" w:themeFill="text1" w:themeFillTint="80"/>
          </w:tcPr>
          <w:p w14:paraId="2D91E2B7" w14:textId="77777777" w:rsidR="00FE7F8B" w:rsidRDefault="00FE7F8B">
            <w:pPr>
              <w:pStyle w:val="Tablecolumnheading"/>
              <w:jc w:val="center"/>
              <w:rPr>
                <w:sz w:val="14"/>
                <w:szCs w:val="14"/>
                <w:lang w:eastAsia="en-AU"/>
              </w:rPr>
            </w:pPr>
          </w:p>
        </w:tc>
        <w:tc>
          <w:tcPr>
            <w:tcW w:w="327" w:type="pct"/>
            <w:tcBorders>
              <w:top w:val="nil"/>
              <w:left w:val="single" w:sz="4" w:space="0" w:color="FFFFFF" w:themeColor="background1"/>
              <w:bottom w:val="nil"/>
              <w:right w:val="nil"/>
            </w:tcBorders>
            <w:shd w:val="clear" w:color="auto" w:fill="7F7F7F" w:themeFill="text1" w:themeFillTint="80"/>
            <w:hideMark/>
          </w:tcPr>
          <w:p w14:paraId="50B3402D" w14:textId="77777777" w:rsidR="00FE7F8B" w:rsidRDefault="00FE7F8B">
            <w:pPr>
              <w:pStyle w:val="Tablecolumnheading"/>
              <w:jc w:val="center"/>
              <w:rPr>
                <w:sz w:val="14"/>
                <w:szCs w:val="14"/>
                <w:lang w:eastAsia="en-AU"/>
              </w:rPr>
            </w:pPr>
            <w:r>
              <w:rPr>
                <w:sz w:val="14"/>
                <w:szCs w:val="14"/>
                <w:lang w:eastAsia="en-AU"/>
              </w:rPr>
              <w:t>$m</w:t>
            </w:r>
          </w:p>
        </w:tc>
        <w:tc>
          <w:tcPr>
            <w:tcW w:w="298" w:type="pct"/>
            <w:shd w:val="clear" w:color="auto" w:fill="7F7F7F" w:themeFill="text1" w:themeFillTint="80"/>
            <w:hideMark/>
          </w:tcPr>
          <w:p w14:paraId="07B1D2F2" w14:textId="77777777" w:rsidR="00FE7F8B" w:rsidRDefault="00FE7F8B">
            <w:pPr>
              <w:pStyle w:val="Tablecolumnheading"/>
              <w:jc w:val="center"/>
              <w:rPr>
                <w:sz w:val="14"/>
                <w:szCs w:val="14"/>
                <w:lang w:eastAsia="en-AU"/>
              </w:rPr>
            </w:pPr>
            <w:r>
              <w:rPr>
                <w:sz w:val="14"/>
                <w:szCs w:val="14"/>
                <w:lang w:eastAsia="en-AU"/>
              </w:rPr>
              <w:t>$m</w:t>
            </w:r>
          </w:p>
        </w:tc>
        <w:tc>
          <w:tcPr>
            <w:tcW w:w="298" w:type="pct"/>
            <w:shd w:val="clear" w:color="auto" w:fill="7F7F7F" w:themeFill="text1" w:themeFillTint="80"/>
            <w:hideMark/>
          </w:tcPr>
          <w:p w14:paraId="4BF64429" w14:textId="77777777" w:rsidR="00FE7F8B" w:rsidRDefault="00FE7F8B">
            <w:pPr>
              <w:pStyle w:val="Tablecolumnheading"/>
              <w:jc w:val="center"/>
              <w:rPr>
                <w:sz w:val="14"/>
                <w:szCs w:val="14"/>
                <w:lang w:eastAsia="en-AU"/>
              </w:rPr>
            </w:pPr>
            <w:r>
              <w:rPr>
                <w:sz w:val="14"/>
                <w:szCs w:val="14"/>
                <w:lang w:eastAsia="en-AU"/>
              </w:rPr>
              <w:t>$m</w:t>
            </w:r>
          </w:p>
        </w:tc>
        <w:tc>
          <w:tcPr>
            <w:tcW w:w="298" w:type="pct"/>
            <w:shd w:val="clear" w:color="auto" w:fill="7F7F7F" w:themeFill="text1" w:themeFillTint="80"/>
            <w:hideMark/>
          </w:tcPr>
          <w:p w14:paraId="41A1C637" w14:textId="77777777" w:rsidR="00FE7F8B" w:rsidRDefault="00FE7F8B">
            <w:pPr>
              <w:pStyle w:val="Tablecolumnheading"/>
              <w:jc w:val="center"/>
              <w:rPr>
                <w:sz w:val="14"/>
                <w:szCs w:val="14"/>
                <w:lang w:eastAsia="en-AU"/>
              </w:rPr>
            </w:pPr>
            <w:r>
              <w:rPr>
                <w:sz w:val="14"/>
                <w:szCs w:val="14"/>
                <w:lang w:eastAsia="en-AU"/>
              </w:rPr>
              <w:t>$m</w:t>
            </w:r>
          </w:p>
        </w:tc>
        <w:tc>
          <w:tcPr>
            <w:tcW w:w="505" w:type="pct"/>
            <w:shd w:val="clear" w:color="auto" w:fill="7F7F7F" w:themeFill="text1" w:themeFillTint="80"/>
            <w:hideMark/>
          </w:tcPr>
          <w:p w14:paraId="763E0657" w14:textId="77777777" w:rsidR="00FE7F8B" w:rsidRDefault="00FE7F8B">
            <w:pPr>
              <w:pStyle w:val="Tablecolumnheading"/>
              <w:jc w:val="center"/>
              <w:rPr>
                <w:sz w:val="14"/>
                <w:szCs w:val="14"/>
                <w:lang w:eastAsia="en-AU"/>
              </w:rPr>
            </w:pPr>
            <w:r>
              <w:rPr>
                <w:sz w:val="14"/>
                <w:szCs w:val="14"/>
                <w:lang w:eastAsia="en-AU"/>
              </w:rPr>
              <w:t>$m</w:t>
            </w:r>
          </w:p>
        </w:tc>
        <w:tc>
          <w:tcPr>
            <w:tcW w:w="92" w:type="pct"/>
            <w:tcBorders>
              <w:top w:val="nil"/>
              <w:left w:val="nil"/>
              <w:bottom w:val="nil"/>
              <w:right w:val="single" w:sz="4" w:space="0" w:color="FFFFFF" w:themeColor="background1"/>
            </w:tcBorders>
            <w:shd w:val="clear" w:color="auto" w:fill="7F7F7F" w:themeFill="text1" w:themeFillTint="80"/>
            <w:noWrap/>
          </w:tcPr>
          <w:p w14:paraId="44863A0E" w14:textId="77777777" w:rsidR="00FE7F8B" w:rsidRDefault="00FE7F8B">
            <w:pPr>
              <w:pStyle w:val="Tablecolumnheading"/>
              <w:jc w:val="center"/>
              <w:rPr>
                <w:sz w:val="14"/>
                <w:szCs w:val="14"/>
                <w:lang w:eastAsia="en-AU"/>
              </w:rPr>
            </w:pPr>
          </w:p>
        </w:tc>
        <w:tc>
          <w:tcPr>
            <w:tcW w:w="653" w:type="pct"/>
            <w:tcBorders>
              <w:top w:val="nil"/>
              <w:left w:val="single" w:sz="4" w:space="0" w:color="FFFFFF" w:themeColor="background1"/>
              <w:bottom w:val="nil"/>
              <w:right w:val="nil"/>
            </w:tcBorders>
            <w:shd w:val="clear" w:color="auto" w:fill="7F7F7F" w:themeFill="text1" w:themeFillTint="80"/>
            <w:hideMark/>
          </w:tcPr>
          <w:p w14:paraId="6C6E0E10" w14:textId="77777777" w:rsidR="00FE7F8B" w:rsidRDefault="00FE7F8B">
            <w:pPr>
              <w:pStyle w:val="Tablecolumnheading"/>
              <w:jc w:val="center"/>
              <w:rPr>
                <w:sz w:val="14"/>
                <w:szCs w:val="14"/>
                <w:lang w:eastAsia="en-AU"/>
              </w:rPr>
            </w:pPr>
            <w:r>
              <w:rPr>
                <w:sz w:val="14"/>
                <w:szCs w:val="14"/>
                <w:lang w:eastAsia="en-AU"/>
              </w:rPr>
              <w:t>$m</w:t>
            </w:r>
          </w:p>
        </w:tc>
        <w:tc>
          <w:tcPr>
            <w:tcW w:w="499" w:type="pct"/>
            <w:shd w:val="clear" w:color="auto" w:fill="7F7F7F" w:themeFill="text1" w:themeFillTint="80"/>
            <w:hideMark/>
          </w:tcPr>
          <w:p w14:paraId="551E79FE" w14:textId="77777777" w:rsidR="00FE7F8B" w:rsidRDefault="00FE7F8B">
            <w:pPr>
              <w:pStyle w:val="Tablecolumnheading"/>
              <w:jc w:val="center"/>
              <w:rPr>
                <w:sz w:val="14"/>
                <w:szCs w:val="14"/>
                <w:lang w:eastAsia="en-AU"/>
              </w:rPr>
            </w:pPr>
            <w:r>
              <w:rPr>
                <w:sz w:val="14"/>
                <w:szCs w:val="14"/>
                <w:lang w:eastAsia="en-AU"/>
              </w:rPr>
              <w:t>$m</w:t>
            </w:r>
          </w:p>
        </w:tc>
        <w:tc>
          <w:tcPr>
            <w:tcW w:w="353" w:type="pct"/>
            <w:shd w:val="clear" w:color="auto" w:fill="7F7F7F" w:themeFill="text1" w:themeFillTint="80"/>
            <w:hideMark/>
          </w:tcPr>
          <w:p w14:paraId="0D3ADA9F" w14:textId="77777777" w:rsidR="00FE7F8B" w:rsidRDefault="00FE7F8B">
            <w:pPr>
              <w:pStyle w:val="Tablecolumnheading"/>
              <w:jc w:val="center"/>
              <w:rPr>
                <w:sz w:val="14"/>
                <w:szCs w:val="14"/>
                <w:lang w:eastAsia="en-AU"/>
              </w:rPr>
            </w:pPr>
            <w:r>
              <w:rPr>
                <w:sz w:val="14"/>
                <w:szCs w:val="14"/>
                <w:lang w:eastAsia="en-AU"/>
              </w:rPr>
              <w:t>$m</w:t>
            </w:r>
          </w:p>
        </w:tc>
      </w:tr>
      <w:tr w:rsidR="00FE7F8B" w14:paraId="33F17645" w14:textId="77777777" w:rsidTr="00FE3FF7">
        <w:trPr>
          <w:trHeight w:hRule="exact" w:val="284"/>
        </w:trPr>
        <w:tc>
          <w:tcPr>
            <w:tcW w:w="541" w:type="pct"/>
            <w:shd w:val="clear" w:color="auto" w:fill="F2F2F2" w:themeFill="background1" w:themeFillShade="F2"/>
            <w:noWrap/>
            <w:vAlign w:val="bottom"/>
            <w:hideMark/>
          </w:tcPr>
          <w:p w14:paraId="5EE85234" w14:textId="77777777" w:rsidR="00FE7F8B" w:rsidRDefault="00FE7F8B">
            <w:pPr>
              <w:pStyle w:val="Tabletextnoindent"/>
              <w:rPr>
                <w:b/>
                <w:sz w:val="14"/>
                <w:szCs w:val="14"/>
              </w:rPr>
            </w:pPr>
            <w:r>
              <w:rPr>
                <w:b/>
                <w:sz w:val="14"/>
                <w:szCs w:val="14"/>
              </w:rPr>
              <w:t>2016</w:t>
            </w:r>
          </w:p>
        </w:tc>
        <w:tc>
          <w:tcPr>
            <w:tcW w:w="465" w:type="pct"/>
            <w:shd w:val="clear" w:color="auto" w:fill="F2F2F2" w:themeFill="background1" w:themeFillShade="F2"/>
            <w:noWrap/>
            <w:vAlign w:val="bottom"/>
          </w:tcPr>
          <w:p w14:paraId="11A67301" w14:textId="77777777" w:rsidR="00FE7F8B" w:rsidRDefault="00FE7F8B">
            <w:pPr>
              <w:pStyle w:val="Tabletextnoindent"/>
              <w:jc w:val="right"/>
              <w:rPr>
                <w:b/>
                <w:sz w:val="14"/>
                <w:szCs w:val="14"/>
              </w:rPr>
            </w:pPr>
          </w:p>
        </w:tc>
        <w:tc>
          <w:tcPr>
            <w:tcW w:w="579" w:type="pct"/>
            <w:shd w:val="clear" w:color="auto" w:fill="F2F2F2" w:themeFill="background1" w:themeFillShade="F2"/>
            <w:noWrap/>
            <w:vAlign w:val="bottom"/>
          </w:tcPr>
          <w:p w14:paraId="3996A63C" w14:textId="77777777" w:rsidR="00FE7F8B" w:rsidRDefault="00FE7F8B">
            <w:pPr>
              <w:pStyle w:val="Tabletextnoindent"/>
              <w:jc w:val="right"/>
              <w:rPr>
                <w:b/>
                <w:sz w:val="14"/>
                <w:szCs w:val="14"/>
              </w:rPr>
            </w:pPr>
          </w:p>
        </w:tc>
        <w:tc>
          <w:tcPr>
            <w:tcW w:w="92" w:type="pct"/>
            <w:tcBorders>
              <w:top w:val="nil"/>
              <w:left w:val="nil"/>
              <w:bottom w:val="nil"/>
              <w:right w:val="single" w:sz="4" w:space="0" w:color="auto"/>
            </w:tcBorders>
            <w:shd w:val="clear" w:color="auto" w:fill="F2F2F2" w:themeFill="background1" w:themeFillShade="F2"/>
            <w:noWrap/>
            <w:vAlign w:val="bottom"/>
          </w:tcPr>
          <w:p w14:paraId="63742077" w14:textId="77777777" w:rsidR="00FE7F8B" w:rsidRDefault="00FE7F8B">
            <w:pPr>
              <w:pStyle w:val="Tabletextnoindent"/>
              <w:jc w:val="right"/>
              <w:rPr>
                <w:b/>
                <w:sz w:val="14"/>
                <w:szCs w:val="14"/>
              </w:rPr>
            </w:pPr>
          </w:p>
        </w:tc>
        <w:tc>
          <w:tcPr>
            <w:tcW w:w="327" w:type="pct"/>
            <w:tcBorders>
              <w:top w:val="nil"/>
              <w:left w:val="single" w:sz="4" w:space="0" w:color="auto"/>
              <w:bottom w:val="nil"/>
              <w:right w:val="nil"/>
            </w:tcBorders>
            <w:shd w:val="clear" w:color="auto" w:fill="F2F2F2" w:themeFill="background1" w:themeFillShade="F2"/>
            <w:noWrap/>
            <w:vAlign w:val="bottom"/>
          </w:tcPr>
          <w:p w14:paraId="790E58CF" w14:textId="77777777" w:rsidR="00FE7F8B" w:rsidRDefault="00FE7F8B">
            <w:pPr>
              <w:pStyle w:val="Tabletextnoindent"/>
              <w:jc w:val="right"/>
              <w:rPr>
                <w:b/>
                <w:sz w:val="14"/>
                <w:szCs w:val="14"/>
              </w:rPr>
            </w:pPr>
          </w:p>
        </w:tc>
        <w:tc>
          <w:tcPr>
            <w:tcW w:w="298" w:type="pct"/>
            <w:shd w:val="clear" w:color="auto" w:fill="F2F2F2" w:themeFill="background1" w:themeFillShade="F2"/>
            <w:noWrap/>
            <w:vAlign w:val="bottom"/>
          </w:tcPr>
          <w:p w14:paraId="3671E666" w14:textId="77777777" w:rsidR="00FE7F8B" w:rsidRDefault="00FE7F8B">
            <w:pPr>
              <w:pStyle w:val="Tabletextnoindent"/>
              <w:jc w:val="right"/>
              <w:rPr>
                <w:b/>
                <w:sz w:val="14"/>
                <w:szCs w:val="14"/>
              </w:rPr>
            </w:pPr>
          </w:p>
        </w:tc>
        <w:tc>
          <w:tcPr>
            <w:tcW w:w="298" w:type="pct"/>
            <w:shd w:val="clear" w:color="auto" w:fill="F2F2F2" w:themeFill="background1" w:themeFillShade="F2"/>
            <w:noWrap/>
            <w:vAlign w:val="bottom"/>
          </w:tcPr>
          <w:p w14:paraId="4AA0B1CB" w14:textId="77777777" w:rsidR="00FE7F8B" w:rsidRDefault="00FE7F8B">
            <w:pPr>
              <w:pStyle w:val="Tabletextnoindent"/>
              <w:jc w:val="right"/>
              <w:rPr>
                <w:b/>
                <w:sz w:val="14"/>
                <w:szCs w:val="14"/>
              </w:rPr>
            </w:pPr>
          </w:p>
        </w:tc>
        <w:tc>
          <w:tcPr>
            <w:tcW w:w="298" w:type="pct"/>
            <w:shd w:val="clear" w:color="auto" w:fill="F2F2F2" w:themeFill="background1" w:themeFillShade="F2"/>
            <w:noWrap/>
            <w:vAlign w:val="bottom"/>
          </w:tcPr>
          <w:p w14:paraId="11D19151" w14:textId="77777777" w:rsidR="00FE7F8B" w:rsidRDefault="00FE7F8B">
            <w:pPr>
              <w:pStyle w:val="Tabletextnoindent"/>
              <w:jc w:val="right"/>
              <w:rPr>
                <w:b/>
                <w:sz w:val="14"/>
                <w:szCs w:val="14"/>
              </w:rPr>
            </w:pPr>
          </w:p>
        </w:tc>
        <w:tc>
          <w:tcPr>
            <w:tcW w:w="505" w:type="pct"/>
            <w:shd w:val="clear" w:color="auto" w:fill="F2F2F2" w:themeFill="background1" w:themeFillShade="F2"/>
            <w:noWrap/>
            <w:vAlign w:val="bottom"/>
          </w:tcPr>
          <w:p w14:paraId="2FC0785D" w14:textId="77777777" w:rsidR="00FE7F8B" w:rsidRDefault="00FE7F8B">
            <w:pPr>
              <w:pStyle w:val="Tabletextnoindent"/>
              <w:jc w:val="right"/>
              <w:rPr>
                <w:b/>
                <w:sz w:val="14"/>
                <w:szCs w:val="14"/>
              </w:rPr>
            </w:pPr>
          </w:p>
        </w:tc>
        <w:tc>
          <w:tcPr>
            <w:tcW w:w="92" w:type="pct"/>
            <w:tcBorders>
              <w:top w:val="nil"/>
              <w:left w:val="nil"/>
              <w:bottom w:val="nil"/>
              <w:right w:val="single" w:sz="4" w:space="0" w:color="auto"/>
            </w:tcBorders>
            <w:shd w:val="clear" w:color="auto" w:fill="F2F2F2" w:themeFill="background1" w:themeFillShade="F2"/>
            <w:noWrap/>
            <w:vAlign w:val="bottom"/>
          </w:tcPr>
          <w:p w14:paraId="05D65A83" w14:textId="77777777" w:rsidR="00FE7F8B" w:rsidRDefault="00FE7F8B">
            <w:pPr>
              <w:pStyle w:val="Tabletextnoindent"/>
              <w:jc w:val="right"/>
              <w:rPr>
                <w:b/>
                <w:sz w:val="14"/>
                <w:szCs w:val="14"/>
              </w:rPr>
            </w:pPr>
          </w:p>
        </w:tc>
        <w:tc>
          <w:tcPr>
            <w:tcW w:w="653" w:type="pct"/>
            <w:tcBorders>
              <w:top w:val="nil"/>
              <w:left w:val="single" w:sz="4" w:space="0" w:color="auto"/>
              <w:bottom w:val="nil"/>
              <w:right w:val="nil"/>
            </w:tcBorders>
            <w:shd w:val="clear" w:color="auto" w:fill="F2F2F2" w:themeFill="background1" w:themeFillShade="F2"/>
            <w:noWrap/>
            <w:vAlign w:val="bottom"/>
          </w:tcPr>
          <w:p w14:paraId="0B5AF516" w14:textId="77777777" w:rsidR="00FE7F8B" w:rsidRDefault="00FE7F8B">
            <w:pPr>
              <w:pStyle w:val="Tabletextnoindent"/>
              <w:jc w:val="right"/>
              <w:rPr>
                <w:b/>
                <w:sz w:val="14"/>
                <w:szCs w:val="14"/>
              </w:rPr>
            </w:pPr>
          </w:p>
        </w:tc>
        <w:tc>
          <w:tcPr>
            <w:tcW w:w="499" w:type="pct"/>
            <w:shd w:val="clear" w:color="auto" w:fill="F2F2F2" w:themeFill="background1" w:themeFillShade="F2"/>
            <w:noWrap/>
            <w:vAlign w:val="bottom"/>
          </w:tcPr>
          <w:p w14:paraId="3B7907E3" w14:textId="77777777" w:rsidR="00FE7F8B" w:rsidRDefault="00FE7F8B">
            <w:pPr>
              <w:pStyle w:val="Tabletextnoindent"/>
              <w:jc w:val="right"/>
              <w:rPr>
                <w:b/>
                <w:sz w:val="14"/>
                <w:szCs w:val="14"/>
              </w:rPr>
            </w:pPr>
          </w:p>
        </w:tc>
        <w:tc>
          <w:tcPr>
            <w:tcW w:w="353" w:type="pct"/>
            <w:shd w:val="clear" w:color="auto" w:fill="F2F2F2" w:themeFill="background1" w:themeFillShade="F2"/>
            <w:noWrap/>
            <w:vAlign w:val="bottom"/>
          </w:tcPr>
          <w:p w14:paraId="2D306077" w14:textId="77777777" w:rsidR="00FE7F8B" w:rsidRDefault="00FE7F8B">
            <w:pPr>
              <w:pStyle w:val="Tabletextnoindent"/>
              <w:jc w:val="right"/>
              <w:rPr>
                <w:b/>
                <w:sz w:val="14"/>
                <w:szCs w:val="14"/>
              </w:rPr>
            </w:pPr>
          </w:p>
        </w:tc>
      </w:tr>
      <w:tr w:rsidR="00FE7F8B" w14:paraId="7151A351" w14:textId="77777777" w:rsidTr="00FE3FF7">
        <w:trPr>
          <w:trHeight w:hRule="exact" w:val="284"/>
        </w:trPr>
        <w:tc>
          <w:tcPr>
            <w:tcW w:w="541" w:type="pct"/>
            <w:shd w:val="clear" w:color="auto" w:fill="F2F2F2" w:themeFill="background1" w:themeFillShade="F2"/>
            <w:noWrap/>
            <w:vAlign w:val="bottom"/>
            <w:hideMark/>
          </w:tcPr>
          <w:p w14:paraId="51530204" w14:textId="77777777" w:rsidR="00FE7F8B" w:rsidRDefault="00FE7F8B">
            <w:pPr>
              <w:pStyle w:val="Tabletextnoindent"/>
              <w:spacing w:before="0"/>
              <w:rPr>
                <w:b/>
                <w:i/>
                <w:sz w:val="14"/>
                <w:szCs w:val="14"/>
              </w:rPr>
            </w:pPr>
            <w:r>
              <w:rPr>
                <w:b/>
                <w:i/>
                <w:sz w:val="14"/>
                <w:szCs w:val="14"/>
              </w:rPr>
              <w:t>Controlled</w:t>
            </w:r>
          </w:p>
        </w:tc>
        <w:tc>
          <w:tcPr>
            <w:tcW w:w="465" w:type="pct"/>
            <w:shd w:val="clear" w:color="auto" w:fill="F2F2F2" w:themeFill="background1" w:themeFillShade="F2"/>
            <w:noWrap/>
            <w:vAlign w:val="bottom"/>
          </w:tcPr>
          <w:p w14:paraId="78814232" w14:textId="77777777" w:rsidR="00FE7F8B" w:rsidRDefault="00FE7F8B">
            <w:pPr>
              <w:pStyle w:val="Tabletextnoindent"/>
              <w:spacing w:before="0"/>
              <w:jc w:val="right"/>
              <w:rPr>
                <w:b/>
                <w:i/>
                <w:sz w:val="14"/>
                <w:szCs w:val="14"/>
              </w:rPr>
            </w:pPr>
          </w:p>
        </w:tc>
        <w:tc>
          <w:tcPr>
            <w:tcW w:w="579" w:type="pct"/>
            <w:shd w:val="clear" w:color="auto" w:fill="F2F2F2" w:themeFill="background1" w:themeFillShade="F2"/>
            <w:noWrap/>
            <w:vAlign w:val="bottom"/>
          </w:tcPr>
          <w:p w14:paraId="11D563D7" w14:textId="77777777" w:rsidR="00FE7F8B" w:rsidRDefault="00FE7F8B">
            <w:pPr>
              <w:pStyle w:val="Tabletextnoindent"/>
              <w:spacing w:before="0"/>
              <w:jc w:val="right"/>
              <w:rPr>
                <w:b/>
                <w:i/>
                <w:sz w:val="14"/>
                <w:szCs w:val="14"/>
              </w:rPr>
            </w:pPr>
          </w:p>
        </w:tc>
        <w:tc>
          <w:tcPr>
            <w:tcW w:w="92" w:type="pct"/>
            <w:tcBorders>
              <w:top w:val="nil"/>
              <w:left w:val="nil"/>
              <w:bottom w:val="nil"/>
              <w:right w:val="single" w:sz="4" w:space="0" w:color="auto"/>
            </w:tcBorders>
            <w:shd w:val="clear" w:color="auto" w:fill="F2F2F2" w:themeFill="background1" w:themeFillShade="F2"/>
            <w:noWrap/>
            <w:vAlign w:val="bottom"/>
          </w:tcPr>
          <w:p w14:paraId="4263E355" w14:textId="77777777" w:rsidR="00FE7F8B" w:rsidRDefault="00FE7F8B">
            <w:pPr>
              <w:pStyle w:val="Tabletextnoindent"/>
              <w:spacing w:before="0"/>
              <w:jc w:val="right"/>
              <w:rPr>
                <w:b/>
                <w:i/>
                <w:sz w:val="14"/>
                <w:szCs w:val="14"/>
              </w:rPr>
            </w:pPr>
          </w:p>
        </w:tc>
        <w:tc>
          <w:tcPr>
            <w:tcW w:w="327" w:type="pct"/>
            <w:tcBorders>
              <w:top w:val="nil"/>
              <w:left w:val="single" w:sz="4" w:space="0" w:color="auto"/>
              <w:bottom w:val="nil"/>
              <w:right w:val="nil"/>
            </w:tcBorders>
            <w:shd w:val="clear" w:color="auto" w:fill="F2F2F2" w:themeFill="background1" w:themeFillShade="F2"/>
            <w:noWrap/>
            <w:vAlign w:val="bottom"/>
          </w:tcPr>
          <w:p w14:paraId="0D14FE83" w14:textId="77777777" w:rsidR="00FE7F8B" w:rsidRDefault="00FE7F8B">
            <w:pPr>
              <w:pStyle w:val="Tabletextnoindent"/>
              <w:spacing w:before="0"/>
              <w:jc w:val="right"/>
              <w:rPr>
                <w:b/>
                <w:i/>
                <w:sz w:val="14"/>
                <w:szCs w:val="14"/>
              </w:rPr>
            </w:pPr>
          </w:p>
        </w:tc>
        <w:tc>
          <w:tcPr>
            <w:tcW w:w="298" w:type="pct"/>
            <w:shd w:val="clear" w:color="auto" w:fill="F2F2F2" w:themeFill="background1" w:themeFillShade="F2"/>
            <w:noWrap/>
            <w:vAlign w:val="bottom"/>
          </w:tcPr>
          <w:p w14:paraId="797497C4" w14:textId="77777777" w:rsidR="00FE7F8B" w:rsidRDefault="00FE7F8B">
            <w:pPr>
              <w:pStyle w:val="Tabletextnoindent"/>
              <w:spacing w:before="0"/>
              <w:jc w:val="right"/>
              <w:rPr>
                <w:b/>
                <w:i/>
                <w:sz w:val="14"/>
                <w:szCs w:val="14"/>
              </w:rPr>
            </w:pPr>
          </w:p>
        </w:tc>
        <w:tc>
          <w:tcPr>
            <w:tcW w:w="298" w:type="pct"/>
            <w:shd w:val="clear" w:color="auto" w:fill="F2F2F2" w:themeFill="background1" w:themeFillShade="F2"/>
            <w:noWrap/>
            <w:vAlign w:val="bottom"/>
          </w:tcPr>
          <w:p w14:paraId="08EF328B" w14:textId="77777777" w:rsidR="00FE7F8B" w:rsidRDefault="00FE7F8B">
            <w:pPr>
              <w:pStyle w:val="Tabletextnoindent"/>
              <w:spacing w:before="0"/>
              <w:jc w:val="right"/>
              <w:rPr>
                <w:b/>
                <w:i/>
                <w:sz w:val="14"/>
                <w:szCs w:val="14"/>
              </w:rPr>
            </w:pPr>
          </w:p>
        </w:tc>
        <w:tc>
          <w:tcPr>
            <w:tcW w:w="298" w:type="pct"/>
            <w:shd w:val="clear" w:color="auto" w:fill="F2F2F2" w:themeFill="background1" w:themeFillShade="F2"/>
            <w:noWrap/>
            <w:vAlign w:val="bottom"/>
          </w:tcPr>
          <w:p w14:paraId="5B72A72E" w14:textId="77777777" w:rsidR="00FE7F8B" w:rsidRDefault="00FE7F8B">
            <w:pPr>
              <w:pStyle w:val="Tabletextnoindent"/>
              <w:spacing w:before="0"/>
              <w:jc w:val="right"/>
              <w:rPr>
                <w:b/>
                <w:i/>
                <w:sz w:val="14"/>
                <w:szCs w:val="14"/>
              </w:rPr>
            </w:pPr>
          </w:p>
        </w:tc>
        <w:tc>
          <w:tcPr>
            <w:tcW w:w="505" w:type="pct"/>
            <w:shd w:val="clear" w:color="auto" w:fill="F2F2F2" w:themeFill="background1" w:themeFillShade="F2"/>
            <w:noWrap/>
            <w:vAlign w:val="bottom"/>
          </w:tcPr>
          <w:p w14:paraId="588481C0" w14:textId="77777777" w:rsidR="00FE7F8B" w:rsidRDefault="00FE7F8B">
            <w:pPr>
              <w:pStyle w:val="Tabletextnoindent"/>
              <w:spacing w:before="0"/>
              <w:jc w:val="right"/>
              <w:rPr>
                <w:b/>
                <w:i/>
                <w:sz w:val="14"/>
                <w:szCs w:val="14"/>
              </w:rPr>
            </w:pPr>
          </w:p>
        </w:tc>
        <w:tc>
          <w:tcPr>
            <w:tcW w:w="92" w:type="pct"/>
            <w:tcBorders>
              <w:top w:val="nil"/>
              <w:left w:val="nil"/>
              <w:bottom w:val="nil"/>
              <w:right w:val="single" w:sz="4" w:space="0" w:color="auto"/>
            </w:tcBorders>
            <w:shd w:val="clear" w:color="auto" w:fill="F2F2F2" w:themeFill="background1" w:themeFillShade="F2"/>
            <w:noWrap/>
            <w:vAlign w:val="bottom"/>
          </w:tcPr>
          <w:p w14:paraId="6E728E1F" w14:textId="77777777" w:rsidR="00FE7F8B" w:rsidRDefault="00FE7F8B">
            <w:pPr>
              <w:pStyle w:val="Tabletextnoindent"/>
              <w:spacing w:before="0"/>
              <w:jc w:val="right"/>
              <w:rPr>
                <w:b/>
                <w:i/>
                <w:sz w:val="14"/>
                <w:szCs w:val="14"/>
              </w:rPr>
            </w:pPr>
          </w:p>
        </w:tc>
        <w:tc>
          <w:tcPr>
            <w:tcW w:w="653" w:type="pct"/>
            <w:tcBorders>
              <w:top w:val="nil"/>
              <w:left w:val="single" w:sz="4" w:space="0" w:color="auto"/>
              <w:bottom w:val="nil"/>
              <w:right w:val="nil"/>
            </w:tcBorders>
            <w:shd w:val="clear" w:color="auto" w:fill="F2F2F2" w:themeFill="background1" w:themeFillShade="F2"/>
            <w:noWrap/>
            <w:vAlign w:val="bottom"/>
          </w:tcPr>
          <w:p w14:paraId="3BC32044" w14:textId="77777777" w:rsidR="00FE7F8B" w:rsidRDefault="00FE7F8B">
            <w:pPr>
              <w:pStyle w:val="Tabletextnoindent"/>
              <w:spacing w:before="0"/>
              <w:jc w:val="right"/>
              <w:rPr>
                <w:b/>
                <w:i/>
                <w:sz w:val="14"/>
                <w:szCs w:val="14"/>
              </w:rPr>
            </w:pPr>
          </w:p>
        </w:tc>
        <w:tc>
          <w:tcPr>
            <w:tcW w:w="499" w:type="pct"/>
            <w:shd w:val="clear" w:color="auto" w:fill="F2F2F2" w:themeFill="background1" w:themeFillShade="F2"/>
            <w:noWrap/>
            <w:vAlign w:val="bottom"/>
          </w:tcPr>
          <w:p w14:paraId="47B9A4D9" w14:textId="77777777" w:rsidR="00FE7F8B" w:rsidRDefault="00FE7F8B">
            <w:pPr>
              <w:pStyle w:val="Tabletextnoindent"/>
              <w:spacing w:before="0"/>
              <w:jc w:val="right"/>
              <w:rPr>
                <w:b/>
                <w:i/>
                <w:sz w:val="14"/>
                <w:szCs w:val="14"/>
              </w:rPr>
            </w:pPr>
          </w:p>
        </w:tc>
        <w:tc>
          <w:tcPr>
            <w:tcW w:w="353" w:type="pct"/>
            <w:shd w:val="clear" w:color="auto" w:fill="F2F2F2" w:themeFill="background1" w:themeFillShade="F2"/>
            <w:noWrap/>
            <w:vAlign w:val="bottom"/>
          </w:tcPr>
          <w:p w14:paraId="37F5F1FF" w14:textId="77777777" w:rsidR="00FE7F8B" w:rsidRDefault="00FE7F8B">
            <w:pPr>
              <w:pStyle w:val="Tabletextnoindent"/>
              <w:spacing w:before="0"/>
              <w:jc w:val="right"/>
              <w:rPr>
                <w:b/>
                <w:i/>
                <w:sz w:val="14"/>
                <w:szCs w:val="14"/>
              </w:rPr>
            </w:pPr>
          </w:p>
        </w:tc>
      </w:tr>
      <w:tr w:rsidR="00750088" w14:paraId="0EE45004" w14:textId="77777777" w:rsidTr="00FE3FF7">
        <w:trPr>
          <w:trHeight w:hRule="exact" w:val="284"/>
        </w:trPr>
        <w:tc>
          <w:tcPr>
            <w:tcW w:w="541" w:type="pct"/>
            <w:shd w:val="clear" w:color="auto" w:fill="F2F2F2" w:themeFill="background1" w:themeFillShade="F2"/>
            <w:noWrap/>
            <w:vAlign w:val="bottom"/>
            <w:hideMark/>
          </w:tcPr>
          <w:p w14:paraId="63F358E7" w14:textId="77777777" w:rsidR="00750088" w:rsidRPr="00750088" w:rsidRDefault="00750088" w:rsidP="00750088">
            <w:pPr>
              <w:pStyle w:val="Tabletextobjectivestablesnarrow"/>
              <w:jc w:val="left"/>
              <w:rPr>
                <w:sz w:val="14"/>
                <w:szCs w:val="14"/>
              </w:rPr>
            </w:pPr>
            <w:r w:rsidRPr="00750088">
              <w:rPr>
                <w:sz w:val="14"/>
                <w:szCs w:val="14"/>
              </w:rPr>
              <w:t>Provision for outputs</w:t>
            </w:r>
          </w:p>
        </w:tc>
        <w:tc>
          <w:tcPr>
            <w:tcW w:w="465" w:type="pct"/>
            <w:shd w:val="clear" w:color="auto" w:fill="F2F2F2" w:themeFill="background1" w:themeFillShade="F2"/>
            <w:vAlign w:val="bottom"/>
            <w:hideMark/>
          </w:tcPr>
          <w:p w14:paraId="09A68723" w14:textId="77777777" w:rsidR="00750088" w:rsidRDefault="00750088" w:rsidP="00750088">
            <w:pPr>
              <w:pStyle w:val="Tabletextnoindent"/>
              <w:jc w:val="right"/>
              <w:rPr>
                <w:sz w:val="14"/>
                <w:szCs w:val="14"/>
              </w:rPr>
            </w:pPr>
            <w:r>
              <w:rPr>
                <w:sz w:val="14"/>
                <w:szCs w:val="14"/>
              </w:rPr>
              <w:t>10,840.3</w:t>
            </w:r>
          </w:p>
        </w:tc>
        <w:tc>
          <w:tcPr>
            <w:tcW w:w="579" w:type="pct"/>
            <w:shd w:val="clear" w:color="auto" w:fill="F2F2F2" w:themeFill="background1" w:themeFillShade="F2"/>
            <w:vAlign w:val="bottom"/>
            <w:hideMark/>
          </w:tcPr>
          <w:p w14:paraId="549B0ECC" w14:textId="77777777" w:rsidR="00750088" w:rsidRDefault="00750088" w:rsidP="00750088">
            <w:pPr>
              <w:pStyle w:val="Tabletextnoindent"/>
              <w:jc w:val="right"/>
              <w:rPr>
                <w:sz w:val="14"/>
                <w:szCs w:val="14"/>
              </w:rPr>
            </w:pPr>
            <w:r>
              <w:rPr>
                <w:sz w:val="14"/>
                <w:szCs w:val="14"/>
              </w:rPr>
              <w:t>212.0</w:t>
            </w:r>
          </w:p>
        </w:tc>
        <w:tc>
          <w:tcPr>
            <w:tcW w:w="92" w:type="pct"/>
            <w:tcBorders>
              <w:top w:val="nil"/>
              <w:left w:val="nil"/>
              <w:bottom w:val="nil"/>
              <w:right w:val="single" w:sz="4" w:space="0" w:color="auto"/>
            </w:tcBorders>
            <w:shd w:val="clear" w:color="auto" w:fill="F2F2F2" w:themeFill="background1" w:themeFillShade="F2"/>
            <w:vAlign w:val="bottom"/>
          </w:tcPr>
          <w:p w14:paraId="5B939414" w14:textId="77777777" w:rsidR="00750088" w:rsidRDefault="00750088" w:rsidP="00750088">
            <w:pPr>
              <w:pStyle w:val="Tabletextnoindent"/>
              <w:jc w:val="right"/>
              <w:rPr>
                <w:sz w:val="14"/>
                <w:szCs w:val="14"/>
              </w:rPr>
            </w:pPr>
          </w:p>
        </w:tc>
        <w:tc>
          <w:tcPr>
            <w:tcW w:w="327" w:type="pct"/>
            <w:tcBorders>
              <w:top w:val="nil"/>
              <w:left w:val="single" w:sz="4" w:space="0" w:color="auto"/>
              <w:bottom w:val="nil"/>
              <w:right w:val="nil"/>
            </w:tcBorders>
            <w:shd w:val="clear" w:color="auto" w:fill="F2F2F2" w:themeFill="background1" w:themeFillShade="F2"/>
            <w:hideMark/>
          </w:tcPr>
          <w:p w14:paraId="47A4B9A7" w14:textId="5CD2028A" w:rsidR="00750088" w:rsidRDefault="00750088" w:rsidP="00750088">
            <w:pPr>
              <w:pStyle w:val="Tabletextnoindent"/>
              <w:jc w:val="right"/>
              <w:rPr>
                <w:sz w:val="14"/>
                <w:szCs w:val="14"/>
              </w:rPr>
            </w:pPr>
            <w:r w:rsidRPr="00072E26">
              <w:rPr>
                <w:sz w:val="14"/>
                <w:szCs w:val="14"/>
              </w:rPr>
              <w:t>–</w:t>
            </w:r>
          </w:p>
        </w:tc>
        <w:tc>
          <w:tcPr>
            <w:tcW w:w="298" w:type="pct"/>
            <w:shd w:val="clear" w:color="auto" w:fill="F2F2F2" w:themeFill="background1" w:themeFillShade="F2"/>
            <w:vAlign w:val="bottom"/>
            <w:hideMark/>
          </w:tcPr>
          <w:p w14:paraId="15731536" w14:textId="77777777" w:rsidR="00750088" w:rsidRDefault="00750088" w:rsidP="00750088">
            <w:pPr>
              <w:pStyle w:val="Tabletextnoindent"/>
              <w:jc w:val="right"/>
              <w:rPr>
                <w:sz w:val="14"/>
                <w:szCs w:val="14"/>
              </w:rPr>
            </w:pPr>
            <w:r>
              <w:rPr>
                <w:sz w:val="14"/>
                <w:szCs w:val="14"/>
              </w:rPr>
              <w:t>493.0</w:t>
            </w:r>
          </w:p>
        </w:tc>
        <w:tc>
          <w:tcPr>
            <w:tcW w:w="298" w:type="pct"/>
            <w:shd w:val="clear" w:color="auto" w:fill="F2F2F2" w:themeFill="background1" w:themeFillShade="F2"/>
            <w:vAlign w:val="bottom"/>
            <w:hideMark/>
          </w:tcPr>
          <w:p w14:paraId="7B016E6A" w14:textId="77777777" w:rsidR="00750088" w:rsidRDefault="00750088" w:rsidP="00750088">
            <w:pPr>
              <w:pStyle w:val="Tabletextnoindent"/>
              <w:jc w:val="right"/>
              <w:rPr>
                <w:sz w:val="14"/>
                <w:szCs w:val="14"/>
              </w:rPr>
            </w:pPr>
            <w:r>
              <w:rPr>
                <w:sz w:val="14"/>
                <w:szCs w:val="14"/>
              </w:rPr>
              <w:t>4.0</w:t>
            </w:r>
          </w:p>
        </w:tc>
        <w:tc>
          <w:tcPr>
            <w:tcW w:w="298" w:type="pct"/>
            <w:shd w:val="clear" w:color="auto" w:fill="F2F2F2" w:themeFill="background1" w:themeFillShade="F2"/>
            <w:vAlign w:val="bottom"/>
            <w:hideMark/>
          </w:tcPr>
          <w:p w14:paraId="00F5C263" w14:textId="77777777" w:rsidR="00750088" w:rsidRDefault="00750088" w:rsidP="00750088">
            <w:pPr>
              <w:pStyle w:val="Tabletextnoindent"/>
              <w:jc w:val="right"/>
              <w:rPr>
                <w:sz w:val="14"/>
                <w:szCs w:val="14"/>
              </w:rPr>
            </w:pPr>
            <w:r>
              <w:rPr>
                <w:sz w:val="14"/>
                <w:szCs w:val="14"/>
              </w:rPr>
              <w:t>325.1</w:t>
            </w:r>
          </w:p>
        </w:tc>
        <w:tc>
          <w:tcPr>
            <w:tcW w:w="505" w:type="pct"/>
            <w:shd w:val="clear" w:color="auto" w:fill="F2F2F2" w:themeFill="background1" w:themeFillShade="F2"/>
            <w:hideMark/>
          </w:tcPr>
          <w:p w14:paraId="6F2EF667" w14:textId="735CF592" w:rsidR="00750088" w:rsidRDefault="00750088" w:rsidP="00750088">
            <w:pPr>
              <w:pStyle w:val="Tabletextnoindent"/>
              <w:jc w:val="right"/>
              <w:rPr>
                <w:sz w:val="14"/>
                <w:szCs w:val="14"/>
              </w:rPr>
            </w:pPr>
            <w:r w:rsidRPr="00E04A0C">
              <w:rPr>
                <w:sz w:val="14"/>
                <w:szCs w:val="14"/>
              </w:rPr>
              <w:t>–</w:t>
            </w:r>
          </w:p>
        </w:tc>
        <w:tc>
          <w:tcPr>
            <w:tcW w:w="92" w:type="pct"/>
            <w:tcBorders>
              <w:top w:val="nil"/>
              <w:left w:val="nil"/>
              <w:bottom w:val="nil"/>
              <w:right w:val="single" w:sz="4" w:space="0" w:color="auto"/>
            </w:tcBorders>
            <w:shd w:val="clear" w:color="auto" w:fill="F2F2F2" w:themeFill="background1" w:themeFillShade="F2"/>
            <w:noWrap/>
            <w:vAlign w:val="bottom"/>
          </w:tcPr>
          <w:p w14:paraId="77AFAE39" w14:textId="77777777" w:rsidR="00750088" w:rsidRDefault="00750088" w:rsidP="00750088">
            <w:pPr>
              <w:pStyle w:val="Tabletextnoindent"/>
              <w:jc w:val="right"/>
              <w:rPr>
                <w:sz w:val="14"/>
                <w:szCs w:val="14"/>
              </w:rPr>
            </w:pPr>
          </w:p>
        </w:tc>
        <w:tc>
          <w:tcPr>
            <w:tcW w:w="653" w:type="pct"/>
            <w:tcBorders>
              <w:top w:val="nil"/>
              <w:left w:val="single" w:sz="4" w:space="0" w:color="auto"/>
              <w:bottom w:val="nil"/>
              <w:right w:val="nil"/>
            </w:tcBorders>
            <w:shd w:val="clear" w:color="auto" w:fill="F2F2F2" w:themeFill="background1" w:themeFillShade="F2"/>
            <w:vAlign w:val="bottom"/>
            <w:hideMark/>
          </w:tcPr>
          <w:p w14:paraId="29BBC029" w14:textId="77777777" w:rsidR="00750088" w:rsidRDefault="00750088" w:rsidP="00750088">
            <w:pPr>
              <w:pStyle w:val="Tabletextnoindent"/>
              <w:jc w:val="right"/>
              <w:rPr>
                <w:sz w:val="14"/>
                <w:szCs w:val="14"/>
              </w:rPr>
            </w:pPr>
            <w:r>
              <w:rPr>
                <w:sz w:val="14"/>
                <w:szCs w:val="14"/>
              </w:rPr>
              <w:t>11,874.4</w:t>
            </w:r>
          </w:p>
        </w:tc>
        <w:tc>
          <w:tcPr>
            <w:tcW w:w="499" w:type="pct"/>
            <w:shd w:val="clear" w:color="auto" w:fill="F2F2F2" w:themeFill="background1" w:themeFillShade="F2"/>
            <w:vAlign w:val="bottom"/>
            <w:hideMark/>
          </w:tcPr>
          <w:p w14:paraId="22C7BDB0" w14:textId="77777777" w:rsidR="00750088" w:rsidRDefault="00750088" w:rsidP="00750088">
            <w:pPr>
              <w:pStyle w:val="Tabletextnoindent"/>
              <w:jc w:val="right"/>
              <w:rPr>
                <w:sz w:val="14"/>
                <w:szCs w:val="14"/>
              </w:rPr>
            </w:pPr>
            <w:r>
              <w:rPr>
                <w:sz w:val="14"/>
                <w:szCs w:val="14"/>
              </w:rPr>
              <w:t>11,172.0</w:t>
            </w:r>
          </w:p>
        </w:tc>
        <w:tc>
          <w:tcPr>
            <w:tcW w:w="353" w:type="pct"/>
            <w:shd w:val="clear" w:color="auto" w:fill="F2F2F2" w:themeFill="background1" w:themeFillShade="F2"/>
            <w:vAlign w:val="bottom"/>
            <w:hideMark/>
          </w:tcPr>
          <w:p w14:paraId="63C4C5C7" w14:textId="77777777" w:rsidR="00750088" w:rsidRDefault="00750088" w:rsidP="00750088">
            <w:pPr>
              <w:pStyle w:val="Tabletextnoindent"/>
              <w:jc w:val="right"/>
              <w:rPr>
                <w:sz w:val="14"/>
                <w:szCs w:val="14"/>
              </w:rPr>
            </w:pPr>
            <w:r>
              <w:rPr>
                <w:sz w:val="14"/>
                <w:szCs w:val="14"/>
              </w:rPr>
              <w:t>702.4</w:t>
            </w:r>
          </w:p>
        </w:tc>
      </w:tr>
      <w:tr w:rsidR="00750088" w14:paraId="6F698BE3" w14:textId="77777777" w:rsidTr="00FE3FF7">
        <w:trPr>
          <w:trHeight w:hRule="exact" w:val="284"/>
        </w:trPr>
        <w:tc>
          <w:tcPr>
            <w:tcW w:w="541" w:type="pct"/>
            <w:tcBorders>
              <w:top w:val="nil"/>
              <w:left w:val="nil"/>
              <w:bottom w:val="single" w:sz="4" w:space="0" w:color="auto"/>
              <w:right w:val="nil"/>
            </w:tcBorders>
            <w:shd w:val="clear" w:color="auto" w:fill="F2F2F2" w:themeFill="background1" w:themeFillShade="F2"/>
            <w:noWrap/>
            <w:vAlign w:val="bottom"/>
            <w:hideMark/>
          </w:tcPr>
          <w:p w14:paraId="67DE726E" w14:textId="77777777" w:rsidR="00750088" w:rsidRPr="00750088" w:rsidRDefault="00750088" w:rsidP="00750088">
            <w:pPr>
              <w:pStyle w:val="Tabletextobjectivestablesnarrow"/>
              <w:jc w:val="left"/>
              <w:rPr>
                <w:sz w:val="14"/>
                <w:szCs w:val="14"/>
              </w:rPr>
            </w:pPr>
            <w:r w:rsidRPr="00750088">
              <w:rPr>
                <w:sz w:val="14"/>
                <w:szCs w:val="14"/>
              </w:rPr>
              <w:t>Additions to net assets</w:t>
            </w:r>
          </w:p>
        </w:tc>
        <w:tc>
          <w:tcPr>
            <w:tcW w:w="465" w:type="pct"/>
            <w:tcBorders>
              <w:top w:val="nil"/>
              <w:left w:val="nil"/>
              <w:bottom w:val="single" w:sz="4" w:space="0" w:color="auto"/>
              <w:right w:val="nil"/>
            </w:tcBorders>
            <w:shd w:val="clear" w:color="auto" w:fill="F2F2F2" w:themeFill="background1" w:themeFillShade="F2"/>
            <w:vAlign w:val="bottom"/>
            <w:hideMark/>
          </w:tcPr>
          <w:p w14:paraId="5BD8E304" w14:textId="3ED1403D" w:rsidR="00750088" w:rsidRDefault="00750088" w:rsidP="00750088">
            <w:pPr>
              <w:pStyle w:val="Tabletextnoindent"/>
              <w:jc w:val="right"/>
              <w:rPr>
                <w:sz w:val="14"/>
                <w:szCs w:val="14"/>
              </w:rPr>
            </w:pPr>
            <w:r>
              <w:rPr>
                <w:sz w:val="14"/>
                <w:szCs w:val="14"/>
              </w:rPr>
              <w:t>–</w:t>
            </w:r>
          </w:p>
        </w:tc>
        <w:tc>
          <w:tcPr>
            <w:tcW w:w="579" w:type="pct"/>
            <w:tcBorders>
              <w:top w:val="nil"/>
              <w:left w:val="nil"/>
              <w:bottom w:val="single" w:sz="4" w:space="0" w:color="auto"/>
              <w:right w:val="nil"/>
            </w:tcBorders>
            <w:shd w:val="clear" w:color="auto" w:fill="F2F2F2" w:themeFill="background1" w:themeFillShade="F2"/>
            <w:vAlign w:val="bottom"/>
            <w:hideMark/>
          </w:tcPr>
          <w:p w14:paraId="2A89F05D" w14:textId="38B51AA5" w:rsidR="00750088" w:rsidRDefault="00750088" w:rsidP="00750088">
            <w:pPr>
              <w:pStyle w:val="Tabletextnoindent"/>
              <w:jc w:val="right"/>
              <w:rPr>
                <w:sz w:val="14"/>
                <w:szCs w:val="14"/>
              </w:rPr>
            </w:pPr>
            <w:r>
              <w:rPr>
                <w:sz w:val="14"/>
                <w:szCs w:val="14"/>
              </w:rPr>
              <w:t>–</w:t>
            </w:r>
          </w:p>
        </w:tc>
        <w:tc>
          <w:tcPr>
            <w:tcW w:w="92" w:type="pct"/>
            <w:tcBorders>
              <w:top w:val="nil"/>
              <w:left w:val="nil"/>
              <w:bottom w:val="single" w:sz="4" w:space="0" w:color="auto"/>
              <w:right w:val="single" w:sz="4" w:space="0" w:color="auto"/>
            </w:tcBorders>
            <w:shd w:val="clear" w:color="auto" w:fill="F2F2F2" w:themeFill="background1" w:themeFillShade="F2"/>
            <w:vAlign w:val="bottom"/>
          </w:tcPr>
          <w:p w14:paraId="08D6E672" w14:textId="77777777" w:rsidR="00750088" w:rsidRDefault="00750088" w:rsidP="00750088">
            <w:pPr>
              <w:pStyle w:val="Tabletextnoindent"/>
              <w:jc w:val="right"/>
              <w:rPr>
                <w:sz w:val="14"/>
                <w:szCs w:val="14"/>
              </w:rPr>
            </w:pPr>
          </w:p>
        </w:tc>
        <w:tc>
          <w:tcPr>
            <w:tcW w:w="327" w:type="pct"/>
            <w:tcBorders>
              <w:top w:val="nil"/>
              <w:left w:val="single" w:sz="4" w:space="0" w:color="auto"/>
              <w:bottom w:val="single" w:sz="4" w:space="0" w:color="auto"/>
              <w:right w:val="nil"/>
            </w:tcBorders>
            <w:shd w:val="clear" w:color="auto" w:fill="F2F2F2" w:themeFill="background1" w:themeFillShade="F2"/>
            <w:hideMark/>
          </w:tcPr>
          <w:p w14:paraId="375361E8" w14:textId="5D4E8207" w:rsidR="00750088" w:rsidRDefault="00750088" w:rsidP="00750088">
            <w:pPr>
              <w:pStyle w:val="Tabletextnoindent"/>
              <w:jc w:val="right"/>
              <w:rPr>
                <w:sz w:val="14"/>
                <w:szCs w:val="14"/>
              </w:rPr>
            </w:pPr>
            <w:r w:rsidRPr="00072E26">
              <w:rPr>
                <w:sz w:val="14"/>
                <w:szCs w:val="14"/>
              </w:rPr>
              <w:t>–</w:t>
            </w:r>
          </w:p>
        </w:tc>
        <w:tc>
          <w:tcPr>
            <w:tcW w:w="298" w:type="pct"/>
            <w:tcBorders>
              <w:top w:val="nil"/>
              <w:left w:val="nil"/>
              <w:bottom w:val="single" w:sz="4" w:space="0" w:color="auto"/>
              <w:right w:val="nil"/>
            </w:tcBorders>
            <w:shd w:val="clear" w:color="auto" w:fill="F2F2F2" w:themeFill="background1" w:themeFillShade="F2"/>
            <w:vAlign w:val="bottom"/>
            <w:hideMark/>
          </w:tcPr>
          <w:p w14:paraId="14DFC77E" w14:textId="77777777" w:rsidR="00750088" w:rsidRDefault="00750088" w:rsidP="00750088">
            <w:pPr>
              <w:pStyle w:val="Tabletextnoindent"/>
              <w:jc w:val="right"/>
              <w:rPr>
                <w:sz w:val="14"/>
                <w:szCs w:val="14"/>
              </w:rPr>
            </w:pPr>
            <w:r>
              <w:rPr>
                <w:sz w:val="14"/>
                <w:szCs w:val="14"/>
              </w:rPr>
              <w:t>25.5</w:t>
            </w:r>
          </w:p>
        </w:tc>
        <w:tc>
          <w:tcPr>
            <w:tcW w:w="298" w:type="pct"/>
            <w:tcBorders>
              <w:top w:val="nil"/>
              <w:left w:val="nil"/>
              <w:bottom w:val="single" w:sz="4" w:space="0" w:color="auto"/>
              <w:right w:val="nil"/>
            </w:tcBorders>
            <w:shd w:val="clear" w:color="auto" w:fill="F2F2F2" w:themeFill="background1" w:themeFillShade="F2"/>
            <w:vAlign w:val="bottom"/>
            <w:hideMark/>
          </w:tcPr>
          <w:p w14:paraId="67F4E7D1" w14:textId="77777777" w:rsidR="00750088" w:rsidRDefault="00750088" w:rsidP="00750088">
            <w:pPr>
              <w:pStyle w:val="Tabletextnoindent"/>
              <w:jc w:val="right"/>
              <w:rPr>
                <w:sz w:val="14"/>
                <w:szCs w:val="14"/>
              </w:rPr>
            </w:pPr>
            <w:r>
              <w:rPr>
                <w:sz w:val="14"/>
                <w:szCs w:val="14"/>
              </w:rPr>
              <w:t>(4.0)</w:t>
            </w:r>
          </w:p>
        </w:tc>
        <w:tc>
          <w:tcPr>
            <w:tcW w:w="298" w:type="pct"/>
            <w:tcBorders>
              <w:top w:val="nil"/>
              <w:left w:val="nil"/>
              <w:bottom w:val="single" w:sz="4" w:space="0" w:color="auto"/>
              <w:right w:val="nil"/>
            </w:tcBorders>
            <w:shd w:val="clear" w:color="auto" w:fill="F2F2F2" w:themeFill="background1" w:themeFillShade="F2"/>
            <w:vAlign w:val="bottom"/>
            <w:hideMark/>
          </w:tcPr>
          <w:p w14:paraId="396E1BDC" w14:textId="56059EFC" w:rsidR="00750088" w:rsidRDefault="00750088" w:rsidP="00750088">
            <w:pPr>
              <w:pStyle w:val="Tabletextnoindent"/>
              <w:jc w:val="right"/>
              <w:rPr>
                <w:sz w:val="14"/>
                <w:szCs w:val="14"/>
              </w:rPr>
            </w:pPr>
            <w:r>
              <w:rPr>
                <w:sz w:val="14"/>
                <w:szCs w:val="14"/>
              </w:rPr>
              <w:t>–</w:t>
            </w:r>
          </w:p>
        </w:tc>
        <w:tc>
          <w:tcPr>
            <w:tcW w:w="505" w:type="pct"/>
            <w:tcBorders>
              <w:top w:val="nil"/>
              <w:left w:val="nil"/>
              <w:bottom w:val="single" w:sz="4" w:space="0" w:color="auto"/>
              <w:right w:val="nil"/>
            </w:tcBorders>
            <w:shd w:val="clear" w:color="auto" w:fill="F2F2F2" w:themeFill="background1" w:themeFillShade="F2"/>
            <w:hideMark/>
          </w:tcPr>
          <w:p w14:paraId="502FA615" w14:textId="20310273" w:rsidR="00750088" w:rsidRDefault="00750088" w:rsidP="00750088">
            <w:pPr>
              <w:pStyle w:val="Tabletextnoindent"/>
              <w:jc w:val="right"/>
              <w:rPr>
                <w:sz w:val="14"/>
                <w:szCs w:val="14"/>
              </w:rPr>
            </w:pPr>
            <w:r w:rsidRPr="00E04A0C">
              <w:rPr>
                <w:sz w:val="14"/>
                <w:szCs w:val="14"/>
              </w:rPr>
              <w:t>–</w:t>
            </w:r>
          </w:p>
        </w:tc>
        <w:tc>
          <w:tcPr>
            <w:tcW w:w="92" w:type="pct"/>
            <w:tcBorders>
              <w:top w:val="nil"/>
              <w:left w:val="nil"/>
              <w:bottom w:val="single" w:sz="4" w:space="0" w:color="auto"/>
              <w:right w:val="single" w:sz="4" w:space="0" w:color="auto"/>
            </w:tcBorders>
            <w:shd w:val="clear" w:color="auto" w:fill="F2F2F2" w:themeFill="background1" w:themeFillShade="F2"/>
            <w:noWrap/>
            <w:vAlign w:val="bottom"/>
          </w:tcPr>
          <w:p w14:paraId="4F034154" w14:textId="77777777" w:rsidR="00750088" w:rsidRDefault="00750088" w:rsidP="00750088">
            <w:pPr>
              <w:pStyle w:val="Tabletextnoindent"/>
              <w:jc w:val="right"/>
              <w:rPr>
                <w:sz w:val="14"/>
                <w:szCs w:val="14"/>
              </w:rPr>
            </w:pPr>
          </w:p>
        </w:tc>
        <w:tc>
          <w:tcPr>
            <w:tcW w:w="653" w:type="pct"/>
            <w:tcBorders>
              <w:top w:val="nil"/>
              <w:left w:val="single" w:sz="4" w:space="0" w:color="auto"/>
              <w:bottom w:val="single" w:sz="4" w:space="0" w:color="auto"/>
              <w:right w:val="nil"/>
            </w:tcBorders>
            <w:shd w:val="clear" w:color="auto" w:fill="F2F2F2" w:themeFill="background1" w:themeFillShade="F2"/>
            <w:vAlign w:val="bottom"/>
            <w:hideMark/>
          </w:tcPr>
          <w:p w14:paraId="4AEE1B37" w14:textId="77777777" w:rsidR="00750088" w:rsidRDefault="00750088" w:rsidP="00750088">
            <w:pPr>
              <w:pStyle w:val="Tabletextnoindent"/>
              <w:jc w:val="right"/>
              <w:rPr>
                <w:sz w:val="14"/>
                <w:szCs w:val="14"/>
              </w:rPr>
            </w:pPr>
            <w:r>
              <w:rPr>
                <w:sz w:val="14"/>
                <w:szCs w:val="14"/>
              </w:rPr>
              <w:t>21.5</w:t>
            </w:r>
          </w:p>
        </w:tc>
        <w:tc>
          <w:tcPr>
            <w:tcW w:w="499" w:type="pct"/>
            <w:tcBorders>
              <w:top w:val="nil"/>
              <w:left w:val="nil"/>
              <w:bottom w:val="single" w:sz="4" w:space="0" w:color="auto"/>
              <w:right w:val="nil"/>
            </w:tcBorders>
            <w:shd w:val="clear" w:color="auto" w:fill="F2F2F2" w:themeFill="background1" w:themeFillShade="F2"/>
            <w:vAlign w:val="bottom"/>
            <w:hideMark/>
          </w:tcPr>
          <w:p w14:paraId="2B96F5CF" w14:textId="77777777" w:rsidR="00750088" w:rsidRDefault="00750088" w:rsidP="00750088">
            <w:pPr>
              <w:pStyle w:val="Tabletextnoindent"/>
              <w:jc w:val="right"/>
              <w:rPr>
                <w:sz w:val="14"/>
                <w:szCs w:val="14"/>
              </w:rPr>
            </w:pPr>
            <w:r>
              <w:rPr>
                <w:sz w:val="14"/>
                <w:szCs w:val="14"/>
              </w:rPr>
              <w:t>3.5</w:t>
            </w:r>
          </w:p>
        </w:tc>
        <w:tc>
          <w:tcPr>
            <w:tcW w:w="353" w:type="pct"/>
            <w:tcBorders>
              <w:top w:val="nil"/>
              <w:left w:val="nil"/>
              <w:bottom w:val="single" w:sz="4" w:space="0" w:color="auto"/>
              <w:right w:val="nil"/>
            </w:tcBorders>
            <w:shd w:val="clear" w:color="auto" w:fill="F2F2F2" w:themeFill="background1" w:themeFillShade="F2"/>
            <w:vAlign w:val="bottom"/>
            <w:hideMark/>
          </w:tcPr>
          <w:p w14:paraId="5960BE18" w14:textId="77777777" w:rsidR="00750088" w:rsidRDefault="00750088" w:rsidP="00750088">
            <w:pPr>
              <w:pStyle w:val="Tabletextnoindent"/>
              <w:jc w:val="right"/>
              <w:rPr>
                <w:sz w:val="14"/>
                <w:szCs w:val="14"/>
              </w:rPr>
            </w:pPr>
            <w:r>
              <w:rPr>
                <w:sz w:val="14"/>
                <w:szCs w:val="14"/>
              </w:rPr>
              <w:t>18.0</w:t>
            </w:r>
          </w:p>
        </w:tc>
      </w:tr>
      <w:tr w:rsidR="00750088" w14:paraId="352EA5CE" w14:textId="77777777" w:rsidTr="00FE3FF7">
        <w:trPr>
          <w:trHeight w:hRule="exact" w:val="284"/>
        </w:trPr>
        <w:tc>
          <w:tcPr>
            <w:tcW w:w="541" w:type="pct"/>
            <w:tcBorders>
              <w:top w:val="single" w:sz="4" w:space="0" w:color="auto"/>
              <w:left w:val="nil"/>
              <w:bottom w:val="single" w:sz="4" w:space="0" w:color="auto"/>
              <w:right w:val="nil"/>
            </w:tcBorders>
            <w:shd w:val="clear" w:color="auto" w:fill="F2F2F2" w:themeFill="background1" w:themeFillShade="F2"/>
            <w:noWrap/>
            <w:vAlign w:val="center"/>
            <w:hideMark/>
          </w:tcPr>
          <w:p w14:paraId="3F287641" w14:textId="77777777" w:rsidR="00750088" w:rsidRDefault="00750088" w:rsidP="00750088">
            <w:pPr>
              <w:pStyle w:val="Tabletextnoindent"/>
              <w:rPr>
                <w:b/>
                <w:sz w:val="14"/>
                <w:szCs w:val="14"/>
              </w:rPr>
            </w:pPr>
            <w:r>
              <w:rPr>
                <w:b/>
                <w:sz w:val="14"/>
                <w:szCs w:val="14"/>
              </w:rPr>
              <w:t>Total</w:t>
            </w:r>
          </w:p>
        </w:tc>
        <w:tc>
          <w:tcPr>
            <w:tcW w:w="465" w:type="pct"/>
            <w:tcBorders>
              <w:top w:val="single" w:sz="4" w:space="0" w:color="auto"/>
              <w:left w:val="nil"/>
              <w:bottom w:val="single" w:sz="4" w:space="0" w:color="auto"/>
              <w:right w:val="nil"/>
            </w:tcBorders>
            <w:shd w:val="clear" w:color="auto" w:fill="F2F2F2" w:themeFill="background1" w:themeFillShade="F2"/>
            <w:noWrap/>
            <w:vAlign w:val="bottom"/>
            <w:hideMark/>
          </w:tcPr>
          <w:p w14:paraId="0E4D7FF2" w14:textId="77777777" w:rsidR="00750088" w:rsidRDefault="00750088" w:rsidP="00750088">
            <w:pPr>
              <w:pStyle w:val="Tabletextnoindent"/>
              <w:jc w:val="right"/>
              <w:rPr>
                <w:b/>
                <w:sz w:val="14"/>
                <w:szCs w:val="14"/>
              </w:rPr>
            </w:pPr>
            <w:r>
              <w:rPr>
                <w:sz w:val="14"/>
                <w:szCs w:val="14"/>
              </w:rPr>
              <w:t>10,840.3</w:t>
            </w:r>
          </w:p>
        </w:tc>
        <w:tc>
          <w:tcPr>
            <w:tcW w:w="579" w:type="pct"/>
            <w:tcBorders>
              <w:top w:val="single" w:sz="4" w:space="0" w:color="auto"/>
              <w:left w:val="nil"/>
              <w:bottom w:val="single" w:sz="4" w:space="0" w:color="auto"/>
              <w:right w:val="nil"/>
            </w:tcBorders>
            <w:shd w:val="clear" w:color="auto" w:fill="F2F2F2" w:themeFill="background1" w:themeFillShade="F2"/>
            <w:noWrap/>
            <w:vAlign w:val="bottom"/>
            <w:hideMark/>
          </w:tcPr>
          <w:p w14:paraId="4E3222B5" w14:textId="77777777" w:rsidR="00750088" w:rsidRDefault="00750088" w:rsidP="00750088">
            <w:pPr>
              <w:pStyle w:val="Tabletextnoindent"/>
              <w:jc w:val="right"/>
              <w:rPr>
                <w:b/>
                <w:sz w:val="14"/>
                <w:szCs w:val="14"/>
              </w:rPr>
            </w:pPr>
            <w:r>
              <w:rPr>
                <w:sz w:val="14"/>
                <w:szCs w:val="14"/>
              </w:rPr>
              <w:t>212.0</w:t>
            </w:r>
          </w:p>
        </w:tc>
        <w:tc>
          <w:tcPr>
            <w:tcW w:w="9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6A51A4" w14:textId="77777777" w:rsidR="00750088" w:rsidRDefault="00750088" w:rsidP="00750088">
            <w:pPr>
              <w:pStyle w:val="Tabletextnoindent"/>
              <w:jc w:val="right"/>
              <w:rPr>
                <w:b/>
                <w:sz w:val="14"/>
                <w:szCs w:val="14"/>
              </w:rPr>
            </w:pPr>
          </w:p>
        </w:tc>
        <w:tc>
          <w:tcPr>
            <w:tcW w:w="327" w:type="pct"/>
            <w:tcBorders>
              <w:top w:val="single" w:sz="4" w:space="0" w:color="auto"/>
              <w:left w:val="single" w:sz="4" w:space="0" w:color="auto"/>
              <w:bottom w:val="single" w:sz="4" w:space="0" w:color="auto"/>
              <w:right w:val="nil"/>
            </w:tcBorders>
            <w:shd w:val="clear" w:color="auto" w:fill="F2F2F2" w:themeFill="background1" w:themeFillShade="F2"/>
            <w:noWrap/>
            <w:hideMark/>
          </w:tcPr>
          <w:p w14:paraId="2DCB0341" w14:textId="3AA16AF5" w:rsidR="00750088" w:rsidRDefault="00750088" w:rsidP="00750088">
            <w:pPr>
              <w:pStyle w:val="Tabletextnoindent"/>
              <w:jc w:val="right"/>
              <w:rPr>
                <w:b/>
                <w:sz w:val="14"/>
                <w:szCs w:val="14"/>
              </w:rPr>
            </w:pPr>
            <w:r w:rsidRPr="00072E26">
              <w:rPr>
                <w:sz w:val="14"/>
                <w:szCs w:val="14"/>
              </w:rPr>
              <w:t>–</w:t>
            </w:r>
          </w:p>
        </w:tc>
        <w:tc>
          <w:tcPr>
            <w:tcW w:w="298" w:type="pct"/>
            <w:tcBorders>
              <w:top w:val="single" w:sz="4" w:space="0" w:color="auto"/>
              <w:left w:val="nil"/>
              <w:bottom w:val="single" w:sz="4" w:space="0" w:color="auto"/>
              <w:right w:val="nil"/>
            </w:tcBorders>
            <w:shd w:val="clear" w:color="auto" w:fill="F2F2F2" w:themeFill="background1" w:themeFillShade="F2"/>
            <w:noWrap/>
            <w:vAlign w:val="bottom"/>
            <w:hideMark/>
          </w:tcPr>
          <w:p w14:paraId="6048A60F" w14:textId="77777777" w:rsidR="00750088" w:rsidRDefault="00750088" w:rsidP="00750088">
            <w:pPr>
              <w:pStyle w:val="Tabletextnoindent"/>
              <w:jc w:val="right"/>
              <w:rPr>
                <w:b/>
                <w:sz w:val="14"/>
                <w:szCs w:val="14"/>
              </w:rPr>
            </w:pPr>
            <w:r>
              <w:rPr>
                <w:sz w:val="14"/>
                <w:szCs w:val="14"/>
              </w:rPr>
              <w:t>518.5</w:t>
            </w:r>
          </w:p>
        </w:tc>
        <w:tc>
          <w:tcPr>
            <w:tcW w:w="298" w:type="pct"/>
            <w:tcBorders>
              <w:top w:val="single" w:sz="4" w:space="0" w:color="auto"/>
              <w:left w:val="nil"/>
              <w:bottom w:val="single" w:sz="4" w:space="0" w:color="auto"/>
              <w:right w:val="nil"/>
            </w:tcBorders>
            <w:shd w:val="clear" w:color="auto" w:fill="F2F2F2" w:themeFill="background1" w:themeFillShade="F2"/>
            <w:noWrap/>
            <w:vAlign w:val="bottom"/>
            <w:hideMark/>
          </w:tcPr>
          <w:p w14:paraId="5E17784C" w14:textId="05083A68" w:rsidR="00750088" w:rsidRDefault="00750088" w:rsidP="00750088">
            <w:pPr>
              <w:pStyle w:val="Tabletextnoindent"/>
              <w:jc w:val="right"/>
              <w:rPr>
                <w:b/>
                <w:sz w:val="14"/>
                <w:szCs w:val="14"/>
              </w:rPr>
            </w:pPr>
            <w:r>
              <w:rPr>
                <w:sz w:val="14"/>
                <w:szCs w:val="14"/>
              </w:rPr>
              <w:t>–</w:t>
            </w:r>
          </w:p>
        </w:tc>
        <w:tc>
          <w:tcPr>
            <w:tcW w:w="298" w:type="pct"/>
            <w:tcBorders>
              <w:top w:val="single" w:sz="4" w:space="0" w:color="auto"/>
              <w:left w:val="nil"/>
              <w:bottom w:val="single" w:sz="4" w:space="0" w:color="auto"/>
              <w:right w:val="nil"/>
            </w:tcBorders>
            <w:shd w:val="clear" w:color="auto" w:fill="F2F2F2" w:themeFill="background1" w:themeFillShade="F2"/>
            <w:noWrap/>
            <w:vAlign w:val="bottom"/>
            <w:hideMark/>
          </w:tcPr>
          <w:p w14:paraId="456ED633" w14:textId="77777777" w:rsidR="00750088" w:rsidRDefault="00750088" w:rsidP="00750088">
            <w:pPr>
              <w:pStyle w:val="Tabletextnoindent"/>
              <w:jc w:val="right"/>
              <w:rPr>
                <w:b/>
                <w:sz w:val="14"/>
                <w:szCs w:val="14"/>
              </w:rPr>
            </w:pPr>
            <w:r>
              <w:rPr>
                <w:sz w:val="14"/>
                <w:szCs w:val="14"/>
              </w:rPr>
              <w:t>325.1</w:t>
            </w:r>
          </w:p>
        </w:tc>
        <w:tc>
          <w:tcPr>
            <w:tcW w:w="505" w:type="pct"/>
            <w:tcBorders>
              <w:top w:val="single" w:sz="4" w:space="0" w:color="auto"/>
              <w:left w:val="nil"/>
              <w:bottom w:val="single" w:sz="4" w:space="0" w:color="auto"/>
              <w:right w:val="nil"/>
            </w:tcBorders>
            <w:shd w:val="clear" w:color="auto" w:fill="F2F2F2" w:themeFill="background1" w:themeFillShade="F2"/>
            <w:noWrap/>
            <w:hideMark/>
          </w:tcPr>
          <w:p w14:paraId="481C2D28" w14:textId="594B1573" w:rsidR="00750088" w:rsidRDefault="00750088" w:rsidP="00750088">
            <w:pPr>
              <w:pStyle w:val="Tabletextnoindent"/>
              <w:jc w:val="right"/>
              <w:rPr>
                <w:b/>
                <w:sz w:val="14"/>
                <w:szCs w:val="14"/>
              </w:rPr>
            </w:pPr>
            <w:r w:rsidRPr="00E04A0C">
              <w:rPr>
                <w:sz w:val="14"/>
                <w:szCs w:val="14"/>
              </w:rPr>
              <w:t>–</w:t>
            </w:r>
          </w:p>
        </w:tc>
        <w:tc>
          <w:tcPr>
            <w:tcW w:w="92" w:type="pct"/>
            <w:tcBorders>
              <w:top w:val="single" w:sz="4" w:space="0" w:color="auto"/>
              <w:left w:val="nil"/>
              <w:bottom w:val="single" w:sz="4" w:space="0" w:color="auto"/>
              <w:right w:val="single" w:sz="4" w:space="0" w:color="auto"/>
            </w:tcBorders>
            <w:shd w:val="clear" w:color="auto" w:fill="F2F2F2" w:themeFill="background1" w:themeFillShade="F2"/>
            <w:noWrap/>
            <w:vAlign w:val="bottom"/>
          </w:tcPr>
          <w:p w14:paraId="7BFD2E12" w14:textId="77777777" w:rsidR="00750088" w:rsidRDefault="00750088" w:rsidP="00750088">
            <w:pPr>
              <w:pStyle w:val="Tabletextnoindent"/>
              <w:jc w:val="right"/>
              <w:rPr>
                <w:b/>
                <w:sz w:val="14"/>
                <w:szCs w:val="14"/>
              </w:rPr>
            </w:pPr>
          </w:p>
        </w:tc>
        <w:tc>
          <w:tcPr>
            <w:tcW w:w="653" w:type="pct"/>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14:paraId="3ADD60E0" w14:textId="77777777" w:rsidR="00750088" w:rsidRDefault="00750088" w:rsidP="00750088">
            <w:pPr>
              <w:pStyle w:val="Tabletextnoindent"/>
              <w:jc w:val="right"/>
              <w:rPr>
                <w:b/>
                <w:sz w:val="14"/>
                <w:szCs w:val="14"/>
              </w:rPr>
            </w:pPr>
            <w:r>
              <w:rPr>
                <w:sz w:val="14"/>
                <w:szCs w:val="14"/>
              </w:rPr>
              <w:t>11,895.8</w:t>
            </w:r>
          </w:p>
        </w:tc>
        <w:tc>
          <w:tcPr>
            <w:tcW w:w="499" w:type="pct"/>
            <w:tcBorders>
              <w:top w:val="single" w:sz="4" w:space="0" w:color="auto"/>
              <w:left w:val="nil"/>
              <w:bottom w:val="single" w:sz="4" w:space="0" w:color="auto"/>
              <w:right w:val="nil"/>
            </w:tcBorders>
            <w:shd w:val="clear" w:color="auto" w:fill="F2F2F2" w:themeFill="background1" w:themeFillShade="F2"/>
            <w:noWrap/>
            <w:vAlign w:val="bottom"/>
            <w:hideMark/>
          </w:tcPr>
          <w:p w14:paraId="59DA406C" w14:textId="77777777" w:rsidR="00750088" w:rsidRDefault="00750088" w:rsidP="00750088">
            <w:pPr>
              <w:pStyle w:val="Tabletextnoindent"/>
              <w:jc w:val="right"/>
              <w:rPr>
                <w:b/>
                <w:sz w:val="14"/>
                <w:szCs w:val="14"/>
              </w:rPr>
            </w:pPr>
            <w:r>
              <w:rPr>
                <w:sz w:val="14"/>
                <w:szCs w:val="14"/>
              </w:rPr>
              <w:t>11,175.4</w:t>
            </w:r>
          </w:p>
        </w:tc>
        <w:tc>
          <w:tcPr>
            <w:tcW w:w="353" w:type="pct"/>
            <w:tcBorders>
              <w:top w:val="single" w:sz="4" w:space="0" w:color="auto"/>
              <w:left w:val="nil"/>
              <w:bottom w:val="single" w:sz="4" w:space="0" w:color="auto"/>
              <w:right w:val="nil"/>
            </w:tcBorders>
            <w:shd w:val="clear" w:color="auto" w:fill="F2F2F2" w:themeFill="background1" w:themeFillShade="F2"/>
            <w:noWrap/>
            <w:vAlign w:val="bottom"/>
            <w:hideMark/>
          </w:tcPr>
          <w:p w14:paraId="24E66147" w14:textId="77777777" w:rsidR="00750088" w:rsidRDefault="00750088" w:rsidP="00750088">
            <w:pPr>
              <w:pStyle w:val="Tabletextnoindent"/>
              <w:jc w:val="right"/>
              <w:rPr>
                <w:b/>
                <w:sz w:val="14"/>
                <w:szCs w:val="14"/>
              </w:rPr>
            </w:pPr>
            <w:r>
              <w:rPr>
                <w:sz w:val="14"/>
                <w:szCs w:val="14"/>
              </w:rPr>
              <w:t>720.4</w:t>
            </w:r>
          </w:p>
        </w:tc>
      </w:tr>
      <w:tr w:rsidR="00FE7F8B" w14:paraId="2788CD1A" w14:textId="77777777" w:rsidTr="00FE3FF7">
        <w:trPr>
          <w:trHeight w:hRule="exact" w:val="624"/>
        </w:trPr>
        <w:tc>
          <w:tcPr>
            <w:tcW w:w="541" w:type="pct"/>
            <w:tcBorders>
              <w:top w:val="single" w:sz="4" w:space="0" w:color="auto"/>
              <w:left w:val="nil"/>
              <w:bottom w:val="nil"/>
              <w:right w:val="nil"/>
            </w:tcBorders>
            <w:shd w:val="clear" w:color="auto" w:fill="7F7F7F" w:themeFill="text1" w:themeFillTint="80"/>
            <w:noWrap/>
          </w:tcPr>
          <w:p w14:paraId="599B8E7A" w14:textId="77777777" w:rsidR="00FE7F8B" w:rsidRDefault="00FE7F8B">
            <w:pPr>
              <w:pStyle w:val="Tablecolumnheading"/>
              <w:rPr>
                <w:lang w:eastAsia="en-AU"/>
              </w:rPr>
            </w:pPr>
          </w:p>
        </w:tc>
        <w:tc>
          <w:tcPr>
            <w:tcW w:w="465" w:type="pct"/>
            <w:tcBorders>
              <w:top w:val="single" w:sz="4" w:space="0" w:color="auto"/>
              <w:left w:val="nil"/>
              <w:bottom w:val="nil"/>
              <w:right w:val="nil"/>
            </w:tcBorders>
            <w:shd w:val="clear" w:color="auto" w:fill="7F7F7F" w:themeFill="text1" w:themeFillTint="80"/>
            <w:noWrap/>
            <w:hideMark/>
          </w:tcPr>
          <w:p w14:paraId="3FB5B277" w14:textId="77777777" w:rsidR="00FE7F8B" w:rsidRDefault="00FE7F8B">
            <w:pPr>
              <w:pStyle w:val="Tablecolumnheading"/>
              <w:jc w:val="center"/>
              <w:rPr>
                <w:sz w:val="14"/>
                <w:szCs w:val="14"/>
                <w:lang w:eastAsia="en-AU"/>
              </w:rPr>
            </w:pPr>
            <w:r>
              <w:rPr>
                <w:sz w:val="14"/>
                <w:szCs w:val="14"/>
                <w:lang w:eastAsia="en-AU"/>
              </w:rPr>
              <w:t>Annual appropriation</w:t>
            </w:r>
          </w:p>
        </w:tc>
        <w:tc>
          <w:tcPr>
            <w:tcW w:w="579" w:type="pct"/>
            <w:tcBorders>
              <w:top w:val="single" w:sz="4" w:space="0" w:color="auto"/>
              <w:left w:val="nil"/>
              <w:bottom w:val="nil"/>
              <w:right w:val="nil"/>
            </w:tcBorders>
            <w:shd w:val="clear" w:color="auto" w:fill="7F7F7F" w:themeFill="text1" w:themeFillTint="80"/>
            <w:noWrap/>
            <w:hideMark/>
          </w:tcPr>
          <w:p w14:paraId="388C5865" w14:textId="77777777" w:rsidR="00FE7F8B" w:rsidRDefault="00FE7F8B">
            <w:pPr>
              <w:pStyle w:val="Tablecolumnheading"/>
              <w:jc w:val="center"/>
              <w:rPr>
                <w:sz w:val="14"/>
                <w:szCs w:val="14"/>
                <w:lang w:eastAsia="en-AU"/>
              </w:rPr>
            </w:pPr>
            <w:r>
              <w:rPr>
                <w:sz w:val="14"/>
                <w:szCs w:val="14"/>
                <w:lang w:eastAsia="en-AU"/>
              </w:rPr>
              <w:t>Advance from Treasurer</w:t>
            </w:r>
          </w:p>
        </w:tc>
        <w:tc>
          <w:tcPr>
            <w:tcW w:w="92" w:type="pct"/>
            <w:tcBorders>
              <w:top w:val="single" w:sz="4" w:space="0" w:color="auto"/>
              <w:left w:val="nil"/>
              <w:bottom w:val="nil"/>
              <w:right w:val="single" w:sz="4" w:space="0" w:color="auto"/>
            </w:tcBorders>
            <w:shd w:val="clear" w:color="auto" w:fill="7F7F7F" w:themeFill="text1" w:themeFillTint="80"/>
            <w:noWrap/>
          </w:tcPr>
          <w:p w14:paraId="7B27FA5F" w14:textId="77777777" w:rsidR="00FE7F8B" w:rsidRDefault="00FE7F8B">
            <w:pPr>
              <w:pStyle w:val="Tablecolumnheading"/>
              <w:jc w:val="center"/>
              <w:rPr>
                <w:sz w:val="14"/>
                <w:szCs w:val="14"/>
                <w:lang w:eastAsia="en-AU"/>
              </w:rPr>
            </w:pPr>
          </w:p>
        </w:tc>
        <w:tc>
          <w:tcPr>
            <w:tcW w:w="327" w:type="pct"/>
            <w:tcBorders>
              <w:top w:val="single" w:sz="4" w:space="0" w:color="auto"/>
              <w:left w:val="single" w:sz="4" w:space="0" w:color="auto"/>
              <w:bottom w:val="nil"/>
              <w:right w:val="nil"/>
            </w:tcBorders>
            <w:shd w:val="clear" w:color="auto" w:fill="7F7F7F" w:themeFill="text1" w:themeFillTint="80"/>
            <w:noWrap/>
            <w:hideMark/>
          </w:tcPr>
          <w:p w14:paraId="47BD0CFE" w14:textId="77777777" w:rsidR="00FE7F8B" w:rsidRDefault="00FE7F8B">
            <w:pPr>
              <w:pStyle w:val="Tablecolumnheading"/>
              <w:jc w:val="center"/>
              <w:rPr>
                <w:sz w:val="14"/>
                <w:szCs w:val="14"/>
                <w:lang w:eastAsia="en-AU"/>
              </w:rPr>
            </w:pPr>
            <w:r>
              <w:rPr>
                <w:sz w:val="14"/>
                <w:szCs w:val="14"/>
                <w:lang w:eastAsia="en-AU"/>
              </w:rPr>
              <w:t>Section 3(2)</w:t>
            </w:r>
          </w:p>
        </w:tc>
        <w:tc>
          <w:tcPr>
            <w:tcW w:w="298" w:type="pct"/>
            <w:tcBorders>
              <w:top w:val="single" w:sz="4" w:space="0" w:color="auto"/>
              <w:left w:val="nil"/>
              <w:bottom w:val="nil"/>
              <w:right w:val="nil"/>
            </w:tcBorders>
            <w:shd w:val="clear" w:color="auto" w:fill="7F7F7F" w:themeFill="text1" w:themeFillTint="80"/>
            <w:noWrap/>
            <w:hideMark/>
          </w:tcPr>
          <w:p w14:paraId="3AA83721" w14:textId="77777777" w:rsidR="00FE7F8B" w:rsidRDefault="00FE7F8B">
            <w:pPr>
              <w:pStyle w:val="Tablecolumnheading"/>
              <w:jc w:val="center"/>
              <w:rPr>
                <w:sz w:val="14"/>
                <w:szCs w:val="14"/>
                <w:lang w:eastAsia="en-AU"/>
              </w:rPr>
            </w:pPr>
            <w:r>
              <w:rPr>
                <w:sz w:val="14"/>
                <w:szCs w:val="14"/>
                <w:lang w:eastAsia="en-AU"/>
              </w:rPr>
              <w:t>Section 29</w:t>
            </w:r>
          </w:p>
        </w:tc>
        <w:tc>
          <w:tcPr>
            <w:tcW w:w="298" w:type="pct"/>
            <w:tcBorders>
              <w:top w:val="single" w:sz="4" w:space="0" w:color="auto"/>
              <w:left w:val="nil"/>
              <w:bottom w:val="nil"/>
              <w:right w:val="nil"/>
            </w:tcBorders>
            <w:shd w:val="clear" w:color="auto" w:fill="7F7F7F" w:themeFill="text1" w:themeFillTint="80"/>
            <w:noWrap/>
            <w:hideMark/>
          </w:tcPr>
          <w:p w14:paraId="6257B212" w14:textId="77777777" w:rsidR="00FE7F8B" w:rsidRDefault="00FE7F8B">
            <w:pPr>
              <w:pStyle w:val="Tablecolumnheading"/>
              <w:jc w:val="center"/>
              <w:rPr>
                <w:sz w:val="14"/>
                <w:szCs w:val="14"/>
                <w:lang w:eastAsia="en-AU"/>
              </w:rPr>
            </w:pPr>
            <w:r>
              <w:rPr>
                <w:sz w:val="14"/>
                <w:szCs w:val="14"/>
                <w:lang w:eastAsia="en-AU"/>
              </w:rPr>
              <w:t>Section 30</w:t>
            </w:r>
          </w:p>
        </w:tc>
        <w:tc>
          <w:tcPr>
            <w:tcW w:w="298" w:type="pct"/>
            <w:tcBorders>
              <w:top w:val="single" w:sz="4" w:space="0" w:color="auto"/>
              <w:left w:val="nil"/>
              <w:bottom w:val="nil"/>
              <w:right w:val="nil"/>
            </w:tcBorders>
            <w:shd w:val="clear" w:color="auto" w:fill="7F7F7F" w:themeFill="text1" w:themeFillTint="80"/>
            <w:noWrap/>
            <w:hideMark/>
          </w:tcPr>
          <w:p w14:paraId="59574882" w14:textId="77777777" w:rsidR="00FE7F8B" w:rsidRDefault="00FE7F8B">
            <w:pPr>
              <w:pStyle w:val="Tablecolumnheading"/>
              <w:jc w:val="center"/>
              <w:rPr>
                <w:sz w:val="14"/>
                <w:szCs w:val="14"/>
                <w:lang w:eastAsia="en-AU"/>
              </w:rPr>
            </w:pPr>
            <w:r>
              <w:rPr>
                <w:sz w:val="14"/>
                <w:szCs w:val="14"/>
                <w:lang w:eastAsia="en-AU"/>
              </w:rPr>
              <w:t>Section 32</w:t>
            </w:r>
          </w:p>
        </w:tc>
        <w:tc>
          <w:tcPr>
            <w:tcW w:w="505" w:type="pct"/>
            <w:tcBorders>
              <w:top w:val="single" w:sz="4" w:space="0" w:color="auto"/>
              <w:left w:val="nil"/>
              <w:bottom w:val="nil"/>
              <w:right w:val="nil"/>
            </w:tcBorders>
            <w:shd w:val="clear" w:color="auto" w:fill="7F7F7F" w:themeFill="text1" w:themeFillTint="80"/>
            <w:noWrap/>
            <w:hideMark/>
          </w:tcPr>
          <w:p w14:paraId="0485999E" w14:textId="77777777" w:rsidR="00FE7F8B" w:rsidRDefault="00FE7F8B">
            <w:pPr>
              <w:pStyle w:val="Tablecolumnheading"/>
              <w:jc w:val="center"/>
              <w:rPr>
                <w:sz w:val="14"/>
                <w:szCs w:val="14"/>
                <w:lang w:eastAsia="en-AU"/>
              </w:rPr>
            </w:pPr>
            <w:r>
              <w:rPr>
                <w:sz w:val="14"/>
                <w:szCs w:val="14"/>
                <w:lang w:eastAsia="en-AU"/>
              </w:rPr>
              <w:t>Section 35 advances</w:t>
            </w:r>
          </w:p>
        </w:tc>
        <w:tc>
          <w:tcPr>
            <w:tcW w:w="92" w:type="pct"/>
            <w:tcBorders>
              <w:top w:val="single" w:sz="4" w:space="0" w:color="auto"/>
              <w:left w:val="nil"/>
              <w:bottom w:val="nil"/>
              <w:right w:val="single" w:sz="4" w:space="0" w:color="auto"/>
            </w:tcBorders>
            <w:shd w:val="clear" w:color="auto" w:fill="7F7F7F" w:themeFill="text1" w:themeFillTint="80"/>
            <w:noWrap/>
          </w:tcPr>
          <w:p w14:paraId="1462F594" w14:textId="77777777" w:rsidR="00FE7F8B" w:rsidRDefault="00FE7F8B">
            <w:pPr>
              <w:pStyle w:val="Tablecolumnheading"/>
              <w:jc w:val="center"/>
              <w:rPr>
                <w:sz w:val="14"/>
                <w:szCs w:val="14"/>
                <w:lang w:eastAsia="en-AU"/>
              </w:rPr>
            </w:pPr>
          </w:p>
        </w:tc>
        <w:tc>
          <w:tcPr>
            <w:tcW w:w="653" w:type="pct"/>
            <w:tcBorders>
              <w:top w:val="single" w:sz="4" w:space="0" w:color="auto"/>
              <w:left w:val="single" w:sz="4" w:space="0" w:color="auto"/>
              <w:bottom w:val="nil"/>
              <w:right w:val="nil"/>
            </w:tcBorders>
            <w:shd w:val="clear" w:color="auto" w:fill="7F7F7F" w:themeFill="text1" w:themeFillTint="80"/>
            <w:noWrap/>
            <w:hideMark/>
          </w:tcPr>
          <w:p w14:paraId="3373E491" w14:textId="77777777" w:rsidR="00FE7F8B" w:rsidRDefault="00FE7F8B">
            <w:pPr>
              <w:pStyle w:val="Tablecolumnheading"/>
              <w:jc w:val="center"/>
              <w:rPr>
                <w:sz w:val="14"/>
                <w:szCs w:val="14"/>
                <w:lang w:eastAsia="en-AU"/>
              </w:rPr>
            </w:pPr>
            <w:r>
              <w:rPr>
                <w:sz w:val="14"/>
                <w:szCs w:val="14"/>
                <w:lang w:eastAsia="en-AU"/>
              </w:rPr>
              <w:t>Total parliamentary authority</w:t>
            </w:r>
          </w:p>
        </w:tc>
        <w:tc>
          <w:tcPr>
            <w:tcW w:w="499" w:type="pct"/>
            <w:tcBorders>
              <w:top w:val="single" w:sz="4" w:space="0" w:color="auto"/>
              <w:left w:val="nil"/>
              <w:bottom w:val="nil"/>
              <w:right w:val="nil"/>
            </w:tcBorders>
            <w:shd w:val="clear" w:color="auto" w:fill="7F7F7F" w:themeFill="text1" w:themeFillTint="80"/>
            <w:noWrap/>
            <w:hideMark/>
          </w:tcPr>
          <w:p w14:paraId="00145231" w14:textId="77777777" w:rsidR="00FE7F8B" w:rsidRDefault="00FE7F8B">
            <w:pPr>
              <w:pStyle w:val="Tablecolumnheading"/>
              <w:jc w:val="center"/>
              <w:rPr>
                <w:sz w:val="14"/>
                <w:szCs w:val="14"/>
                <w:lang w:eastAsia="en-AU"/>
              </w:rPr>
            </w:pPr>
            <w:r>
              <w:rPr>
                <w:sz w:val="14"/>
                <w:szCs w:val="14"/>
                <w:lang w:eastAsia="en-AU"/>
              </w:rPr>
              <w:t>Appropriations applied</w:t>
            </w:r>
          </w:p>
        </w:tc>
        <w:tc>
          <w:tcPr>
            <w:tcW w:w="353" w:type="pct"/>
            <w:tcBorders>
              <w:top w:val="single" w:sz="4" w:space="0" w:color="auto"/>
              <w:left w:val="nil"/>
              <w:bottom w:val="nil"/>
              <w:right w:val="nil"/>
            </w:tcBorders>
            <w:shd w:val="clear" w:color="auto" w:fill="7F7F7F" w:themeFill="text1" w:themeFillTint="80"/>
            <w:noWrap/>
            <w:hideMark/>
          </w:tcPr>
          <w:p w14:paraId="26A1C82A" w14:textId="77777777" w:rsidR="00FE7F8B" w:rsidRDefault="00FE7F8B">
            <w:pPr>
              <w:pStyle w:val="Tablecolumnheading"/>
              <w:jc w:val="center"/>
              <w:rPr>
                <w:sz w:val="14"/>
                <w:szCs w:val="14"/>
                <w:lang w:eastAsia="en-AU"/>
              </w:rPr>
            </w:pPr>
            <w:r>
              <w:rPr>
                <w:sz w:val="14"/>
                <w:szCs w:val="14"/>
                <w:lang w:eastAsia="en-AU"/>
              </w:rPr>
              <w:t>Variance</w:t>
            </w:r>
            <w:r>
              <w:rPr>
                <w:rStyle w:val="FootnoteReference"/>
                <w:sz w:val="14"/>
                <w:szCs w:val="14"/>
                <w:lang w:eastAsia="en-AU"/>
              </w:rPr>
              <w:footnoteReference w:id="7"/>
            </w:r>
          </w:p>
        </w:tc>
      </w:tr>
      <w:tr w:rsidR="00FE7F8B" w14:paraId="199B3440" w14:textId="77777777" w:rsidTr="00FE3FF7">
        <w:trPr>
          <w:trHeight w:hRule="exact" w:val="284"/>
        </w:trPr>
        <w:tc>
          <w:tcPr>
            <w:tcW w:w="541" w:type="pct"/>
            <w:shd w:val="clear" w:color="auto" w:fill="7F7F7F" w:themeFill="text1" w:themeFillTint="80"/>
            <w:noWrap/>
            <w:vAlign w:val="bottom"/>
          </w:tcPr>
          <w:p w14:paraId="46311764" w14:textId="77777777" w:rsidR="00FE7F8B" w:rsidRDefault="00FE7F8B">
            <w:pPr>
              <w:pStyle w:val="Tablecolumnheading"/>
              <w:rPr>
                <w:lang w:eastAsia="en-AU"/>
              </w:rPr>
            </w:pPr>
          </w:p>
        </w:tc>
        <w:tc>
          <w:tcPr>
            <w:tcW w:w="465" w:type="pct"/>
            <w:shd w:val="clear" w:color="auto" w:fill="7F7F7F" w:themeFill="text1" w:themeFillTint="80"/>
            <w:noWrap/>
            <w:hideMark/>
          </w:tcPr>
          <w:p w14:paraId="645B32F7" w14:textId="77777777" w:rsidR="00FE7F8B" w:rsidRDefault="00FE7F8B">
            <w:pPr>
              <w:pStyle w:val="Tablecolumnheading"/>
              <w:jc w:val="center"/>
              <w:rPr>
                <w:sz w:val="14"/>
                <w:szCs w:val="14"/>
                <w:lang w:eastAsia="en-AU"/>
              </w:rPr>
            </w:pPr>
            <w:r>
              <w:rPr>
                <w:sz w:val="14"/>
                <w:szCs w:val="14"/>
                <w:lang w:eastAsia="en-AU"/>
              </w:rPr>
              <w:t>$m</w:t>
            </w:r>
          </w:p>
        </w:tc>
        <w:tc>
          <w:tcPr>
            <w:tcW w:w="579" w:type="pct"/>
            <w:shd w:val="clear" w:color="auto" w:fill="7F7F7F" w:themeFill="text1" w:themeFillTint="80"/>
            <w:noWrap/>
            <w:hideMark/>
          </w:tcPr>
          <w:p w14:paraId="19BF0D31" w14:textId="77777777" w:rsidR="00FE7F8B" w:rsidRDefault="00FE7F8B">
            <w:pPr>
              <w:pStyle w:val="Tablecolumnheading"/>
              <w:jc w:val="center"/>
              <w:rPr>
                <w:sz w:val="14"/>
                <w:szCs w:val="14"/>
                <w:lang w:eastAsia="en-AU"/>
              </w:rPr>
            </w:pPr>
            <w:r>
              <w:rPr>
                <w:sz w:val="14"/>
                <w:szCs w:val="14"/>
                <w:lang w:eastAsia="en-AU"/>
              </w:rPr>
              <w:t>$m</w:t>
            </w:r>
          </w:p>
        </w:tc>
        <w:tc>
          <w:tcPr>
            <w:tcW w:w="92" w:type="pct"/>
            <w:tcBorders>
              <w:top w:val="nil"/>
              <w:left w:val="nil"/>
              <w:bottom w:val="nil"/>
              <w:right w:val="single" w:sz="4" w:space="0" w:color="auto"/>
            </w:tcBorders>
            <w:shd w:val="clear" w:color="auto" w:fill="7F7F7F" w:themeFill="text1" w:themeFillTint="80"/>
            <w:noWrap/>
          </w:tcPr>
          <w:p w14:paraId="5169D403" w14:textId="77777777" w:rsidR="00FE7F8B" w:rsidRDefault="00FE7F8B">
            <w:pPr>
              <w:pStyle w:val="Tablecolumnheading"/>
              <w:jc w:val="center"/>
              <w:rPr>
                <w:sz w:val="14"/>
                <w:szCs w:val="14"/>
                <w:lang w:eastAsia="en-AU"/>
              </w:rPr>
            </w:pPr>
          </w:p>
        </w:tc>
        <w:tc>
          <w:tcPr>
            <w:tcW w:w="327" w:type="pct"/>
            <w:tcBorders>
              <w:top w:val="nil"/>
              <w:left w:val="single" w:sz="4" w:space="0" w:color="auto"/>
              <w:bottom w:val="nil"/>
              <w:right w:val="nil"/>
            </w:tcBorders>
            <w:shd w:val="clear" w:color="auto" w:fill="7F7F7F" w:themeFill="text1" w:themeFillTint="80"/>
            <w:noWrap/>
            <w:hideMark/>
          </w:tcPr>
          <w:p w14:paraId="63F74E4E" w14:textId="77777777" w:rsidR="00FE7F8B" w:rsidRDefault="00FE7F8B">
            <w:pPr>
              <w:pStyle w:val="Tablecolumnheading"/>
              <w:jc w:val="center"/>
              <w:rPr>
                <w:sz w:val="14"/>
                <w:szCs w:val="14"/>
                <w:lang w:eastAsia="en-AU"/>
              </w:rPr>
            </w:pPr>
            <w:r>
              <w:rPr>
                <w:sz w:val="14"/>
                <w:szCs w:val="14"/>
                <w:lang w:eastAsia="en-AU"/>
              </w:rPr>
              <w:t>$m</w:t>
            </w:r>
          </w:p>
        </w:tc>
        <w:tc>
          <w:tcPr>
            <w:tcW w:w="298" w:type="pct"/>
            <w:shd w:val="clear" w:color="auto" w:fill="7F7F7F" w:themeFill="text1" w:themeFillTint="80"/>
            <w:noWrap/>
            <w:hideMark/>
          </w:tcPr>
          <w:p w14:paraId="2183F0A9" w14:textId="77777777" w:rsidR="00FE7F8B" w:rsidRDefault="00FE7F8B">
            <w:pPr>
              <w:pStyle w:val="Tablecolumnheading"/>
              <w:jc w:val="center"/>
              <w:rPr>
                <w:sz w:val="14"/>
                <w:szCs w:val="14"/>
                <w:lang w:eastAsia="en-AU"/>
              </w:rPr>
            </w:pPr>
            <w:r>
              <w:rPr>
                <w:sz w:val="14"/>
                <w:szCs w:val="14"/>
                <w:lang w:eastAsia="en-AU"/>
              </w:rPr>
              <w:t>$m</w:t>
            </w:r>
          </w:p>
        </w:tc>
        <w:tc>
          <w:tcPr>
            <w:tcW w:w="298" w:type="pct"/>
            <w:shd w:val="clear" w:color="auto" w:fill="7F7F7F" w:themeFill="text1" w:themeFillTint="80"/>
            <w:noWrap/>
            <w:hideMark/>
          </w:tcPr>
          <w:p w14:paraId="5DB45391" w14:textId="77777777" w:rsidR="00FE7F8B" w:rsidRDefault="00FE7F8B">
            <w:pPr>
              <w:pStyle w:val="Tablecolumnheading"/>
              <w:jc w:val="center"/>
              <w:rPr>
                <w:sz w:val="14"/>
                <w:szCs w:val="14"/>
                <w:lang w:eastAsia="en-AU"/>
              </w:rPr>
            </w:pPr>
            <w:r>
              <w:rPr>
                <w:sz w:val="14"/>
                <w:szCs w:val="14"/>
                <w:lang w:eastAsia="en-AU"/>
              </w:rPr>
              <w:t>$m</w:t>
            </w:r>
          </w:p>
        </w:tc>
        <w:tc>
          <w:tcPr>
            <w:tcW w:w="298" w:type="pct"/>
            <w:shd w:val="clear" w:color="auto" w:fill="7F7F7F" w:themeFill="text1" w:themeFillTint="80"/>
            <w:noWrap/>
            <w:hideMark/>
          </w:tcPr>
          <w:p w14:paraId="69F6C926" w14:textId="77777777" w:rsidR="00FE7F8B" w:rsidRDefault="00FE7F8B">
            <w:pPr>
              <w:pStyle w:val="Tablecolumnheading"/>
              <w:jc w:val="center"/>
              <w:rPr>
                <w:sz w:val="14"/>
                <w:szCs w:val="14"/>
                <w:lang w:eastAsia="en-AU"/>
              </w:rPr>
            </w:pPr>
            <w:r>
              <w:rPr>
                <w:sz w:val="14"/>
                <w:szCs w:val="14"/>
                <w:lang w:eastAsia="en-AU"/>
              </w:rPr>
              <w:t>$m</w:t>
            </w:r>
          </w:p>
        </w:tc>
        <w:tc>
          <w:tcPr>
            <w:tcW w:w="505" w:type="pct"/>
            <w:shd w:val="clear" w:color="auto" w:fill="7F7F7F" w:themeFill="text1" w:themeFillTint="80"/>
            <w:noWrap/>
            <w:hideMark/>
          </w:tcPr>
          <w:p w14:paraId="3B8FB117" w14:textId="77777777" w:rsidR="00FE7F8B" w:rsidRDefault="00FE7F8B">
            <w:pPr>
              <w:pStyle w:val="Tablecolumnheading"/>
              <w:jc w:val="center"/>
              <w:rPr>
                <w:sz w:val="14"/>
                <w:szCs w:val="14"/>
                <w:lang w:eastAsia="en-AU"/>
              </w:rPr>
            </w:pPr>
            <w:r>
              <w:rPr>
                <w:sz w:val="14"/>
                <w:szCs w:val="14"/>
                <w:lang w:eastAsia="en-AU"/>
              </w:rPr>
              <w:t>$m</w:t>
            </w:r>
          </w:p>
        </w:tc>
        <w:tc>
          <w:tcPr>
            <w:tcW w:w="92" w:type="pct"/>
            <w:tcBorders>
              <w:top w:val="nil"/>
              <w:left w:val="nil"/>
              <w:bottom w:val="nil"/>
              <w:right w:val="single" w:sz="4" w:space="0" w:color="auto"/>
            </w:tcBorders>
            <w:shd w:val="clear" w:color="auto" w:fill="7F7F7F" w:themeFill="text1" w:themeFillTint="80"/>
            <w:noWrap/>
            <w:vAlign w:val="bottom"/>
          </w:tcPr>
          <w:p w14:paraId="1289839E" w14:textId="77777777" w:rsidR="00FE7F8B" w:rsidRDefault="00FE7F8B">
            <w:pPr>
              <w:pStyle w:val="Tablecolumnheading"/>
              <w:jc w:val="center"/>
              <w:rPr>
                <w:sz w:val="14"/>
                <w:szCs w:val="14"/>
                <w:lang w:eastAsia="en-AU"/>
              </w:rPr>
            </w:pPr>
          </w:p>
        </w:tc>
        <w:tc>
          <w:tcPr>
            <w:tcW w:w="653" w:type="pct"/>
            <w:tcBorders>
              <w:top w:val="nil"/>
              <w:left w:val="single" w:sz="4" w:space="0" w:color="auto"/>
              <w:bottom w:val="nil"/>
              <w:right w:val="nil"/>
            </w:tcBorders>
            <w:shd w:val="clear" w:color="auto" w:fill="7F7F7F" w:themeFill="text1" w:themeFillTint="80"/>
            <w:noWrap/>
            <w:hideMark/>
          </w:tcPr>
          <w:p w14:paraId="408B0A15" w14:textId="77777777" w:rsidR="00FE7F8B" w:rsidRDefault="00FE7F8B">
            <w:pPr>
              <w:pStyle w:val="Tablecolumnheading"/>
              <w:jc w:val="center"/>
              <w:rPr>
                <w:sz w:val="14"/>
                <w:szCs w:val="14"/>
                <w:lang w:eastAsia="en-AU"/>
              </w:rPr>
            </w:pPr>
            <w:r>
              <w:rPr>
                <w:sz w:val="14"/>
                <w:szCs w:val="14"/>
                <w:lang w:eastAsia="en-AU"/>
              </w:rPr>
              <w:t>$m</w:t>
            </w:r>
          </w:p>
        </w:tc>
        <w:tc>
          <w:tcPr>
            <w:tcW w:w="499" w:type="pct"/>
            <w:shd w:val="clear" w:color="auto" w:fill="7F7F7F" w:themeFill="text1" w:themeFillTint="80"/>
            <w:noWrap/>
            <w:hideMark/>
          </w:tcPr>
          <w:p w14:paraId="310E9E9F" w14:textId="77777777" w:rsidR="00FE7F8B" w:rsidRDefault="00FE7F8B">
            <w:pPr>
              <w:pStyle w:val="Tablecolumnheading"/>
              <w:jc w:val="center"/>
              <w:rPr>
                <w:sz w:val="14"/>
                <w:szCs w:val="14"/>
                <w:lang w:eastAsia="en-AU"/>
              </w:rPr>
            </w:pPr>
            <w:r>
              <w:rPr>
                <w:sz w:val="14"/>
                <w:szCs w:val="14"/>
                <w:lang w:eastAsia="en-AU"/>
              </w:rPr>
              <w:t>$m</w:t>
            </w:r>
          </w:p>
        </w:tc>
        <w:tc>
          <w:tcPr>
            <w:tcW w:w="353" w:type="pct"/>
            <w:shd w:val="clear" w:color="auto" w:fill="7F7F7F" w:themeFill="text1" w:themeFillTint="80"/>
            <w:noWrap/>
            <w:hideMark/>
          </w:tcPr>
          <w:p w14:paraId="18E80F2F" w14:textId="77777777" w:rsidR="00FE7F8B" w:rsidRDefault="00FE7F8B">
            <w:pPr>
              <w:pStyle w:val="Tablecolumnheading"/>
              <w:jc w:val="center"/>
              <w:rPr>
                <w:sz w:val="14"/>
                <w:szCs w:val="14"/>
                <w:lang w:eastAsia="en-AU"/>
              </w:rPr>
            </w:pPr>
            <w:r>
              <w:rPr>
                <w:sz w:val="14"/>
                <w:szCs w:val="14"/>
                <w:lang w:eastAsia="en-AU"/>
              </w:rPr>
              <w:t>$m</w:t>
            </w:r>
          </w:p>
        </w:tc>
      </w:tr>
      <w:tr w:rsidR="00FE7F8B" w14:paraId="5E9701E0" w14:textId="77777777" w:rsidTr="00FE3FF7">
        <w:trPr>
          <w:trHeight w:hRule="exact" w:val="284"/>
        </w:trPr>
        <w:tc>
          <w:tcPr>
            <w:tcW w:w="541" w:type="pct"/>
            <w:noWrap/>
            <w:vAlign w:val="bottom"/>
            <w:hideMark/>
          </w:tcPr>
          <w:p w14:paraId="72303B3C" w14:textId="77777777" w:rsidR="00FE7F8B" w:rsidRDefault="00FE7F8B">
            <w:pPr>
              <w:pStyle w:val="Tabletextnoindent"/>
              <w:rPr>
                <w:sz w:val="14"/>
                <w:szCs w:val="14"/>
              </w:rPr>
            </w:pPr>
            <w:r>
              <w:rPr>
                <w:b/>
                <w:sz w:val="14"/>
                <w:szCs w:val="14"/>
              </w:rPr>
              <w:t>2015</w:t>
            </w:r>
          </w:p>
        </w:tc>
        <w:tc>
          <w:tcPr>
            <w:tcW w:w="465" w:type="pct"/>
            <w:shd w:val="clear" w:color="auto" w:fill="FFFFFF"/>
            <w:noWrap/>
            <w:vAlign w:val="bottom"/>
          </w:tcPr>
          <w:p w14:paraId="3F5D71A5" w14:textId="77777777" w:rsidR="00FE7F8B" w:rsidRDefault="00FE7F8B">
            <w:pPr>
              <w:pStyle w:val="Tablerowheading18before"/>
              <w:spacing w:before="240"/>
              <w:rPr>
                <w:sz w:val="14"/>
                <w:szCs w:val="14"/>
              </w:rPr>
            </w:pPr>
          </w:p>
        </w:tc>
        <w:tc>
          <w:tcPr>
            <w:tcW w:w="579" w:type="pct"/>
            <w:shd w:val="clear" w:color="auto" w:fill="FFFFFF"/>
            <w:noWrap/>
            <w:vAlign w:val="bottom"/>
          </w:tcPr>
          <w:p w14:paraId="7EDDA2BA" w14:textId="77777777" w:rsidR="00FE7F8B" w:rsidRDefault="00FE7F8B">
            <w:pPr>
              <w:pStyle w:val="Tablerowheading18before"/>
              <w:spacing w:before="240"/>
              <w:rPr>
                <w:sz w:val="14"/>
                <w:szCs w:val="14"/>
              </w:rPr>
            </w:pPr>
          </w:p>
        </w:tc>
        <w:tc>
          <w:tcPr>
            <w:tcW w:w="92" w:type="pct"/>
            <w:tcBorders>
              <w:top w:val="nil"/>
              <w:left w:val="nil"/>
              <w:bottom w:val="nil"/>
              <w:right w:val="single" w:sz="4" w:space="0" w:color="auto"/>
            </w:tcBorders>
            <w:shd w:val="clear" w:color="auto" w:fill="FFFFFF"/>
            <w:noWrap/>
            <w:vAlign w:val="bottom"/>
          </w:tcPr>
          <w:p w14:paraId="17B8A6F8" w14:textId="77777777" w:rsidR="00FE7F8B" w:rsidRDefault="00FE7F8B">
            <w:pPr>
              <w:pStyle w:val="Tablerowheading18before"/>
              <w:spacing w:before="240"/>
              <w:rPr>
                <w:sz w:val="14"/>
                <w:szCs w:val="14"/>
              </w:rPr>
            </w:pPr>
          </w:p>
        </w:tc>
        <w:tc>
          <w:tcPr>
            <w:tcW w:w="327" w:type="pct"/>
            <w:tcBorders>
              <w:top w:val="nil"/>
              <w:left w:val="single" w:sz="4" w:space="0" w:color="auto"/>
              <w:bottom w:val="nil"/>
              <w:right w:val="nil"/>
            </w:tcBorders>
            <w:shd w:val="clear" w:color="auto" w:fill="FFFFFF"/>
            <w:noWrap/>
            <w:vAlign w:val="bottom"/>
          </w:tcPr>
          <w:p w14:paraId="21EA3311" w14:textId="77777777" w:rsidR="00FE7F8B" w:rsidRDefault="00FE7F8B">
            <w:pPr>
              <w:pStyle w:val="Tablerowheading18before"/>
              <w:spacing w:before="240"/>
              <w:rPr>
                <w:sz w:val="14"/>
                <w:szCs w:val="14"/>
              </w:rPr>
            </w:pPr>
          </w:p>
        </w:tc>
        <w:tc>
          <w:tcPr>
            <w:tcW w:w="298" w:type="pct"/>
            <w:shd w:val="clear" w:color="auto" w:fill="FFFFFF"/>
            <w:noWrap/>
            <w:vAlign w:val="bottom"/>
          </w:tcPr>
          <w:p w14:paraId="30B5C4C8" w14:textId="77777777" w:rsidR="00FE7F8B" w:rsidRDefault="00FE7F8B">
            <w:pPr>
              <w:pStyle w:val="Tablerowheading18before"/>
              <w:spacing w:before="240"/>
              <w:rPr>
                <w:sz w:val="14"/>
                <w:szCs w:val="14"/>
              </w:rPr>
            </w:pPr>
          </w:p>
        </w:tc>
        <w:tc>
          <w:tcPr>
            <w:tcW w:w="298" w:type="pct"/>
            <w:shd w:val="clear" w:color="auto" w:fill="FFFFFF"/>
            <w:noWrap/>
            <w:vAlign w:val="bottom"/>
          </w:tcPr>
          <w:p w14:paraId="484AE993" w14:textId="77777777" w:rsidR="00FE7F8B" w:rsidRDefault="00FE7F8B">
            <w:pPr>
              <w:pStyle w:val="Tablerowheading18before"/>
              <w:spacing w:before="240"/>
              <w:rPr>
                <w:sz w:val="14"/>
                <w:szCs w:val="14"/>
              </w:rPr>
            </w:pPr>
          </w:p>
        </w:tc>
        <w:tc>
          <w:tcPr>
            <w:tcW w:w="298" w:type="pct"/>
            <w:shd w:val="clear" w:color="auto" w:fill="FFFFFF"/>
            <w:noWrap/>
            <w:vAlign w:val="bottom"/>
          </w:tcPr>
          <w:p w14:paraId="7CEF79BA" w14:textId="77777777" w:rsidR="00FE7F8B" w:rsidRDefault="00FE7F8B">
            <w:pPr>
              <w:pStyle w:val="Tablerowheading18before"/>
              <w:spacing w:before="240"/>
              <w:rPr>
                <w:sz w:val="14"/>
                <w:szCs w:val="14"/>
              </w:rPr>
            </w:pPr>
          </w:p>
        </w:tc>
        <w:tc>
          <w:tcPr>
            <w:tcW w:w="505" w:type="pct"/>
            <w:shd w:val="clear" w:color="auto" w:fill="FFFFFF"/>
            <w:noWrap/>
            <w:vAlign w:val="bottom"/>
          </w:tcPr>
          <w:p w14:paraId="0A1DBFCC" w14:textId="77777777" w:rsidR="00FE7F8B" w:rsidRDefault="00FE7F8B">
            <w:pPr>
              <w:pStyle w:val="Tablerowheading18before"/>
              <w:spacing w:before="240"/>
              <w:rPr>
                <w:sz w:val="14"/>
                <w:szCs w:val="14"/>
              </w:rPr>
            </w:pPr>
          </w:p>
        </w:tc>
        <w:tc>
          <w:tcPr>
            <w:tcW w:w="92" w:type="pct"/>
            <w:tcBorders>
              <w:top w:val="nil"/>
              <w:left w:val="nil"/>
              <w:bottom w:val="nil"/>
              <w:right w:val="single" w:sz="4" w:space="0" w:color="auto"/>
            </w:tcBorders>
            <w:shd w:val="clear" w:color="auto" w:fill="FFFFFF"/>
            <w:noWrap/>
            <w:vAlign w:val="bottom"/>
          </w:tcPr>
          <w:p w14:paraId="3253A5E4" w14:textId="77777777" w:rsidR="00FE7F8B" w:rsidRDefault="00FE7F8B">
            <w:pPr>
              <w:pStyle w:val="Tablerowheading18before"/>
              <w:spacing w:before="240"/>
              <w:rPr>
                <w:sz w:val="14"/>
                <w:szCs w:val="14"/>
              </w:rPr>
            </w:pPr>
          </w:p>
        </w:tc>
        <w:tc>
          <w:tcPr>
            <w:tcW w:w="653" w:type="pct"/>
            <w:tcBorders>
              <w:top w:val="nil"/>
              <w:left w:val="single" w:sz="4" w:space="0" w:color="auto"/>
              <w:bottom w:val="nil"/>
              <w:right w:val="nil"/>
            </w:tcBorders>
            <w:shd w:val="clear" w:color="auto" w:fill="FFFFFF"/>
            <w:noWrap/>
            <w:vAlign w:val="bottom"/>
          </w:tcPr>
          <w:p w14:paraId="4E0FD8D2" w14:textId="77777777" w:rsidR="00FE7F8B" w:rsidRDefault="00FE7F8B">
            <w:pPr>
              <w:pStyle w:val="Tablerowheading18before"/>
              <w:spacing w:before="240"/>
              <w:rPr>
                <w:sz w:val="14"/>
                <w:szCs w:val="14"/>
              </w:rPr>
            </w:pPr>
          </w:p>
        </w:tc>
        <w:tc>
          <w:tcPr>
            <w:tcW w:w="499" w:type="pct"/>
            <w:shd w:val="clear" w:color="auto" w:fill="FFFFFF"/>
            <w:noWrap/>
            <w:vAlign w:val="bottom"/>
          </w:tcPr>
          <w:p w14:paraId="50FDC495" w14:textId="77777777" w:rsidR="00FE7F8B" w:rsidRDefault="00FE7F8B">
            <w:pPr>
              <w:pStyle w:val="Tablerowheading18before"/>
              <w:spacing w:before="240"/>
              <w:rPr>
                <w:sz w:val="14"/>
                <w:szCs w:val="14"/>
              </w:rPr>
            </w:pPr>
          </w:p>
        </w:tc>
        <w:tc>
          <w:tcPr>
            <w:tcW w:w="353" w:type="pct"/>
            <w:shd w:val="clear" w:color="auto" w:fill="FFFFFF"/>
            <w:noWrap/>
            <w:vAlign w:val="bottom"/>
          </w:tcPr>
          <w:p w14:paraId="326B6F3B" w14:textId="77777777" w:rsidR="00FE7F8B" w:rsidRDefault="00FE7F8B">
            <w:pPr>
              <w:pStyle w:val="Tablerowheading18before"/>
              <w:spacing w:before="240"/>
              <w:rPr>
                <w:sz w:val="14"/>
                <w:szCs w:val="14"/>
              </w:rPr>
            </w:pPr>
          </w:p>
        </w:tc>
      </w:tr>
      <w:tr w:rsidR="00FE7F8B" w14:paraId="774F2DD9" w14:textId="77777777" w:rsidTr="00FE3FF7">
        <w:trPr>
          <w:trHeight w:hRule="exact" w:val="284"/>
        </w:trPr>
        <w:tc>
          <w:tcPr>
            <w:tcW w:w="541" w:type="pct"/>
            <w:shd w:val="clear" w:color="auto" w:fill="FFFFFF"/>
            <w:noWrap/>
            <w:vAlign w:val="bottom"/>
            <w:hideMark/>
          </w:tcPr>
          <w:p w14:paraId="622FC73D" w14:textId="77777777" w:rsidR="00FE7F8B" w:rsidRDefault="00FE7F8B">
            <w:pPr>
              <w:pStyle w:val="Tabletextnoindent"/>
              <w:spacing w:before="0"/>
              <w:rPr>
                <w:b/>
                <w:i/>
                <w:sz w:val="14"/>
                <w:szCs w:val="14"/>
              </w:rPr>
            </w:pPr>
            <w:r>
              <w:rPr>
                <w:b/>
                <w:i/>
                <w:sz w:val="14"/>
                <w:szCs w:val="14"/>
              </w:rPr>
              <w:t>Controlled</w:t>
            </w:r>
          </w:p>
        </w:tc>
        <w:tc>
          <w:tcPr>
            <w:tcW w:w="465" w:type="pct"/>
            <w:shd w:val="clear" w:color="auto" w:fill="FFFFFF"/>
            <w:noWrap/>
            <w:vAlign w:val="bottom"/>
          </w:tcPr>
          <w:p w14:paraId="5DFB5955" w14:textId="77777777" w:rsidR="00FE7F8B" w:rsidRDefault="00FE7F8B">
            <w:pPr>
              <w:pStyle w:val="Tabletextnoindent"/>
              <w:spacing w:before="0"/>
              <w:jc w:val="right"/>
              <w:rPr>
                <w:b/>
                <w:i/>
                <w:sz w:val="14"/>
                <w:szCs w:val="14"/>
              </w:rPr>
            </w:pPr>
          </w:p>
        </w:tc>
        <w:tc>
          <w:tcPr>
            <w:tcW w:w="579" w:type="pct"/>
            <w:shd w:val="clear" w:color="auto" w:fill="FFFFFF"/>
            <w:noWrap/>
            <w:vAlign w:val="bottom"/>
          </w:tcPr>
          <w:p w14:paraId="0E9EFA7B" w14:textId="77777777" w:rsidR="00FE7F8B" w:rsidRDefault="00FE7F8B">
            <w:pPr>
              <w:pStyle w:val="Tabletextnoindent"/>
              <w:spacing w:before="0"/>
              <w:jc w:val="right"/>
              <w:rPr>
                <w:b/>
                <w:i/>
                <w:sz w:val="14"/>
                <w:szCs w:val="14"/>
              </w:rPr>
            </w:pPr>
          </w:p>
        </w:tc>
        <w:tc>
          <w:tcPr>
            <w:tcW w:w="92" w:type="pct"/>
            <w:tcBorders>
              <w:top w:val="nil"/>
              <w:left w:val="nil"/>
              <w:bottom w:val="nil"/>
              <w:right w:val="single" w:sz="4" w:space="0" w:color="auto"/>
            </w:tcBorders>
            <w:shd w:val="clear" w:color="auto" w:fill="FFFFFF"/>
            <w:noWrap/>
            <w:vAlign w:val="bottom"/>
          </w:tcPr>
          <w:p w14:paraId="03FC0A0B" w14:textId="77777777" w:rsidR="00FE7F8B" w:rsidRDefault="00FE7F8B">
            <w:pPr>
              <w:pStyle w:val="Tabletextnoindent"/>
              <w:spacing w:before="0"/>
              <w:jc w:val="right"/>
              <w:rPr>
                <w:b/>
                <w:i/>
                <w:sz w:val="14"/>
                <w:szCs w:val="14"/>
              </w:rPr>
            </w:pPr>
          </w:p>
        </w:tc>
        <w:tc>
          <w:tcPr>
            <w:tcW w:w="327" w:type="pct"/>
            <w:tcBorders>
              <w:top w:val="nil"/>
              <w:left w:val="single" w:sz="4" w:space="0" w:color="auto"/>
              <w:bottom w:val="nil"/>
              <w:right w:val="nil"/>
            </w:tcBorders>
            <w:shd w:val="clear" w:color="auto" w:fill="FFFFFF"/>
            <w:noWrap/>
            <w:vAlign w:val="bottom"/>
          </w:tcPr>
          <w:p w14:paraId="7719F4CD" w14:textId="77777777" w:rsidR="00FE7F8B" w:rsidRDefault="00FE7F8B">
            <w:pPr>
              <w:pStyle w:val="Tabletextnoindent"/>
              <w:spacing w:before="0"/>
              <w:jc w:val="right"/>
              <w:rPr>
                <w:b/>
                <w:i/>
                <w:sz w:val="14"/>
                <w:szCs w:val="14"/>
              </w:rPr>
            </w:pPr>
          </w:p>
        </w:tc>
        <w:tc>
          <w:tcPr>
            <w:tcW w:w="298" w:type="pct"/>
            <w:shd w:val="clear" w:color="auto" w:fill="FFFFFF"/>
            <w:noWrap/>
            <w:vAlign w:val="bottom"/>
          </w:tcPr>
          <w:p w14:paraId="39D14E24" w14:textId="77777777" w:rsidR="00FE7F8B" w:rsidRDefault="00FE7F8B">
            <w:pPr>
              <w:pStyle w:val="Tabletextnoindent"/>
              <w:spacing w:before="0"/>
              <w:jc w:val="right"/>
              <w:rPr>
                <w:b/>
                <w:i/>
                <w:sz w:val="14"/>
                <w:szCs w:val="14"/>
              </w:rPr>
            </w:pPr>
          </w:p>
        </w:tc>
        <w:tc>
          <w:tcPr>
            <w:tcW w:w="298" w:type="pct"/>
            <w:shd w:val="clear" w:color="auto" w:fill="FFFFFF"/>
            <w:noWrap/>
            <w:vAlign w:val="bottom"/>
          </w:tcPr>
          <w:p w14:paraId="2DAF83AF" w14:textId="77777777" w:rsidR="00FE7F8B" w:rsidRDefault="00FE7F8B">
            <w:pPr>
              <w:pStyle w:val="Tabletextnoindent"/>
              <w:spacing w:before="0"/>
              <w:jc w:val="right"/>
              <w:rPr>
                <w:b/>
                <w:i/>
                <w:sz w:val="14"/>
                <w:szCs w:val="14"/>
              </w:rPr>
            </w:pPr>
          </w:p>
        </w:tc>
        <w:tc>
          <w:tcPr>
            <w:tcW w:w="298" w:type="pct"/>
            <w:shd w:val="clear" w:color="auto" w:fill="FFFFFF"/>
            <w:noWrap/>
            <w:vAlign w:val="bottom"/>
          </w:tcPr>
          <w:p w14:paraId="415BAACA" w14:textId="77777777" w:rsidR="00FE7F8B" w:rsidRDefault="00FE7F8B">
            <w:pPr>
              <w:pStyle w:val="Tabletextnoindent"/>
              <w:spacing w:before="0"/>
              <w:jc w:val="right"/>
              <w:rPr>
                <w:b/>
                <w:i/>
                <w:sz w:val="14"/>
                <w:szCs w:val="14"/>
              </w:rPr>
            </w:pPr>
          </w:p>
        </w:tc>
        <w:tc>
          <w:tcPr>
            <w:tcW w:w="505" w:type="pct"/>
            <w:shd w:val="clear" w:color="auto" w:fill="FFFFFF"/>
            <w:noWrap/>
            <w:vAlign w:val="bottom"/>
          </w:tcPr>
          <w:p w14:paraId="74B3D588" w14:textId="77777777" w:rsidR="00FE7F8B" w:rsidRDefault="00FE7F8B">
            <w:pPr>
              <w:pStyle w:val="Tabletextnoindent"/>
              <w:spacing w:before="0"/>
              <w:jc w:val="right"/>
              <w:rPr>
                <w:b/>
                <w:i/>
                <w:sz w:val="14"/>
                <w:szCs w:val="14"/>
              </w:rPr>
            </w:pPr>
          </w:p>
        </w:tc>
        <w:tc>
          <w:tcPr>
            <w:tcW w:w="92" w:type="pct"/>
            <w:tcBorders>
              <w:top w:val="nil"/>
              <w:left w:val="nil"/>
              <w:bottom w:val="nil"/>
              <w:right w:val="single" w:sz="4" w:space="0" w:color="auto"/>
            </w:tcBorders>
            <w:shd w:val="clear" w:color="auto" w:fill="FFFFFF"/>
            <w:noWrap/>
            <w:vAlign w:val="bottom"/>
          </w:tcPr>
          <w:p w14:paraId="3213AD8E" w14:textId="77777777" w:rsidR="00FE7F8B" w:rsidRDefault="00FE7F8B">
            <w:pPr>
              <w:pStyle w:val="Tabletextnoindent"/>
              <w:spacing w:before="0"/>
              <w:jc w:val="right"/>
              <w:rPr>
                <w:b/>
                <w:i/>
                <w:sz w:val="14"/>
                <w:szCs w:val="14"/>
              </w:rPr>
            </w:pPr>
          </w:p>
        </w:tc>
        <w:tc>
          <w:tcPr>
            <w:tcW w:w="653" w:type="pct"/>
            <w:tcBorders>
              <w:top w:val="nil"/>
              <w:left w:val="single" w:sz="4" w:space="0" w:color="auto"/>
              <w:bottom w:val="nil"/>
              <w:right w:val="nil"/>
            </w:tcBorders>
            <w:shd w:val="clear" w:color="auto" w:fill="FFFFFF"/>
            <w:noWrap/>
            <w:vAlign w:val="bottom"/>
          </w:tcPr>
          <w:p w14:paraId="37F5F0D6" w14:textId="77777777" w:rsidR="00FE7F8B" w:rsidRDefault="00FE7F8B">
            <w:pPr>
              <w:pStyle w:val="Tabletextnoindent"/>
              <w:spacing w:before="0"/>
              <w:jc w:val="right"/>
              <w:rPr>
                <w:b/>
                <w:i/>
                <w:sz w:val="14"/>
                <w:szCs w:val="14"/>
              </w:rPr>
            </w:pPr>
          </w:p>
        </w:tc>
        <w:tc>
          <w:tcPr>
            <w:tcW w:w="499" w:type="pct"/>
            <w:shd w:val="clear" w:color="auto" w:fill="FFFFFF"/>
            <w:noWrap/>
            <w:vAlign w:val="bottom"/>
          </w:tcPr>
          <w:p w14:paraId="712509D2" w14:textId="77777777" w:rsidR="00FE7F8B" w:rsidRDefault="00FE7F8B">
            <w:pPr>
              <w:pStyle w:val="Tabletextnoindent"/>
              <w:spacing w:before="0"/>
              <w:jc w:val="right"/>
              <w:rPr>
                <w:b/>
                <w:i/>
                <w:sz w:val="14"/>
                <w:szCs w:val="14"/>
              </w:rPr>
            </w:pPr>
          </w:p>
        </w:tc>
        <w:tc>
          <w:tcPr>
            <w:tcW w:w="353" w:type="pct"/>
            <w:shd w:val="clear" w:color="auto" w:fill="FFFFFF"/>
            <w:noWrap/>
            <w:vAlign w:val="bottom"/>
          </w:tcPr>
          <w:p w14:paraId="34F6B374" w14:textId="77777777" w:rsidR="00FE7F8B" w:rsidRDefault="00FE7F8B">
            <w:pPr>
              <w:pStyle w:val="Tabletextnoindent"/>
              <w:spacing w:before="0"/>
              <w:jc w:val="right"/>
              <w:rPr>
                <w:b/>
                <w:i/>
                <w:sz w:val="14"/>
                <w:szCs w:val="14"/>
              </w:rPr>
            </w:pPr>
          </w:p>
        </w:tc>
      </w:tr>
      <w:tr w:rsidR="00750088" w14:paraId="00F541FF" w14:textId="77777777" w:rsidTr="00FE3FF7">
        <w:trPr>
          <w:trHeight w:hRule="exact" w:val="284"/>
        </w:trPr>
        <w:tc>
          <w:tcPr>
            <w:tcW w:w="541" w:type="pct"/>
            <w:shd w:val="clear" w:color="auto" w:fill="FFFFFF"/>
            <w:noWrap/>
            <w:vAlign w:val="bottom"/>
            <w:hideMark/>
          </w:tcPr>
          <w:p w14:paraId="339ECD54" w14:textId="77777777" w:rsidR="00750088" w:rsidRPr="00750088" w:rsidRDefault="00750088" w:rsidP="00750088">
            <w:pPr>
              <w:pStyle w:val="Tabletextobjectivestablesnarrow"/>
              <w:jc w:val="left"/>
              <w:rPr>
                <w:sz w:val="14"/>
                <w:szCs w:val="14"/>
              </w:rPr>
            </w:pPr>
            <w:r w:rsidRPr="00750088">
              <w:rPr>
                <w:sz w:val="14"/>
                <w:szCs w:val="14"/>
              </w:rPr>
              <w:t>Provision for outputs</w:t>
            </w:r>
          </w:p>
        </w:tc>
        <w:tc>
          <w:tcPr>
            <w:tcW w:w="465" w:type="pct"/>
            <w:shd w:val="clear" w:color="auto" w:fill="FFFFFF"/>
            <w:vAlign w:val="bottom"/>
            <w:hideMark/>
          </w:tcPr>
          <w:p w14:paraId="6E37CDC7" w14:textId="77777777" w:rsidR="00750088" w:rsidRDefault="00750088" w:rsidP="00750088">
            <w:pPr>
              <w:pStyle w:val="Tabletextnoindent"/>
              <w:jc w:val="right"/>
              <w:rPr>
                <w:sz w:val="14"/>
                <w:szCs w:val="14"/>
              </w:rPr>
            </w:pPr>
            <w:r>
              <w:rPr>
                <w:sz w:val="14"/>
                <w:szCs w:val="14"/>
              </w:rPr>
              <w:t>10,211.9</w:t>
            </w:r>
          </w:p>
        </w:tc>
        <w:tc>
          <w:tcPr>
            <w:tcW w:w="579" w:type="pct"/>
            <w:shd w:val="clear" w:color="auto" w:fill="FFFFFF"/>
            <w:vAlign w:val="bottom"/>
            <w:hideMark/>
          </w:tcPr>
          <w:p w14:paraId="6DDE4952" w14:textId="77777777" w:rsidR="00750088" w:rsidRDefault="00750088" w:rsidP="00750088">
            <w:pPr>
              <w:pStyle w:val="Tabletextnoindent"/>
              <w:jc w:val="right"/>
              <w:rPr>
                <w:sz w:val="14"/>
                <w:szCs w:val="14"/>
              </w:rPr>
            </w:pPr>
            <w:r>
              <w:rPr>
                <w:sz w:val="14"/>
                <w:szCs w:val="14"/>
              </w:rPr>
              <w:t>182.3</w:t>
            </w:r>
          </w:p>
        </w:tc>
        <w:tc>
          <w:tcPr>
            <w:tcW w:w="92" w:type="pct"/>
            <w:tcBorders>
              <w:top w:val="nil"/>
              <w:left w:val="nil"/>
              <w:bottom w:val="nil"/>
              <w:right w:val="single" w:sz="4" w:space="0" w:color="auto"/>
            </w:tcBorders>
            <w:shd w:val="clear" w:color="auto" w:fill="FFFFFF"/>
            <w:vAlign w:val="bottom"/>
          </w:tcPr>
          <w:p w14:paraId="03AFBCB6" w14:textId="77777777" w:rsidR="00750088" w:rsidRDefault="00750088" w:rsidP="00750088">
            <w:pPr>
              <w:pStyle w:val="Tabletextnoindent"/>
              <w:jc w:val="right"/>
              <w:rPr>
                <w:sz w:val="14"/>
                <w:szCs w:val="14"/>
              </w:rPr>
            </w:pPr>
          </w:p>
        </w:tc>
        <w:tc>
          <w:tcPr>
            <w:tcW w:w="327" w:type="pct"/>
            <w:tcBorders>
              <w:top w:val="nil"/>
              <w:left w:val="single" w:sz="4" w:space="0" w:color="auto"/>
              <w:bottom w:val="nil"/>
              <w:right w:val="nil"/>
            </w:tcBorders>
            <w:shd w:val="clear" w:color="auto" w:fill="FFFFFF"/>
            <w:hideMark/>
          </w:tcPr>
          <w:p w14:paraId="07E75794" w14:textId="2035EF4D" w:rsidR="00750088" w:rsidRDefault="00750088" w:rsidP="00750088">
            <w:pPr>
              <w:pStyle w:val="Tabletextnoindent"/>
              <w:jc w:val="right"/>
              <w:rPr>
                <w:sz w:val="14"/>
                <w:szCs w:val="14"/>
              </w:rPr>
            </w:pPr>
            <w:r w:rsidRPr="0006665A">
              <w:rPr>
                <w:sz w:val="14"/>
                <w:szCs w:val="14"/>
              </w:rPr>
              <w:t>–</w:t>
            </w:r>
          </w:p>
        </w:tc>
        <w:tc>
          <w:tcPr>
            <w:tcW w:w="298" w:type="pct"/>
            <w:shd w:val="clear" w:color="auto" w:fill="FFFFFF"/>
            <w:vAlign w:val="bottom"/>
            <w:hideMark/>
          </w:tcPr>
          <w:p w14:paraId="51178ADA" w14:textId="77777777" w:rsidR="00750088" w:rsidRDefault="00750088" w:rsidP="00750088">
            <w:pPr>
              <w:pStyle w:val="Tabletextnoindent"/>
              <w:jc w:val="right"/>
              <w:rPr>
                <w:sz w:val="14"/>
                <w:szCs w:val="14"/>
              </w:rPr>
            </w:pPr>
            <w:r>
              <w:rPr>
                <w:sz w:val="14"/>
                <w:szCs w:val="14"/>
              </w:rPr>
              <w:t>482.9</w:t>
            </w:r>
          </w:p>
        </w:tc>
        <w:tc>
          <w:tcPr>
            <w:tcW w:w="298" w:type="pct"/>
            <w:shd w:val="clear" w:color="auto" w:fill="FFFFFF"/>
            <w:hideMark/>
          </w:tcPr>
          <w:p w14:paraId="0F36AEFB" w14:textId="246C5A22" w:rsidR="00750088" w:rsidRDefault="00750088" w:rsidP="00750088">
            <w:pPr>
              <w:pStyle w:val="Tabletextnoindent"/>
              <w:jc w:val="right"/>
              <w:rPr>
                <w:sz w:val="14"/>
                <w:szCs w:val="14"/>
              </w:rPr>
            </w:pPr>
            <w:r w:rsidRPr="00CC2CBC">
              <w:rPr>
                <w:sz w:val="14"/>
                <w:szCs w:val="14"/>
              </w:rPr>
              <w:t>–</w:t>
            </w:r>
          </w:p>
        </w:tc>
        <w:tc>
          <w:tcPr>
            <w:tcW w:w="298" w:type="pct"/>
            <w:shd w:val="clear" w:color="auto" w:fill="FFFFFF"/>
            <w:vAlign w:val="bottom"/>
            <w:hideMark/>
          </w:tcPr>
          <w:p w14:paraId="3FE3883C" w14:textId="77777777" w:rsidR="00750088" w:rsidRDefault="00750088" w:rsidP="00750088">
            <w:pPr>
              <w:pStyle w:val="Tabletextnoindent"/>
              <w:jc w:val="right"/>
              <w:rPr>
                <w:sz w:val="14"/>
                <w:szCs w:val="14"/>
              </w:rPr>
            </w:pPr>
            <w:r>
              <w:rPr>
                <w:sz w:val="14"/>
                <w:szCs w:val="14"/>
              </w:rPr>
              <w:t>229.2</w:t>
            </w:r>
          </w:p>
        </w:tc>
        <w:tc>
          <w:tcPr>
            <w:tcW w:w="505" w:type="pct"/>
            <w:shd w:val="clear" w:color="auto" w:fill="FFFFFF"/>
            <w:vAlign w:val="bottom"/>
            <w:hideMark/>
          </w:tcPr>
          <w:p w14:paraId="16EE305A" w14:textId="77777777" w:rsidR="00750088" w:rsidRDefault="00750088" w:rsidP="00750088">
            <w:pPr>
              <w:pStyle w:val="Tabletextnoindent"/>
              <w:jc w:val="right"/>
              <w:rPr>
                <w:sz w:val="14"/>
                <w:szCs w:val="14"/>
              </w:rPr>
            </w:pPr>
            <w:r>
              <w:rPr>
                <w:sz w:val="14"/>
                <w:szCs w:val="14"/>
              </w:rPr>
              <w:t>41.3</w:t>
            </w:r>
          </w:p>
        </w:tc>
        <w:tc>
          <w:tcPr>
            <w:tcW w:w="92" w:type="pct"/>
            <w:tcBorders>
              <w:top w:val="nil"/>
              <w:left w:val="nil"/>
              <w:bottom w:val="nil"/>
              <w:right w:val="single" w:sz="4" w:space="0" w:color="auto"/>
            </w:tcBorders>
            <w:shd w:val="clear" w:color="auto" w:fill="FFFFFF"/>
            <w:noWrap/>
            <w:vAlign w:val="bottom"/>
          </w:tcPr>
          <w:p w14:paraId="4AC1BC45" w14:textId="77777777" w:rsidR="00750088" w:rsidRDefault="00750088" w:rsidP="00750088">
            <w:pPr>
              <w:pStyle w:val="Tabletextnoindent"/>
              <w:jc w:val="right"/>
              <w:rPr>
                <w:sz w:val="14"/>
                <w:szCs w:val="14"/>
              </w:rPr>
            </w:pPr>
          </w:p>
        </w:tc>
        <w:tc>
          <w:tcPr>
            <w:tcW w:w="653" w:type="pct"/>
            <w:tcBorders>
              <w:top w:val="nil"/>
              <w:left w:val="single" w:sz="4" w:space="0" w:color="auto"/>
              <w:bottom w:val="nil"/>
              <w:right w:val="nil"/>
            </w:tcBorders>
            <w:shd w:val="clear" w:color="auto" w:fill="FFFFFF"/>
            <w:vAlign w:val="bottom"/>
            <w:hideMark/>
          </w:tcPr>
          <w:p w14:paraId="0560792A" w14:textId="77777777" w:rsidR="00750088" w:rsidRDefault="00750088" w:rsidP="00750088">
            <w:pPr>
              <w:pStyle w:val="Tabletextnoindent"/>
              <w:jc w:val="right"/>
              <w:rPr>
                <w:sz w:val="14"/>
                <w:szCs w:val="14"/>
              </w:rPr>
            </w:pPr>
            <w:r>
              <w:rPr>
                <w:sz w:val="14"/>
                <w:szCs w:val="14"/>
              </w:rPr>
              <w:t>11,147.6</w:t>
            </w:r>
          </w:p>
        </w:tc>
        <w:tc>
          <w:tcPr>
            <w:tcW w:w="499" w:type="pct"/>
            <w:shd w:val="clear" w:color="auto" w:fill="FFFFFF"/>
            <w:vAlign w:val="bottom"/>
            <w:hideMark/>
          </w:tcPr>
          <w:p w14:paraId="6114E86B" w14:textId="77777777" w:rsidR="00750088" w:rsidRDefault="00750088" w:rsidP="00750088">
            <w:pPr>
              <w:pStyle w:val="Tabletextnoindent"/>
              <w:jc w:val="right"/>
              <w:rPr>
                <w:sz w:val="14"/>
                <w:szCs w:val="14"/>
              </w:rPr>
            </w:pPr>
            <w:r>
              <w:rPr>
                <w:sz w:val="14"/>
                <w:szCs w:val="14"/>
              </w:rPr>
              <w:t>10,683.3</w:t>
            </w:r>
          </w:p>
        </w:tc>
        <w:tc>
          <w:tcPr>
            <w:tcW w:w="353" w:type="pct"/>
            <w:shd w:val="clear" w:color="auto" w:fill="FFFFFF"/>
            <w:vAlign w:val="bottom"/>
            <w:hideMark/>
          </w:tcPr>
          <w:p w14:paraId="7A25387E" w14:textId="77777777" w:rsidR="00750088" w:rsidRDefault="00750088" w:rsidP="00750088">
            <w:pPr>
              <w:pStyle w:val="Tabletextnoindent"/>
              <w:jc w:val="right"/>
              <w:rPr>
                <w:sz w:val="14"/>
                <w:szCs w:val="14"/>
              </w:rPr>
            </w:pPr>
            <w:r>
              <w:rPr>
                <w:sz w:val="14"/>
                <w:szCs w:val="14"/>
              </w:rPr>
              <w:t>464.3</w:t>
            </w:r>
          </w:p>
        </w:tc>
      </w:tr>
      <w:tr w:rsidR="00750088" w14:paraId="207D77C8" w14:textId="77777777" w:rsidTr="00FE3FF7">
        <w:trPr>
          <w:trHeight w:hRule="exact" w:val="284"/>
        </w:trPr>
        <w:tc>
          <w:tcPr>
            <w:tcW w:w="541" w:type="pct"/>
            <w:tcBorders>
              <w:top w:val="nil"/>
              <w:left w:val="nil"/>
              <w:bottom w:val="single" w:sz="4" w:space="0" w:color="auto"/>
              <w:right w:val="nil"/>
            </w:tcBorders>
            <w:shd w:val="clear" w:color="auto" w:fill="FFFFFF"/>
            <w:noWrap/>
            <w:vAlign w:val="bottom"/>
            <w:hideMark/>
          </w:tcPr>
          <w:p w14:paraId="5BF18FCE" w14:textId="77777777" w:rsidR="00750088" w:rsidRPr="00750088" w:rsidRDefault="00750088" w:rsidP="00750088">
            <w:pPr>
              <w:pStyle w:val="Tabletextobjectivestablesnarrow"/>
              <w:jc w:val="left"/>
              <w:rPr>
                <w:sz w:val="14"/>
                <w:szCs w:val="14"/>
              </w:rPr>
            </w:pPr>
            <w:r w:rsidRPr="00750088">
              <w:rPr>
                <w:sz w:val="14"/>
                <w:szCs w:val="14"/>
              </w:rPr>
              <w:t>Additions to net assets</w:t>
            </w:r>
          </w:p>
        </w:tc>
        <w:tc>
          <w:tcPr>
            <w:tcW w:w="465" w:type="pct"/>
            <w:tcBorders>
              <w:top w:val="nil"/>
              <w:left w:val="nil"/>
              <w:bottom w:val="single" w:sz="4" w:space="0" w:color="auto"/>
              <w:right w:val="nil"/>
            </w:tcBorders>
            <w:shd w:val="clear" w:color="auto" w:fill="FFFFFF"/>
            <w:hideMark/>
          </w:tcPr>
          <w:p w14:paraId="5D26A634" w14:textId="462F9DF4" w:rsidR="00750088" w:rsidRDefault="00750088" w:rsidP="00750088">
            <w:pPr>
              <w:pStyle w:val="Tabletextnoindent"/>
              <w:jc w:val="right"/>
              <w:rPr>
                <w:sz w:val="14"/>
                <w:szCs w:val="14"/>
              </w:rPr>
            </w:pPr>
            <w:r w:rsidRPr="00725ECC">
              <w:rPr>
                <w:sz w:val="14"/>
                <w:szCs w:val="14"/>
              </w:rPr>
              <w:t>–</w:t>
            </w:r>
          </w:p>
        </w:tc>
        <w:tc>
          <w:tcPr>
            <w:tcW w:w="579" w:type="pct"/>
            <w:tcBorders>
              <w:top w:val="nil"/>
              <w:left w:val="nil"/>
              <w:bottom w:val="single" w:sz="4" w:space="0" w:color="auto"/>
              <w:right w:val="nil"/>
            </w:tcBorders>
            <w:shd w:val="clear" w:color="auto" w:fill="FFFFFF"/>
            <w:hideMark/>
          </w:tcPr>
          <w:p w14:paraId="2EC3126D" w14:textId="3989CB4B" w:rsidR="00750088" w:rsidRDefault="00750088" w:rsidP="00750088">
            <w:pPr>
              <w:pStyle w:val="Tabletextnoindent"/>
              <w:jc w:val="right"/>
              <w:rPr>
                <w:sz w:val="14"/>
                <w:szCs w:val="14"/>
              </w:rPr>
            </w:pPr>
            <w:r w:rsidRPr="00725ECC">
              <w:rPr>
                <w:sz w:val="14"/>
                <w:szCs w:val="14"/>
              </w:rPr>
              <w:t>–</w:t>
            </w:r>
          </w:p>
        </w:tc>
        <w:tc>
          <w:tcPr>
            <w:tcW w:w="92" w:type="pct"/>
            <w:tcBorders>
              <w:top w:val="nil"/>
              <w:left w:val="nil"/>
              <w:bottom w:val="single" w:sz="4" w:space="0" w:color="auto"/>
              <w:right w:val="single" w:sz="4" w:space="0" w:color="auto"/>
            </w:tcBorders>
            <w:shd w:val="clear" w:color="auto" w:fill="FFFFFF"/>
            <w:vAlign w:val="bottom"/>
          </w:tcPr>
          <w:p w14:paraId="0CA6AAE7" w14:textId="77777777" w:rsidR="00750088" w:rsidRDefault="00750088" w:rsidP="00750088">
            <w:pPr>
              <w:pStyle w:val="Tabletextnoindent"/>
              <w:jc w:val="right"/>
              <w:rPr>
                <w:sz w:val="14"/>
                <w:szCs w:val="14"/>
              </w:rPr>
            </w:pPr>
          </w:p>
        </w:tc>
        <w:tc>
          <w:tcPr>
            <w:tcW w:w="327" w:type="pct"/>
            <w:tcBorders>
              <w:top w:val="nil"/>
              <w:left w:val="single" w:sz="4" w:space="0" w:color="auto"/>
              <w:bottom w:val="single" w:sz="4" w:space="0" w:color="auto"/>
              <w:right w:val="nil"/>
            </w:tcBorders>
            <w:shd w:val="clear" w:color="auto" w:fill="FFFFFF"/>
            <w:hideMark/>
          </w:tcPr>
          <w:p w14:paraId="70F72872" w14:textId="7BB9DB6F" w:rsidR="00750088" w:rsidRDefault="00750088" w:rsidP="00750088">
            <w:pPr>
              <w:pStyle w:val="Tabletextnoindent"/>
              <w:jc w:val="right"/>
              <w:rPr>
                <w:sz w:val="14"/>
                <w:szCs w:val="14"/>
              </w:rPr>
            </w:pPr>
            <w:r w:rsidRPr="0006665A">
              <w:rPr>
                <w:sz w:val="14"/>
                <w:szCs w:val="14"/>
              </w:rPr>
              <w:t>–</w:t>
            </w:r>
          </w:p>
        </w:tc>
        <w:tc>
          <w:tcPr>
            <w:tcW w:w="298" w:type="pct"/>
            <w:tcBorders>
              <w:top w:val="nil"/>
              <w:left w:val="nil"/>
              <w:bottom w:val="single" w:sz="4" w:space="0" w:color="auto"/>
              <w:right w:val="nil"/>
            </w:tcBorders>
            <w:shd w:val="clear" w:color="auto" w:fill="FFFFFF"/>
            <w:vAlign w:val="bottom"/>
            <w:hideMark/>
          </w:tcPr>
          <w:p w14:paraId="54D79706" w14:textId="77777777" w:rsidR="00750088" w:rsidRDefault="00750088" w:rsidP="00750088">
            <w:pPr>
              <w:pStyle w:val="Tabletextnoindent"/>
              <w:jc w:val="right"/>
              <w:rPr>
                <w:sz w:val="14"/>
                <w:szCs w:val="14"/>
              </w:rPr>
            </w:pPr>
            <w:r>
              <w:rPr>
                <w:sz w:val="14"/>
                <w:szCs w:val="14"/>
              </w:rPr>
              <w:t>145.6</w:t>
            </w:r>
          </w:p>
        </w:tc>
        <w:tc>
          <w:tcPr>
            <w:tcW w:w="298" w:type="pct"/>
            <w:tcBorders>
              <w:top w:val="nil"/>
              <w:left w:val="nil"/>
              <w:bottom w:val="single" w:sz="4" w:space="0" w:color="auto"/>
              <w:right w:val="nil"/>
            </w:tcBorders>
            <w:shd w:val="clear" w:color="auto" w:fill="FFFFFF"/>
            <w:hideMark/>
          </w:tcPr>
          <w:p w14:paraId="6DC99386" w14:textId="5638126C" w:rsidR="00750088" w:rsidRDefault="00750088" w:rsidP="00750088">
            <w:pPr>
              <w:pStyle w:val="Tabletextnoindent"/>
              <w:jc w:val="right"/>
              <w:rPr>
                <w:sz w:val="14"/>
                <w:szCs w:val="14"/>
              </w:rPr>
            </w:pPr>
            <w:r w:rsidRPr="00CC2CBC">
              <w:rPr>
                <w:sz w:val="14"/>
                <w:szCs w:val="14"/>
              </w:rPr>
              <w:t>–</w:t>
            </w:r>
          </w:p>
        </w:tc>
        <w:tc>
          <w:tcPr>
            <w:tcW w:w="298" w:type="pct"/>
            <w:tcBorders>
              <w:top w:val="nil"/>
              <w:left w:val="nil"/>
              <w:bottom w:val="single" w:sz="4" w:space="0" w:color="auto"/>
              <w:right w:val="nil"/>
            </w:tcBorders>
            <w:shd w:val="clear" w:color="auto" w:fill="FFFFFF"/>
            <w:vAlign w:val="bottom"/>
            <w:hideMark/>
          </w:tcPr>
          <w:p w14:paraId="692D6D6B" w14:textId="77777777" w:rsidR="00750088" w:rsidRDefault="00750088" w:rsidP="00750088">
            <w:pPr>
              <w:pStyle w:val="Tabletextnoindent"/>
              <w:jc w:val="right"/>
              <w:rPr>
                <w:sz w:val="14"/>
                <w:szCs w:val="14"/>
              </w:rPr>
            </w:pPr>
            <w:r>
              <w:rPr>
                <w:sz w:val="14"/>
                <w:szCs w:val="14"/>
              </w:rPr>
              <w:t>10.2</w:t>
            </w:r>
          </w:p>
        </w:tc>
        <w:tc>
          <w:tcPr>
            <w:tcW w:w="505" w:type="pct"/>
            <w:tcBorders>
              <w:top w:val="nil"/>
              <w:left w:val="nil"/>
              <w:bottom w:val="single" w:sz="4" w:space="0" w:color="auto"/>
              <w:right w:val="nil"/>
            </w:tcBorders>
            <w:shd w:val="clear" w:color="auto" w:fill="FFFFFF"/>
            <w:vAlign w:val="bottom"/>
            <w:hideMark/>
          </w:tcPr>
          <w:p w14:paraId="0ECB97E3" w14:textId="30C40EA8" w:rsidR="00750088" w:rsidRDefault="00750088" w:rsidP="00750088">
            <w:pPr>
              <w:pStyle w:val="Tabletextnoindent"/>
              <w:jc w:val="right"/>
              <w:rPr>
                <w:sz w:val="14"/>
                <w:szCs w:val="14"/>
              </w:rPr>
            </w:pPr>
            <w:r>
              <w:rPr>
                <w:sz w:val="14"/>
                <w:szCs w:val="14"/>
              </w:rPr>
              <w:t>–</w:t>
            </w:r>
          </w:p>
        </w:tc>
        <w:tc>
          <w:tcPr>
            <w:tcW w:w="92" w:type="pct"/>
            <w:tcBorders>
              <w:top w:val="nil"/>
              <w:left w:val="nil"/>
              <w:bottom w:val="single" w:sz="4" w:space="0" w:color="auto"/>
              <w:right w:val="single" w:sz="4" w:space="0" w:color="auto"/>
            </w:tcBorders>
            <w:shd w:val="clear" w:color="auto" w:fill="FFFFFF"/>
            <w:noWrap/>
            <w:vAlign w:val="bottom"/>
          </w:tcPr>
          <w:p w14:paraId="338E962A" w14:textId="77777777" w:rsidR="00750088" w:rsidRDefault="00750088" w:rsidP="00750088">
            <w:pPr>
              <w:pStyle w:val="Tabletextnoindent"/>
              <w:jc w:val="right"/>
              <w:rPr>
                <w:sz w:val="14"/>
                <w:szCs w:val="14"/>
              </w:rPr>
            </w:pPr>
          </w:p>
        </w:tc>
        <w:tc>
          <w:tcPr>
            <w:tcW w:w="653" w:type="pct"/>
            <w:tcBorders>
              <w:top w:val="nil"/>
              <w:left w:val="single" w:sz="4" w:space="0" w:color="auto"/>
              <w:bottom w:val="single" w:sz="4" w:space="0" w:color="auto"/>
              <w:right w:val="nil"/>
            </w:tcBorders>
            <w:shd w:val="clear" w:color="auto" w:fill="FFFFFF"/>
            <w:vAlign w:val="bottom"/>
            <w:hideMark/>
          </w:tcPr>
          <w:p w14:paraId="002393AA" w14:textId="77777777" w:rsidR="00750088" w:rsidRDefault="00750088" w:rsidP="00750088">
            <w:pPr>
              <w:pStyle w:val="Tabletextnoindent"/>
              <w:jc w:val="right"/>
              <w:rPr>
                <w:sz w:val="14"/>
                <w:szCs w:val="14"/>
              </w:rPr>
            </w:pPr>
            <w:r>
              <w:rPr>
                <w:sz w:val="14"/>
                <w:szCs w:val="14"/>
              </w:rPr>
              <w:t>155.8</w:t>
            </w:r>
          </w:p>
        </w:tc>
        <w:tc>
          <w:tcPr>
            <w:tcW w:w="499" w:type="pct"/>
            <w:tcBorders>
              <w:top w:val="nil"/>
              <w:left w:val="nil"/>
              <w:bottom w:val="single" w:sz="4" w:space="0" w:color="auto"/>
              <w:right w:val="nil"/>
            </w:tcBorders>
            <w:shd w:val="clear" w:color="auto" w:fill="FFFFFF"/>
            <w:vAlign w:val="bottom"/>
            <w:hideMark/>
          </w:tcPr>
          <w:p w14:paraId="6FE4A264" w14:textId="77777777" w:rsidR="00750088" w:rsidRDefault="00750088" w:rsidP="00750088">
            <w:pPr>
              <w:pStyle w:val="Tabletextnoindent"/>
              <w:jc w:val="right"/>
              <w:rPr>
                <w:sz w:val="14"/>
                <w:szCs w:val="14"/>
              </w:rPr>
            </w:pPr>
            <w:r>
              <w:rPr>
                <w:sz w:val="14"/>
                <w:szCs w:val="14"/>
              </w:rPr>
              <w:t>155.8</w:t>
            </w:r>
          </w:p>
        </w:tc>
        <w:tc>
          <w:tcPr>
            <w:tcW w:w="353" w:type="pct"/>
            <w:tcBorders>
              <w:top w:val="nil"/>
              <w:left w:val="nil"/>
              <w:bottom w:val="single" w:sz="4" w:space="0" w:color="auto"/>
              <w:right w:val="nil"/>
            </w:tcBorders>
            <w:shd w:val="clear" w:color="auto" w:fill="FFFFFF"/>
            <w:vAlign w:val="bottom"/>
            <w:hideMark/>
          </w:tcPr>
          <w:p w14:paraId="3136DB07" w14:textId="42F24927" w:rsidR="00750088" w:rsidRDefault="00750088" w:rsidP="00750088">
            <w:pPr>
              <w:pStyle w:val="Tabletextnoindent"/>
              <w:jc w:val="right"/>
              <w:rPr>
                <w:sz w:val="14"/>
                <w:szCs w:val="14"/>
              </w:rPr>
            </w:pPr>
            <w:r>
              <w:rPr>
                <w:sz w:val="14"/>
                <w:szCs w:val="14"/>
              </w:rPr>
              <w:t>–</w:t>
            </w:r>
          </w:p>
        </w:tc>
      </w:tr>
      <w:tr w:rsidR="00750088" w14:paraId="39026DD1" w14:textId="77777777" w:rsidTr="00FE3FF7">
        <w:trPr>
          <w:trHeight w:hRule="exact" w:val="284"/>
        </w:trPr>
        <w:tc>
          <w:tcPr>
            <w:tcW w:w="541" w:type="pct"/>
            <w:tcBorders>
              <w:top w:val="single" w:sz="4" w:space="0" w:color="auto"/>
              <w:left w:val="nil"/>
              <w:bottom w:val="single" w:sz="4" w:space="0" w:color="auto"/>
              <w:right w:val="nil"/>
            </w:tcBorders>
            <w:shd w:val="clear" w:color="auto" w:fill="FFFFFF"/>
            <w:noWrap/>
            <w:vAlign w:val="center"/>
            <w:hideMark/>
          </w:tcPr>
          <w:p w14:paraId="0868FE24" w14:textId="77777777" w:rsidR="00750088" w:rsidRDefault="00750088" w:rsidP="00750088">
            <w:pPr>
              <w:pStyle w:val="Tabletextnoindent"/>
              <w:rPr>
                <w:b/>
                <w:sz w:val="14"/>
                <w:szCs w:val="14"/>
              </w:rPr>
            </w:pPr>
            <w:r>
              <w:rPr>
                <w:b/>
                <w:sz w:val="14"/>
                <w:szCs w:val="14"/>
              </w:rPr>
              <w:t>Total</w:t>
            </w:r>
          </w:p>
        </w:tc>
        <w:tc>
          <w:tcPr>
            <w:tcW w:w="465" w:type="pct"/>
            <w:tcBorders>
              <w:top w:val="single" w:sz="4" w:space="0" w:color="auto"/>
              <w:left w:val="nil"/>
              <w:bottom w:val="single" w:sz="4" w:space="0" w:color="auto"/>
              <w:right w:val="nil"/>
            </w:tcBorders>
            <w:shd w:val="clear" w:color="auto" w:fill="FFFFFF"/>
            <w:noWrap/>
            <w:vAlign w:val="bottom"/>
            <w:hideMark/>
          </w:tcPr>
          <w:p w14:paraId="3EEA4D52" w14:textId="77777777" w:rsidR="00750088" w:rsidRDefault="00750088" w:rsidP="00750088">
            <w:pPr>
              <w:pStyle w:val="Tabletextnoindent"/>
              <w:jc w:val="right"/>
              <w:rPr>
                <w:b/>
                <w:sz w:val="14"/>
                <w:szCs w:val="14"/>
              </w:rPr>
            </w:pPr>
            <w:r>
              <w:rPr>
                <w:sz w:val="14"/>
                <w:szCs w:val="14"/>
              </w:rPr>
              <w:t>10,211.9</w:t>
            </w:r>
          </w:p>
        </w:tc>
        <w:tc>
          <w:tcPr>
            <w:tcW w:w="579" w:type="pct"/>
            <w:tcBorders>
              <w:top w:val="single" w:sz="4" w:space="0" w:color="auto"/>
              <w:left w:val="nil"/>
              <w:bottom w:val="single" w:sz="4" w:space="0" w:color="auto"/>
              <w:right w:val="nil"/>
            </w:tcBorders>
            <w:shd w:val="clear" w:color="auto" w:fill="FFFFFF"/>
            <w:noWrap/>
            <w:vAlign w:val="bottom"/>
            <w:hideMark/>
          </w:tcPr>
          <w:p w14:paraId="3DA51D01" w14:textId="77777777" w:rsidR="00750088" w:rsidRDefault="00750088" w:rsidP="00750088">
            <w:pPr>
              <w:pStyle w:val="Tabletextnoindent"/>
              <w:jc w:val="right"/>
              <w:rPr>
                <w:b/>
                <w:sz w:val="14"/>
                <w:szCs w:val="14"/>
              </w:rPr>
            </w:pPr>
            <w:r>
              <w:rPr>
                <w:sz w:val="14"/>
                <w:szCs w:val="14"/>
              </w:rPr>
              <w:t>182.3</w:t>
            </w:r>
          </w:p>
        </w:tc>
        <w:tc>
          <w:tcPr>
            <w:tcW w:w="92" w:type="pct"/>
            <w:tcBorders>
              <w:top w:val="single" w:sz="4" w:space="0" w:color="auto"/>
              <w:left w:val="nil"/>
              <w:bottom w:val="single" w:sz="4" w:space="0" w:color="auto"/>
              <w:right w:val="single" w:sz="4" w:space="0" w:color="auto"/>
            </w:tcBorders>
            <w:shd w:val="clear" w:color="auto" w:fill="FFFFFF"/>
            <w:noWrap/>
            <w:vAlign w:val="center"/>
          </w:tcPr>
          <w:p w14:paraId="02567D85" w14:textId="77777777" w:rsidR="00750088" w:rsidRDefault="00750088" w:rsidP="00750088">
            <w:pPr>
              <w:pStyle w:val="Tabletextnoindent"/>
              <w:jc w:val="right"/>
              <w:rPr>
                <w:b/>
                <w:sz w:val="14"/>
                <w:szCs w:val="14"/>
              </w:rPr>
            </w:pPr>
          </w:p>
        </w:tc>
        <w:tc>
          <w:tcPr>
            <w:tcW w:w="327" w:type="pct"/>
            <w:tcBorders>
              <w:top w:val="single" w:sz="4" w:space="0" w:color="auto"/>
              <w:left w:val="single" w:sz="4" w:space="0" w:color="auto"/>
              <w:bottom w:val="single" w:sz="4" w:space="0" w:color="auto"/>
              <w:right w:val="nil"/>
            </w:tcBorders>
            <w:shd w:val="clear" w:color="auto" w:fill="FFFFFF"/>
            <w:noWrap/>
            <w:hideMark/>
          </w:tcPr>
          <w:p w14:paraId="4B19F5BD" w14:textId="1A08CB2D" w:rsidR="00750088" w:rsidRDefault="00750088" w:rsidP="00750088">
            <w:pPr>
              <w:pStyle w:val="Tabletextnoindent"/>
              <w:jc w:val="right"/>
              <w:rPr>
                <w:b/>
                <w:sz w:val="14"/>
                <w:szCs w:val="14"/>
              </w:rPr>
            </w:pPr>
            <w:r w:rsidRPr="0006665A">
              <w:rPr>
                <w:sz w:val="14"/>
                <w:szCs w:val="14"/>
              </w:rPr>
              <w:t>–</w:t>
            </w:r>
          </w:p>
        </w:tc>
        <w:tc>
          <w:tcPr>
            <w:tcW w:w="298" w:type="pct"/>
            <w:tcBorders>
              <w:top w:val="single" w:sz="4" w:space="0" w:color="auto"/>
              <w:left w:val="nil"/>
              <w:bottom w:val="single" w:sz="4" w:space="0" w:color="auto"/>
              <w:right w:val="nil"/>
            </w:tcBorders>
            <w:shd w:val="clear" w:color="auto" w:fill="FFFFFF"/>
            <w:noWrap/>
            <w:vAlign w:val="bottom"/>
            <w:hideMark/>
          </w:tcPr>
          <w:p w14:paraId="3DF523C3" w14:textId="77777777" w:rsidR="00750088" w:rsidRDefault="00750088" w:rsidP="00750088">
            <w:pPr>
              <w:pStyle w:val="Tabletextnoindent"/>
              <w:jc w:val="right"/>
              <w:rPr>
                <w:b/>
                <w:sz w:val="14"/>
                <w:szCs w:val="14"/>
              </w:rPr>
            </w:pPr>
            <w:r>
              <w:rPr>
                <w:sz w:val="14"/>
                <w:szCs w:val="14"/>
              </w:rPr>
              <w:t>628.6</w:t>
            </w:r>
          </w:p>
        </w:tc>
        <w:tc>
          <w:tcPr>
            <w:tcW w:w="298" w:type="pct"/>
            <w:tcBorders>
              <w:top w:val="single" w:sz="4" w:space="0" w:color="auto"/>
              <w:left w:val="nil"/>
              <w:bottom w:val="single" w:sz="4" w:space="0" w:color="auto"/>
              <w:right w:val="nil"/>
            </w:tcBorders>
            <w:shd w:val="clear" w:color="auto" w:fill="FFFFFF"/>
            <w:noWrap/>
            <w:hideMark/>
          </w:tcPr>
          <w:p w14:paraId="0069C0FE" w14:textId="4B80F7B5" w:rsidR="00750088" w:rsidRDefault="00750088" w:rsidP="00750088">
            <w:pPr>
              <w:pStyle w:val="Tabletextnoindent"/>
              <w:jc w:val="right"/>
              <w:rPr>
                <w:b/>
                <w:sz w:val="14"/>
                <w:szCs w:val="14"/>
              </w:rPr>
            </w:pPr>
            <w:r w:rsidRPr="00CC2CBC">
              <w:rPr>
                <w:sz w:val="14"/>
                <w:szCs w:val="14"/>
              </w:rPr>
              <w:t>–</w:t>
            </w:r>
          </w:p>
        </w:tc>
        <w:tc>
          <w:tcPr>
            <w:tcW w:w="298" w:type="pct"/>
            <w:tcBorders>
              <w:top w:val="single" w:sz="4" w:space="0" w:color="auto"/>
              <w:left w:val="nil"/>
              <w:bottom w:val="single" w:sz="4" w:space="0" w:color="auto"/>
              <w:right w:val="nil"/>
            </w:tcBorders>
            <w:shd w:val="clear" w:color="auto" w:fill="FFFFFF"/>
            <w:noWrap/>
            <w:vAlign w:val="bottom"/>
            <w:hideMark/>
          </w:tcPr>
          <w:p w14:paraId="741D78E2" w14:textId="77777777" w:rsidR="00750088" w:rsidRDefault="00750088" w:rsidP="00750088">
            <w:pPr>
              <w:pStyle w:val="Tabletextnoindent"/>
              <w:jc w:val="right"/>
              <w:rPr>
                <w:b/>
                <w:sz w:val="14"/>
                <w:szCs w:val="14"/>
              </w:rPr>
            </w:pPr>
            <w:r>
              <w:rPr>
                <w:sz w:val="14"/>
                <w:szCs w:val="14"/>
              </w:rPr>
              <w:t>239.4</w:t>
            </w:r>
          </w:p>
        </w:tc>
        <w:tc>
          <w:tcPr>
            <w:tcW w:w="505" w:type="pct"/>
            <w:tcBorders>
              <w:top w:val="single" w:sz="4" w:space="0" w:color="auto"/>
              <w:left w:val="nil"/>
              <w:bottom w:val="single" w:sz="4" w:space="0" w:color="auto"/>
              <w:right w:val="nil"/>
            </w:tcBorders>
            <w:shd w:val="clear" w:color="auto" w:fill="FFFFFF"/>
            <w:noWrap/>
            <w:vAlign w:val="bottom"/>
            <w:hideMark/>
          </w:tcPr>
          <w:p w14:paraId="29B3612D" w14:textId="77777777" w:rsidR="00750088" w:rsidRDefault="00750088" w:rsidP="00750088">
            <w:pPr>
              <w:pStyle w:val="Tabletextnoindent"/>
              <w:jc w:val="right"/>
              <w:rPr>
                <w:b/>
                <w:sz w:val="14"/>
                <w:szCs w:val="14"/>
              </w:rPr>
            </w:pPr>
            <w:r>
              <w:rPr>
                <w:sz w:val="14"/>
                <w:szCs w:val="14"/>
              </w:rPr>
              <w:t>41.3</w:t>
            </w:r>
          </w:p>
        </w:tc>
        <w:tc>
          <w:tcPr>
            <w:tcW w:w="92" w:type="pct"/>
            <w:tcBorders>
              <w:top w:val="single" w:sz="4" w:space="0" w:color="auto"/>
              <w:left w:val="nil"/>
              <w:bottom w:val="single" w:sz="4" w:space="0" w:color="auto"/>
              <w:right w:val="single" w:sz="4" w:space="0" w:color="auto"/>
            </w:tcBorders>
            <w:shd w:val="clear" w:color="auto" w:fill="FFFFFF"/>
            <w:noWrap/>
            <w:vAlign w:val="bottom"/>
          </w:tcPr>
          <w:p w14:paraId="61A3D2F0" w14:textId="77777777" w:rsidR="00750088" w:rsidRDefault="00750088" w:rsidP="00750088">
            <w:pPr>
              <w:pStyle w:val="Tabletextnoindent"/>
              <w:jc w:val="right"/>
              <w:rPr>
                <w:b/>
                <w:sz w:val="14"/>
                <w:szCs w:val="14"/>
              </w:rPr>
            </w:pPr>
          </w:p>
        </w:tc>
        <w:tc>
          <w:tcPr>
            <w:tcW w:w="653" w:type="pct"/>
            <w:tcBorders>
              <w:top w:val="single" w:sz="4" w:space="0" w:color="auto"/>
              <w:left w:val="single" w:sz="4" w:space="0" w:color="auto"/>
              <w:bottom w:val="single" w:sz="4" w:space="0" w:color="auto"/>
              <w:right w:val="nil"/>
            </w:tcBorders>
            <w:shd w:val="clear" w:color="auto" w:fill="FFFFFF"/>
            <w:noWrap/>
            <w:vAlign w:val="bottom"/>
            <w:hideMark/>
          </w:tcPr>
          <w:p w14:paraId="64E027FD" w14:textId="77777777" w:rsidR="00750088" w:rsidRDefault="00750088" w:rsidP="00750088">
            <w:pPr>
              <w:pStyle w:val="Tabletextnoindent"/>
              <w:jc w:val="right"/>
              <w:rPr>
                <w:b/>
                <w:sz w:val="14"/>
                <w:szCs w:val="14"/>
              </w:rPr>
            </w:pPr>
            <w:r>
              <w:rPr>
                <w:sz w:val="14"/>
                <w:szCs w:val="14"/>
              </w:rPr>
              <w:t>11,303.5</w:t>
            </w:r>
          </w:p>
        </w:tc>
        <w:tc>
          <w:tcPr>
            <w:tcW w:w="499" w:type="pct"/>
            <w:tcBorders>
              <w:top w:val="single" w:sz="4" w:space="0" w:color="auto"/>
              <w:left w:val="nil"/>
              <w:bottom w:val="single" w:sz="4" w:space="0" w:color="auto"/>
              <w:right w:val="nil"/>
            </w:tcBorders>
            <w:shd w:val="clear" w:color="auto" w:fill="FFFFFF"/>
            <w:noWrap/>
            <w:vAlign w:val="bottom"/>
            <w:hideMark/>
          </w:tcPr>
          <w:p w14:paraId="066AF6D8" w14:textId="77777777" w:rsidR="00750088" w:rsidRDefault="00750088" w:rsidP="00750088">
            <w:pPr>
              <w:pStyle w:val="Tabletextnoindent"/>
              <w:jc w:val="right"/>
              <w:rPr>
                <w:b/>
                <w:sz w:val="14"/>
                <w:szCs w:val="14"/>
              </w:rPr>
            </w:pPr>
            <w:r>
              <w:rPr>
                <w:sz w:val="14"/>
                <w:szCs w:val="14"/>
              </w:rPr>
              <w:t>10,839.1</w:t>
            </w:r>
          </w:p>
        </w:tc>
        <w:tc>
          <w:tcPr>
            <w:tcW w:w="353" w:type="pct"/>
            <w:tcBorders>
              <w:top w:val="single" w:sz="4" w:space="0" w:color="auto"/>
              <w:left w:val="nil"/>
              <w:bottom w:val="single" w:sz="4" w:space="0" w:color="auto"/>
              <w:right w:val="nil"/>
            </w:tcBorders>
            <w:shd w:val="clear" w:color="auto" w:fill="FFFFFF"/>
            <w:noWrap/>
            <w:vAlign w:val="bottom"/>
            <w:hideMark/>
          </w:tcPr>
          <w:p w14:paraId="508C7F74" w14:textId="77777777" w:rsidR="00750088" w:rsidRDefault="00750088" w:rsidP="00750088">
            <w:pPr>
              <w:pStyle w:val="Tabletextnoindent"/>
              <w:jc w:val="right"/>
              <w:rPr>
                <w:b/>
                <w:sz w:val="14"/>
                <w:szCs w:val="14"/>
              </w:rPr>
            </w:pPr>
            <w:r>
              <w:rPr>
                <w:sz w:val="14"/>
                <w:szCs w:val="14"/>
              </w:rPr>
              <w:t>464.3</w:t>
            </w:r>
          </w:p>
        </w:tc>
      </w:tr>
    </w:tbl>
    <w:p w14:paraId="2D3BBB40" w14:textId="77777777" w:rsidR="00FE7F8B" w:rsidRDefault="00FE7F8B" w:rsidP="00FE7F8B">
      <w:pPr>
        <w:spacing w:after="0" w:line="240" w:lineRule="auto"/>
        <w:rPr>
          <w:rFonts w:eastAsia="Calibri"/>
          <w:color w:val="auto"/>
          <w:sz w:val="16"/>
          <w:szCs w:val="20"/>
          <w:vertAlign w:val="superscript"/>
          <w:lang w:val="en-US"/>
        </w:rPr>
        <w:sectPr w:rsidR="00FE7F8B">
          <w:footnotePr>
            <w:numRestart w:val="eachPage"/>
          </w:footnotePr>
          <w:pgSz w:w="16834" w:h="11909" w:orient="landscape"/>
          <w:pgMar w:top="1701" w:right="1440" w:bottom="1247" w:left="2835" w:header="709" w:footer="709" w:gutter="0"/>
          <w:cols w:space="720"/>
        </w:sectPr>
      </w:pPr>
    </w:p>
    <w:p w14:paraId="675436A6" w14:textId="77777777" w:rsidR="00FE7F8B" w:rsidRDefault="00FE7F8B" w:rsidP="00AD641C">
      <w:pPr>
        <w:pStyle w:val="Heading3notesnumbered"/>
        <w:numPr>
          <w:ilvl w:val="0"/>
          <w:numId w:val="45"/>
        </w:numPr>
      </w:pPr>
      <w:r>
        <w:t>Summary of compliance with special appropriations</w:t>
      </w:r>
    </w:p>
    <w:tbl>
      <w:tblPr>
        <w:tblpPr w:leftFromText="180" w:rightFromText="180" w:bottomFromText="200" w:vertAnchor="text" w:horzAnchor="margin" w:tblpY="86"/>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45"/>
        <w:gridCol w:w="1565"/>
        <w:gridCol w:w="1277"/>
        <w:gridCol w:w="993"/>
      </w:tblGrid>
      <w:tr w:rsidR="00FE7F8B" w14:paraId="01112BC6" w14:textId="77777777" w:rsidTr="00FE7F8B">
        <w:tc>
          <w:tcPr>
            <w:tcW w:w="3544" w:type="dxa"/>
            <w:tcBorders>
              <w:top w:val="nil"/>
              <w:left w:val="nil"/>
              <w:bottom w:val="nil"/>
              <w:right w:val="nil"/>
            </w:tcBorders>
            <w:shd w:val="clear" w:color="auto" w:fill="7F7F7F" w:themeFill="text1" w:themeFillTint="80"/>
          </w:tcPr>
          <w:p w14:paraId="24C169AE" w14:textId="77777777" w:rsidR="00FE7F8B" w:rsidRDefault="00FE7F8B">
            <w:pPr>
              <w:pStyle w:val="Tablecolumnheading"/>
              <w:jc w:val="center"/>
            </w:pPr>
          </w:p>
        </w:tc>
        <w:tc>
          <w:tcPr>
            <w:tcW w:w="1564" w:type="dxa"/>
            <w:tcBorders>
              <w:top w:val="nil"/>
              <w:left w:val="nil"/>
              <w:bottom w:val="nil"/>
              <w:right w:val="nil"/>
            </w:tcBorders>
            <w:shd w:val="clear" w:color="auto" w:fill="7F7F7F" w:themeFill="text1" w:themeFillTint="80"/>
          </w:tcPr>
          <w:p w14:paraId="2AFFF6DA" w14:textId="77777777" w:rsidR="00FE7F8B" w:rsidRDefault="00FE7F8B">
            <w:pPr>
              <w:pStyle w:val="Tablecolumnheading"/>
              <w:jc w:val="center"/>
            </w:pPr>
          </w:p>
        </w:tc>
        <w:tc>
          <w:tcPr>
            <w:tcW w:w="2268" w:type="dxa"/>
            <w:gridSpan w:val="2"/>
            <w:tcBorders>
              <w:top w:val="nil"/>
              <w:left w:val="nil"/>
              <w:bottom w:val="nil"/>
              <w:right w:val="nil"/>
            </w:tcBorders>
            <w:shd w:val="clear" w:color="auto" w:fill="7F7F7F" w:themeFill="text1" w:themeFillTint="80"/>
            <w:hideMark/>
          </w:tcPr>
          <w:p w14:paraId="38ADDD57" w14:textId="77777777" w:rsidR="00FE7F8B" w:rsidRDefault="00FE7F8B">
            <w:pPr>
              <w:pStyle w:val="Tablecolumnheading"/>
              <w:jc w:val="center"/>
            </w:pPr>
            <w:r>
              <w:rPr>
                <w:lang w:eastAsia="en-AU"/>
              </w:rPr>
              <w:t>Appropriations applied</w:t>
            </w:r>
          </w:p>
        </w:tc>
      </w:tr>
      <w:tr w:rsidR="00FE7F8B" w14:paraId="3203668A" w14:textId="77777777" w:rsidTr="00FE7F8B">
        <w:tc>
          <w:tcPr>
            <w:tcW w:w="3544" w:type="dxa"/>
            <w:tcBorders>
              <w:top w:val="nil"/>
              <w:left w:val="nil"/>
              <w:bottom w:val="nil"/>
              <w:right w:val="nil"/>
            </w:tcBorders>
            <w:shd w:val="clear" w:color="auto" w:fill="7F7F7F" w:themeFill="text1" w:themeFillTint="80"/>
            <w:hideMark/>
          </w:tcPr>
          <w:p w14:paraId="0AC90441" w14:textId="77777777" w:rsidR="00FE7F8B" w:rsidRDefault="00FE7F8B">
            <w:pPr>
              <w:pStyle w:val="Tablecolumnheading"/>
              <w:jc w:val="center"/>
            </w:pPr>
            <w:r>
              <w:rPr>
                <w:lang w:eastAsia="en-AU"/>
              </w:rPr>
              <w:t>Authority controlled</w:t>
            </w:r>
          </w:p>
        </w:tc>
        <w:tc>
          <w:tcPr>
            <w:tcW w:w="1564" w:type="dxa"/>
            <w:tcBorders>
              <w:top w:val="nil"/>
              <w:left w:val="nil"/>
              <w:bottom w:val="nil"/>
              <w:right w:val="nil"/>
            </w:tcBorders>
            <w:shd w:val="clear" w:color="auto" w:fill="7F7F7F" w:themeFill="text1" w:themeFillTint="80"/>
            <w:hideMark/>
          </w:tcPr>
          <w:p w14:paraId="5CB4E35E" w14:textId="77777777" w:rsidR="00FE7F8B" w:rsidRDefault="00FE7F8B">
            <w:pPr>
              <w:pStyle w:val="Tablecolumnheading"/>
              <w:jc w:val="center"/>
            </w:pPr>
            <w:r>
              <w:rPr>
                <w:lang w:eastAsia="en-AU"/>
              </w:rPr>
              <w:t>Purpose</w:t>
            </w:r>
          </w:p>
        </w:tc>
        <w:tc>
          <w:tcPr>
            <w:tcW w:w="1276" w:type="dxa"/>
            <w:tcBorders>
              <w:top w:val="nil"/>
              <w:left w:val="nil"/>
              <w:bottom w:val="nil"/>
              <w:right w:val="nil"/>
            </w:tcBorders>
            <w:shd w:val="clear" w:color="auto" w:fill="7F7F7F" w:themeFill="text1" w:themeFillTint="80"/>
            <w:hideMark/>
          </w:tcPr>
          <w:p w14:paraId="22836381" w14:textId="77777777" w:rsidR="00FE7F8B" w:rsidRDefault="00FE7F8B">
            <w:pPr>
              <w:pStyle w:val="Tablecolumnheading"/>
              <w:jc w:val="center"/>
            </w:pPr>
            <w:r>
              <w:rPr>
                <w:lang w:eastAsia="en-AU"/>
              </w:rPr>
              <w:t>2016</w:t>
            </w:r>
            <w:r>
              <w:rPr>
                <w:lang w:eastAsia="en-AU"/>
              </w:rPr>
              <w:br/>
              <w:t>$m</w:t>
            </w:r>
          </w:p>
        </w:tc>
        <w:tc>
          <w:tcPr>
            <w:tcW w:w="992" w:type="dxa"/>
            <w:tcBorders>
              <w:top w:val="nil"/>
              <w:left w:val="nil"/>
              <w:bottom w:val="nil"/>
              <w:right w:val="nil"/>
            </w:tcBorders>
            <w:shd w:val="clear" w:color="auto" w:fill="7F7F7F" w:themeFill="text1" w:themeFillTint="80"/>
            <w:hideMark/>
          </w:tcPr>
          <w:p w14:paraId="258D1FA3" w14:textId="77777777" w:rsidR="00FE7F8B" w:rsidRDefault="00FE7F8B">
            <w:pPr>
              <w:pStyle w:val="Tablecolumnheading"/>
              <w:jc w:val="center"/>
            </w:pPr>
            <w:r>
              <w:rPr>
                <w:lang w:eastAsia="en-AU"/>
              </w:rPr>
              <w:t>2015</w:t>
            </w:r>
            <w:r>
              <w:rPr>
                <w:lang w:eastAsia="en-AU"/>
              </w:rPr>
              <w:br/>
              <w:t>$m</w:t>
            </w:r>
          </w:p>
        </w:tc>
      </w:tr>
      <w:tr w:rsidR="00FE7F8B" w14:paraId="1A312A51" w14:textId="77777777" w:rsidTr="00FE7F8B">
        <w:tc>
          <w:tcPr>
            <w:tcW w:w="3544" w:type="dxa"/>
            <w:tcBorders>
              <w:top w:val="nil"/>
              <w:left w:val="nil"/>
              <w:bottom w:val="nil"/>
              <w:right w:val="nil"/>
            </w:tcBorders>
            <w:vAlign w:val="bottom"/>
            <w:hideMark/>
          </w:tcPr>
          <w:p w14:paraId="47818A0F" w14:textId="77777777" w:rsidR="00FE7F8B" w:rsidRDefault="00FE7F8B">
            <w:pPr>
              <w:pStyle w:val="Tabletextnoindent"/>
            </w:pPr>
            <w:r>
              <w:t xml:space="preserve">Section 5.6.8 of the </w:t>
            </w:r>
            <w:r>
              <w:rPr>
                <w:i/>
              </w:rPr>
              <w:t>Education and Training Reform Act 2006</w:t>
            </w:r>
          </w:p>
        </w:tc>
        <w:tc>
          <w:tcPr>
            <w:tcW w:w="1564" w:type="dxa"/>
            <w:tcBorders>
              <w:top w:val="nil"/>
              <w:left w:val="nil"/>
              <w:bottom w:val="nil"/>
              <w:right w:val="nil"/>
            </w:tcBorders>
            <w:vAlign w:val="bottom"/>
            <w:hideMark/>
          </w:tcPr>
          <w:p w14:paraId="4F9A37B1" w14:textId="77777777" w:rsidR="00FE7F8B" w:rsidRDefault="00FE7F8B">
            <w:pPr>
              <w:pStyle w:val="Tabletextnoindent"/>
            </w:pPr>
            <w:r>
              <w:t>Volunteers workers’ compensation</w:t>
            </w:r>
          </w:p>
        </w:tc>
        <w:tc>
          <w:tcPr>
            <w:tcW w:w="1276" w:type="dxa"/>
            <w:tcBorders>
              <w:top w:val="nil"/>
              <w:left w:val="nil"/>
              <w:bottom w:val="nil"/>
              <w:right w:val="nil"/>
            </w:tcBorders>
            <w:shd w:val="clear" w:color="auto" w:fill="F2F2F2" w:themeFill="background1" w:themeFillShade="F2"/>
            <w:vAlign w:val="bottom"/>
            <w:hideMark/>
          </w:tcPr>
          <w:p w14:paraId="6A575DC3" w14:textId="77777777" w:rsidR="00FE7F8B" w:rsidRDefault="00FE7F8B">
            <w:pPr>
              <w:pStyle w:val="Tabletextnoindent"/>
              <w:jc w:val="right"/>
              <w:rPr>
                <w:b/>
              </w:rPr>
            </w:pPr>
            <w:r>
              <w:rPr>
                <w:b/>
              </w:rPr>
              <w:t>0.3</w:t>
            </w:r>
          </w:p>
        </w:tc>
        <w:tc>
          <w:tcPr>
            <w:tcW w:w="992" w:type="dxa"/>
            <w:tcBorders>
              <w:top w:val="nil"/>
              <w:left w:val="nil"/>
              <w:bottom w:val="nil"/>
              <w:right w:val="nil"/>
            </w:tcBorders>
            <w:vAlign w:val="bottom"/>
            <w:hideMark/>
          </w:tcPr>
          <w:p w14:paraId="34B4E139" w14:textId="77777777" w:rsidR="00FE7F8B" w:rsidRDefault="00FE7F8B">
            <w:pPr>
              <w:pStyle w:val="TableTextFinancial"/>
              <w:jc w:val="right"/>
              <w:rPr>
                <w:rFonts w:eastAsia="Times New Roman"/>
                <w:bCs w:val="0"/>
                <w:sz w:val="17"/>
                <w:szCs w:val="18"/>
              </w:rPr>
            </w:pPr>
            <w:r>
              <w:rPr>
                <w:rFonts w:eastAsia="Times New Roman"/>
                <w:bCs w:val="0"/>
                <w:sz w:val="17"/>
                <w:szCs w:val="18"/>
              </w:rPr>
              <w:t>0.2</w:t>
            </w:r>
          </w:p>
        </w:tc>
      </w:tr>
      <w:tr w:rsidR="00FE7F8B" w14:paraId="7DEC3B98" w14:textId="77777777" w:rsidTr="00FE7F8B">
        <w:tc>
          <w:tcPr>
            <w:tcW w:w="3544" w:type="dxa"/>
            <w:tcBorders>
              <w:top w:val="nil"/>
              <w:left w:val="nil"/>
              <w:bottom w:val="nil"/>
              <w:right w:val="nil"/>
            </w:tcBorders>
            <w:vAlign w:val="bottom"/>
            <w:hideMark/>
          </w:tcPr>
          <w:p w14:paraId="6B311A66" w14:textId="77777777" w:rsidR="00FE7F8B" w:rsidRDefault="00FE7F8B">
            <w:pPr>
              <w:pStyle w:val="Tabletextnoindent"/>
            </w:pPr>
            <w:r>
              <w:t xml:space="preserve">Section 10 of the </w:t>
            </w:r>
            <w:r>
              <w:rPr>
                <w:i/>
              </w:rPr>
              <w:t>Financial Management Act 1994</w:t>
            </w:r>
          </w:p>
        </w:tc>
        <w:tc>
          <w:tcPr>
            <w:tcW w:w="1564" w:type="dxa"/>
            <w:tcBorders>
              <w:top w:val="nil"/>
              <w:left w:val="nil"/>
              <w:bottom w:val="nil"/>
              <w:right w:val="nil"/>
            </w:tcBorders>
            <w:vAlign w:val="bottom"/>
            <w:hideMark/>
          </w:tcPr>
          <w:p w14:paraId="55CEA501" w14:textId="77777777" w:rsidR="00FE7F8B" w:rsidRDefault="00FE7F8B">
            <w:pPr>
              <w:pStyle w:val="Tabletextnoindent"/>
            </w:pPr>
            <w:r>
              <w:t>Digital Education Revolution</w:t>
            </w:r>
          </w:p>
        </w:tc>
        <w:tc>
          <w:tcPr>
            <w:tcW w:w="1276" w:type="dxa"/>
            <w:tcBorders>
              <w:top w:val="nil"/>
              <w:left w:val="nil"/>
              <w:bottom w:val="nil"/>
              <w:right w:val="nil"/>
            </w:tcBorders>
            <w:shd w:val="clear" w:color="auto" w:fill="F2F2F2" w:themeFill="background1" w:themeFillShade="F2"/>
            <w:vAlign w:val="bottom"/>
            <w:hideMark/>
          </w:tcPr>
          <w:p w14:paraId="739CEB35" w14:textId="77777777" w:rsidR="00FE7F8B" w:rsidRDefault="00FE7F8B">
            <w:pPr>
              <w:pStyle w:val="Tabletextnoindent"/>
              <w:jc w:val="right"/>
              <w:rPr>
                <w:b/>
              </w:rPr>
            </w:pPr>
            <w:r>
              <w:rPr>
                <w:b/>
              </w:rPr>
              <w:t>20.6</w:t>
            </w:r>
          </w:p>
        </w:tc>
        <w:tc>
          <w:tcPr>
            <w:tcW w:w="992" w:type="dxa"/>
            <w:tcBorders>
              <w:top w:val="nil"/>
              <w:left w:val="nil"/>
              <w:bottom w:val="nil"/>
              <w:right w:val="nil"/>
            </w:tcBorders>
            <w:vAlign w:val="bottom"/>
            <w:hideMark/>
          </w:tcPr>
          <w:p w14:paraId="65F833E8" w14:textId="77777777" w:rsidR="00FE7F8B" w:rsidRDefault="00FE7F8B">
            <w:pPr>
              <w:pStyle w:val="TableTextFinancial"/>
              <w:jc w:val="right"/>
              <w:rPr>
                <w:rFonts w:eastAsia="Times New Roman"/>
                <w:bCs w:val="0"/>
                <w:sz w:val="17"/>
                <w:szCs w:val="18"/>
              </w:rPr>
            </w:pPr>
            <w:r>
              <w:rPr>
                <w:rFonts w:eastAsia="Times New Roman"/>
                <w:bCs w:val="0"/>
                <w:sz w:val="17"/>
                <w:szCs w:val="18"/>
              </w:rPr>
              <w:t>-</w:t>
            </w:r>
          </w:p>
        </w:tc>
      </w:tr>
      <w:tr w:rsidR="00FE7F8B" w14:paraId="54BE1F0A" w14:textId="77777777" w:rsidTr="00FE7F8B">
        <w:tc>
          <w:tcPr>
            <w:tcW w:w="3544" w:type="dxa"/>
            <w:tcBorders>
              <w:top w:val="nil"/>
              <w:left w:val="nil"/>
              <w:bottom w:val="single" w:sz="4" w:space="0" w:color="auto"/>
              <w:right w:val="nil"/>
            </w:tcBorders>
            <w:vAlign w:val="bottom"/>
            <w:hideMark/>
          </w:tcPr>
          <w:p w14:paraId="6AB74122" w14:textId="77777777" w:rsidR="00FE7F8B" w:rsidRDefault="00FE7F8B">
            <w:pPr>
              <w:pStyle w:val="Tabletextnoindent"/>
            </w:pPr>
            <w:r>
              <w:t xml:space="preserve">Section 10 of the </w:t>
            </w:r>
            <w:r>
              <w:rPr>
                <w:i/>
              </w:rPr>
              <w:t>Financial Management Act 1994</w:t>
            </w:r>
          </w:p>
        </w:tc>
        <w:tc>
          <w:tcPr>
            <w:tcW w:w="1564" w:type="dxa"/>
            <w:tcBorders>
              <w:top w:val="nil"/>
              <w:left w:val="nil"/>
              <w:bottom w:val="single" w:sz="4" w:space="0" w:color="auto"/>
              <w:right w:val="nil"/>
            </w:tcBorders>
            <w:vAlign w:val="bottom"/>
            <w:hideMark/>
          </w:tcPr>
          <w:p w14:paraId="134AAC91" w14:textId="77777777" w:rsidR="00FE7F8B" w:rsidRDefault="00FE7F8B">
            <w:pPr>
              <w:pStyle w:val="Tabletextnoindent"/>
            </w:pPr>
            <w:r>
              <w:t xml:space="preserve">Occasional Care </w:t>
            </w:r>
          </w:p>
        </w:tc>
        <w:tc>
          <w:tcPr>
            <w:tcW w:w="1276" w:type="dxa"/>
            <w:tcBorders>
              <w:top w:val="nil"/>
              <w:left w:val="nil"/>
              <w:bottom w:val="single" w:sz="4" w:space="0" w:color="auto"/>
              <w:right w:val="nil"/>
            </w:tcBorders>
            <w:shd w:val="clear" w:color="auto" w:fill="F2F2F2" w:themeFill="background1" w:themeFillShade="F2"/>
            <w:vAlign w:val="bottom"/>
            <w:hideMark/>
          </w:tcPr>
          <w:p w14:paraId="32CAE9C7" w14:textId="77777777" w:rsidR="00FE7F8B" w:rsidRDefault="00FE7F8B">
            <w:pPr>
              <w:pStyle w:val="Tabletextnoindent"/>
              <w:jc w:val="right"/>
              <w:rPr>
                <w:b/>
              </w:rPr>
            </w:pPr>
            <w:r>
              <w:rPr>
                <w:b/>
              </w:rPr>
              <w:t>1.1</w:t>
            </w:r>
          </w:p>
        </w:tc>
        <w:tc>
          <w:tcPr>
            <w:tcW w:w="992" w:type="dxa"/>
            <w:tcBorders>
              <w:top w:val="nil"/>
              <w:left w:val="nil"/>
              <w:bottom w:val="single" w:sz="4" w:space="0" w:color="auto"/>
              <w:right w:val="nil"/>
            </w:tcBorders>
            <w:vAlign w:val="bottom"/>
            <w:hideMark/>
          </w:tcPr>
          <w:p w14:paraId="2D774C7D" w14:textId="77777777" w:rsidR="00FE7F8B" w:rsidRDefault="00FE7F8B">
            <w:pPr>
              <w:pStyle w:val="TableTextFinancial"/>
              <w:jc w:val="right"/>
              <w:rPr>
                <w:rFonts w:eastAsia="Times New Roman"/>
                <w:bCs w:val="0"/>
                <w:sz w:val="17"/>
                <w:szCs w:val="18"/>
              </w:rPr>
            </w:pPr>
            <w:r>
              <w:rPr>
                <w:rFonts w:eastAsia="Times New Roman"/>
                <w:bCs w:val="0"/>
                <w:sz w:val="17"/>
                <w:szCs w:val="18"/>
              </w:rPr>
              <w:t>-</w:t>
            </w:r>
          </w:p>
        </w:tc>
      </w:tr>
      <w:tr w:rsidR="00FE7F8B" w14:paraId="7E090AFC" w14:textId="77777777" w:rsidTr="00FE7F8B">
        <w:tc>
          <w:tcPr>
            <w:tcW w:w="3544" w:type="dxa"/>
            <w:tcBorders>
              <w:top w:val="single" w:sz="4" w:space="0" w:color="auto"/>
              <w:left w:val="nil"/>
              <w:bottom w:val="single" w:sz="4" w:space="0" w:color="auto"/>
              <w:right w:val="nil"/>
            </w:tcBorders>
            <w:vAlign w:val="bottom"/>
            <w:hideMark/>
          </w:tcPr>
          <w:p w14:paraId="1CB9B55A" w14:textId="77777777" w:rsidR="00FE7F8B" w:rsidRDefault="00FE7F8B">
            <w:pPr>
              <w:pStyle w:val="Tabletextnoindent"/>
              <w:rPr>
                <w:b/>
              </w:rPr>
            </w:pPr>
            <w:r>
              <w:rPr>
                <w:b/>
              </w:rPr>
              <w:t>Total</w:t>
            </w:r>
          </w:p>
        </w:tc>
        <w:tc>
          <w:tcPr>
            <w:tcW w:w="1564" w:type="dxa"/>
            <w:tcBorders>
              <w:top w:val="single" w:sz="4" w:space="0" w:color="auto"/>
              <w:left w:val="nil"/>
              <w:bottom w:val="single" w:sz="4" w:space="0" w:color="auto"/>
              <w:right w:val="nil"/>
            </w:tcBorders>
            <w:vAlign w:val="bottom"/>
          </w:tcPr>
          <w:p w14:paraId="1B6EF4B2" w14:textId="77777777" w:rsidR="00FE7F8B" w:rsidRDefault="00FE7F8B">
            <w:pPr>
              <w:pStyle w:val="Tabletextnoindent"/>
              <w:rPr>
                <w:b/>
              </w:rPr>
            </w:pPr>
          </w:p>
        </w:tc>
        <w:tc>
          <w:tcPr>
            <w:tcW w:w="1276" w:type="dxa"/>
            <w:tcBorders>
              <w:top w:val="single" w:sz="4" w:space="0" w:color="auto"/>
              <w:left w:val="nil"/>
              <w:bottom w:val="single" w:sz="4" w:space="0" w:color="auto"/>
              <w:right w:val="nil"/>
            </w:tcBorders>
            <w:shd w:val="clear" w:color="auto" w:fill="F2F2F2" w:themeFill="background1" w:themeFillShade="F2"/>
            <w:vAlign w:val="bottom"/>
            <w:hideMark/>
          </w:tcPr>
          <w:p w14:paraId="0AAE1095" w14:textId="77777777" w:rsidR="00FE7F8B" w:rsidRDefault="00FE7F8B">
            <w:pPr>
              <w:pStyle w:val="Tabletextnoindent"/>
              <w:jc w:val="right"/>
              <w:rPr>
                <w:b/>
              </w:rPr>
            </w:pPr>
            <w:r>
              <w:rPr>
                <w:b/>
              </w:rPr>
              <w:t>22.0</w:t>
            </w:r>
          </w:p>
        </w:tc>
        <w:tc>
          <w:tcPr>
            <w:tcW w:w="992" w:type="dxa"/>
            <w:tcBorders>
              <w:top w:val="single" w:sz="4" w:space="0" w:color="auto"/>
              <w:left w:val="nil"/>
              <w:bottom w:val="single" w:sz="4" w:space="0" w:color="auto"/>
              <w:right w:val="nil"/>
            </w:tcBorders>
            <w:vAlign w:val="bottom"/>
            <w:hideMark/>
          </w:tcPr>
          <w:p w14:paraId="52BED548" w14:textId="77777777" w:rsidR="00FE7F8B" w:rsidRDefault="00FE7F8B">
            <w:pPr>
              <w:pStyle w:val="TableTextFinancial"/>
              <w:jc w:val="right"/>
              <w:rPr>
                <w:rFonts w:eastAsia="Times New Roman"/>
                <w:bCs w:val="0"/>
                <w:sz w:val="17"/>
                <w:szCs w:val="18"/>
              </w:rPr>
            </w:pPr>
            <w:r>
              <w:rPr>
                <w:rFonts w:eastAsia="Times New Roman"/>
                <w:bCs w:val="0"/>
                <w:sz w:val="17"/>
                <w:szCs w:val="18"/>
              </w:rPr>
              <w:t>0.2</w:t>
            </w:r>
          </w:p>
        </w:tc>
      </w:tr>
    </w:tbl>
    <w:p w14:paraId="1EDBD37E" w14:textId="77777777" w:rsidR="00FE7F8B" w:rsidRDefault="00FE7F8B" w:rsidP="00AD641C">
      <w:pPr>
        <w:pStyle w:val="Heading2notes"/>
        <w:numPr>
          <w:ilvl w:val="0"/>
          <w:numId w:val="39"/>
        </w:numPr>
      </w:pPr>
      <w:bookmarkStart w:id="78" w:name="_Toc461176296"/>
      <w:bookmarkStart w:id="79" w:name="_Toc399491064"/>
      <w:r>
        <w:t>Cash and deposits/other financial assets</w:t>
      </w:r>
      <w:bookmarkEnd w:id="78"/>
      <w:bookmarkEnd w:id="79"/>
    </w:p>
    <w:tbl>
      <w:tblPr>
        <w:tblW w:w="5000" w:type="pct"/>
        <w:tblLook w:val="04A0" w:firstRow="1" w:lastRow="0" w:firstColumn="1" w:lastColumn="0" w:noHBand="0" w:noVBand="1"/>
      </w:tblPr>
      <w:tblGrid>
        <w:gridCol w:w="5313"/>
        <w:gridCol w:w="1138"/>
        <w:gridCol w:w="1138"/>
      </w:tblGrid>
      <w:tr w:rsidR="00FE7F8B" w14:paraId="1EFF501E" w14:textId="77777777" w:rsidTr="00FE7F8B">
        <w:trPr>
          <w:trHeight w:val="510"/>
        </w:trPr>
        <w:tc>
          <w:tcPr>
            <w:tcW w:w="3500" w:type="pct"/>
            <w:shd w:val="clear" w:color="auto" w:fill="7F7F7F" w:themeFill="text1" w:themeFillTint="80"/>
            <w:noWrap/>
            <w:vAlign w:val="bottom"/>
          </w:tcPr>
          <w:p w14:paraId="724D5C8A" w14:textId="77777777" w:rsidR="00FE7F8B" w:rsidRDefault="00FE7F8B">
            <w:pPr>
              <w:pStyle w:val="Tablecolumnheading"/>
              <w:rPr>
                <w:lang w:eastAsia="en-AU"/>
              </w:rPr>
            </w:pPr>
          </w:p>
        </w:tc>
        <w:tc>
          <w:tcPr>
            <w:tcW w:w="750" w:type="pct"/>
            <w:shd w:val="clear" w:color="auto" w:fill="7F7F7F" w:themeFill="text1" w:themeFillTint="80"/>
            <w:vAlign w:val="bottom"/>
            <w:hideMark/>
          </w:tcPr>
          <w:p w14:paraId="1CE41D2F" w14:textId="77777777" w:rsidR="00FE7F8B" w:rsidRDefault="00FE7F8B">
            <w:pPr>
              <w:pStyle w:val="Tablecolumnheading"/>
              <w:jc w:val="center"/>
              <w:rPr>
                <w:lang w:eastAsia="en-AU"/>
              </w:rPr>
            </w:pPr>
            <w:r>
              <w:rPr>
                <w:lang w:eastAsia="en-AU"/>
              </w:rPr>
              <w:t>2016</w:t>
            </w:r>
            <w:r>
              <w:rPr>
                <w:lang w:eastAsia="en-AU"/>
              </w:rPr>
              <w:br/>
              <w:t>$m</w:t>
            </w:r>
          </w:p>
        </w:tc>
        <w:tc>
          <w:tcPr>
            <w:tcW w:w="750" w:type="pct"/>
            <w:shd w:val="clear" w:color="auto" w:fill="7F7F7F" w:themeFill="text1" w:themeFillTint="80"/>
            <w:vAlign w:val="bottom"/>
            <w:hideMark/>
          </w:tcPr>
          <w:p w14:paraId="76406212" w14:textId="77777777" w:rsidR="00FE7F8B" w:rsidRDefault="00FE7F8B">
            <w:pPr>
              <w:pStyle w:val="Tablecolumnheading"/>
              <w:jc w:val="center"/>
              <w:rPr>
                <w:lang w:eastAsia="en-AU"/>
              </w:rPr>
            </w:pPr>
            <w:r>
              <w:rPr>
                <w:lang w:eastAsia="en-AU"/>
              </w:rPr>
              <w:t>2015</w:t>
            </w:r>
            <w:r>
              <w:rPr>
                <w:lang w:eastAsia="en-AU"/>
              </w:rPr>
              <w:br/>
              <w:t>$m</w:t>
            </w:r>
          </w:p>
        </w:tc>
      </w:tr>
      <w:tr w:rsidR="00FE7F8B" w14:paraId="17A8436D" w14:textId="77777777" w:rsidTr="00FE7F8B">
        <w:trPr>
          <w:trHeight w:val="240"/>
        </w:trPr>
        <w:tc>
          <w:tcPr>
            <w:tcW w:w="3500" w:type="pct"/>
            <w:shd w:val="clear" w:color="auto" w:fill="FFFFFF"/>
            <w:noWrap/>
            <w:vAlign w:val="bottom"/>
            <w:hideMark/>
          </w:tcPr>
          <w:p w14:paraId="43B140E0" w14:textId="77777777" w:rsidR="00FE7F8B" w:rsidRDefault="00FE7F8B">
            <w:pPr>
              <w:pStyle w:val="Tabletextnoindent"/>
              <w:rPr>
                <w:b/>
              </w:rPr>
            </w:pPr>
            <w:r>
              <w:rPr>
                <w:b/>
              </w:rPr>
              <w:t>Cash and deposits</w:t>
            </w:r>
          </w:p>
        </w:tc>
        <w:tc>
          <w:tcPr>
            <w:tcW w:w="750" w:type="pct"/>
            <w:shd w:val="clear" w:color="auto" w:fill="F2F2F2" w:themeFill="background1" w:themeFillShade="F2"/>
            <w:noWrap/>
            <w:vAlign w:val="bottom"/>
          </w:tcPr>
          <w:p w14:paraId="0212B123" w14:textId="77777777" w:rsidR="00FE7F8B" w:rsidRDefault="00FE7F8B">
            <w:pPr>
              <w:pStyle w:val="Tabletextnoindent"/>
              <w:jc w:val="right"/>
              <w:rPr>
                <w:b/>
              </w:rPr>
            </w:pPr>
          </w:p>
        </w:tc>
        <w:tc>
          <w:tcPr>
            <w:tcW w:w="750" w:type="pct"/>
            <w:shd w:val="clear" w:color="auto" w:fill="FFFFFF"/>
            <w:noWrap/>
            <w:vAlign w:val="bottom"/>
          </w:tcPr>
          <w:p w14:paraId="22224470" w14:textId="77777777" w:rsidR="00FE7F8B" w:rsidRDefault="00FE7F8B">
            <w:pPr>
              <w:pStyle w:val="Tabletextnoindent"/>
              <w:jc w:val="right"/>
            </w:pPr>
          </w:p>
        </w:tc>
      </w:tr>
      <w:tr w:rsidR="00FE7F8B" w14:paraId="4240EB11" w14:textId="77777777" w:rsidTr="00FE7F8B">
        <w:trPr>
          <w:trHeight w:val="240"/>
        </w:trPr>
        <w:tc>
          <w:tcPr>
            <w:tcW w:w="3500" w:type="pct"/>
            <w:shd w:val="clear" w:color="auto" w:fill="FFFFFF"/>
            <w:noWrap/>
            <w:vAlign w:val="bottom"/>
            <w:hideMark/>
          </w:tcPr>
          <w:p w14:paraId="2D2F62B3" w14:textId="77777777" w:rsidR="00FE7F8B" w:rsidRDefault="00FE7F8B">
            <w:pPr>
              <w:pStyle w:val="Tabletextnoindent"/>
            </w:pPr>
            <w:r>
              <w:t>Amounts held by schools</w:t>
            </w:r>
            <w:r>
              <w:rPr>
                <w:vertAlign w:val="superscript"/>
              </w:rPr>
              <w:t>1</w:t>
            </w:r>
          </w:p>
        </w:tc>
        <w:tc>
          <w:tcPr>
            <w:tcW w:w="750" w:type="pct"/>
            <w:shd w:val="clear" w:color="auto" w:fill="F2F2F2" w:themeFill="background1" w:themeFillShade="F2"/>
            <w:noWrap/>
            <w:vAlign w:val="bottom"/>
            <w:hideMark/>
          </w:tcPr>
          <w:p w14:paraId="0DEA260D" w14:textId="77777777" w:rsidR="00FE7F8B" w:rsidRDefault="00FE7F8B">
            <w:pPr>
              <w:pStyle w:val="Tabletextnoindent"/>
              <w:jc w:val="right"/>
            </w:pPr>
            <w:r>
              <w:rPr>
                <w:b/>
              </w:rPr>
              <w:t>497.8</w:t>
            </w:r>
          </w:p>
        </w:tc>
        <w:tc>
          <w:tcPr>
            <w:tcW w:w="750" w:type="pct"/>
            <w:shd w:val="clear" w:color="auto" w:fill="FFFFFF"/>
            <w:noWrap/>
            <w:vAlign w:val="bottom"/>
            <w:hideMark/>
          </w:tcPr>
          <w:p w14:paraId="6AC27CF6" w14:textId="77777777" w:rsidR="00FE7F8B" w:rsidRDefault="00FE7F8B">
            <w:pPr>
              <w:pStyle w:val="Tabletextnoindent"/>
              <w:jc w:val="right"/>
            </w:pPr>
            <w:r>
              <w:t>557.8</w:t>
            </w:r>
          </w:p>
        </w:tc>
      </w:tr>
      <w:tr w:rsidR="00FE7F8B" w14:paraId="051D9048" w14:textId="77777777" w:rsidTr="00FE7F8B">
        <w:trPr>
          <w:trHeight w:val="240"/>
        </w:trPr>
        <w:tc>
          <w:tcPr>
            <w:tcW w:w="3500" w:type="pct"/>
            <w:noWrap/>
            <w:vAlign w:val="bottom"/>
            <w:hideMark/>
          </w:tcPr>
          <w:p w14:paraId="4F86D520" w14:textId="77777777" w:rsidR="00FE7F8B" w:rsidRDefault="00FE7F8B">
            <w:pPr>
              <w:pStyle w:val="Tabletextnoindent"/>
            </w:pPr>
            <w:r>
              <w:t>Bank accounts held in trust</w:t>
            </w:r>
          </w:p>
        </w:tc>
        <w:tc>
          <w:tcPr>
            <w:tcW w:w="750" w:type="pct"/>
            <w:shd w:val="clear" w:color="auto" w:fill="F2F2F2" w:themeFill="background1" w:themeFillShade="F2"/>
            <w:noWrap/>
            <w:vAlign w:val="bottom"/>
            <w:hideMark/>
          </w:tcPr>
          <w:p w14:paraId="02AB0053" w14:textId="77777777" w:rsidR="00FE7F8B" w:rsidRDefault="00FE7F8B">
            <w:pPr>
              <w:pStyle w:val="Tabletextnoindent"/>
              <w:jc w:val="right"/>
            </w:pPr>
            <w:r>
              <w:rPr>
                <w:b/>
              </w:rPr>
              <w:t>196.9</w:t>
            </w:r>
          </w:p>
        </w:tc>
        <w:tc>
          <w:tcPr>
            <w:tcW w:w="750" w:type="pct"/>
            <w:noWrap/>
            <w:vAlign w:val="bottom"/>
            <w:hideMark/>
          </w:tcPr>
          <w:p w14:paraId="75381F81" w14:textId="77777777" w:rsidR="00FE7F8B" w:rsidRDefault="00FE7F8B">
            <w:pPr>
              <w:pStyle w:val="Tabletextnoindent"/>
              <w:jc w:val="right"/>
            </w:pPr>
            <w:r>
              <w:t>152.2</w:t>
            </w:r>
          </w:p>
        </w:tc>
      </w:tr>
      <w:tr w:rsidR="00FE7F8B" w14:paraId="1B78FB74" w14:textId="77777777" w:rsidTr="00FE7F8B">
        <w:trPr>
          <w:trHeight w:val="255"/>
        </w:trPr>
        <w:tc>
          <w:tcPr>
            <w:tcW w:w="3500" w:type="pct"/>
            <w:tcBorders>
              <w:top w:val="nil"/>
              <w:left w:val="nil"/>
              <w:bottom w:val="single" w:sz="4" w:space="0" w:color="auto"/>
              <w:right w:val="nil"/>
            </w:tcBorders>
            <w:noWrap/>
            <w:vAlign w:val="bottom"/>
            <w:hideMark/>
          </w:tcPr>
          <w:p w14:paraId="5A34BA4D" w14:textId="77777777" w:rsidR="00FE7F8B" w:rsidRDefault="00FE7F8B">
            <w:pPr>
              <w:pStyle w:val="Tabletextnoindent"/>
            </w:pPr>
            <w:r>
              <w:t>Other bank accounts</w:t>
            </w:r>
          </w:p>
        </w:tc>
        <w:tc>
          <w:tcPr>
            <w:tcW w:w="750" w:type="pct"/>
            <w:tcBorders>
              <w:top w:val="nil"/>
              <w:left w:val="nil"/>
              <w:bottom w:val="single" w:sz="4" w:space="0" w:color="auto"/>
              <w:right w:val="nil"/>
            </w:tcBorders>
            <w:shd w:val="clear" w:color="auto" w:fill="F2F2F2" w:themeFill="background1" w:themeFillShade="F2"/>
            <w:noWrap/>
            <w:vAlign w:val="bottom"/>
            <w:hideMark/>
          </w:tcPr>
          <w:p w14:paraId="33DBF2E4" w14:textId="77777777" w:rsidR="00FE7F8B" w:rsidRDefault="00FE7F8B">
            <w:pPr>
              <w:pStyle w:val="Tabletextnoindent"/>
              <w:jc w:val="right"/>
            </w:pPr>
            <w:r>
              <w:rPr>
                <w:b/>
              </w:rPr>
              <w:t>8.6</w:t>
            </w:r>
          </w:p>
        </w:tc>
        <w:tc>
          <w:tcPr>
            <w:tcW w:w="750" w:type="pct"/>
            <w:tcBorders>
              <w:top w:val="nil"/>
              <w:left w:val="nil"/>
              <w:bottom w:val="single" w:sz="4" w:space="0" w:color="auto"/>
              <w:right w:val="nil"/>
            </w:tcBorders>
            <w:noWrap/>
            <w:vAlign w:val="bottom"/>
            <w:hideMark/>
          </w:tcPr>
          <w:p w14:paraId="1801E348" w14:textId="77777777" w:rsidR="00FE7F8B" w:rsidRDefault="00FE7F8B">
            <w:pPr>
              <w:pStyle w:val="Tabletextnoindent"/>
              <w:jc w:val="right"/>
            </w:pPr>
            <w:r>
              <w:t>5.2</w:t>
            </w:r>
          </w:p>
        </w:tc>
      </w:tr>
      <w:tr w:rsidR="00FE7F8B" w14:paraId="28EDC389" w14:textId="77777777" w:rsidTr="00FE7F8B">
        <w:trPr>
          <w:trHeight w:val="330"/>
        </w:trPr>
        <w:tc>
          <w:tcPr>
            <w:tcW w:w="3500" w:type="pct"/>
            <w:tcBorders>
              <w:top w:val="single" w:sz="4" w:space="0" w:color="auto"/>
              <w:left w:val="nil"/>
              <w:bottom w:val="single" w:sz="4" w:space="0" w:color="auto"/>
              <w:right w:val="nil"/>
            </w:tcBorders>
            <w:noWrap/>
            <w:vAlign w:val="bottom"/>
            <w:hideMark/>
          </w:tcPr>
          <w:p w14:paraId="0B5350C2" w14:textId="77777777" w:rsidR="00FE7F8B" w:rsidRDefault="00FE7F8B">
            <w:pPr>
              <w:pStyle w:val="Tabletextnoindent"/>
            </w:pPr>
            <w:r>
              <w:rPr>
                <w:b/>
              </w:rPr>
              <w:t>Total cash and deposits (a)</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164DDE1F" w14:textId="77777777" w:rsidR="00FE7F8B" w:rsidRDefault="00FE7F8B">
            <w:pPr>
              <w:pStyle w:val="Tabletextnoindent"/>
              <w:jc w:val="right"/>
            </w:pPr>
            <w:r>
              <w:rPr>
                <w:b/>
              </w:rPr>
              <w:t>703.3</w:t>
            </w:r>
          </w:p>
        </w:tc>
        <w:tc>
          <w:tcPr>
            <w:tcW w:w="750" w:type="pct"/>
            <w:tcBorders>
              <w:top w:val="single" w:sz="4" w:space="0" w:color="auto"/>
              <w:left w:val="nil"/>
              <w:bottom w:val="single" w:sz="4" w:space="0" w:color="auto"/>
              <w:right w:val="nil"/>
            </w:tcBorders>
            <w:noWrap/>
            <w:vAlign w:val="bottom"/>
            <w:hideMark/>
          </w:tcPr>
          <w:p w14:paraId="444F1537" w14:textId="77777777" w:rsidR="00FE7F8B" w:rsidRDefault="00FE7F8B">
            <w:pPr>
              <w:pStyle w:val="Tabletextnoindent"/>
              <w:jc w:val="right"/>
            </w:pPr>
            <w:r>
              <w:t>715.3</w:t>
            </w:r>
          </w:p>
        </w:tc>
      </w:tr>
      <w:tr w:rsidR="00FE7F8B" w14:paraId="16DCFDEA" w14:textId="77777777" w:rsidTr="00FE7F8B">
        <w:trPr>
          <w:trHeight w:val="330"/>
        </w:trPr>
        <w:tc>
          <w:tcPr>
            <w:tcW w:w="3500" w:type="pct"/>
            <w:tcBorders>
              <w:top w:val="single" w:sz="4" w:space="0" w:color="auto"/>
              <w:left w:val="nil"/>
              <w:bottom w:val="single" w:sz="4" w:space="0" w:color="auto"/>
              <w:right w:val="nil"/>
            </w:tcBorders>
            <w:noWrap/>
            <w:vAlign w:val="bottom"/>
            <w:hideMark/>
          </w:tcPr>
          <w:p w14:paraId="44732F78" w14:textId="6C837C3C" w:rsidR="00FE7F8B" w:rsidRDefault="00FE7F8B" w:rsidP="00C47EBC">
            <w:pPr>
              <w:pStyle w:val="Tabletextnoindent"/>
              <w:rPr>
                <w:b/>
              </w:rPr>
            </w:pPr>
            <w:r>
              <w:rPr>
                <w:b/>
              </w:rPr>
              <w:t>Other financial assets held by schools</w:t>
            </w:r>
            <w:r w:rsidR="00C47EBC">
              <w:rPr>
                <w:vertAlign w:val="superscript"/>
              </w:rPr>
              <w:t>1</w:t>
            </w:r>
            <w:r>
              <w:rPr>
                <w:b/>
              </w:rPr>
              <w:t xml:space="preserve"> (b)</w:t>
            </w:r>
          </w:p>
        </w:tc>
        <w:tc>
          <w:tcPr>
            <w:tcW w:w="750" w:type="pct"/>
            <w:tcBorders>
              <w:top w:val="single" w:sz="4" w:space="0" w:color="auto"/>
              <w:left w:val="nil"/>
              <w:bottom w:val="single" w:sz="4" w:space="0" w:color="auto"/>
              <w:right w:val="nil"/>
            </w:tcBorders>
            <w:shd w:val="clear" w:color="auto" w:fill="F2F2F2" w:themeFill="background1" w:themeFillShade="F2"/>
            <w:noWrap/>
            <w:vAlign w:val="bottom"/>
            <w:hideMark/>
          </w:tcPr>
          <w:p w14:paraId="11F0DA20" w14:textId="77777777" w:rsidR="00FE7F8B" w:rsidRDefault="00FE7F8B">
            <w:pPr>
              <w:pStyle w:val="Tabletextnoindent"/>
              <w:jc w:val="right"/>
              <w:rPr>
                <w:b/>
              </w:rPr>
            </w:pPr>
            <w:r>
              <w:rPr>
                <w:b/>
              </w:rPr>
              <w:t>274.9</w:t>
            </w:r>
          </w:p>
        </w:tc>
        <w:tc>
          <w:tcPr>
            <w:tcW w:w="750" w:type="pct"/>
            <w:tcBorders>
              <w:top w:val="single" w:sz="4" w:space="0" w:color="auto"/>
              <w:left w:val="nil"/>
              <w:bottom w:val="single" w:sz="4" w:space="0" w:color="auto"/>
              <w:right w:val="nil"/>
            </w:tcBorders>
            <w:noWrap/>
            <w:vAlign w:val="bottom"/>
            <w:hideMark/>
          </w:tcPr>
          <w:p w14:paraId="5FECB4B2" w14:textId="77777777" w:rsidR="00FE7F8B" w:rsidRDefault="00FE7F8B">
            <w:pPr>
              <w:pStyle w:val="Tabletextnoindent"/>
              <w:jc w:val="right"/>
              <w:rPr>
                <w:b/>
              </w:rPr>
            </w:pPr>
            <w:r>
              <w:t>132.5</w:t>
            </w:r>
          </w:p>
        </w:tc>
      </w:tr>
    </w:tbl>
    <w:p w14:paraId="3705A70A" w14:textId="77777777" w:rsidR="00FE7F8B" w:rsidRDefault="00FE7F8B" w:rsidP="00BB1129">
      <w:pPr>
        <w:pStyle w:val="DETFootnoteTextforobjectivestablesOHStable"/>
        <w:rPr>
          <w:sz w:val="13"/>
        </w:rPr>
      </w:pPr>
      <w:r>
        <w:t xml:space="preserve">1 Due to limitation of available information, the value of instruments from schools with 0-3-month maturity as ay June 2015 was apportioned to </w:t>
      </w:r>
      <w:r>
        <w:rPr>
          <w:i/>
        </w:rPr>
        <w:t>Cash and Deposits</w:t>
      </w:r>
      <w:r>
        <w:t xml:space="preserve">, from </w:t>
      </w:r>
      <w:r>
        <w:rPr>
          <w:i/>
        </w:rPr>
        <w:t xml:space="preserve">Other Financial Assets, </w:t>
      </w:r>
      <w:r>
        <w:t>based on estimates.</w:t>
      </w:r>
    </w:p>
    <w:p w14:paraId="6EE60AD7" w14:textId="77777777" w:rsidR="00FE7F8B" w:rsidRDefault="00FE7F8B" w:rsidP="00AD641C">
      <w:pPr>
        <w:pStyle w:val="Heading3notesnumbered"/>
        <w:numPr>
          <w:ilvl w:val="0"/>
          <w:numId w:val="46"/>
        </w:numPr>
      </w:pPr>
      <w:r>
        <w:t>Cash at bank</w:t>
      </w:r>
    </w:p>
    <w:p w14:paraId="0A3ABCA4" w14:textId="52CC4913" w:rsidR="00FE7F8B" w:rsidRDefault="00FE7F8B" w:rsidP="00FE7F8B">
      <w:r>
        <w:t>Amounts held by schools at the end of th</w:t>
      </w:r>
      <w:r w:rsidR="00202533">
        <w:t>e financial year disclosed as ‘C</w:t>
      </w:r>
      <w:r>
        <w:t>ash and deposits’ include bank accounts and short-term deposits with a maturity of less than three months.</w:t>
      </w:r>
    </w:p>
    <w:p w14:paraId="0A638DAA" w14:textId="77777777" w:rsidR="00FE7F8B" w:rsidRDefault="00FE7F8B" w:rsidP="00FE7F8B">
      <w:r>
        <w:t>Due to the State of Victoria’s investment policy and government funding arrangements, the Department generally does not hold a large cash reserve in its bank accounts. The Departmental operating bank accounts hold funds on behalf of trusts and for working accounts (Note 26).</w:t>
      </w:r>
    </w:p>
    <w:p w14:paraId="283E5B12" w14:textId="77777777" w:rsidR="00FE7F8B" w:rsidRDefault="00FE7F8B" w:rsidP="00FE7F8B">
      <w:r>
        <w:t>Cash received by the Department from the generation of income is generally paid into the State’s bank account, known as the Public Account. Similarly, any Departmental expenditure, including those payments for goods and services to its suppliers and creditors, are made via the Public Account. The process is such that, the Public Account would remit to the Department the cash required to cover its transactions. This remittance by the Public Account occurs upon the electronic transfer of funds and the presentation of the cheques by the Department’s suppliers or creditors.</w:t>
      </w:r>
    </w:p>
    <w:p w14:paraId="7B3890BC" w14:textId="77777777" w:rsidR="00FE7F8B" w:rsidRDefault="00FE7F8B" w:rsidP="00AD641C">
      <w:pPr>
        <w:pStyle w:val="Heading3notesnumbered"/>
        <w:numPr>
          <w:ilvl w:val="0"/>
          <w:numId w:val="46"/>
        </w:numPr>
      </w:pPr>
      <w:r>
        <w:t>Other financial assets</w:t>
      </w:r>
    </w:p>
    <w:p w14:paraId="44157C46" w14:textId="77777777" w:rsidR="00FE7F8B" w:rsidRDefault="00FE7F8B" w:rsidP="00FE7F8B">
      <w:r>
        <w:t>Amounts held by schools with a maturity of three months or more are disclosed as ‘Other financial assets’.</w:t>
      </w:r>
    </w:p>
    <w:p w14:paraId="074D6C90" w14:textId="77777777" w:rsidR="00FE7F8B" w:rsidRDefault="00FE7F8B" w:rsidP="00AD641C">
      <w:pPr>
        <w:pStyle w:val="Heading2notes"/>
        <w:numPr>
          <w:ilvl w:val="0"/>
          <w:numId w:val="39"/>
        </w:numPr>
        <w:ind w:left="1134" w:hanging="1134"/>
      </w:pPr>
      <w:bookmarkStart w:id="80" w:name="_Toc461176297"/>
      <w:bookmarkStart w:id="81" w:name="_Toc399491065"/>
      <w:r>
        <w:t>Receivables</w:t>
      </w:r>
      <w:bookmarkEnd w:id="80"/>
      <w:bookmarkEnd w:id="81"/>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5"/>
        <w:gridCol w:w="850"/>
        <w:gridCol w:w="855"/>
      </w:tblGrid>
      <w:tr w:rsidR="00FE7F8B" w14:paraId="727B6EC8" w14:textId="77777777" w:rsidTr="00FE7F8B">
        <w:tc>
          <w:tcPr>
            <w:tcW w:w="5671" w:type="dxa"/>
            <w:tcBorders>
              <w:top w:val="nil"/>
              <w:left w:val="nil"/>
              <w:bottom w:val="nil"/>
              <w:right w:val="nil"/>
            </w:tcBorders>
            <w:shd w:val="clear" w:color="auto" w:fill="7F7F7F" w:themeFill="text1" w:themeFillTint="80"/>
            <w:vAlign w:val="bottom"/>
          </w:tcPr>
          <w:p w14:paraId="404A8FB4" w14:textId="77777777" w:rsidR="00FE7F8B" w:rsidRDefault="00FE7F8B">
            <w:pPr>
              <w:pStyle w:val="Tablecolumnheading"/>
              <w:jc w:val="center"/>
            </w:pPr>
          </w:p>
        </w:tc>
        <w:tc>
          <w:tcPr>
            <w:tcW w:w="850" w:type="dxa"/>
            <w:tcBorders>
              <w:top w:val="nil"/>
              <w:left w:val="nil"/>
              <w:bottom w:val="nil"/>
              <w:right w:val="nil"/>
            </w:tcBorders>
            <w:shd w:val="clear" w:color="auto" w:fill="7F7F7F" w:themeFill="text1" w:themeFillTint="80"/>
            <w:vAlign w:val="bottom"/>
            <w:hideMark/>
          </w:tcPr>
          <w:p w14:paraId="0777B97F" w14:textId="77777777" w:rsidR="00FE7F8B" w:rsidRDefault="00FE7F8B">
            <w:pPr>
              <w:pStyle w:val="Tablecolumnheading"/>
              <w:jc w:val="center"/>
            </w:pPr>
            <w:r>
              <w:rPr>
                <w:lang w:eastAsia="en-AU"/>
              </w:rPr>
              <w:t>2016</w:t>
            </w:r>
            <w:r>
              <w:rPr>
                <w:lang w:eastAsia="en-AU"/>
              </w:rPr>
              <w:br/>
              <w:t>$m</w:t>
            </w:r>
          </w:p>
        </w:tc>
        <w:tc>
          <w:tcPr>
            <w:tcW w:w="855" w:type="dxa"/>
            <w:tcBorders>
              <w:top w:val="nil"/>
              <w:left w:val="nil"/>
              <w:bottom w:val="nil"/>
              <w:right w:val="nil"/>
            </w:tcBorders>
            <w:shd w:val="clear" w:color="auto" w:fill="7F7F7F" w:themeFill="text1" w:themeFillTint="80"/>
            <w:vAlign w:val="bottom"/>
            <w:hideMark/>
          </w:tcPr>
          <w:p w14:paraId="1713ED18" w14:textId="77777777" w:rsidR="00FE7F8B" w:rsidRDefault="00FE7F8B">
            <w:pPr>
              <w:pStyle w:val="Tablecolumnheading"/>
              <w:jc w:val="center"/>
            </w:pPr>
            <w:r>
              <w:rPr>
                <w:lang w:eastAsia="en-AU"/>
              </w:rPr>
              <w:t>2015</w:t>
            </w:r>
            <w:r>
              <w:rPr>
                <w:lang w:eastAsia="en-AU"/>
              </w:rPr>
              <w:br/>
              <w:t>$m</w:t>
            </w:r>
          </w:p>
        </w:tc>
      </w:tr>
      <w:tr w:rsidR="00FE7F8B" w14:paraId="6FEFDD49" w14:textId="77777777" w:rsidTr="00FE7F8B">
        <w:tc>
          <w:tcPr>
            <w:tcW w:w="7376" w:type="dxa"/>
            <w:gridSpan w:val="3"/>
            <w:tcBorders>
              <w:top w:val="nil"/>
              <w:left w:val="nil"/>
              <w:bottom w:val="nil"/>
              <w:right w:val="nil"/>
            </w:tcBorders>
            <w:vAlign w:val="bottom"/>
            <w:hideMark/>
          </w:tcPr>
          <w:p w14:paraId="0455F049" w14:textId="77777777" w:rsidR="00FE7F8B" w:rsidRDefault="00FE7F8B">
            <w:pPr>
              <w:pStyle w:val="TableTextFinancial"/>
              <w:rPr>
                <w:b/>
              </w:rPr>
            </w:pPr>
            <w:r>
              <w:rPr>
                <w:b/>
              </w:rPr>
              <w:t>Current Receivables</w:t>
            </w:r>
          </w:p>
        </w:tc>
      </w:tr>
      <w:tr w:rsidR="00FE7F8B" w14:paraId="7B41206A" w14:textId="77777777" w:rsidTr="00FE7F8B">
        <w:tc>
          <w:tcPr>
            <w:tcW w:w="5671" w:type="dxa"/>
            <w:tcBorders>
              <w:top w:val="nil"/>
              <w:left w:val="nil"/>
              <w:bottom w:val="nil"/>
              <w:right w:val="nil"/>
            </w:tcBorders>
            <w:vAlign w:val="bottom"/>
            <w:hideMark/>
          </w:tcPr>
          <w:p w14:paraId="60091F45" w14:textId="77777777" w:rsidR="00FE7F8B" w:rsidRDefault="00FE7F8B">
            <w:pPr>
              <w:pStyle w:val="TableTextFinancial"/>
              <w:rPr>
                <w:b/>
              </w:rPr>
            </w:pPr>
            <w:r>
              <w:rPr>
                <w:b/>
              </w:rPr>
              <w:t>Statutory</w:t>
            </w:r>
          </w:p>
        </w:tc>
        <w:tc>
          <w:tcPr>
            <w:tcW w:w="850" w:type="dxa"/>
            <w:tcBorders>
              <w:top w:val="nil"/>
              <w:left w:val="nil"/>
              <w:bottom w:val="nil"/>
              <w:right w:val="nil"/>
            </w:tcBorders>
            <w:shd w:val="clear" w:color="auto" w:fill="F2F2F2" w:themeFill="background1" w:themeFillShade="F2"/>
            <w:vAlign w:val="bottom"/>
          </w:tcPr>
          <w:p w14:paraId="59018DAE" w14:textId="77777777" w:rsidR="00FE7F8B" w:rsidRDefault="00FE7F8B">
            <w:pPr>
              <w:pStyle w:val="TableTextFinancial"/>
              <w:jc w:val="right"/>
            </w:pPr>
          </w:p>
        </w:tc>
        <w:tc>
          <w:tcPr>
            <w:tcW w:w="855" w:type="dxa"/>
            <w:tcBorders>
              <w:top w:val="nil"/>
              <w:left w:val="nil"/>
              <w:bottom w:val="nil"/>
              <w:right w:val="nil"/>
            </w:tcBorders>
            <w:vAlign w:val="bottom"/>
          </w:tcPr>
          <w:p w14:paraId="2BA53077" w14:textId="77777777" w:rsidR="00FE7F8B" w:rsidRDefault="00FE7F8B">
            <w:pPr>
              <w:pStyle w:val="TableTextFinancial"/>
              <w:jc w:val="right"/>
            </w:pPr>
          </w:p>
        </w:tc>
      </w:tr>
      <w:tr w:rsidR="00FE7F8B" w14:paraId="068E0F30" w14:textId="77777777" w:rsidTr="00FE7F8B">
        <w:tc>
          <w:tcPr>
            <w:tcW w:w="5671" w:type="dxa"/>
            <w:tcBorders>
              <w:top w:val="nil"/>
              <w:left w:val="nil"/>
              <w:bottom w:val="nil"/>
              <w:right w:val="nil"/>
            </w:tcBorders>
            <w:vAlign w:val="bottom"/>
            <w:hideMark/>
          </w:tcPr>
          <w:p w14:paraId="0C8584E3" w14:textId="77777777" w:rsidR="00FE7F8B" w:rsidRDefault="00FE7F8B">
            <w:pPr>
              <w:pStyle w:val="TableTextFinancial"/>
            </w:pPr>
            <w:r>
              <w:t>Amounts owing from Victorian Government</w:t>
            </w:r>
            <w:r>
              <w:rPr>
                <w:vertAlign w:val="superscript"/>
              </w:rPr>
              <w:t>1</w:t>
            </w:r>
          </w:p>
        </w:tc>
        <w:tc>
          <w:tcPr>
            <w:tcW w:w="850" w:type="dxa"/>
            <w:tcBorders>
              <w:top w:val="nil"/>
              <w:left w:val="nil"/>
              <w:bottom w:val="nil"/>
              <w:right w:val="nil"/>
            </w:tcBorders>
            <w:shd w:val="clear" w:color="auto" w:fill="F2F2F2" w:themeFill="background1" w:themeFillShade="F2"/>
            <w:vAlign w:val="bottom"/>
            <w:hideMark/>
          </w:tcPr>
          <w:p w14:paraId="7947AE09" w14:textId="77777777" w:rsidR="00FE7F8B" w:rsidRDefault="00FE7F8B">
            <w:pPr>
              <w:pStyle w:val="TableTextFinancial"/>
              <w:jc w:val="right"/>
              <w:rPr>
                <w:b/>
              </w:rPr>
            </w:pPr>
            <w:r>
              <w:rPr>
                <w:b/>
              </w:rPr>
              <w:t>1,627.0</w:t>
            </w:r>
          </w:p>
        </w:tc>
        <w:tc>
          <w:tcPr>
            <w:tcW w:w="855" w:type="dxa"/>
            <w:tcBorders>
              <w:top w:val="nil"/>
              <w:left w:val="nil"/>
              <w:bottom w:val="nil"/>
              <w:right w:val="nil"/>
            </w:tcBorders>
            <w:vAlign w:val="bottom"/>
            <w:hideMark/>
          </w:tcPr>
          <w:p w14:paraId="4DEC8A9A" w14:textId="77777777" w:rsidR="00FE7F8B" w:rsidRDefault="00FE7F8B">
            <w:pPr>
              <w:pStyle w:val="TableTextFinancial"/>
              <w:jc w:val="right"/>
            </w:pPr>
            <w:r>
              <w:t>1,434.0</w:t>
            </w:r>
          </w:p>
        </w:tc>
      </w:tr>
      <w:tr w:rsidR="00FE7F8B" w14:paraId="234255D8" w14:textId="77777777" w:rsidTr="00FE7F8B">
        <w:tc>
          <w:tcPr>
            <w:tcW w:w="5671" w:type="dxa"/>
            <w:tcBorders>
              <w:top w:val="nil"/>
              <w:left w:val="nil"/>
              <w:bottom w:val="single" w:sz="4" w:space="0" w:color="auto"/>
              <w:right w:val="nil"/>
            </w:tcBorders>
            <w:vAlign w:val="bottom"/>
            <w:hideMark/>
          </w:tcPr>
          <w:p w14:paraId="12E964BB" w14:textId="77777777" w:rsidR="00FE7F8B" w:rsidRDefault="00FE7F8B">
            <w:pPr>
              <w:pStyle w:val="TableTextFinancial"/>
            </w:pPr>
            <w:r>
              <w:t>GST receivables</w:t>
            </w:r>
          </w:p>
        </w:tc>
        <w:tc>
          <w:tcPr>
            <w:tcW w:w="850" w:type="dxa"/>
            <w:tcBorders>
              <w:top w:val="nil"/>
              <w:left w:val="nil"/>
              <w:bottom w:val="single" w:sz="4" w:space="0" w:color="auto"/>
              <w:right w:val="nil"/>
            </w:tcBorders>
            <w:shd w:val="clear" w:color="auto" w:fill="F2F2F2" w:themeFill="background1" w:themeFillShade="F2"/>
            <w:vAlign w:val="bottom"/>
            <w:hideMark/>
          </w:tcPr>
          <w:p w14:paraId="1ECA0791" w14:textId="77777777" w:rsidR="00FE7F8B" w:rsidRDefault="00FE7F8B">
            <w:pPr>
              <w:pStyle w:val="TableTextFinancial"/>
              <w:jc w:val="right"/>
              <w:rPr>
                <w:b/>
              </w:rPr>
            </w:pPr>
            <w:r>
              <w:rPr>
                <w:b/>
              </w:rPr>
              <w:t>64.3</w:t>
            </w:r>
          </w:p>
        </w:tc>
        <w:tc>
          <w:tcPr>
            <w:tcW w:w="855" w:type="dxa"/>
            <w:tcBorders>
              <w:top w:val="nil"/>
              <w:left w:val="nil"/>
              <w:bottom w:val="single" w:sz="4" w:space="0" w:color="auto"/>
              <w:right w:val="nil"/>
            </w:tcBorders>
            <w:vAlign w:val="bottom"/>
            <w:hideMark/>
          </w:tcPr>
          <w:p w14:paraId="479110E7" w14:textId="77777777" w:rsidR="00FE7F8B" w:rsidRDefault="00FE7F8B">
            <w:pPr>
              <w:pStyle w:val="TableTextFinancial"/>
              <w:jc w:val="right"/>
            </w:pPr>
            <w:r>
              <w:t>41.8</w:t>
            </w:r>
          </w:p>
        </w:tc>
      </w:tr>
      <w:tr w:rsidR="00FE7F8B" w14:paraId="7BAE1B73" w14:textId="77777777" w:rsidTr="00FE7F8B">
        <w:tc>
          <w:tcPr>
            <w:tcW w:w="5671" w:type="dxa"/>
            <w:tcBorders>
              <w:top w:val="single" w:sz="4" w:space="0" w:color="auto"/>
              <w:left w:val="nil"/>
              <w:bottom w:val="nil"/>
              <w:right w:val="nil"/>
            </w:tcBorders>
            <w:vAlign w:val="bottom"/>
            <w:hideMark/>
          </w:tcPr>
          <w:p w14:paraId="42E416D6" w14:textId="77777777" w:rsidR="00FE7F8B" w:rsidRDefault="00FE7F8B">
            <w:pPr>
              <w:pStyle w:val="TableTextFinancial"/>
              <w:rPr>
                <w:b/>
              </w:rPr>
            </w:pPr>
            <w:r>
              <w:rPr>
                <w:b/>
              </w:rPr>
              <w:t>Total</w:t>
            </w:r>
          </w:p>
        </w:tc>
        <w:tc>
          <w:tcPr>
            <w:tcW w:w="850" w:type="dxa"/>
            <w:tcBorders>
              <w:top w:val="single" w:sz="4" w:space="0" w:color="auto"/>
              <w:left w:val="nil"/>
              <w:bottom w:val="nil"/>
              <w:right w:val="nil"/>
            </w:tcBorders>
            <w:shd w:val="clear" w:color="auto" w:fill="F2F2F2" w:themeFill="background1" w:themeFillShade="F2"/>
            <w:vAlign w:val="bottom"/>
            <w:hideMark/>
          </w:tcPr>
          <w:p w14:paraId="434CE1A4" w14:textId="77777777" w:rsidR="00FE7F8B" w:rsidRDefault="00FE7F8B">
            <w:pPr>
              <w:pStyle w:val="TableTextFinancial"/>
              <w:jc w:val="right"/>
              <w:rPr>
                <w:b/>
              </w:rPr>
            </w:pPr>
            <w:r>
              <w:rPr>
                <w:b/>
              </w:rPr>
              <w:t>1,691.3</w:t>
            </w:r>
          </w:p>
        </w:tc>
        <w:tc>
          <w:tcPr>
            <w:tcW w:w="855" w:type="dxa"/>
            <w:tcBorders>
              <w:top w:val="single" w:sz="4" w:space="0" w:color="auto"/>
              <w:left w:val="nil"/>
              <w:bottom w:val="nil"/>
              <w:right w:val="nil"/>
            </w:tcBorders>
            <w:vAlign w:val="bottom"/>
            <w:hideMark/>
          </w:tcPr>
          <w:p w14:paraId="77791882" w14:textId="77777777" w:rsidR="00FE7F8B" w:rsidRDefault="00FE7F8B">
            <w:pPr>
              <w:pStyle w:val="TableTextFinancial"/>
              <w:jc w:val="right"/>
            </w:pPr>
            <w:r>
              <w:t>1,475.8</w:t>
            </w:r>
          </w:p>
        </w:tc>
      </w:tr>
      <w:tr w:rsidR="00FE7F8B" w14:paraId="4D831184" w14:textId="77777777" w:rsidTr="00FE7F8B">
        <w:tc>
          <w:tcPr>
            <w:tcW w:w="5671" w:type="dxa"/>
            <w:tcBorders>
              <w:top w:val="nil"/>
              <w:left w:val="nil"/>
              <w:bottom w:val="nil"/>
              <w:right w:val="nil"/>
            </w:tcBorders>
            <w:vAlign w:val="bottom"/>
            <w:hideMark/>
          </w:tcPr>
          <w:p w14:paraId="615FFE17" w14:textId="77777777" w:rsidR="00FE7F8B" w:rsidRDefault="00FE7F8B">
            <w:pPr>
              <w:pStyle w:val="TableTextFinancial"/>
              <w:rPr>
                <w:b/>
              </w:rPr>
            </w:pPr>
            <w:r>
              <w:rPr>
                <w:b/>
              </w:rPr>
              <w:t>Contractual</w:t>
            </w:r>
          </w:p>
        </w:tc>
        <w:tc>
          <w:tcPr>
            <w:tcW w:w="850" w:type="dxa"/>
            <w:tcBorders>
              <w:top w:val="nil"/>
              <w:left w:val="nil"/>
              <w:bottom w:val="nil"/>
              <w:right w:val="nil"/>
            </w:tcBorders>
            <w:shd w:val="clear" w:color="auto" w:fill="F2F2F2" w:themeFill="background1" w:themeFillShade="F2"/>
            <w:vAlign w:val="bottom"/>
          </w:tcPr>
          <w:p w14:paraId="3AA3A72D" w14:textId="77777777" w:rsidR="00FE7F8B" w:rsidRDefault="00FE7F8B">
            <w:pPr>
              <w:pStyle w:val="TableTextFinancial"/>
              <w:jc w:val="right"/>
              <w:rPr>
                <w:b/>
              </w:rPr>
            </w:pPr>
          </w:p>
        </w:tc>
        <w:tc>
          <w:tcPr>
            <w:tcW w:w="855" w:type="dxa"/>
            <w:tcBorders>
              <w:top w:val="nil"/>
              <w:left w:val="nil"/>
              <w:bottom w:val="nil"/>
              <w:right w:val="nil"/>
            </w:tcBorders>
            <w:vAlign w:val="bottom"/>
          </w:tcPr>
          <w:p w14:paraId="335135A0" w14:textId="77777777" w:rsidR="00FE7F8B" w:rsidRDefault="00FE7F8B">
            <w:pPr>
              <w:pStyle w:val="TableTextFinancial"/>
              <w:jc w:val="right"/>
            </w:pPr>
          </w:p>
        </w:tc>
      </w:tr>
      <w:tr w:rsidR="00FE7F8B" w14:paraId="37411A61" w14:textId="77777777" w:rsidTr="00FE7F8B">
        <w:tc>
          <w:tcPr>
            <w:tcW w:w="5671" w:type="dxa"/>
            <w:tcBorders>
              <w:top w:val="nil"/>
              <w:left w:val="nil"/>
              <w:bottom w:val="nil"/>
              <w:right w:val="nil"/>
            </w:tcBorders>
            <w:vAlign w:val="bottom"/>
            <w:hideMark/>
          </w:tcPr>
          <w:p w14:paraId="3843DF5A" w14:textId="77777777" w:rsidR="00FE7F8B" w:rsidRDefault="00FE7F8B">
            <w:pPr>
              <w:pStyle w:val="TableTextFinancial"/>
            </w:pPr>
            <w:r>
              <w:t>Other debtors</w:t>
            </w:r>
            <w:r>
              <w:rPr>
                <w:vertAlign w:val="superscript"/>
              </w:rPr>
              <w:t>2,3</w:t>
            </w:r>
          </w:p>
        </w:tc>
        <w:tc>
          <w:tcPr>
            <w:tcW w:w="850" w:type="dxa"/>
            <w:tcBorders>
              <w:top w:val="nil"/>
              <w:left w:val="nil"/>
              <w:bottom w:val="nil"/>
              <w:right w:val="nil"/>
            </w:tcBorders>
            <w:shd w:val="clear" w:color="auto" w:fill="F2F2F2" w:themeFill="background1" w:themeFillShade="F2"/>
            <w:vAlign w:val="bottom"/>
            <w:hideMark/>
          </w:tcPr>
          <w:p w14:paraId="1EDC56D7" w14:textId="77777777" w:rsidR="00FE7F8B" w:rsidRDefault="00FE7F8B">
            <w:pPr>
              <w:pStyle w:val="TableTextFinancial"/>
              <w:jc w:val="right"/>
              <w:rPr>
                <w:b/>
              </w:rPr>
            </w:pPr>
            <w:r>
              <w:rPr>
                <w:b/>
              </w:rPr>
              <w:t>52.5</w:t>
            </w:r>
          </w:p>
        </w:tc>
        <w:tc>
          <w:tcPr>
            <w:tcW w:w="855" w:type="dxa"/>
            <w:tcBorders>
              <w:top w:val="nil"/>
              <w:left w:val="nil"/>
              <w:bottom w:val="nil"/>
              <w:right w:val="nil"/>
            </w:tcBorders>
            <w:vAlign w:val="bottom"/>
            <w:hideMark/>
          </w:tcPr>
          <w:p w14:paraId="05FC331A" w14:textId="77777777" w:rsidR="00FE7F8B" w:rsidRDefault="00FE7F8B">
            <w:pPr>
              <w:pStyle w:val="TableTextFinancial"/>
              <w:jc w:val="right"/>
            </w:pPr>
            <w:r>
              <w:t>30.6</w:t>
            </w:r>
          </w:p>
        </w:tc>
      </w:tr>
      <w:tr w:rsidR="00FE7F8B" w14:paraId="19591111" w14:textId="77777777" w:rsidTr="00FE7F8B">
        <w:tc>
          <w:tcPr>
            <w:tcW w:w="5671" w:type="dxa"/>
            <w:tcBorders>
              <w:top w:val="nil"/>
              <w:left w:val="nil"/>
              <w:bottom w:val="nil"/>
              <w:right w:val="nil"/>
            </w:tcBorders>
            <w:vAlign w:val="bottom"/>
            <w:hideMark/>
          </w:tcPr>
          <w:p w14:paraId="579DBBFA" w14:textId="77777777" w:rsidR="00FE7F8B" w:rsidRDefault="00FE7F8B">
            <w:pPr>
              <w:pStyle w:val="TableTextFinancial"/>
            </w:pPr>
            <w:r>
              <w:t>Loan receivables</w:t>
            </w:r>
          </w:p>
        </w:tc>
        <w:tc>
          <w:tcPr>
            <w:tcW w:w="850" w:type="dxa"/>
            <w:tcBorders>
              <w:top w:val="nil"/>
              <w:left w:val="nil"/>
              <w:bottom w:val="nil"/>
              <w:right w:val="nil"/>
            </w:tcBorders>
            <w:shd w:val="clear" w:color="auto" w:fill="F2F2F2" w:themeFill="background1" w:themeFillShade="F2"/>
            <w:vAlign w:val="bottom"/>
            <w:hideMark/>
          </w:tcPr>
          <w:p w14:paraId="59413D43" w14:textId="77777777" w:rsidR="00FE7F8B" w:rsidRDefault="00FE7F8B">
            <w:pPr>
              <w:pStyle w:val="TableTextFinancial"/>
              <w:jc w:val="right"/>
              <w:rPr>
                <w:b/>
              </w:rPr>
            </w:pPr>
            <w:r>
              <w:rPr>
                <w:b/>
              </w:rPr>
              <w:t>4.9</w:t>
            </w:r>
          </w:p>
        </w:tc>
        <w:tc>
          <w:tcPr>
            <w:tcW w:w="855" w:type="dxa"/>
            <w:tcBorders>
              <w:top w:val="nil"/>
              <w:left w:val="nil"/>
              <w:bottom w:val="nil"/>
              <w:right w:val="nil"/>
            </w:tcBorders>
            <w:vAlign w:val="bottom"/>
            <w:hideMark/>
          </w:tcPr>
          <w:p w14:paraId="36D80C35" w14:textId="77777777" w:rsidR="00FE7F8B" w:rsidRDefault="00FE7F8B">
            <w:pPr>
              <w:pStyle w:val="TableTextFinancial"/>
              <w:jc w:val="right"/>
            </w:pPr>
            <w:r>
              <w:t>12.3</w:t>
            </w:r>
          </w:p>
        </w:tc>
      </w:tr>
      <w:tr w:rsidR="00FE7F8B" w14:paraId="43208ACF" w14:textId="77777777" w:rsidTr="00FE7F8B">
        <w:tc>
          <w:tcPr>
            <w:tcW w:w="5671" w:type="dxa"/>
            <w:tcBorders>
              <w:top w:val="nil"/>
              <w:left w:val="nil"/>
              <w:bottom w:val="nil"/>
              <w:right w:val="nil"/>
            </w:tcBorders>
            <w:vAlign w:val="bottom"/>
            <w:hideMark/>
          </w:tcPr>
          <w:p w14:paraId="08F07B6B" w14:textId="77777777" w:rsidR="00FE7F8B" w:rsidRDefault="00FE7F8B">
            <w:pPr>
              <w:pStyle w:val="TableTextFinancial"/>
              <w:rPr>
                <w:b/>
              </w:rPr>
            </w:pPr>
            <w:r>
              <w:rPr>
                <w:b/>
              </w:rPr>
              <w:t>Total</w:t>
            </w:r>
          </w:p>
        </w:tc>
        <w:tc>
          <w:tcPr>
            <w:tcW w:w="850" w:type="dxa"/>
            <w:tcBorders>
              <w:top w:val="nil"/>
              <w:left w:val="nil"/>
              <w:bottom w:val="nil"/>
              <w:right w:val="nil"/>
            </w:tcBorders>
            <w:shd w:val="clear" w:color="auto" w:fill="F2F2F2" w:themeFill="background1" w:themeFillShade="F2"/>
            <w:vAlign w:val="bottom"/>
            <w:hideMark/>
          </w:tcPr>
          <w:p w14:paraId="0CBB5ADE" w14:textId="77777777" w:rsidR="00FE7F8B" w:rsidRDefault="00FE7F8B">
            <w:pPr>
              <w:pStyle w:val="TableTextFinancial"/>
              <w:jc w:val="right"/>
              <w:rPr>
                <w:b/>
              </w:rPr>
            </w:pPr>
            <w:r>
              <w:rPr>
                <w:b/>
              </w:rPr>
              <w:t>57.4</w:t>
            </w:r>
          </w:p>
        </w:tc>
        <w:tc>
          <w:tcPr>
            <w:tcW w:w="855" w:type="dxa"/>
            <w:tcBorders>
              <w:top w:val="nil"/>
              <w:left w:val="nil"/>
              <w:bottom w:val="nil"/>
              <w:right w:val="nil"/>
            </w:tcBorders>
            <w:vAlign w:val="bottom"/>
            <w:hideMark/>
          </w:tcPr>
          <w:p w14:paraId="0A99A376" w14:textId="77777777" w:rsidR="00FE7F8B" w:rsidRDefault="00FE7F8B">
            <w:pPr>
              <w:pStyle w:val="TableTextFinancial"/>
              <w:jc w:val="right"/>
            </w:pPr>
            <w:r>
              <w:t>43.0</w:t>
            </w:r>
          </w:p>
        </w:tc>
      </w:tr>
      <w:tr w:rsidR="00FE7F8B" w14:paraId="1CC0B1F5" w14:textId="77777777" w:rsidTr="00FE7F8B">
        <w:tc>
          <w:tcPr>
            <w:tcW w:w="5671" w:type="dxa"/>
            <w:tcBorders>
              <w:top w:val="nil"/>
              <w:left w:val="nil"/>
              <w:bottom w:val="single" w:sz="4" w:space="0" w:color="auto"/>
              <w:right w:val="nil"/>
            </w:tcBorders>
            <w:vAlign w:val="bottom"/>
            <w:hideMark/>
          </w:tcPr>
          <w:p w14:paraId="5279EFBB" w14:textId="77777777" w:rsidR="00FE7F8B" w:rsidRDefault="00FE7F8B">
            <w:pPr>
              <w:pStyle w:val="TableTextFinancial"/>
            </w:pPr>
            <w:r>
              <w:t>Allowance for doubtful debts</w:t>
            </w:r>
            <w:r>
              <w:rPr>
                <w:vertAlign w:val="superscript"/>
              </w:rPr>
              <w:t>2</w:t>
            </w:r>
            <w:r>
              <w:t xml:space="preserve"> </w:t>
            </w:r>
          </w:p>
        </w:tc>
        <w:tc>
          <w:tcPr>
            <w:tcW w:w="850" w:type="dxa"/>
            <w:tcBorders>
              <w:top w:val="nil"/>
              <w:left w:val="nil"/>
              <w:bottom w:val="single" w:sz="4" w:space="0" w:color="auto"/>
              <w:right w:val="nil"/>
            </w:tcBorders>
            <w:shd w:val="clear" w:color="auto" w:fill="F2F2F2" w:themeFill="background1" w:themeFillShade="F2"/>
            <w:vAlign w:val="bottom"/>
            <w:hideMark/>
          </w:tcPr>
          <w:p w14:paraId="2AEEAC2E" w14:textId="77777777" w:rsidR="00FE7F8B" w:rsidRDefault="00FE7F8B">
            <w:pPr>
              <w:pStyle w:val="TableTextFinancial"/>
              <w:jc w:val="right"/>
              <w:rPr>
                <w:b/>
              </w:rPr>
            </w:pPr>
            <w:r>
              <w:rPr>
                <w:b/>
              </w:rPr>
              <w:t>(32.0)</w:t>
            </w:r>
          </w:p>
        </w:tc>
        <w:tc>
          <w:tcPr>
            <w:tcW w:w="855" w:type="dxa"/>
            <w:tcBorders>
              <w:top w:val="nil"/>
              <w:left w:val="nil"/>
              <w:bottom w:val="single" w:sz="4" w:space="0" w:color="auto"/>
              <w:right w:val="nil"/>
            </w:tcBorders>
            <w:vAlign w:val="bottom"/>
            <w:hideMark/>
          </w:tcPr>
          <w:p w14:paraId="215032FC" w14:textId="77777777" w:rsidR="00FE7F8B" w:rsidRDefault="00FE7F8B">
            <w:pPr>
              <w:pStyle w:val="TableTextFinancial"/>
              <w:jc w:val="right"/>
            </w:pPr>
            <w:r>
              <w:t>(14.6)</w:t>
            </w:r>
          </w:p>
        </w:tc>
      </w:tr>
      <w:tr w:rsidR="00FE7F8B" w14:paraId="281F4FFE" w14:textId="77777777" w:rsidTr="00FE7F8B">
        <w:tc>
          <w:tcPr>
            <w:tcW w:w="5671" w:type="dxa"/>
            <w:tcBorders>
              <w:top w:val="single" w:sz="4" w:space="0" w:color="auto"/>
              <w:left w:val="nil"/>
              <w:bottom w:val="single" w:sz="4" w:space="0" w:color="auto"/>
              <w:right w:val="nil"/>
            </w:tcBorders>
            <w:vAlign w:val="bottom"/>
            <w:hideMark/>
          </w:tcPr>
          <w:p w14:paraId="2777D7A0" w14:textId="77777777" w:rsidR="00FE7F8B" w:rsidRDefault="00FE7F8B">
            <w:pPr>
              <w:pStyle w:val="TableTextFinancial"/>
              <w:rPr>
                <w:b/>
              </w:rPr>
            </w:pPr>
            <w:r>
              <w:rPr>
                <w:b/>
              </w:rPr>
              <w:t>Total current receivables</w:t>
            </w:r>
          </w:p>
        </w:tc>
        <w:tc>
          <w:tcPr>
            <w:tcW w:w="850" w:type="dxa"/>
            <w:tcBorders>
              <w:top w:val="single" w:sz="4" w:space="0" w:color="auto"/>
              <w:left w:val="nil"/>
              <w:bottom w:val="single" w:sz="4" w:space="0" w:color="auto"/>
              <w:right w:val="nil"/>
            </w:tcBorders>
            <w:shd w:val="clear" w:color="auto" w:fill="F2F2F2" w:themeFill="background1" w:themeFillShade="F2"/>
            <w:vAlign w:val="bottom"/>
            <w:hideMark/>
          </w:tcPr>
          <w:p w14:paraId="3B97E3E0" w14:textId="77777777" w:rsidR="00FE7F8B" w:rsidRDefault="00FE7F8B">
            <w:pPr>
              <w:pStyle w:val="TableTextFinancial"/>
              <w:jc w:val="right"/>
              <w:rPr>
                <w:b/>
              </w:rPr>
            </w:pPr>
            <w:r>
              <w:rPr>
                <w:b/>
              </w:rPr>
              <w:t>1,716.8</w:t>
            </w:r>
          </w:p>
        </w:tc>
        <w:tc>
          <w:tcPr>
            <w:tcW w:w="855" w:type="dxa"/>
            <w:tcBorders>
              <w:top w:val="single" w:sz="4" w:space="0" w:color="auto"/>
              <w:left w:val="nil"/>
              <w:bottom w:val="single" w:sz="4" w:space="0" w:color="auto"/>
              <w:right w:val="nil"/>
            </w:tcBorders>
            <w:vAlign w:val="bottom"/>
            <w:hideMark/>
          </w:tcPr>
          <w:p w14:paraId="4D0DDE8B" w14:textId="77777777" w:rsidR="00FE7F8B" w:rsidRDefault="00FE7F8B">
            <w:pPr>
              <w:pStyle w:val="TableTextFinancial"/>
              <w:jc w:val="right"/>
            </w:pPr>
            <w:r>
              <w:t>1,504.2</w:t>
            </w:r>
          </w:p>
        </w:tc>
      </w:tr>
      <w:tr w:rsidR="00FE7F8B" w14:paraId="15E744BE" w14:textId="77777777" w:rsidTr="00FE7F8B">
        <w:tc>
          <w:tcPr>
            <w:tcW w:w="7376" w:type="dxa"/>
            <w:gridSpan w:val="3"/>
            <w:tcBorders>
              <w:top w:val="single" w:sz="4" w:space="0" w:color="auto"/>
              <w:left w:val="nil"/>
              <w:bottom w:val="nil"/>
              <w:right w:val="nil"/>
            </w:tcBorders>
            <w:vAlign w:val="bottom"/>
            <w:hideMark/>
          </w:tcPr>
          <w:p w14:paraId="544C806A" w14:textId="77777777" w:rsidR="00FE7F8B" w:rsidRDefault="00FE7F8B">
            <w:pPr>
              <w:pStyle w:val="TableTextFinancial"/>
              <w:rPr>
                <w:b/>
              </w:rPr>
            </w:pPr>
            <w:r>
              <w:rPr>
                <w:b/>
              </w:rPr>
              <w:t>Non-current receivables</w:t>
            </w:r>
          </w:p>
        </w:tc>
      </w:tr>
      <w:tr w:rsidR="00FE7F8B" w14:paraId="01629BB1" w14:textId="77777777" w:rsidTr="00FE7F8B">
        <w:tc>
          <w:tcPr>
            <w:tcW w:w="5671" w:type="dxa"/>
            <w:tcBorders>
              <w:top w:val="nil"/>
              <w:left w:val="nil"/>
              <w:bottom w:val="nil"/>
              <w:right w:val="nil"/>
            </w:tcBorders>
            <w:vAlign w:val="bottom"/>
            <w:hideMark/>
          </w:tcPr>
          <w:p w14:paraId="6444E584" w14:textId="77777777" w:rsidR="00FE7F8B" w:rsidRDefault="00FE7F8B">
            <w:pPr>
              <w:pStyle w:val="TableTextFinancial"/>
              <w:rPr>
                <w:b/>
              </w:rPr>
            </w:pPr>
            <w:r>
              <w:rPr>
                <w:b/>
              </w:rPr>
              <w:t>Statutory</w:t>
            </w:r>
          </w:p>
        </w:tc>
        <w:tc>
          <w:tcPr>
            <w:tcW w:w="850" w:type="dxa"/>
            <w:tcBorders>
              <w:top w:val="nil"/>
              <w:left w:val="nil"/>
              <w:bottom w:val="nil"/>
              <w:right w:val="nil"/>
            </w:tcBorders>
            <w:shd w:val="clear" w:color="auto" w:fill="F2F2F2" w:themeFill="background1" w:themeFillShade="F2"/>
            <w:vAlign w:val="bottom"/>
          </w:tcPr>
          <w:p w14:paraId="4225F782" w14:textId="77777777" w:rsidR="00FE7F8B" w:rsidRDefault="00FE7F8B">
            <w:pPr>
              <w:pStyle w:val="TableTextFinancial"/>
              <w:jc w:val="right"/>
            </w:pPr>
          </w:p>
        </w:tc>
        <w:tc>
          <w:tcPr>
            <w:tcW w:w="855" w:type="dxa"/>
            <w:tcBorders>
              <w:top w:val="nil"/>
              <w:left w:val="nil"/>
              <w:bottom w:val="nil"/>
              <w:right w:val="nil"/>
            </w:tcBorders>
            <w:vAlign w:val="bottom"/>
          </w:tcPr>
          <w:p w14:paraId="4595080C" w14:textId="77777777" w:rsidR="00FE7F8B" w:rsidRDefault="00FE7F8B">
            <w:pPr>
              <w:pStyle w:val="TableTextFinancial"/>
              <w:jc w:val="right"/>
            </w:pPr>
          </w:p>
        </w:tc>
      </w:tr>
      <w:tr w:rsidR="00FE7F8B" w14:paraId="3BB025F8" w14:textId="77777777" w:rsidTr="00FE7F8B">
        <w:tc>
          <w:tcPr>
            <w:tcW w:w="5671" w:type="dxa"/>
            <w:tcBorders>
              <w:top w:val="nil"/>
              <w:left w:val="nil"/>
              <w:bottom w:val="nil"/>
              <w:right w:val="nil"/>
            </w:tcBorders>
            <w:vAlign w:val="bottom"/>
            <w:hideMark/>
          </w:tcPr>
          <w:p w14:paraId="3EFB74EC" w14:textId="77777777" w:rsidR="00FE7F8B" w:rsidRDefault="00FE7F8B">
            <w:pPr>
              <w:pStyle w:val="TableTextFinancial"/>
            </w:pPr>
            <w:r>
              <w:t>Amounts owing from Victorian Government</w:t>
            </w:r>
            <w:r>
              <w:rPr>
                <w:vertAlign w:val="superscript"/>
              </w:rPr>
              <w:t>1</w:t>
            </w:r>
            <w:r>
              <w:t xml:space="preserve"> </w:t>
            </w:r>
          </w:p>
        </w:tc>
        <w:tc>
          <w:tcPr>
            <w:tcW w:w="850" w:type="dxa"/>
            <w:tcBorders>
              <w:top w:val="nil"/>
              <w:left w:val="nil"/>
              <w:bottom w:val="nil"/>
              <w:right w:val="nil"/>
            </w:tcBorders>
            <w:shd w:val="clear" w:color="auto" w:fill="F2F2F2" w:themeFill="background1" w:themeFillShade="F2"/>
            <w:vAlign w:val="bottom"/>
            <w:hideMark/>
          </w:tcPr>
          <w:p w14:paraId="4FC14E3D" w14:textId="77777777" w:rsidR="00FE7F8B" w:rsidRDefault="00FE7F8B">
            <w:pPr>
              <w:pStyle w:val="TableTextFinancial"/>
              <w:jc w:val="right"/>
              <w:rPr>
                <w:b/>
              </w:rPr>
            </w:pPr>
            <w:r>
              <w:rPr>
                <w:b/>
              </w:rPr>
              <w:t>213.5</w:t>
            </w:r>
          </w:p>
        </w:tc>
        <w:tc>
          <w:tcPr>
            <w:tcW w:w="855" w:type="dxa"/>
            <w:tcBorders>
              <w:top w:val="nil"/>
              <w:left w:val="nil"/>
              <w:bottom w:val="nil"/>
              <w:right w:val="nil"/>
            </w:tcBorders>
            <w:vAlign w:val="bottom"/>
            <w:hideMark/>
          </w:tcPr>
          <w:p w14:paraId="45E34A8F" w14:textId="77777777" w:rsidR="00FE7F8B" w:rsidRDefault="00FE7F8B">
            <w:pPr>
              <w:pStyle w:val="TableTextFinancial"/>
              <w:jc w:val="right"/>
            </w:pPr>
            <w:r>
              <w:t>190.1</w:t>
            </w:r>
          </w:p>
        </w:tc>
      </w:tr>
      <w:tr w:rsidR="00FE7F8B" w14:paraId="78318A88" w14:textId="77777777" w:rsidTr="00FE7F8B">
        <w:tc>
          <w:tcPr>
            <w:tcW w:w="5671" w:type="dxa"/>
            <w:tcBorders>
              <w:top w:val="nil"/>
              <w:left w:val="nil"/>
              <w:bottom w:val="nil"/>
              <w:right w:val="nil"/>
            </w:tcBorders>
            <w:vAlign w:val="bottom"/>
            <w:hideMark/>
          </w:tcPr>
          <w:p w14:paraId="6FAD62A6" w14:textId="77777777" w:rsidR="00FE7F8B" w:rsidRDefault="00FE7F8B">
            <w:pPr>
              <w:pStyle w:val="TableTextFinancial"/>
              <w:rPr>
                <w:b/>
              </w:rPr>
            </w:pPr>
            <w:r>
              <w:rPr>
                <w:b/>
              </w:rPr>
              <w:t>Contractual</w:t>
            </w:r>
          </w:p>
        </w:tc>
        <w:tc>
          <w:tcPr>
            <w:tcW w:w="850" w:type="dxa"/>
            <w:tcBorders>
              <w:top w:val="nil"/>
              <w:left w:val="nil"/>
              <w:bottom w:val="nil"/>
              <w:right w:val="nil"/>
            </w:tcBorders>
            <w:shd w:val="clear" w:color="auto" w:fill="F2F2F2" w:themeFill="background1" w:themeFillShade="F2"/>
            <w:vAlign w:val="bottom"/>
          </w:tcPr>
          <w:p w14:paraId="69AE660D" w14:textId="77777777" w:rsidR="00FE7F8B" w:rsidRDefault="00FE7F8B">
            <w:pPr>
              <w:pStyle w:val="TableTextFinancial"/>
              <w:jc w:val="right"/>
              <w:rPr>
                <w:b/>
              </w:rPr>
            </w:pPr>
          </w:p>
        </w:tc>
        <w:tc>
          <w:tcPr>
            <w:tcW w:w="855" w:type="dxa"/>
            <w:tcBorders>
              <w:top w:val="nil"/>
              <w:left w:val="nil"/>
              <w:bottom w:val="nil"/>
              <w:right w:val="nil"/>
            </w:tcBorders>
            <w:vAlign w:val="bottom"/>
          </w:tcPr>
          <w:p w14:paraId="628DE25A" w14:textId="77777777" w:rsidR="00FE7F8B" w:rsidRDefault="00FE7F8B">
            <w:pPr>
              <w:pStyle w:val="TableTextFinancial"/>
              <w:jc w:val="right"/>
            </w:pPr>
          </w:p>
        </w:tc>
      </w:tr>
      <w:tr w:rsidR="00FE7F8B" w14:paraId="3CE2A47A" w14:textId="77777777" w:rsidTr="00FE7F8B">
        <w:tc>
          <w:tcPr>
            <w:tcW w:w="5671" w:type="dxa"/>
            <w:tcBorders>
              <w:top w:val="nil"/>
              <w:left w:val="nil"/>
              <w:bottom w:val="single" w:sz="4" w:space="0" w:color="auto"/>
              <w:right w:val="nil"/>
            </w:tcBorders>
            <w:vAlign w:val="bottom"/>
            <w:hideMark/>
          </w:tcPr>
          <w:p w14:paraId="1F9C7C91" w14:textId="77777777" w:rsidR="00FE7F8B" w:rsidRDefault="00FE7F8B">
            <w:pPr>
              <w:pStyle w:val="TableTextFinancial"/>
            </w:pPr>
            <w:r>
              <w:t>Loan receivables</w:t>
            </w:r>
          </w:p>
        </w:tc>
        <w:tc>
          <w:tcPr>
            <w:tcW w:w="850" w:type="dxa"/>
            <w:tcBorders>
              <w:top w:val="nil"/>
              <w:left w:val="nil"/>
              <w:bottom w:val="single" w:sz="4" w:space="0" w:color="auto"/>
              <w:right w:val="nil"/>
            </w:tcBorders>
            <w:shd w:val="clear" w:color="auto" w:fill="F2F2F2" w:themeFill="background1" w:themeFillShade="F2"/>
            <w:vAlign w:val="bottom"/>
            <w:hideMark/>
          </w:tcPr>
          <w:p w14:paraId="51639593" w14:textId="77777777" w:rsidR="00FE7F8B" w:rsidRDefault="00FE7F8B">
            <w:pPr>
              <w:pStyle w:val="TableTextFinancial"/>
              <w:jc w:val="right"/>
              <w:rPr>
                <w:b/>
              </w:rPr>
            </w:pPr>
            <w:r>
              <w:rPr>
                <w:b/>
              </w:rPr>
              <w:t>60.5</w:t>
            </w:r>
          </w:p>
        </w:tc>
        <w:tc>
          <w:tcPr>
            <w:tcW w:w="855" w:type="dxa"/>
            <w:tcBorders>
              <w:top w:val="nil"/>
              <w:left w:val="nil"/>
              <w:bottom w:val="single" w:sz="4" w:space="0" w:color="auto"/>
              <w:right w:val="nil"/>
            </w:tcBorders>
            <w:vAlign w:val="bottom"/>
            <w:hideMark/>
          </w:tcPr>
          <w:p w14:paraId="746E0C81" w14:textId="77777777" w:rsidR="00FE7F8B" w:rsidRDefault="00FE7F8B">
            <w:pPr>
              <w:pStyle w:val="TableTextFinancial"/>
              <w:jc w:val="right"/>
            </w:pPr>
            <w:r>
              <w:t>31.6</w:t>
            </w:r>
          </w:p>
        </w:tc>
      </w:tr>
      <w:tr w:rsidR="00FE7F8B" w14:paraId="7703AEC9" w14:textId="77777777" w:rsidTr="00FE7F8B">
        <w:tc>
          <w:tcPr>
            <w:tcW w:w="5671" w:type="dxa"/>
            <w:tcBorders>
              <w:top w:val="single" w:sz="4" w:space="0" w:color="auto"/>
              <w:left w:val="nil"/>
              <w:bottom w:val="single" w:sz="4" w:space="0" w:color="auto"/>
              <w:right w:val="nil"/>
            </w:tcBorders>
            <w:vAlign w:val="bottom"/>
            <w:hideMark/>
          </w:tcPr>
          <w:p w14:paraId="5DCCC0A6" w14:textId="77777777" w:rsidR="00FE7F8B" w:rsidRDefault="00FE7F8B">
            <w:pPr>
              <w:pStyle w:val="TableTextFinancial"/>
              <w:rPr>
                <w:b/>
              </w:rPr>
            </w:pPr>
            <w:r>
              <w:rPr>
                <w:b/>
              </w:rPr>
              <w:t xml:space="preserve">Total non-current receivables </w:t>
            </w:r>
          </w:p>
        </w:tc>
        <w:tc>
          <w:tcPr>
            <w:tcW w:w="850" w:type="dxa"/>
            <w:tcBorders>
              <w:top w:val="single" w:sz="4" w:space="0" w:color="auto"/>
              <w:left w:val="nil"/>
              <w:bottom w:val="single" w:sz="4" w:space="0" w:color="auto"/>
              <w:right w:val="nil"/>
            </w:tcBorders>
            <w:shd w:val="clear" w:color="auto" w:fill="F2F2F2" w:themeFill="background1" w:themeFillShade="F2"/>
            <w:vAlign w:val="bottom"/>
            <w:hideMark/>
          </w:tcPr>
          <w:p w14:paraId="13078277" w14:textId="77777777" w:rsidR="00FE7F8B" w:rsidRDefault="00FE7F8B">
            <w:pPr>
              <w:pStyle w:val="TableTextFinancial"/>
              <w:jc w:val="right"/>
              <w:rPr>
                <w:b/>
              </w:rPr>
            </w:pPr>
            <w:r>
              <w:rPr>
                <w:b/>
              </w:rPr>
              <w:t>274.0</w:t>
            </w:r>
          </w:p>
        </w:tc>
        <w:tc>
          <w:tcPr>
            <w:tcW w:w="855" w:type="dxa"/>
            <w:tcBorders>
              <w:top w:val="single" w:sz="4" w:space="0" w:color="auto"/>
              <w:left w:val="nil"/>
              <w:bottom w:val="single" w:sz="4" w:space="0" w:color="auto"/>
              <w:right w:val="nil"/>
            </w:tcBorders>
            <w:vAlign w:val="bottom"/>
            <w:hideMark/>
          </w:tcPr>
          <w:p w14:paraId="2224C0C3" w14:textId="77777777" w:rsidR="00FE7F8B" w:rsidRDefault="00FE7F8B">
            <w:pPr>
              <w:pStyle w:val="TableTextFinancial"/>
              <w:jc w:val="right"/>
            </w:pPr>
            <w:r>
              <w:t>221.7</w:t>
            </w:r>
          </w:p>
        </w:tc>
      </w:tr>
    </w:tbl>
    <w:p w14:paraId="63554CD4" w14:textId="77777777" w:rsidR="00FE7F8B" w:rsidRDefault="00FE7F8B" w:rsidP="00FE7F8B">
      <w:pPr>
        <w:pStyle w:val="ARBody"/>
        <w:rPr>
          <w:lang w:val="en-US"/>
        </w:rPr>
      </w:pP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4"/>
        <w:gridCol w:w="856"/>
        <w:gridCol w:w="850"/>
      </w:tblGrid>
      <w:tr w:rsidR="00FE7F8B" w14:paraId="46D6E81C" w14:textId="77777777" w:rsidTr="00FE7F8B">
        <w:tc>
          <w:tcPr>
            <w:tcW w:w="5670" w:type="dxa"/>
            <w:tcBorders>
              <w:top w:val="nil"/>
              <w:left w:val="nil"/>
              <w:bottom w:val="nil"/>
              <w:right w:val="nil"/>
            </w:tcBorders>
            <w:shd w:val="clear" w:color="auto" w:fill="7F7F7F" w:themeFill="text1" w:themeFillTint="80"/>
            <w:vAlign w:val="bottom"/>
          </w:tcPr>
          <w:p w14:paraId="5A714BF0" w14:textId="77777777" w:rsidR="00FE7F8B" w:rsidRDefault="00FE7F8B">
            <w:pPr>
              <w:pStyle w:val="Tablecolumnheading"/>
              <w:jc w:val="center"/>
            </w:pPr>
          </w:p>
        </w:tc>
        <w:tc>
          <w:tcPr>
            <w:tcW w:w="856" w:type="dxa"/>
            <w:tcBorders>
              <w:top w:val="nil"/>
              <w:left w:val="nil"/>
              <w:bottom w:val="nil"/>
              <w:right w:val="nil"/>
            </w:tcBorders>
            <w:shd w:val="clear" w:color="auto" w:fill="7F7F7F" w:themeFill="text1" w:themeFillTint="80"/>
            <w:vAlign w:val="bottom"/>
            <w:hideMark/>
          </w:tcPr>
          <w:p w14:paraId="477B17BE" w14:textId="77777777" w:rsidR="00FE7F8B" w:rsidRDefault="00FE7F8B">
            <w:pPr>
              <w:pStyle w:val="Tablecolumnheading"/>
              <w:jc w:val="center"/>
            </w:pPr>
            <w:r>
              <w:rPr>
                <w:lang w:eastAsia="en-AU"/>
              </w:rPr>
              <w:t>2016</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584AC0E5" w14:textId="77777777" w:rsidR="00FE7F8B" w:rsidRDefault="00FE7F8B">
            <w:pPr>
              <w:pStyle w:val="Tablecolumnheading"/>
              <w:jc w:val="center"/>
            </w:pPr>
            <w:r>
              <w:rPr>
                <w:lang w:eastAsia="en-AU"/>
              </w:rPr>
              <w:t>2015</w:t>
            </w:r>
            <w:r>
              <w:rPr>
                <w:lang w:eastAsia="en-AU"/>
              </w:rPr>
              <w:br/>
              <w:t>$m</w:t>
            </w:r>
          </w:p>
        </w:tc>
      </w:tr>
      <w:tr w:rsidR="00FE7F8B" w14:paraId="5655DC6B" w14:textId="77777777" w:rsidTr="00FE7F8B">
        <w:tc>
          <w:tcPr>
            <w:tcW w:w="7376" w:type="dxa"/>
            <w:gridSpan w:val="3"/>
            <w:tcBorders>
              <w:top w:val="nil"/>
              <w:left w:val="nil"/>
              <w:bottom w:val="nil"/>
              <w:right w:val="nil"/>
            </w:tcBorders>
            <w:vAlign w:val="bottom"/>
            <w:hideMark/>
          </w:tcPr>
          <w:p w14:paraId="3D93489F" w14:textId="77777777" w:rsidR="00FE7F8B" w:rsidRDefault="00FE7F8B">
            <w:pPr>
              <w:pStyle w:val="TableTextFinancial"/>
              <w:rPr>
                <w:b/>
              </w:rPr>
            </w:pPr>
            <w:r>
              <w:rPr>
                <w:b/>
              </w:rPr>
              <w:t>Aggregate carrying number of receivables</w:t>
            </w:r>
          </w:p>
        </w:tc>
      </w:tr>
      <w:tr w:rsidR="00FE7F8B" w14:paraId="70C53600" w14:textId="77777777" w:rsidTr="00FE7F8B">
        <w:tc>
          <w:tcPr>
            <w:tcW w:w="5670" w:type="dxa"/>
            <w:tcBorders>
              <w:top w:val="nil"/>
              <w:left w:val="nil"/>
              <w:bottom w:val="nil"/>
              <w:right w:val="nil"/>
            </w:tcBorders>
            <w:vAlign w:val="bottom"/>
            <w:hideMark/>
          </w:tcPr>
          <w:p w14:paraId="36F5DAD9" w14:textId="77777777" w:rsidR="00FE7F8B" w:rsidRDefault="00FE7F8B">
            <w:pPr>
              <w:pStyle w:val="TableTextFinancial"/>
            </w:pPr>
            <w:r>
              <w:t>Current</w:t>
            </w:r>
          </w:p>
        </w:tc>
        <w:tc>
          <w:tcPr>
            <w:tcW w:w="856" w:type="dxa"/>
            <w:tcBorders>
              <w:top w:val="nil"/>
              <w:left w:val="nil"/>
              <w:bottom w:val="nil"/>
              <w:right w:val="nil"/>
            </w:tcBorders>
            <w:shd w:val="clear" w:color="auto" w:fill="F2F2F2" w:themeFill="background1" w:themeFillShade="F2"/>
            <w:vAlign w:val="bottom"/>
            <w:hideMark/>
          </w:tcPr>
          <w:p w14:paraId="10D998D7" w14:textId="77777777" w:rsidR="00FE7F8B" w:rsidRDefault="00FE7F8B">
            <w:pPr>
              <w:pStyle w:val="TableTextFinancial"/>
              <w:jc w:val="right"/>
              <w:rPr>
                <w:b/>
              </w:rPr>
            </w:pPr>
            <w:r>
              <w:rPr>
                <w:b/>
              </w:rPr>
              <w:t>1,716.8</w:t>
            </w:r>
          </w:p>
        </w:tc>
        <w:tc>
          <w:tcPr>
            <w:tcW w:w="850" w:type="dxa"/>
            <w:tcBorders>
              <w:top w:val="nil"/>
              <w:left w:val="nil"/>
              <w:bottom w:val="nil"/>
              <w:right w:val="nil"/>
            </w:tcBorders>
            <w:vAlign w:val="bottom"/>
            <w:hideMark/>
          </w:tcPr>
          <w:p w14:paraId="06C93A10" w14:textId="77777777" w:rsidR="00FE7F8B" w:rsidRDefault="00FE7F8B">
            <w:pPr>
              <w:pStyle w:val="TableTextFinancial"/>
              <w:jc w:val="right"/>
            </w:pPr>
            <w:r>
              <w:t>1,504.2</w:t>
            </w:r>
          </w:p>
        </w:tc>
      </w:tr>
      <w:tr w:rsidR="00FE7F8B" w14:paraId="261623C5" w14:textId="77777777" w:rsidTr="00FE7F8B">
        <w:tc>
          <w:tcPr>
            <w:tcW w:w="5670" w:type="dxa"/>
            <w:tcBorders>
              <w:top w:val="nil"/>
              <w:left w:val="nil"/>
              <w:bottom w:val="single" w:sz="4" w:space="0" w:color="auto"/>
              <w:right w:val="nil"/>
            </w:tcBorders>
            <w:vAlign w:val="bottom"/>
            <w:hideMark/>
          </w:tcPr>
          <w:p w14:paraId="58B5950F" w14:textId="77777777" w:rsidR="00FE7F8B" w:rsidRDefault="00FE7F8B">
            <w:pPr>
              <w:pStyle w:val="TableTextFinancial"/>
            </w:pPr>
            <w:r>
              <w:t>Non-current</w:t>
            </w:r>
          </w:p>
        </w:tc>
        <w:tc>
          <w:tcPr>
            <w:tcW w:w="856" w:type="dxa"/>
            <w:tcBorders>
              <w:top w:val="nil"/>
              <w:left w:val="nil"/>
              <w:bottom w:val="single" w:sz="4" w:space="0" w:color="auto"/>
              <w:right w:val="nil"/>
            </w:tcBorders>
            <w:shd w:val="clear" w:color="auto" w:fill="F2F2F2" w:themeFill="background1" w:themeFillShade="F2"/>
            <w:vAlign w:val="bottom"/>
            <w:hideMark/>
          </w:tcPr>
          <w:p w14:paraId="4924526A" w14:textId="77777777" w:rsidR="00FE7F8B" w:rsidRDefault="00FE7F8B">
            <w:pPr>
              <w:pStyle w:val="TableTextFinancial"/>
              <w:jc w:val="right"/>
              <w:rPr>
                <w:b/>
              </w:rPr>
            </w:pPr>
            <w:r>
              <w:rPr>
                <w:b/>
              </w:rPr>
              <w:t>274.0</w:t>
            </w:r>
          </w:p>
        </w:tc>
        <w:tc>
          <w:tcPr>
            <w:tcW w:w="850" w:type="dxa"/>
            <w:tcBorders>
              <w:top w:val="nil"/>
              <w:left w:val="nil"/>
              <w:bottom w:val="single" w:sz="4" w:space="0" w:color="auto"/>
              <w:right w:val="nil"/>
            </w:tcBorders>
            <w:vAlign w:val="bottom"/>
            <w:hideMark/>
          </w:tcPr>
          <w:p w14:paraId="117A90EA" w14:textId="77777777" w:rsidR="00FE7F8B" w:rsidRDefault="00FE7F8B">
            <w:pPr>
              <w:pStyle w:val="TableTextFinancial"/>
              <w:jc w:val="right"/>
            </w:pPr>
            <w:r>
              <w:t>221.7</w:t>
            </w:r>
          </w:p>
        </w:tc>
      </w:tr>
      <w:tr w:rsidR="00FE7F8B" w14:paraId="50448B35" w14:textId="77777777" w:rsidTr="00FE7F8B">
        <w:tc>
          <w:tcPr>
            <w:tcW w:w="5670" w:type="dxa"/>
            <w:tcBorders>
              <w:top w:val="single" w:sz="4" w:space="0" w:color="auto"/>
              <w:left w:val="nil"/>
              <w:bottom w:val="single" w:sz="4" w:space="0" w:color="auto"/>
              <w:right w:val="nil"/>
            </w:tcBorders>
            <w:vAlign w:val="bottom"/>
            <w:hideMark/>
          </w:tcPr>
          <w:p w14:paraId="3A671056" w14:textId="77777777" w:rsidR="00FE7F8B" w:rsidRDefault="00FE7F8B">
            <w:pPr>
              <w:pStyle w:val="TableTextFinancial"/>
              <w:rPr>
                <w:b/>
              </w:rPr>
            </w:pPr>
            <w:r>
              <w:rPr>
                <w:b/>
              </w:rPr>
              <w:t>Total aggregate carrying number of receivables</w:t>
            </w:r>
          </w:p>
        </w:tc>
        <w:tc>
          <w:tcPr>
            <w:tcW w:w="856" w:type="dxa"/>
            <w:tcBorders>
              <w:top w:val="single" w:sz="4" w:space="0" w:color="auto"/>
              <w:left w:val="nil"/>
              <w:bottom w:val="single" w:sz="4" w:space="0" w:color="auto"/>
              <w:right w:val="nil"/>
            </w:tcBorders>
            <w:shd w:val="clear" w:color="auto" w:fill="F2F2F2" w:themeFill="background1" w:themeFillShade="F2"/>
            <w:vAlign w:val="bottom"/>
            <w:hideMark/>
          </w:tcPr>
          <w:p w14:paraId="1EEA8FEE" w14:textId="77777777" w:rsidR="00FE7F8B" w:rsidRDefault="00FE7F8B">
            <w:pPr>
              <w:pStyle w:val="TableTextFinancial"/>
              <w:jc w:val="right"/>
              <w:rPr>
                <w:b/>
              </w:rPr>
            </w:pPr>
            <w:r>
              <w:rPr>
                <w:b/>
              </w:rPr>
              <w:t>1,990.8</w:t>
            </w:r>
          </w:p>
        </w:tc>
        <w:tc>
          <w:tcPr>
            <w:tcW w:w="850" w:type="dxa"/>
            <w:tcBorders>
              <w:top w:val="single" w:sz="4" w:space="0" w:color="auto"/>
              <w:left w:val="nil"/>
              <w:bottom w:val="single" w:sz="4" w:space="0" w:color="auto"/>
              <w:right w:val="nil"/>
            </w:tcBorders>
            <w:vAlign w:val="bottom"/>
            <w:hideMark/>
          </w:tcPr>
          <w:p w14:paraId="27A06B63" w14:textId="77777777" w:rsidR="00FE7F8B" w:rsidRDefault="00FE7F8B">
            <w:pPr>
              <w:pStyle w:val="TableTextFinancial"/>
              <w:jc w:val="right"/>
            </w:pPr>
            <w:r>
              <w:t>1,725.9</w:t>
            </w:r>
          </w:p>
        </w:tc>
      </w:tr>
    </w:tbl>
    <w:p w14:paraId="709D4CB6" w14:textId="77777777" w:rsidR="00FE7F8B" w:rsidRDefault="00FE7F8B" w:rsidP="00BB1129">
      <w:pPr>
        <w:pStyle w:val="DETFootnoteTextforobjectivestablesOHStable"/>
        <w:spacing w:before="120"/>
        <w:rPr>
          <w:rFonts w:ascii="Times New Roman" w:hAnsi="Times New Roman"/>
          <w:sz w:val="24"/>
          <w:szCs w:val="24"/>
        </w:rPr>
      </w:pPr>
      <w:r>
        <w:t>1 The amounts recognised from Victorian Government represent funding for all commitments incurred through the appropriations and are drawn from the Consolidated Fund as the commitments fall due.</w:t>
      </w:r>
    </w:p>
    <w:p w14:paraId="5D94E7DD" w14:textId="77777777" w:rsidR="00FE7F8B" w:rsidRDefault="00FE7F8B" w:rsidP="00BB1129">
      <w:pPr>
        <w:pStyle w:val="DETFootnoteTextforobjectivestablesOHStable"/>
        <w:rPr>
          <w:sz w:val="13"/>
        </w:rPr>
      </w:pPr>
      <w:r>
        <w:t>2 The average credit period on sales of goods and services is 30 days. No interest is charged on other receivables for the first 30 days from the date of the invoice. An allowance has been made for estimated irrecoverable amounts from the sale of goods debtors when there is objective evidence that an individual receivable is impaired. The increase/decrease was recognised in the operating result for the current financial year.</w:t>
      </w:r>
    </w:p>
    <w:p w14:paraId="348FEBF7" w14:textId="77777777" w:rsidR="00FE7F8B" w:rsidRDefault="00FE7F8B" w:rsidP="00BB1129">
      <w:pPr>
        <w:pStyle w:val="DETFootnoteTextforobjectivestablesOHStable"/>
      </w:pPr>
      <w:r>
        <w:t xml:space="preserve">3 There is inadequate supporting documentation maintained by the Department to confirm the existence and collectability of school debtors and unearned income. The Department has not recognized on the balance sheet any amounts that may be collectable, or services that the Department is obliged to provide.  As a result, the Department has not complied with AASB 139 </w:t>
      </w:r>
      <w:r>
        <w:rPr>
          <w:i/>
        </w:rPr>
        <w:t>Financial Instruments: Recognition and Measurement.</w:t>
      </w:r>
      <w:r>
        <w:t xml:space="preserve"> </w:t>
      </w:r>
    </w:p>
    <w:p w14:paraId="105C450A" w14:textId="77777777" w:rsidR="00FE7F8B" w:rsidRDefault="00FE7F8B" w:rsidP="00FE7F8B">
      <w:pPr>
        <w:spacing w:after="200" w:line="276" w:lineRule="auto"/>
        <w:rPr>
          <w:rFonts w:eastAsia="Calibri"/>
          <w:color w:val="auto"/>
          <w:sz w:val="14"/>
          <w:szCs w:val="20"/>
          <w:vertAlign w:val="superscript"/>
          <w:lang w:val="en-US"/>
        </w:rPr>
      </w:pPr>
      <w:r>
        <w:br w:type="page"/>
      </w:r>
    </w:p>
    <w:p w14:paraId="3ED15019" w14:textId="77777777" w:rsidR="00FE7F8B" w:rsidRDefault="00FE7F8B" w:rsidP="00AD641C">
      <w:pPr>
        <w:pStyle w:val="Heading3notesnumbered"/>
        <w:numPr>
          <w:ilvl w:val="0"/>
          <w:numId w:val="47"/>
        </w:numPr>
      </w:pPr>
      <w:r>
        <w:t>Movement in the allowance for doubtful debts</w:t>
      </w:r>
    </w:p>
    <w:tbl>
      <w:tblPr>
        <w:tblW w:w="5000" w:type="pct"/>
        <w:tblLook w:val="04A0" w:firstRow="1" w:lastRow="0" w:firstColumn="1" w:lastColumn="0" w:noHBand="0" w:noVBand="1"/>
      </w:tblPr>
      <w:tblGrid>
        <w:gridCol w:w="5313"/>
        <w:gridCol w:w="1138"/>
        <w:gridCol w:w="1138"/>
      </w:tblGrid>
      <w:tr w:rsidR="00FE7F8B" w14:paraId="719DA88A" w14:textId="77777777" w:rsidTr="00FE7F8B">
        <w:trPr>
          <w:trHeight w:val="675"/>
        </w:trPr>
        <w:tc>
          <w:tcPr>
            <w:tcW w:w="3500" w:type="pct"/>
            <w:shd w:val="clear" w:color="auto" w:fill="7F7F7F" w:themeFill="text1" w:themeFillTint="80"/>
          </w:tcPr>
          <w:p w14:paraId="7EFAA326" w14:textId="77777777" w:rsidR="00FE7F8B" w:rsidRDefault="00FE7F8B">
            <w:pPr>
              <w:pStyle w:val="Tablecolumnheading"/>
              <w:rPr>
                <w:lang w:eastAsia="en-AU"/>
              </w:rPr>
            </w:pPr>
          </w:p>
        </w:tc>
        <w:tc>
          <w:tcPr>
            <w:tcW w:w="750" w:type="pct"/>
            <w:shd w:val="clear" w:color="auto" w:fill="7F7F7F" w:themeFill="text1" w:themeFillTint="80"/>
            <w:vAlign w:val="bottom"/>
            <w:hideMark/>
          </w:tcPr>
          <w:p w14:paraId="7051E15D" w14:textId="77777777" w:rsidR="00FE7F8B" w:rsidRDefault="00FE7F8B">
            <w:pPr>
              <w:pStyle w:val="Tablecolumnheading"/>
              <w:jc w:val="center"/>
              <w:rPr>
                <w:lang w:eastAsia="en-AU"/>
              </w:rPr>
            </w:pPr>
            <w:r>
              <w:rPr>
                <w:lang w:eastAsia="en-AU"/>
              </w:rPr>
              <w:t>2016</w:t>
            </w:r>
            <w:r>
              <w:rPr>
                <w:lang w:eastAsia="en-AU"/>
              </w:rPr>
              <w:br/>
              <w:t>$m</w:t>
            </w:r>
          </w:p>
        </w:tc>
        <w:tc>
          <w:tcPr>
            <w:tcW w:w="750" w:type="pct"/>
            <w:shd w:val="clear" w:color="auto" w:fill="7F7F7F" w:themeFill="text1" w:themeFillTint="80"/>
            <w:vAlign w:val="bottom"/>
            <w:hideMark/>
          </w:tcPr>
          <w:p w14:paraId="103F90AB" w14:textId="77777777" w:rsidR="00FE7F8B" w:rsidRDefault="00FE7F8B">
            <w:pPr>
              <w:pStyle w:val="Tablecolumnheading"/>
              <w:jc w:val="center"/>
              <w:rPr>
                <w:lang w:eastAsia="en-AU"/>
              </w:rPr>
            </w:pPr>
            <w:r>
              <w:rPr>
                <w:lang w:eastAsia="en-AU"/>
              </w:rPr>
              <w:t>2015</w:t>
            </w:r>
            <w:r>
              <w:rPr>
                <w:lang w:eastAsia="en-AU"/>
              </w:rPr>
              <w:br/>
              <w:t>$m</w:t>
            </w:r>
          </w:p>
        </w:tc>
      </w:tr>
      <w:tr w:rsidR="00FE7F8B" w14:paraId="1BF0F3F7" w14:textId="77777777" w:rsidTr="00FE7F8B">
        <w:trPr>
          <w:trHeight w:val="240"/>
        </w:trPr>
        <w:tc>
          <w:tcPr>
            <w:tcW w:w="3500" w:type="pct"/>
            <w:shd w:val="clear" w:color="auto" w:fill="FFFFFF"/>
            <w:vAlign w:val="center"/>
            <w:hideMark/>
          </w:tcPr>
          <w:p w14:paraId="4857ADB8" w14:textId="77777777" w:rsidR="00FE7F8B" w:rsidRDefault="00FE7F8B">
            <w:pPr>
              <w:pStyle w:val="Tablerowheading"/>
            </w:pPr>
            <w:r>
              <w:t>Balance at beginning of the year</w:t>
            </w:r>
          </w:p>
        </w:tc>
        <w:tc>
          <w:tcPr>
            <w:tcW w:w="750" w:type="pct"/>
            <w:shd w:val="clear" w:color="auto" w:fill="F2F2F2" w:themeFill="background1" w:themeFillShade="F2"/>
            <w:vAlign w:val="bottom"/>
            <w:hideMark/>
          </w:tcPr>
          <w:p w14:paraId="66B041C9" w14:textId="77777777" w:rsidR="00FE7F8B" w:rsidRDefault="00FE7F8B">
            <w:pPr>
              <w:pStyle w:val="Tablerowheading"/>
              <w:jc w:val="right"/>
            </w:pPr>
            <w:r>
              <w:t>(14.6)</w:t>
            </w:r>
          </w:p>
        </w:tc>
        <w:tc>
          <w:tcPr>
            <w:tcW w:w="750" w:type="pct"/>
            <w:shd w:val="clear" w:color="auto" w:fill="FFFFFF"/>
            <w:vAlign w:val="bottom"/>
            <w:hideMark/>
          </w:tcPr>
          <w:p w14:paraId="12D8A2F9" w14:textId="77777777" w:rsidR="00FE7F8B" w:rsidRDefault="00FE7F8B">
            <w:pPr>
              <w:pStyle w:val="Tablerowheading"/>
              <w:jc w:val="right"/>
            </w:pPr>
            <w:r>
              <w:t>(5.2)</w:t>
            </w:r>
          </w:p>
        </w:tc>
      </w:tr>
      <w:tr w:rsidR="00FE7F8B" w14:paraId="135BFE75" w14:textId="77777777" w:rsidTr="00FE7F8B">
        <w:trPr>
          <w:trHeight w:val="252"/>
        </w:trPr>
        <w:tc>
          <w:tcPr>
            <w:tcW w:w="3500" w:type="pct"/>
            <w:shd w:val="clear" w:color="auto" w:fill="FFFFFF"/>
            <w:hideMark/>
          </w:tcPr>
          <w:p w14:paraId="05CC057A" w14:textId="77777777" w:rsidR="00FE7F8B" w:rsidRDefault="00FE7F8B">
            <w:pPr>
              <w:pStyle w:val="Tabletextnoindent"/>
            </w:pPr>
            <w:r>
              <w:rPr>
                <w:sz w:val="18"/>
              </w:rPr>
              <w:t>Reversal of unused provision recognised in the net result</w:t>
            </w:r>
          </w:p>
        </w:tc>
        <w:tc>
          <w:tcPr>
            <w:tcW w:w="750" w:type="pct"/>
            <w:shd w:val="clear" w:color="auto" w:fill="F2F2F2" w:themeFill="background1" w:themeFillShade="F2"/>
            <w:vAlign w:val="bottom"/>
            <w:hideMark/>
          </w:tcPr>
          <w:p w14:paraId="7EFADC61" w14:textId="77777777" w:rsidR="00FE7F8B" w:rsidRDefault="00FE7F8B">
            <w:pPr>
              <w:pStyle w:val="Tabletextnoindent"/>
              <w:jc w:val="right"/>
            </w:pPr>
            <w:r>
              <w:rPr>
                <w:b/>
              </w:rPr>
              <w:t>2.3</w:t>
            </w:r>
          </w:p>
        </w:tc>
        <w:tc>
          <w:tcPr>
            <w:tcW w:w="750" w:type="pct"/>
            <w:shd w:val="clear" w:color="auto" w:fill="FFFFFF"/>
            <w:vAlign w:val="bottom"/>
            <w:hideMark/>
          </w:tcPr>
          <w:p w14:paraId="78E564E1" w14:textId="77777777" w:rsidR="00FE7F8B" w:rsidRDefault="00FE7F8B">
            <w:pPr>
              <w:pStyle w:val="Tabletextnoindent"/>
              <w:jc w:val="right"/>
            </w:pPr>
            <w:r>
              <w:t>0.9</w:t>
            </w:r>
          </w:p>
        </w:tc>
      </w:tr>
      <w:tr w:rsidR="00FE7F8B" w14:paraId="601CE73C" w14:textId="77777777" w:rsidTr="00FE7F8B">
        <w:trPr>
          <w:trHeight w:val="252"/>
        </w:trPr>
        <w:tc>
          <w:tcPr>
            <w:tcW w:w="3500" w:type="pct"/>
            <w:shd w:val="clear" w:color="auto" w:fill="FFFFFF"/>
            <w:hideMark/>
          </w:tcPr>
          <w:p w14:paraId="4B3D8593" w14:textId="77777777" w:rsidR="00FE7F8B" w:rsidRDefault="00FE7F8B">
            <w:pPr>
              <w:pStyle w:val="Tabletextnoindent"/>
            </w:pPr>
            <w:r>
              <w:rPr>
                <w:sz w:val="18"/>
              </w:rPr>
              <w:t>Increase in provision recognised in the net result</w:t>
            </w:r>
          </w:p>
        </w:tc>
        <w:tc>
          <w:tcPr>
            <w:tcW w:w="750" w:type="pct"/>
            <w:shd w:val="clear" w:color="auto" w:fill="F2F2F2" w:themeFill="background1" w:themeFillShade="F2"/>
            <w:vAlign w:val="bottom"/>
            <w:hideMark/>
          </w:tcPr>
          <w:p w14:paraId="123A45A7" w14:textId="77777777" w:rsidR="00FE7F8B" w:rsidRDefault="00FE7F8B">
            <w:pPr>
              <w:pStyle w:val="Tabletextnoindent"/>
              <w:jc w:val="right"/>
            </w:pPr>
            <w:r>
              <w:rPr>
                <w:b/>
              </w:rPr>
              <w:t>(19.7)</w:t>
            </w:r>
          </w:p>
        </w:tc>
        <w:tc>
          <w:tcPr>
            <w:tcW w:w="750" w:type="pct"/>
            <w:shd w:val="clear" w:color="auto" w:fill="FFFFFF"/>
            <w:vAlign w:val="bottom"/>
            <w:hideMark/>
          </w:tcPr>
          <w:p w14:paraId="608EC4B3" w14:textId="77777777" w:rsidR="00FE7F8B" w:rsidRDefault="00FE7F8B">
            <w:pPr>
              <w:pStyle w:val="Tabletextnoindent"/>
              <w:jc w:val="right"/>
            </w:pPr>
            <w:r>
              <w:t>(10.6)</w:t>
            </w:r>
          </w:p>
        </w:tc>
      </w:tr>
      <w:tr w:rsidR="00FE7F8B" w14:paraId="4488B84E" w14:textId="77777777" w:rsidTr="00FE7F8B">
        <w:trPr>
          <w:trHeight w:val="252"/>
        </w:trPr>
        <w:tc>
          <w:tcPr>
            <w:tcW w:w="3500" w:type="pct"/>
            <w:tcBorders>
              <w:top w:val="nil"/>
              <w:left w:val="nil"/>
              <w:bottom w:val="single" w:sz="4" w:space="0" w:color="auto"/>
              <w:right w:val="nil"/>
            </w:tcBorders>
            <w:shd w:val="clear" w:color="auto" w:fill="FFFFFF"/>
            <w:hideMark/>
          </w:tcPr>
          <w:p w14:paraId="4FDFCB54" w14:textId="77777777" w:rsidR="00FE7F8B" w:rsidRDefault="00FE7F8B">
            <w:pPr>
              <w:pStyle w:val="Tabletextnoindent"/>
            </w:pPr>
            <w:r>
              <w:rPr>
                <w:sz w:val="18"/>
              </w:rPr>
              <w:t>Reversal of provision of receivables written off during the year as uncollectable</w:t>
            </w:r>
          </w:p>
        </w:tc>
        <w:tc>
          <w:tcPr>
            <w:tcW w:w="750" w:type="pct"/>
            <w:tcBorders>
              <w:top w:val="nil"/>
              <w:left w:val="nil"/>
              <w:bottom w:val="single" w:sz="4" w:space="0" w:color="auto"/>
              <w:right w:val="nil"/>
            </w:tcBorders>
            <w:shd w:val="clear" w:color="auto" w:fill="F2F2F2" w:themeFill="background1" w:themeFillShade="F2"/>
            <w:vAlign w:val="bottom"/>
            <w:hideMark/>
          </w:tcPr>
          <w:p w14:paraId="578829E2" w14:textId="77777777" w:rsidR="00FE7F8B" w:rsidRDefault="00FE7F8B">
            <w:pPr>
              <w:pStyle w:val="Tabletextnoindent"/>
              <w:jc w:val="right"/>
            </w:pPr>
            <w:r>
              <w:rPr>
                <w:b/>
              </w:rPr>
              <w:t>0.1</w:t>
            </w:r>
          </w:p>
        </w:tc>
        <w:tc>
          <w:tcPr>
            <w:tcW w:w="750" w:type="pct"/>
            <w:tcBorders>
              <w:top w:val="nil"/>
              <w:left w:val="nil"/>
              <w:bottom w:val="single" w:sz="4" w:space="0" w:color="auto"/>
              <w:right w:val="nil"/>
            </w:tcBorders>
            <w:shd w:val="clear" w:color="auto" w:fill="FFFFFF"/>
            <w:vAlign w:val="bottom"/>
            <w:hideMark/>
          </w:tcPr>
          <w:p w14:paraId="1DBBB12C" w14:textId="77777777" w:rsidR="00FE7F8B" w:rsidRDefault="00FE7F8B">
            <w:pPr>
              <w:pStyle w:val="Tabletextnoindent"/>
              <w:jc w:val="right"/>
            </w:pPr>
            <w:r>
              <w:t>0.2</w:t>
            </w:r>
          </w:p>
        </w:tc>
      </w:tr>
      <w:tr w:rsidR="00FE7F8B" w14:paraId="63F5CCDB" w14:textId="77777777" w:rsidTr="00FE7F8B">
        <w:trPr>
          <w:trHeight w:val="330"/>
        </w:trPr>
        <w:tc>
          <w:tcPr>
            <w:tcW w:w="3500" w:type="pct"/>
            <w:tcBorders>
              <w:top w:val="single" w:sz="4" w:space="0" w:color="auto"/>
              <w:left w:val="nil"/>
              <w:bottom w:val="single" w:sz="4" w:space="0" w:color="auto"/>
              <w:right w:val="nil"/>
            </w:tcBorders>
            <w:shd w:val="clear" w:color="auto" w:fill="FFFFFF"/>
            <w:vAlign w:val="center"/>
            <w:hideMark/>
          </w:tcPr>
          <w:p w14:paraId="4C136193" w14:textId="77777777" w:rsidR="00FE7F8B" w:rsidRDefault="00FE7F8B">
            <w:pPr>
              <w:pStyle w:val="Tabletextnoindent"/>
              <w:rPr>
                <w:b/>
              </w:rPr>
            </w:pPr>
            <w:r>
              <w:rPr>
                <w:b/>
              </w:rPr>
              <w:t>Balance at end of the year</w:t>
            </w:r>
          </w:p>
        </w:tc>
        <w:tc>
          <w:tcPr>
            <w:tcW w:w="750" w:type="pct"/>
            <w:tcBorders>
              <w:top w:val="single" w:sz="4" w:space="0" w:color="auto"/>
              <w:left w:val="nil"/>
              <w:bottom w:val="single" w:sz="4" w:space="0" w:color="auto"/>
              <w:right w:val="nil"/>
            </w:tcBorders>
            <w:shd w:val="clear" w:color="auto" w:fill="F2F2F2" w:themeFill="background1" w:themeFillShade="F2"/>
            <w:vAlign w:val="bottom"/>
            <w:hideMark/>
          </w:tcPr>
          <w:p w14:paraId="1E932B0E" w14:textId="77777777" w:rsidR="00FE7F8B" w:rsidRDefault="00FE7F8B">
            <w:pPr>
              <w:pStyle w:val="Tabletextnoindent"/>
              <w:jc w:val="right"/>
              <w:rPr>
                <w:b/>
              </w:rPr>
            </w:pPr>
            <w:r>
              <w:rPr>
                <w:b/>
              </w:rPr>
              <w:t>(32.0)</w:t>
            </w:r>
          </w:p>
        </w:tc>
        <w:tc>
          <w:tcPr>
            <w:tcW w:w="750" w:type="pct"/>
            <w:tcBorders>
              <w:top w:val="single" w:sz="4" w:space="0" w:color="auto"/>
              <w:left w:val="nil"/>
              <w:bottom w:val="single" w:sz="4" w:space="0" w:color="auto"/>
              <w:right w:val="nil"/>
            </w:tcBorders>
            <w:shd w:val="clear" w:color="auto" w:fill="FFFFFF"/>
            <w:vAlign w:val="bottom"/>
            <w:hideMark/>
          </w:tcPr>
          <w:p w14:paraId="0EE78C15" w14:textId="77777777" w:rsidR="00FE7F8B" w:rsidRDefault="00FE7F8B">
            <w:pPr>
              <w:pStyle w:val="Tabletextnoindent"/>
              <w:jc w:val="right"/>
              <w:rPr>
                <w:b/>
              </w:rPr>
            </w:pPr>
            <w:r>
              <w:t>(14.6)</w:t>
            </w:r>
          </w:p>
        </w:tc>
      </w:tr>
    </w:tbl>
    <w:p w14:paraId="67C0D57B" w14:textId="77777777" w:rsidR="00FE7F8B" w:rsidRDefault="00FE7F8B" w:rsidP="00AD641C">
      <w:pPr>
        <w:pStyle w:val="Heading3notesnumbered"/>
        <w:numPr>
          <w:ilvl w:val="0"/>
          <w:numId w:val="47"/>
        </w:numPr>
      </w:pPr>
      <w:r>
        <w:t>Ageing analysis of contractual receivables</w:t>
      </w:r>
    </w:p>
    <w:p w14:paraId="6BCACD69" w14:textId="77777777" w:rsidR="00FE7F8B" w:rsidRDefault="00FE7F8B" w:rsidP="00FE7F8B">
      <w:r>
        <w:t xml:space="preserve">See </w:t>
      </w:r>
      <w:r>
        <w:fldChar w:fldCharType="begin"/>
      </w:r>
      <w:r>
        <w:instrText xml:space="preserve"> REF _Ref399510353 \h  \* MERGEFORMAT </w:instrText>
      </w:r>
      <w:r>
        <w:fldChar w:fldCharType="separate"/>
      </w:r>
      <w:r w:rsidR="00B60957">
        <w:t xml:space="preserve">Table </w:t>
      </w:r>
      <w:r>
        <w:fldChar w:fldCharType="end"/>
      </w:r>
      <w:r>
        <w:t>11 in Note 17 for the ageing analysis of contractual receivables.</w:t>
      </w:r>
    </w:p>
    <w:p w14:paraId="5E372D67" w14:textId="77777777" w:rsidR="00FE7F8B" w:rsidRDefault="00FE7F8B" w:rsidP="00AD641C">
      <w:pPr>
        <w:pStyle w:val="Heading3notesnumbered"/>
        <w:numPr>
          <w:ilvl w:val="0"/>
          <w:numId w:val="47"/>
        </w:numPr>
      </w:pPr>
      <w:r>
        <w:t>Nature and extent of risk arising from contractual receivables</w:t>
      </w:r>
    </w:p>
    <w:p w14:paraId="05D5B6CB" w14:textId="77777777" w:rsidR="00FE7F8B" w:rsidRDefault="00FE7F8B" w:rsidP="00FE7F8B">
      <w:r>
        <w:t>See Note 17 for the ageing analysis of contractual receivables.</w:t>
      </w:r>
    </w:p>
    <w:p w14:paraId="72D22C36" w14:textId="77777777" w:rsidR="00FE7F8B" w:rsidRDefault="00FE7F8B" w:rsidP="00FE7F8B">
      <w:pPr>
        <w:spacing w:after="0" w:line="240" w:lineRule="auto"/>
        <w:sectPr w:rsidR="00FE7F8B">
          <w:footnotePr>
            <w:pos w:val="beneathText"/>
            <w:numRestart w:val="eachPage"/>
          </w:footnotePr>
          <w:pgSz w:w="11909" w:h="16834"/>
          <w:pgMar w:top="1814" w:right="1701" w:bottom="1418" w:left="2835" w:header="709" w:footer="709" w:gutter="0"/>
          <w:cols w:space="720"/>
        </w:sectPr>
      </w:pPr>
    </w:p>
    <w:p w14:paraId="03F702BD" w14:textId="77777777" w:rsidR="00FE7F8B" w:rsidRDefault="00FE7F8B" w:rsidP="00313E75">
      <w:pPr>
        <w:pStyle w:val="Heading2notes"/>
      </w:pPr>
      <w:bookmarkStart w:id="82" w:name="_Toc461176298"/>
      <w:bookmarkStart w:id="83" w:name="_Toc399491066"/>
      <w:r>
        <w:t xml:space="preserve">Non-financial physical assets classified as held for sale </w:t>
      </w:r>
      <w:bookmarkEnd w:id="82"/>
      <w:bookmarkEnd w:id="83"/>
    </w:p>
    <w:p w14:paraId="3630CE86" w14:textId="77777777" w:rsidR="00FE7F8B" w:rsidRDefault="00FE7F8B" w:rsidP="00AD641C">
      <w:pPr>
        <w:pStyle w:val="Heading3notesnumbered"/>
        <w:numPr>
          <w:ilvl w:val="0"/>
          <w:numId w:val="48"/>
        </w:numPr>
      </w:pPr>
      <w:r>
        <w:t xml:space="preserve">Non-financial physical assets classified as held for sale </w:t>
      </w:r>
    </w:p>
    <w:tbl>
      <w:tblPr>
        <w:tblW w:w="5000" w:type="pct"/>
        <w:tblLook w:val="04A0" w:firstRow="1" w:lastRow="0" w:firstColumn="1" w:lastColumn="0" w:noHBand="0" w:noVBand="1"/>
      </w:tblPr>
      <w:tblGrid>
        <w:gridCol w:w="5495"/>
        <w:gridCol w:w="1047"/>
        <w:gridCol w:w="1047"/>
      </w:tblGrid>
      <w:tr w:rsidR="00FE7F8B" w14:paraId="51F0C71E" w14:textId="77777777" w:rsidTr="00FE7F8B">
        <w:trPr>
          <w:trHeight w:val="510"/>
        </w:trPr>
        <w:tc>
          <w:tcPr>
            <w:tcW w:w="3620" w:type="pct"/>
            <w:shd w:val="clear" w:color="auto" w:fill="7F7F7F" w:themeFill="text1" w:themeFillTint="80"/>
            <w:vAlign w:val="bottom"/>
          </w:tcPr>
          <w:p w14:paraId="096FB78F" w14:textId="77777777" w:rsidR="00FE7F8B" w:rsidRDefault="00FE7F8B">
            <w:pPr>
              <w:pStyle w:val="Tablecolumnheading"/>
              <w:rPr>
                <w:lang w:eastAsia="en-AU"/>
              </w:rPr>
            </w:pPr>
          </w:p>
        </w:tc>
        <w:tc>
          <w:tcPr>
            <w:tcW w:w="690" w:type="pct"/>
            <w:shd w:val="clear" w:color="auto" w:fill="7F7F7F" w:themeFill="text1" w:themeFillTint="80"/>
            <w:vAlign w:val="bottom"/>
            <w:hideMark/>
          </w:tcPr>
          <w:p w14:paraId="1DE1AA5D" w14:textId="77777777" w:rsidR="00FE7F8B" w:rsidRDefault="00FE7F8B">
            <w:pPr>
              <w:pStyle w:val="Tablecolumnheading"/>
              <w:jc w:val="center"/>
              <w:rPr>
                <w:lang w:eastAsia="en-AU"/>
              </w:rPr>
            </w:pPr>
            <w:r>
              <w:rPr>
                <w:lang w:eastAsia="en-AU"/>
              </w:rPr>
              <w:t>2016</w:t>
            </w:r>
            <w:r>
              <w:rPr>
                <w:lang w:eastAsia="en-AU"/>
              </w:rPr>
              <w:br/>
              <w:t>$m</w:t>
            </w:r>
          </w:p>
        </w:tc>
        <w:tc>
          <w:tcPr>
            <w:tcW w:w="690" w:type="pct"/>
            <w:shd w:val="clear" w:color="auto" w:fill="7F7F7F" w:themeFill="text1" w:themeFillTint="80"/>
            <w:vAlign w:val="bottom"/>
            <w:hideMark/>
          </w:tcPr>
          <w:p w14:paraId="75517B36" w14:textId="77777777" w:rsidR="00FE7F8B" w:rsidRDefault="00FE7F8B">
            <w:pPr>
              <w:pStyle w:val="Tablecolumnheading"/>
              <w:jc w:val="center"/>
              <w:rPr>
                <w:lang w:eastAsia="en-AU"/>
              </w:rPr>
            </w:pPr>
            <w:r>
              <w:rPr>
                <w:lang w:eastAsia="en-AU"/>
              </w:rPr>
              <w:t>2015</w:t>
            </w:r>
            <w:r>
              <w:rPr>
                <w:lang w:eastAsia="en-AU"/>
              </w:rPr>
              <w:br/>
              <w:t>$m</w:t>
            </w:r>
          </w:p>
        </w:tc>
      </w:tr>
      <w:tr w:rsidR="00FE7F8B" w14:paraId="18743931" w14:textId="77777777" w:rsidTr="00FE7F8B">
        <w:trPr>
          <w:trHeight w:val="252"/>
        </w:trPr>
        <w:tc>
          <w:tcPr>
            <w:tcW w:w="5000" w:type="pct"/>
            <w:gridSpan w:val="3"/>
            <w:noWrap/>
            <w:vAlign w:val="bottom"/>
            <w:hideMark/>
          </w:tcPr>
          <w:p w14:paraId="1D13B785" w14:textId="77777777" w:rsidR="00FE7F8B" w:rsidRDefault="00FE7F8B">
            <w:pPr>
              <w:pStyle w:val="Tabletextnoindent"/>
              <w:rPr>
                <w:b/>
              </w:rPr>
            </w:pPr>
            <w:r>
              <w:rPr>
                <w:b/>
              </w:rPr>
              <w:t>Non-current assets</w:t>
            </w:r>
          </w:p>
        </w:tc>
      </w:tr>
      <w:tr w:rsidR="00FE7F8B" w14:paraId="25B4565B" w14:textId="77777777" w:rsidTr="00FE7F8B">
        <w:trPr>
          <w:trHeight w:val="252"/>
        </w:trPr>
        <w:tc>
          <w:tcPr>
            <w:tcW w:w="3620" w:type="pct"/>
            <w:noWrap/>
            <w:vAlign w:val="bottom"/>
            <w:hideMark/>
          </w:tcPr>
          <w:p w14:paraId="3DC2D867" w14:textId="77777777" w:rsidR="00FE7F8B" w:rsidRDefault="00FE7F8B">
            <w:pPr>
              <w:pStyle w:val="Tabletextnoindent"/>
            </w:pPr>
            <w:r>
              <w:t>Land</w:t>
            </w:r>
          </w:p>
        </w:tc>
        <w:tc>
          <w:tcPr>
            <w:tcW w:w="690" w:type="pct"/>
            <w:shd w:val="clear" w:color="auto" w:fill="F2F2F2" w:themeFill="background1" w:themeFillShade="F2"/>
            <w:noWrap/>
            <w:vAlign w:val="bottom"/>
            <w:hideMark/>
          </w:tcPr>
          <w:p w14:paraId="76F4CBD2" w14:textId="77777777" w:rsidR="00FE7F8B" w:rsidRDefault="00FE7F8B">
            <w:pPr>
              <w:pStyle w:val="Tabletextnoindent"/>
              <w:jc w:val="right"/>
              <w:rPr>
                <w:b/>
              </w:rPr>
            </w:pPr>
            <w:r>
              <w:rPr>
                <w:b/>
              </w:rPr>
              <w:t>7.1</w:t>
            </w:r>
          </w:p>
        </w:tc>
        <w:tc>
          <w:tcPr>
            <w:tcW w:w="690" w:type="pct"/>
            <w:noWrap/>
            <w:vAlign w:val="bottom"/>
            <w:hideMark/>
          </w:tcPr>
          <w:p w14:paraId="283C206A" w14:textId="77777777" w:rsidR="00FE7F8B" w:rsidRDefault="00FE7F8B">
            <w:pPr>
              <w:pStyle w:val="Tabletextnoindent"/>
              <w:jc w:val="right"/>
            </w:pPr>
            <w:r>
              <w:t>107.5</w:t>
            </w:r>
          </w:p>
        </w:tc>
      </w:tr>
      <w:tr w:rsidR="00FE7F8B" w14:paraId="771834D6" w14:textId="77777777" w:rsidTr="00FE7F8B">
        <w:trPr>
          <w:trHeight w:val="252"/>
        </w:trPr>
        <w:tc>
          <w:tcPr>
            <w:tcW w:w="3620" w:type="pct"/>
            <w:noWrap/>
            <w:vAlign w:val="bottom"/>
            <w:hideMark/>
          </w:tcPr>
          <w:p w14:paraId="12619E5A" w14:textId="77777777" w:rsidR="00FE7F8B" w:rsidRDefault="00FE7F8B">
            <w:pPr>
              <w:pStyle w:val="Tabletextnoindent"/>
            </w:pPr>
            <w:r>
              <w:t>Buildings</w:t>
            </w:r>
          </w:p>
        </w:tc>
        <w:tc>
          <w:tcPr>
            <w:tcW w:w="690" w:type="pct"/>
            <w:shd w:val="clear" w:color="auto" w:fill="F2F2F2" w:themeFill="background1" w:themeFillShade="F2"/>
            <w:noWrap/>
            <w:vAlign w:val="bottom"/>
            <w:hideMark/>
          </w:tcPr>
          <w:p w14:paraId="4604AC80" w14:textId="77777777" w:rsidR="00FE7F8B" w:rsidRDefault="00FE7F8B">
            <w:pPr>
              <w:pStyle w:val="Tabletextnoindent"/>
              <w:jc w:val="right"/>
              <w:rPr>
                <w:b/>
              </w:rPr>
            </w:pPr>
            <w:r>
              <w:rPr>
                <w:b/>
              </w:rPr>
              <w:t>0.4</w:t>
            </w:r>
          </w:p>
        </w:tc>
        <w:tc>
          <w:tcPr>
            <w:tcW w:w="690" w:type="pct"/>
            <w:noWrap/>
            <w:vAlign w:val="bottom"/>
            <w:hideMark/>
          </w:tcPr>
          <w:p w14:paraId="3C5A811E" w14:textId="77777777" w:rsidR="00FE7F8B" w:rsidRDefault="00FE7F8B">
            <w:pPr>
              <w:pStyle w:val="Tabletextnoindent"/>
              <w:jc w:val="right"/>
            </w:pPr>
            <w:r>
              <w:t>0.0</w:t>
            </w:r>
          </w:p>
        </w:tc>
      </w:tr>
      <w:tr w:rsidR="00FE7F8B" w14:paraId="73DCD438" w14:textId="77777777" w:rsidTr="00FE7F8B">
        <w:trPr>
          <w:trHeight w:val="252"/>
        </w:trPr>
        <w:tc>
          <w:tcPr>
            <w:tcW w:w="3620" w:type="pct"/>
            <w:tcBorders>
              <w:top w:val="nil"/>
              <w:left w:val="nil"/>
              <w:bottom w:val="single" w:sz="4" w:space="0" w:color="auto"/>
              <w:right w:val="nil"/>
            </w:tcBorders>
            <w:noWrap/>
            <w:vAlign w:val="bottom"/>
            <w:hideMark/>
          </w:tcPr>
          <w:p w14:paraId="76AFE6E2" w14:textId="77777777" w:rsidR="00FE7F8B" w:rsidRDefault="00FE7F8B">
            <w:pPr>
              <w:pStyle w:val="Tabletextnoindent"/>
            </w:pPr>
            <w:r>
              <w:t>Plant and equipment</w:t>
            </w:r>
          </w:p>
        </w:tc>
        <w:tc>
          <w:tcPr>
            <w:tcW w:w="690" w:type="pct"/>
            <w:tcBorders>
              <w:top w:val="nil"/>
              <w:left w:val="nil"/>
              <w:bottom w:val="single" w:sz="4" w:space="0" w:color="auto"/>
              <w:right w:val="nil"/>
            </w:tcBorders>
            <w:shd w:val="clear" w:color="auto" w:fill="F2F2F2" w:themeFill="background1" w:themeFillShade="F2"/>
            <w:noWrap/>
            <w:vAlign w:val="bottom"/>
            <w:hideMark/>
          </w:tcPr>
          <w:p w14:paraId="553950BB" w14:textId="77777777" w:rsidR="00FE7F8B" w:rsidRDefault="00FE7F8B">
            <w:pPr>
              <w:pStyle w:val="Tabletextnoindent"/>
              <w:jc w:val="right"/>
              <w:rPr>
                <w:b/>
              </w:rPr>
            </w:pPr>
            <w:r>
              <w:rPr>
                <w:b/>
              </w:rPr>
              <w:t>0.2</w:t>
            </w:r>
          </w:p>
        </w:tc>
        <w:tc>
          <w:tcPr>
            <w:tcW w:w="690" w:type="pct"/>
            <w:tcBorders>
              <w:top w:val="nil"/>
              <w:left w:val="nil"/>
              <w:bottom w:val="single" w:sz="4" w:space="0" w:color="auto"/>
              <w:right w:val="nil"/>
            </w:tcBorders>
            <w:noWrap/>
            <w:vAlign w:val="bottom"/>
            <w:hideMark/>
          </w:tcPr>
          <w:p w14:paraId="12DAEDAD" w14:textId="77777777" w:rsidR="00FE7F8B" w:rsidRDefault="00FE7F8B">
            <w:pPr>
              <w:pStyle w:val="Tabletextnoindent"/>
              <w:jc w:val="right"/>
            </w:pPr>
            <w:r>
              <w:t>0.4</w:t>
            </w:r>
          </w:p>
        </w:tc>
      </w:tr>
      <w:tr w:rsidR="00FE7F8B" w14:paraId="5BCF4FB0" w14:textId="77777777" w:rsidTr="00FE7F8B">
        <w:trPr>
          <w:trHeight w:val="323"/>
        </w:trPr>
        <w:tc>
          <w:tcPr>
            <w:tcW w:w="3620" w:type="pct"/>
            <w:tcBorders>
              <w:top w:val="single" w:sz="4" w:space="0" w:color="auto"/>
              <w:left w:val="nil"/>
              <w:bottom w:val="single" w:sz="4" w:space="0" w:color="auto"/>
              <w:right w:val="nil"/>
            </w:tcBorders>
            <w:noWrap/>
            <w:vAlign w:val="center"/>
            <w:hideMark/>
          </w:tcPr>
          <w:p w14:paraId="79C66865" w14:textId="77777777" w:rsidR="00FE7F8B" w:rsidRDefault="00FE7F8B">
            <w:pPr>
              <w:pStyle w:val="Tabletextnoindent"/>
              <w:rPr>
                <w:b/>
              </w:rPr>
            </w:pPr>
            <w:r>
              <w:rPr>
                <w:b/>
              </w:rPr>
              <w:t xml:space="preserve">Total non-financial physical assets classified as held for sale </w:t>
            </w:r>
          </w:p>
        </w:tc>
        <w:tc>
          <w:tcPr>
            <w:tcW w:w="690" w:type="pct"/>
            <w:tcBorders>
              <w:top w:val="single" w:sz="4" w:space="0" w:color="auto"/>
              <w:left w:val="nil"/>
              <w:bottom w:val="single" w:sz="4" w:space="0" w:color="auto"/>
              <w:right w:val="nil"/>
            </w:tcBorders>
            <w:shd w:val="clear" w:color="auto" w:fill="F2F2F2" w:themeFill="background1" w:themeFillShade="F2"/>
            <w:noWrap/>
            <w:vAlign w:val="bottom"/>
            <w:hideMark/>
          </w:tcPr>
          <w:p w14:paraId="4B9FD4DD" w14:textId="77777777" w:rsidR="00FE7F8B" w:rsidRDefault="00FE7F8B">
            <w:pPr>
              <w:pStyle w:val="Tabletextnoindent"/>
              <w:jc w:val="right"/>
              <w:rPr>
                <w:b/>
              </w:rPr>
            </w:pPr>
            <w:r>
              <w:rPr>
                <w:b/>
              </w:rPr>
              <w:t>7.8</w:t>
            </w:r>
          </w:p>
        </w:tc>
        <w:tc>
          <w:tcPr>
            <w:tcW w:w="690" w:type="pct"/>
            <w:tcBorders>
              <w:top w:val="single" w:sz="4" w:space="0" w:color="auto"/>
              <w:left w:val="nil"/>
              <w:bottom w:val="single" w:sz="4" w:space="0" w:color="auto"/>
              <w:right w:val="nil"/>
            </w:tcBorders>
            <w:noWrap/>
            <w:vAlign w:val="bottom"/>
            <w:hideMark/>
          </w:tcPr>
          <w:p w14:paraId="4DB60AF6" w14:textId="77777777" w:rsidR="00FE7F8B" w:rsidRDefault="00FE7F8B">
            <w:pPr>
              <w:pStyle w:val="Tabletextnoindent"/>
              <w:jc w:val="right"/>
              <w:rPr>
                <w:b/>
              </w:rPr>
            </w:pPr>
            <w:r>
              <w:t>107.9</w:t>
            </w:r>
          </w:p>
        </w:tc>
      </w:tr>
    </w:tbl>
    <w:p w14:paraId="3B31085A" w14:textId="77777777" w:rsidR="00FE7F8B" w:rsidRDefault="00FE7F8B" w:rsidP="00AD641C">
      <w:pPr>
        <w:pStyle w:val="Heading3notesnumbered"/>
        <w:numPr>
          <w:ilvl w:val="0"/>
          <w:numId w:val="48"/>
        </w:numPr>
      </w:pPr>
      <w:r>
        <w:t xml:space="preserve">Fair value measurement of non-financial physical assets held for sale </w:t>
      </w:r>
    </w:p>
    <w:p w14:paraId="631A305F" w14:textId="77777777" w:rsidR="00FE7F8B" w:rsidRDefault="00FE7F8B" w:rsidP="00FE7F8B">
      <w:r>
        <w:t>The following table provides the fair value measurement hierarchy of the Department’s non-financial physical assets held for sale.</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77"/>
        <w:gridCol w:w="1263"/>
        <w:gridCol w:w="1124"/>
        <w:gridCol w:w="1124"/>
        <w:gridCol w:w="1259"/>
      </w:tblGrid>
      <w:tr w:rsidR="00FE7F8B" w14:paraId="20CB7AE2" w14:textId="77777777" w:rsidTr="00FE7F8B">
        <w:tc>
          <w:tcPr>
            <w:tcW w:w="1797" w:type="pct"/>
            <w:tcBorders>
              <w:top w:val="nil"/>
              <w:left w:val="nil"/>
              <w:bottom w:val="nil"/>
              <w:right w:val="nil"/>
            </w:tcBorders>
            <w:shd w:val="clear" w:color="auto" w:fill="7F7F7F" w:themeFill="text1" w:themeFillTint="80"/>
            <w:vAlign w:val="center"/>
          </w:tcPr>
          <w:p w14:paraId="7EBE97E1" w14:textId="77777777" w:rsidR="00FE7F8B" w:rsidRDefault="00FE7F8B">
            <w:pPr>
              <w:pStyle w:val="Tablecolumnheading"/>
              <w:jc w:val="center"/>
            </w:pPr>
          </w:p>
        </w:tc>
        <w:tc>
          <w:tcPr>
            <w:tcW w:w="848" w:type="pct"/>
            <w:tcBorders>
              <w:top w:val="nil"/>
              <w:left w:val="nil"/>
              <w:bottom w:val="nil"/>
              <w:right w:val="nil"/>
            </w:tcBorders>
            <w:shd w:val="clear" w:color="auto" w:fill="7F7F7F" w:themeFill="text1" w:themeFillTint="80"/>
            <w:vAlign w:val="center"/>
          </w:tcPr>
          <w:p w14:paraId="70D59E1A" w14:textId="77777777" w:rsidR="00FE7F8B" w:rsidRDefault="00FE7F8B">
            <w:pPr>
              <w:pStyle w:val="Tablecolumnheading"/>
              <w:jc w:val="center"/>
            </w:pPr>
          </w:p>
        </w:tc>
        <w:tc>
          <w:tcPr>
            <w:tcW w:w="2355" w:type="pct"/>
            <w:gridSpan w:val="3"/>
            <w:tcBorders>
              <w:top w:val="nil"/>
              <w:left w:val="nil"/>
              <w:bottom w:val="nil"/>
              <w:right w:val="nil"/>
            </w:tcBorders>
            <w:shd w:val="clear" w:color="auto" w:fill="7F7F7F" w:themeFill="text1" w:themeFillTint="80"/>
            <w:vAlign w:val="center"/>
            <w:hideMark/>
          </w:tcPr>
          <w:p w14:paraId="4E1F45F4" w14:textId="77777777" w:rsidR="00FE7F8B" w:rsidRDefault="00FE7F8B">
            <w:pPr>
              <w:pStyle w:val="Tablecolumnheading"/>
              <w:jc w:val="center"/>
            </w:pPr>
            <w:r>
              <w:rPr>
                <w:lang w:eastAsia="en-AU"/>
              </w:rPr>
              <w:t>Fair value measurement at end of reporting period using:</w:t>
            </w:r>
            <w:r>
              <w:rPr>
                <w:rStyle w:val="FootnoteReference"/>
              </w:rPr>
              <w:t>1</w:t>
            </w:r>
          </w:p>
        </w:tc>
      </w:tr>
      <w:tr w:rsidR="00FE7F8B" w14:paraId="06470607" w14:textId="77777777" w:rsidTr="00FE7F8B">
        <w:tc>
          <w:tcPr>
            <w:tcW w:w="1797" w:type="pct"/>
            <w:tcBorders>
              <w:top w:val="nil"/>
              <w:left w:val="nil"/>
              <w:bottom w:val="nil"/>
              <w:right w:val="nil"/>
            </w:tcBorders>
            <w:shd w:val="clear" w:color="auto" w:fill="7F7F7F" w:themeFill="text1" w:themeFillTint="80"/>
            <w:vAlign w:val="center"/>
          </w:tcPr>
          <w:p w14:paraId="3935F064" w14:textId="77777777" w:rsidR="00FE7F8B" w:rsidRDefault="00FE7F8B">
            <w:pPr>
              <w:pStyle w:val="Tablecolumnheading"/>
              <w:jc w:val="center"/>
            </w:pPr>
          </w:p>
        </w:tc>
        <w:tc>
          <w:tcPr>
            <w:tcW w:w="848" w:type="pct"/>
            <w:tcBorders>
              <w:top w:val="nil"/>
              <w:left w:val="nil"/>
              <w:bottom w:val="nil"/>
              <w:right w:val="nil"/>
            </w:tcBorders>
            <w:shd w:val="clear" w:color="auto" w:fill="7F7F7F" w:themeFill="text1" w:themeFillTint="80"/>
            <w:vAlign w:val="center"/>
            <w:hideMark/>
          </w:tcPr>
          <w:p w14:paraId="65540052" w14:textId="77777777" w:rsidR="00FE7F8B" w:rsidRDefault="00FE7F8B">
            <w:pPr>
              <w:pStyle w:val="Tablecolumnheading"/>
              <w:jc w:val="center"/>
            </w:pPr>
            <w:r>
              <w:rPr>
                <w:lang w:eastAsia="en-AU"/>
              </w:rPr>
              <w:t>Carrying amount as at 30 June 2016</w:t>
            </w:r>
            <w:r>
              <w:rPr>
                <w:lang w:eastAsia="en-AU"/>
              </w:rPr>
              <w:br/>
              <w:t>$m</w:t>
            </w:r>
          </w:p>
        </w:tc>
        <w:tc>
          <w:tcPr>
            <w:tcW w:w="755" w:type="pct"/>
            <w:tcBorders>
              <w:top w:val="nil"/>
              <w:left w:val="nil"/>
              <w:bottom w:val="nil"/>
              <w:right w:val="nil"/>
            </w:tcBorders>
            <w:shd w:val="clear" w:color="auto" w:fill="7F7F7F" w:themeFill="text1" w:themeFillTint="80"/>
            <w:vAlign w:val="center"/>
            <w:hideMark/>
          </w:tcPr>
          <w:p w14:paraId="629D3B61" w14:textId="77777777" w:rsidR="00FE7F8B" w:rsidRDefault="00FE7F8B">
            <w:pPr>
              <w:pStyle w:val="Tablecolumnheading"/>
              <w:jc w:val="center"/>
            </w:pPr>
            <w:r>
              <w:rPr>
                <w:lang w:eastAsia="en-AU"/>
              </w:rPr>
              <w:t>Level 1</w:t>
            </w:r>
            <w:r>
              <w:rPr>
                <w:lang w:eastAsia="en-AU"/>
              </w:rPr>
              <w:br/>
              <w:t>$m</w:t>
            </w:r>
          </w:p>
        </w:tc>
        <w:tc>
          <w:tcPr>
            <w:tcW w:w="755" w:type="pct"/>
            <w:tcBorders>
              <w:top w:val="nil"/>
              <w:left w:val="nil"/>
              <w:bottom w:val="nil"/>
              <w:right w:val="nil"/>
            </w:tcBorders>
            <w:shd w:val="clear" w:color="auto" w:fill="7F7F7F" w:themeFill="text1" w:themeFillTint="80"/>
            <w:vAlign w:val="center"/>
            <w:hideMark/>
          </w:tcPr>
          <w:p w14:paraId="44FBE02A" w14:textId="77777777" w:rsidR="00FE7F8B" w:rsidRDefault="00FE7F8B">
            <w:pPr>
              <w:pStyle w:val="Tablecolumnheading"/>
              <w:jc w:val="center"/>
            </w:pPr>
            <w:r>
              <w:rPr>
                <w:lang w:eastAsia="en-AU"/>
              </w:rPr>
              <w:t>Level 2</w:t>
            </w:r>
            <w:r>
              <w:rPr>
                <w:lang w:eastAsia="en-AU"/>
              </w:rPr>
              <w:br/>
              <w:t>$m</w:t>
            </w:r>
          </w:p>
        </w:tc>
        <w:tc>
          <w:tcPr>
            <w:tcW w:w="846" w:type="pct"/>
            <w:tcBorders>
              <w:top w:val="nil"/>
              <w:left w:val="nil"/>
              <w:bottom w:val="nil"/>
              <w:right w:val="nil"/>
            </w:tcBorders>
            <w:shd w:val="clear" w:color="auto" w:fill="7F7F7F" w:themeFill="text1" w:themeFillTint="80"/>
            <w:vAlign w:val="center"/>
            <w:hideMark/>
          </w:tcPr>
          <w:p w14:paraId="0DD382A1" w14:textId="77777777" w:rsidR="00FE7F8B" w:rsidRDefault="00FE7F8B">
            <w:pPr>
              <w:pStyle w:val="Tablecolumnheading"/>
              <w:jc w:val="center"/>
            </w:pPr>
            <w:r>
              <w:rPr>
                <w:lang w:eastAsia="en-AU"/>
              </w:rPr>
              <w:t>Level 3</w:t>
            </w:r>
            <w:r>
              <w:rPr>
                <w:lang w:eastAsia="en-AU"/>
              </w:rPr>
              <w:br/>
              <w:t>$m</w:t>
            </w:r>
          </w:p>
        </w:tc>
      </w:tr>
      <w:tr w:rsidR="00FE7F8B" w14:paraId="2623D546" w14:textId="77777777" w:rsidTr="00FE7F8B">
        <w:tc>
          <w:tcPr>
            <w:tcW w:w="1797" w:type="pct"/>
            <w:tcBorders>
              <w:top w:val="nil"/>
              <w:left w:val="nil"/>
              <w:bottom w:val="nil"/>
              <w:right w:val="nil"/>
            </w:tcBorders>
            <w:tcMar>
              <w:top w:w="28" w:type="dxa"/>
              <w:left w:w="0" w:type="dxa"/>
              <w:bottom w:w="0" w:type="dxa"/>
              <w:right w:w="0" w:type="dxa"/>
            </w:tcMar>
            <w:vAlign w:val="center"/>
            <w:hideMark/>
          </w:tcPr>
          <w:p w14:paraId="6DBEDC1C" w14:textId="77777777" w:rsidR="00FE7F8B" w:rsidRDefault="00FE7F8B">
            <w:pPr>
              <w:pStyle w:val="TableTextFinancial"/>
            </w:pPr>
            <w:r>
              <w:t>Land</w:t>
            </w:r>
          </w:p>
        </w:tc>
        <w:tc>
          <w:tcPr>
            <w:tcW w:w="848" w:type="pct"/>
            <w:tcBorders>
              <w:top w:val="nil"/>
              <w:left w:val="nil"/>
              <w:bottom w:val="nil"/>
              <w:right w:val="nil"/>
            </w:tcBorders>
            <w:shd w:val="clear" w:color="auto" w:fill="F2F2F2" w:themeFill="background1" w:themeFillShade="F2"/>
            <w:tcMar>
              <w:top w:w="28" w:type="dxa"/>
              <w:left w:w="0" w:type="dxa"/>
              <w:bottom w:w="0" w:type="dxa"/>
              <w:right w:w="0" w:type="dxa"/>
            </w:tcMar>
            <w:vAlign w:val="center"/>
            <w:hideMark/>
          </w:tcPr>
          <w:p w14:paraId="4E0F0666" w14:textId="77777777" w:rsidR="00FE7F8B" w:rsidRDefault="00FE7F8B">
            <w:pPr>
              <w:pStyle w:val="TableTextFinancial"/>
              <w:jc w:val="right"/>
            </w:pPr>
            <w:r>
              <w:t>7.1</w:t>
            </w:r>
          </w:p>
        </w:tc>
        <w:tc>
          <w:tcPr>
            <w:tcW w:w="755" w:type="pct"/>
            <w:tcBorders>
              <w:top w:val="nil"/>
              <w:left w:val="nil"/>
              <w:bottom w:val="nil"/>
              <w:right w:val="nil"/>
            </w:tcBorders>
            <w:tcMar>
              <w:top w:w="28" w:type="dxa"/>
              <w:left w:w="0" w:type="dxa"/>
              <w:bottom w:w="0" w:type="dxa"/>
              <w:right w:w="0" w:type="dxa"/>
            </w:tcMar>
            <w:vAlign w:val="center"/>
            <w:hideMark/>
          </w:tcPr>
          <w:p w14:paraId="31754402" w14:textId="77777777" w:rsidR="00FE7F8B" w:rsidRDefault="00FE7F8B">
            <w:pPr>
              <w:pStyle w:val="TableTextFinancial"/>
              <w:jc w:val="right"/>
            </w:pPr>
            <w:r>
              <w:t>-</w:t>
            </w:r>
          </w:p>
        </w:tc>
        <w:tc>
          <w:tcPr>
            <w:tcW w:w="755" w:type="pct"/>
            <w:tcBorders>
              <w:top w:val="nil"/>
              <w:left w:val="nil"/>
              <w:bottom w:val="nil"/>
              <w:right w:val="nil"/>
            </w:tcBorders>
            <w:tcMar>
              <w:top w:w="28" w:type="dxa"/>
              <w:left w:w="0" w:type="dxa"/>
              <w:bottom w:w="0" w:type="dxa"/>
              <w:right w:w="0" w:type="dxa"/>
            </w:tcMar>
            <w:vAlign w:val="center"/>
            <w:hideMark/>
          </w:tcPr>
          <w:p w14:paraId="7ABEC91B" w14:textId="77777777" w:rsidR="00FE7F8B" w:rsidRDefault="00FE7F8B">
            <w:pPr>
              <w:pStyle w:val="TableTextFinancial"/>
              <w:jc w:val="right"/>
            </w:pPr>
            <w:r>
              <w:t>-</w:t>
            </w:r>
          </w:p>
        </w:tc>
        <w:tc>
          <w:tcPr>
            <w:tcW w:w="846" w:type="pct"/>
            <w:tcBorders>
              <w:top w:val="nil"/>
              <w:left w:val="nil"/>
              <w:bottom w:val="nil"/>
              <w:right w:val="nil"/>
            </w:tcBorders>
            <w:tcMar>
              <w:top w:w="28" w:type="dxa"/>
              <w:left w:w="0" w:type="dxa"/>
              <w:bottom w:w="0" w:type="dxa"/>
              <w:right w:w="0" w:type="dxa"/>
            </w:tcMar>
            <w:vAlign w:val="center"/>
            <w:hideMark/>
          </w:tcPr>
          <w:p w14:paraId="0435FC7C" w14:textId="77777777" w:rsidR="00FE7F8B" w:rsidRDefault="00FE7F8B">
            <w:pPr>
              <w:pStyle w:val="TableTextFinancial"/>
              <w:jc w:val="right"/>
            </w:pPr>
            <w:r>
              <w:t>7.1</w:t>
            </w:r>
          </w:p>
        </w:tc>
      </w:tr>
      <w:tr w:rsidR="00FE7F8B" w14:paraId="026D2AE1" w14:textId="77777777" w:rsidTr="00FE7F8B">
        <w:tc>
          <w:tcPr>
            <w:tcW w:w="1797" w:type="pct"/>
            <w:tcBorders>
              <w:top w:val="nil"/>
              <w:left w:val="nil"/>
              <w:bottom w:val="nil"/>
              <w:right w:val="nil"/>
            </w:tcBorders>
            <w:vAlign w:val="bottom"/>
            <w:hideMark/>
          </w:tcPr>
          <w:p w14:paraId="47B9A90F" w14:textId="77777777" w:rsidR="00FE7F8B" w:rsidRDefault="00FE7F8B">
            <w:pPr>
              <w:pStyle w:val="TableTextFinancial"/>
            </w:pPr>
            <w:r>
              <w:t>Buildings</w:t>
            </w:r>
          </w:p>
        </w:tc>
        <w:tc>
          <w:tcPr>
            <w:tcW w:w="848" w:type="pct"/>
            <w:tcBorders>
              <w:top w:val="nil"/>
              <w:left w:val="nil"/>
              <w:bottom w:val="nil"/>
              <w:right w:val="nil"/>
            </w:tcBorders>
            <w:shd w:val="clear" w:color="auto" w:fill="F2F2F2" w:themeFill="background1" w:themeFillShade="F2"/>
            <w:vAlign w:val="bottom"/>
            <w:hideMark/>
          </w:tcPr>
          <w:p w14:paraId="38977AFE" w14:textId="77777777" w:rsidR="00FE7F8B" w:rsidRDefault="00FE7F8B">
            <w:pPr>
              <w:pStyle w:val="TableTextFinancial"/>
              <w:jc w:val="right"/>
            </w:pPr>
            <w:r>
              <w:t>0.4</w:t>
            </w:r>
          </w:p>
        </w:tc>
        <w:tc>
          <w:tcPr>
            <w:tcW w:w="755" w:type="pct"/>
            <w:tcBorders>
              <w:top w:val="nil"/>
              <w:left w:val="nil"/>
              <w:bottom w:val="nil"/>
              <w:right w:val="nil"/>
            </w:tcBorders>
            <w:vAlign w:val="bottom"/>
            <w:hideMark/>
          </w:tcPr>
          <w:p w14:paraId="2656343F" w14:textId="77777777" w:rsidR="00FE7F8B" w:rsidRDefault="00FE7F8B">
            <w:pPr>
              <w:pStyle w:val="TableTextFinancial"/>
              <w:jc w:val="right"/>
            </w:pPr>
            <w:r>
              <w:t>-</w:t>
            </w:r>
          </w:p>
        </w:tc>
        <w:tc>
          <w:tcPr>
            <w:tcW w:w="755" w:type="pct"/>
            <w:tcBorders>
              <w:top w:val="nil"/>
              <w:left w:val="nil"/>
              <w:bottom w:val="nil"/>
              <w:right w:val="nil"/>
            </w:tcBorders>
            <w:vAlign w:val="bottom"/>
            <w:hideMark/>
          </w:tcPr>
          <w:p w14:paraId="541F23C9" w14:textId="77777777" w:rsidR="00FE7F8B" w:rsidRDefault="00FE7F8B">
            <w:pPr>
              <w:pStyle w:val="TableTextFinancial"/>
              <w:jc w:val="right"/>
            </w:pPr>
            <w:r>
              <w:t>-</w:t>
            </w:r>
          </w:p>
        </w:tc>
        <w:tc>
          <w:tcPr>
            <w:tcW w:w="846" w:type="pct"/>
            <w:tcBorders>
              <w:top w:val="nil"/>
              <w:left w:val="nil"/>
              <w:bottom w:val="nil"/>
              <w:right w:val="nil"/>
            </w:tcBorders>
            <w:vAlign w:val="bottom"/>
            <w:hideMark/>
          </w:tcPr>
          <w:p w14:paraId="49ACBA20" w14:textId="77777777" w:rsidR="00FE7F8B" w:rsidRDefault="00FE7F8B">
            <w:pPr>
              <w:pStyle w:val="TableTextFinancial"/>
              <w:jc w:val="right"/>
            </w:pPr>
            <w:r>
              <w:t>0.4</w:t>
            </w:r>
          </w:p>
        </w:tc>
      </w:tr>
      <w:tr w:rsidR="00FE7F8B" w14:paraId="7947372A" w14:textId="77777777" w:rsidTr="00FE7F8B">
        <w:tc>
          <w:tcPr>
            <w:tcW w:w="1797" w:type="pct"/>
            <w:tcBorders>
              <w:top w:val="nil"/>
              <w:left w:val="nil"/>
              <w:bottom w:val="single" w:sz="4" w:space="0" w:color="auto"/>
              <w:right w:val="nil"/>
            </w:tcBorders>
            <w:vAlign w:val="bottom"/>
            <w:hideMark/>
          </w:tcPr>
          <w:p w14:paraId="3112B7A1" w14:textId="77777777" w:rsidR="00FE7F8B" w:rsidRDefault="00FE7F8B">
            <w:pPr>
              <w:pStyle w:val="TableTextFinancial"/>
            </w:pPr>
            <w:r>
              <w:t>Plant and equipment</w:t>
            </w:r>
          </w:p>
        </w:tc>
        <w:tc>
          <w:tcPr>
            <w:tcW w:w="848" w:type="pct"/>
            <w:tcBorders>
              <w:top w:val="nil"/>
              <w:left w:val="nil"/>
              <w:bottom w:val="single" w:sz="4" w:space="0" w:color="auto"/>
              <w:right w:val="nil"/>
            </w:tcBorders>
            <w:shd w:val="clear" w:color="auto" w:fill="F2F2F2" w:themeFill="background1" w:themeFillShade="F2"/>
            <w:vAlign w:val="bottom"/>
            <w:hideMark/>
          </w:tcPr>
          <w:p w14:paraId="361B76AE" w14:textId="77777777" w:rsidR="00FE7F8B" w:rsidRDefault="00FE7F8B">
            <w:pPr>
              <w:pStyle w:val="TableTextFinancial"/>
              <w:jc w:val="right"/>
            </w:pPr>
            <w:r>
              <w:t>0.2</w:t>
            </w:r>
          </w:p>
        </w:tc>
        <w:tc>
          <w:tcPr>
            <w:tcW w:w="755" w:type="pct"/>
            <w:tcBorders>
              <w:top w:val="nil"/>
              <w:left w:val="nil"/>
              <w:bottom w:val="single" w:sz="4" w:space="0" w:color="auto"/>
              <w:right w:val="nil"/>
            </w:tcBorders>
            <w:vAlign w:val="bottom"/>
            <w:hideMark/>
          </w:tcPr>
          <w:p w14:paraId="56A4BDDD" w14:textId="77777777" w:rsidR="00FE7F8B" w:rsidRDefault="00FE7F8B">
            <w:pPr>
              <w:pStyle w:val="TableTextFinancial"/>
              <w:jc w:val="right"/>
            </w:pPr>
            <w:r>
              <w:t>-</w:t>
            </w:r>
          </w:p>
        </w:tc>
        <w:tc>
          <w:tcPr>
            <w:tcW w:w="755" w:type="pct"/>
            <w:tcBorders>
              <w:top w:val="nil"/>
              <w:left w:val="nil"/>
              <w:bottom w:val="single" w:sz="4" w:space="0" w:color="auto"/>
              <w:right w:val="nil"/>
            </w:tcBorders>
            <w:vAlign w:val="bottom"/>
            <w:hideMark/>
          </w:tcPr>
          <w:p w14:paraId="09149A29" w14:textId="77777777" w:rsidR="00FE7F8B" w:rsidRDefault="00FE7F8B">
            <w:pPr>
              <w:pStyle w:val="TableTextFinancial"/>
              <w:jc w:val="right"/>
            </w:pPr>
            <w:r>
              <w:t>-</w:t>
            </w:r>
          </w:p>
        </w:tc>
        <w:tc>
          <w:tcPr>
            <w:tcW w:w="846" w:type="pct"/>
            <w:tcBorders>
              <w:top w:val="nil"/>
              <w:left w:val="nil"/>
              <w:bottom w:val="single" w:sz="4" w:space="0" w:color="auto"/>
              <w:right w:val="nil"/>
            </w:tcBorders>
            <w:vAlign w:val="bottom"/>
            <w:hideMark/>
          </w:tcPr>
          <w:p w14:paraId="766AC652" w14:textId="77777777" w:rsidR="00FE7F8B" w:rsidRDefault="00FE7F8B">
            <w:pPr>
              <w:pStyle w:val="TableTextFinancial"/>
              <w:jc w:val="right"/>
            </w:pPr>
            <w:r>
              <w:t>0.2</w:t>
            </w:r>
          </w:p>
        </w:tc>
      </w:tr>
      <w:tr w:rsidR="00FE7F8B" w14:paraId="1CF875B9" w14:textId="77777777" w:rsidTr="00FE7F8B">
        <w:tc>
          <w:tcPr>
            <w:tcW w:w="1797" w:type="pct"/>
            <w:tcBorders>
              <w:top w:val="single" w:sz="4" w:space="0" w:color="auto"/>
              <w:left w:val="nil"/>
              <w:bottom w:val="single" w:sz="4" w:space="0" w:color="auto"/>
              <w:right w:val="nil"/>
            </w:tcBorders>
            <w:vAlign w:val="bottom"/>
            <w:hideMark/>
          </w:tcPr>
          <w:p w14:paraId="3C1C3E5E" w14:textId="77777777" w:rsidR="00FE7F8B" w:rsidRDefault="00FE7F8B">
            <w:pPr>
              <w:pStyle w:val="TableTextFinancial"/>
            </w:pPr>
            <w:r>
              <w:t>Total</w:t>
            </w:r>
          </w:p>
        </w:tc>
        <w:tc>
          <w:tcPr>
            <w:tcW w:w="848" w:type="pct"/>
            <w:tcBorders>
              <w:top w:val="single" w:sz="4" w:space="0" w:color="auto"/>
              <w:left w:val="nil"/>
              <w:bottom w:val="single" w:sz="4" w:space="0" w:color="auto"/>
              <w:right w:val="nil"/>
            </w:tcBorders>
            <w:shd w:val="clear" w:color="auto" w:fill="F2F2F2" w:themeFill="background1" w:themeFillShade="F2"/>
            <w:vAlign w:val="bottom"/>
            <w:hideMark/>
          </w:tcPr>
          <w:p w14:paraId="22917C95" w14:textId="77777777" w:rsidR="00FE7F8B" w:rsidRDefault="00FE7F8B">
            <w:pPr>
              <w:pStyle w:val="TableTextFinancial"/>
              <w:jc w:val="right"/>
              <w:rPr>
                <w:b/>
              </w:rPr>
            </w:pPr>
            <w:r>
              <w:rPr>
                <w:b/>
              </w:rPr>
              <w:t>7.8</w:t>
            </w:r>
          </w:p>
        </w:tc>
        <w:tc>
          <w:tcPr>
            <w:tcW w:w="755" w:type="pct"/>
            <w:tcBorders>
              <w:top w:val="single" w:sz="4" w:space="0" w:color="auto"/>
              <w:left w:val="nil"/>
              <w:bottom w:val="single" w:sz="4" w:space="0" w:color="auto"/>
              <w:right w:val="nil"/>
            </w:tcBorders>
            <w:vAlign w:val="bottom"/>
            <w:hideMark/>
          </w:tcPr>
          <w:p w14:paraId="42653134" w14:textId="77777777" w:rsidR="00FE7F8B" w:rsidRDefault="00FE7F8B">
            <w:pPr>
              <w:pStyle w:val="TableTextFinancial"/>
              <w:jc w:val="right"/>
            </w:pPr>
            <w:r>
              <w:t>-</w:t>
            </w:r>
          </w:p>
        </w:tc>
        <w:tc>
          <w:tcPr>
            <w:tcW w:w="755" w:type="pct"/>
            <w:tcBorders>
              <w:top w:val="single" w:sz="4" w:space="0" w:color="auto"/>
              <w:left w:val="nil"/>
              <w:bottom w:val="single" w:sz="4" w:space="0" w:color="auto"/>
              <w:right w:val="nil"/>
            </w:tcBorders>
            <w:vAlign w:val="bottom"/>
            <w:hideMark/>
          </w:tcPr>
          <w:p w14:paraId="3F1D5FE6" w14:textId="77777777" w:rsidR="00FE7F8B" w:rsidRDefault="00FE7F8B">
            <w:pPr>
              <w:pStyle w:val="TableTextFinancial"/>
              <w:jc w:val="right"/>
            </w:pPr>
            <w:r>
              <w:t>-</w:t>
            </w:r>
          </w:p>
        </w:tc>
        <w:tc>
          <w:tcPr>
            <w:tcW w:w="846" w:type="pct"/>
            <w:tcBorders>
              <w:top w:val="single" w:sz="4" w:space="0" w:color="auto"/>
              <w:left w:val="nil"/>
              <w:bottom w:val="single" w:sz="4" w:space="0" w:color="auto"/>
              <w:right w:val="nil"/>
            </w:tcBorders>
            <w:vAlign w:val="bottom"/>
            <w:hideMark/>
          </w:tcPr>
          <w:p w14:paraId="64F4C362" w14:textId="77777777" w:rsidR="00FE7F8B" w:rsidRDefault="00FE7F8B">
            <w:pPr>
              <w:pStyle w:val="TableTextFinancial"/>
              <w:jc w:val="right"/>
              <w:rPr>
                <w:b/>
              </w:rPr>
            </w:pPr>
            <w:r>
              <w:rPr>
                <w:b/>
              </w:rPr>
              <w:t>7.8</w:t>
            </w:r>
          </w:p>
        </w:tc>
      </w:tr>
    </w:tbl>
    <w:p w14:paraId="02C8FC00" w14:textId="77777777" w:rsidR="00FE7F8B" w:rsidRDefault="00FE7F8B" w:rsidP="00FE7F8B">
      <w:pPr>
        <w:pStyle w:val="TableTextFinancial"/>
        <w:rPr>
          <w:lang w:val="en-US"/>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1"/>
        <w:gridCol w:w="1275"/>
        <w:gridCol w:w="1134"/>
        <w:gridCol w:w="1134"/>
        <w:gridCol w:w="1271"/>
      </w:tblGrid>
      <w:tr w:rsidR="00FE7F8B" w14:paraId="28D5CB37" w14:textId="77777777" w:rsidTr="00FE7F8B">
        <w:tc>
          <w:tcPr>
            <w:tcW w:w="2699" w:type="dxa"/>
            <w:tcBorders>
              <w:top w:val="nil"/>
              <w:left w:val="nil"/>
              <w:bottom w:val="nil"/>
              <w:right w:val="nil"/>
            </w:tcBorders>
            <w:shd w:val="clear" w:color="auto" w:fill="7F7F7F" w:themeFill="text1" w:themeFillTint="80"/>
            <w:vAlign w:val="center"/>
          </w:tcPr>
          <w:p w14:paraId="73782B8B" w14:textId="77777777" w:rsidR="00FE7F8B" w:rsidRDefault="00FE7F8B">
            <w:pPr>
              <w:pStyle w:val="Tablecolumnheading"/>
              <w:jc w:val="center"/>
            </w:pPr>
          </w:p>
        </w:tc>
        <w:tc>
          <w:tcPr>
            <w:tcW w:w="1275" w:type="dxa"/>
            <w:tcBorders>
              <w:top w:val="nil"/>
              <w:left w:val="nil"/>
              <w:bottom w:val="nil"/>
              <w:right w:val="nil"/>
            </w:tcBorders>
            <w:shd w:val="clear" w:color="auto" w:fill="7F7F7F" w:themeFill="text1" w:themeFillTint="80"/>
            <w:vAlign w:val="center"/>
          </w:tcPr>
          <w:p w14:paraId="642B5F65" w14:textId="77777777" w:rsidR="00FE7F8B" w:rsidRDefault="00FE7F8B">
            <w:pPr>
              <w:pStyle w:val="Tablecolumnheading"/>
              <w:jc w:val="center"/>
            </w:pPr>
          </w:p>
        </w:tc>
        <w:tc>
          <w:tcPr>
            <w:tcW w:w="3539" w:type="dxa"/>
            <w:gridSpan w:val="3"/>
            <w:tcBorders>
              <w:top w:val="nil"/>
              <w:left w:val="nil"/>
              <w:bottom w:val="nil"/>
              <w:right w:val="nil"/>
            </w:tcBorders>
            <w:shd w:val="clear" w:color="auto" w:fill="7F7F7F" w:themeFill="text1" w:themeFillTint="80"/>
            <w:vAlign w:val="center"/>
            <w:hideMark/>
          </w:tcPr>
          <w:p w14:paraId="6EF785D2" w14:textId="77777777" w:rsidR="00FE7F8B" w:rsidRDefault="00FE7F8B">
            <w:pPr>
              <w:pStyle w:val="Tablecolumnheading"/>
              <w:jc w:val="center"/>
            </w:pPr>
            <w:r>
              <w:rPr>
                <w:lang w:eastAsia="en-AU"/>
              </w:rPr>
              <w:t>Fair value measurement at end of reporting period using:</w:t>
            </w:r>
            <w:r>
              <w:rPr>
                <w:rStyle w:val="FootnoteReference"/>
              </w:rPr>
              <w:t>1</w:t>
            </w:r>
          </w:p>
        </w:tc>
      </w:tr>
      <w:tr w:rsidR="00FE7F8B" w14:paraId="00D048CF" w14:textId="77777777" w:rsidTr="00FE7F8B">
        <w:tc>
          <w:tcPr>
            <w:tcW w:w="2699" w:type="dxa"/>
            <w:tcBorders>
              <w:top w:val="nil"/>
              <w:left w:val="nil"/>
              <w:bottom w:val="nil"/>
              <w:right w:val="nil"/>
            </w:tcBorders>
            <w:shd w:val="clear" w:color="auto" w:fill="7F7F7F" w:themeFill="text1" w:themeFillTint="80"/>
            <w:vAlign w:val="center"/>
          </w:tcPr>
          <w:p w14:paraId="2CE1D59F" w14:textId="77777777" w:rsidR="00FE7F8B" w:rsidRDefault="00FE7F8B">
            <w:pPr>
              <w:pStyle w:val="Tablecolumnheading"/>
              <w:jc w:val="center"/>
            </w:pPr>
          </w:p>
        </w:tc>
        <w:tc>
          <w:tcPr>
            <w:tcW w:w="1275" w:type="dxa"/>
            <w:tcBorders>
              <w:top w:val="nil"/>
              <w:left w:val="nil"/>
              <w:bottom w:val="nil"/>
              <w:right w:val="nil"/>
            </w:tcBorders>
            <w:shd w:val="clear" w:color="auto" w:fill="7F7F7F" w:themeFill="text1" w:themeFillTint="80"/>
            <w:vAlign w:val="center"/>
            <w:hideMark/>
          </w:tcPr>
          <w:p w14:paraId="6ECD0A07" w14:textId="77777777" w:rsidR="00FE7F8B" w:rsidRDefault="00FE7F8B">
            <w:pPr>
              <w:pStyle w:val="Tablecolumnheading"/>
              <w:jc w:val="center"/>
            </w:pPr>
            <w:r>
              <w:rPr>
                <w:lang w:eastAsia="en-AU"/>
              </w:rPr>
              <w:t>Carrying amount as at 30 June 2015</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4B06A381" w14:textId="77777777" w:rsidR="00FE7F8B" w:rsidRDefault="00FE7F8B">
            <w:pPr>
              <w:pStyle w:val="Tablecolumnheading"/>
              <w:jc w:val="center"/>
            </w:pPr>
            <w:r>
              <w:rPr>
                <w:lang w:eastAsia="en-AU"/>
              </w:rPr>
              <w:t>Level 1</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58BB7A88" w14:textId="77777777" w:rsidR="00FE7F8B" w:rsidRDefault="00FE7F8B">
            <w:pPr>
              <w:pStyle w:val="Tablecolumnheading"/>
              <w:jc w:val="center"/>
            </w:pPr>
            <w:r>
              <w:rPr>
                <w:lang w:eastAsia="en-AU"/>
              </w:rPr>
              <w:t>Level 2</w:t>
            </w:r>
            <w:r>
              <w:rPr>
                <w:lang w:eastAsia="en-AU"/>
              </w:rPr>
              <w:br/>
              <w:t>$m</w:t>
            </w:r>
          </w:p>
        </w:tc>
        <w:tc>
          <w:tcPr>
            <w:tcW w:w="1271" w:type="dxa"/>
            <w:tcBorders>
              <w:top w:val="nil"/>
              <w:left w:val="nil"/>
              <w:bottom w:val="nil"/>
              <w:right w:val="nil"/>
            </w:tcBorders>
            <w:shd w:val="clear" w:color="auto" w:fill="7F7F7F" w:themeFill="text1" w:themeFillTint="80"/>
            <w:vAlign w:val="center"/>
            <w:hideMark/>
          </w:tcPr>
          <w:p w14:paraId="2B58981D" w14:textId="77777777" w:rsidR="00FE7F8B" w:rsidRDefault="00FE7F8B">
            <w:pPr>
              <w:pStyle w:val="Tablecolumnheading"/>
              <w:jc w:val="center"/>
            </w:pPr>
            <w:r>
              <w:rPr>
                <w:lang w:eastAsia="en-AU"/>
              </w:rPr>
              <w:t>Level 3</w:t>
            </w:r>
            <w:r>
              <w:rPr>
                <w:lang w:eastAsia="en-AU"/>
              </w:rPr>
              <w:br/>
              <w:t>$m</w:t>
            </w:r>
          </w:p>
        </w:tc>
      </w:tr>
      <w:tr w:rsidR="00FE7F8B" w14:paraId="6EC71572" w14:textId="77777777" w:rsidTr="00FE7F8B">
        <w:tc>
          <w:tcPr>
            <w:tcW w:w="2699" w:type="dxa"/>
            <w:tcBorders>
              <w:top w:val="nil"/>
              <w:left w:val="nil"/>
              <w:bottom w:val="nil"/>
              <w:right w:val="nil"/>
            </w:tcBorders>
            <w:tcMar>
              <w:top w:w="28" w:type="dxa"/>
              <w:left w:w="0" w:type="dxa"/>
              <w:bottom w:w="0" w:type="dxa"/>
              <w:right w:w="0" w:type="dxa"/>
            </w:tcMar>
            <w:vAlign w:val="bottom"/>
            <w:hideMark/>
          </w:tcPr>
          <w:p w14:paraId="5185F07C" w14:textId="77777777" w:rsidR="00FE7F8B" w:rsidRDefault="00FE7F8B">
            <w:pPr>
              <w:pStyle w:val="TableTextFinancial"/>
            </w:pPr>
            <w:r>
              <w:t>Land</w:t>
            </w:r>
          </w:p>
        </w:tc>
        <w:tc>
          <w:tcPr>
            <w:tcW w:w="1275" w:type="dxa"/>
            <w:tcBorders>
              <w:top w:val="nil"/>
              <w:left w:val="nil"/>
              <w:bottom w:val="nil"/>
              <w:right w:val="nil"/>
            </w:tcBorders>
            <w:shd w:val="clear" w:color="auto" w:fill="F2F2F2" w:themeFill="background1" w:themeFillShade="F2"/>
            <w:tcMar>
              <w:top w:w="28" w:type="dxa"/>
              <w:left w:w="0" w:type="dxa"/>
              <w:bottom w:w="0" w:type="dxa"/>
              <w:right w:w="0" w:type="dxa"/>
            </w:tcMar>
            <w:vAlign w:val="bottom"/>
            <w:hideMark/>
          </w:tcPr>
          <w:p w14:paraId="1A67A33C" w14:textId="77777777" w:rsidR="00FE7F8B" w:rsidRDefault="00FE7F8B">
            <w:pPr>
              <w:pStyle w:val="TableTextFinancial"/>
              <w:jc w:val="right"/>
            </w:pPr>
            <w:r>
              <w:t>107.5</w:t>
            </w:r>
          </w:p>
        </w:tc>
        <w:tc>
          <w:tcPr>
            <w:tcW w:w="1134" w:type="dxa"/>
            <w:tcBorders>
              <w:top w:val="nil"/>
              <w:left w:val="nil"/>
              <w:bottom w:val="nil"/>
              <w:right w:val="nil"/>
            </w:tcBorders>
            <w:tcMar>
              <w:top w:w="28" w:type="dxa"/>
              <w:left w:w="0" w:type="dxa"/>
              <w:bottom w:w="0" w:type="dxa"/>
              <w:right w:w="0" w:type="dxa"/>
            </w:tcMar>
            <w:vAlign w:val="bottom"/>
            <w:hideMark/>
          </w:tcPr>
          <w:p w14:paraId="14EE001A" w14:textId="77777777" w:rsidR="00FE7F8B" w:rsidRDefault="00FE7F8B">
            <w:pPr>
              <w:pStyle w:val="TableTextFinancial"/>
              <w:jc w:val="right"/>
            </w:pPr>
            <w:r>
              <w:t>-</w:t>
            </w:r>
          </w:p>
        </w:tc>
        <w:tc>
          <w:tcPr>
            <w:tcW w:w="1134" w:type="dxa"/>
            <w:tcBorders>
              <w:top w:val="nil"/>
              <w:left w:val="nil"/>
              <w:bottom w:val="nil"/>
              <w:right w:val="nil"/>
            </w:tcBorders>
            <w:tcMar>
              <w:top w:w="28" w:type="dxa"/>
              <w:left w:w="0" w:type="dxa"/>
              <w:bottom w:w="0" w:type="dxa"/>
              <w:right w:w="0" w:type="dxa"/>
            </w:tcMar>
            <w:vAlign w:val="bottom"/>
            <w:hideMark/>
          </w:tcPr>
          <w:p w14:paraId="0986ADFB" w14:textId="77777777" w:rsidR="00FE7F8B" w:rsidRDefault="00FE7F8B">
            <w:pPr>
              <w:pStyle w:val="TableTextFinancial"/>
              <w:jc w:val="right"/>
            </w:pPr>
            <w:r>
              <w:t>-</w:t>
            </w:r>
          </w:p>
        </w:tc>
        <w:tc>
          <w:tcPr>
            <w:tcW w:w="1271" w:type="dxa"/>
            <w:tcBorders>
              <w:top w:val="nil"/>
              <w:left w:val="nil"/>
              <w:bottom w:val="nil"/>
              <w:right w:val="nil"/>
            </w:tcBorders>
            <w:tcMar>
              <w:top w:w="28" w:type="dxa"/>
              <w:left w:w="0" w:type="dxa"/>
              <w:bottom w:w="0" w:type="dxa"/>
              <w:right w:w="0" w:type="dxa"/>
            </w:tcMar>
            <w:vAlign w:val="bottom"/>
            <w:hideMark/>
          </w:tcPr>
          <w:p w14:paraId="0ECD2312" w14:textId="77777777" w:rsidR="00FE7F8B" w:rsidRDefault="00FE7F8B">
            <w:pPr>
              <w:pStyle w:val="TableTextFinancial"/>
              <w:jc w:val="right"/>
            </w:pPr>
            <w:r>
              <w:t>107.5</w:t>
            </w:r>
          </w:p>
        </w:tc>
      </w:tr>
      <w:tr w:rsidR="00FE7F8B" w14:paraId="7F5D2567" w14:textId="77777777" w:rsidTr="00FE7F8B">
        <w:tc>
          <w:tcPr>
            <w:tcW w:w="2699" w:type="dxa"/>
            <w:tcBorders>
              <w:top w:val="nil"/>
              <w:left w:val="nil"/>
              <w:bottom w:val="single" w:sz="4" w:space="0" w:color="auto"/>
              <w:right w:val="nil"/>
            </w:tcBorders>
            <w:vAlign w:val="bottom"/>
            <w:hideMark/>
          </w:tcPr>
          <w:p w14:paraId="668EA12F" w14:textId="77777777" w:rsidR="00FE7F8B" w:rsidRDefault="00FE7F8B">
            <w:pPr>
              <w:pStyle w:val="TableTextFinancial"/>
            </w:pPr>
            <w:r>
              <w:t>Plant and equipment</w:t>
            </w:r>
          </w:p>
        </w:tc>
        <w:tc>
          <w:tcPr>
            <w:tcW w:w="1275" w:type="dxa"/>
            <w:tcBorders>
              <w:top w:val="nil"/>
              <w:left w:val="nil"/>
              <w:bottom w:val="single" w:sz="4" w:space="0" w:color="auto"/>
              <w:right w:val="nil"/>
            </w:tcBorders>
            <w:shd w:val="clear" w:color="auto" w:fill="F2F2F2" w:themeFill="background1" w:themeFillShade="F2"/>
            <w:vAlign w:val="bottom"/>
            <w:hideMark/>
          </w:tcPr>
          <w:p w14:paraId="08CA8223" w14:textId="77777777" w:rsidR="00FE7F8B" w:rsidRDefault="00FE7F8B">
            <w:pPr>
              <w:pStyle w:val="TableTextFinancial"/>
              <w:jc w:val="right"/>
            </w:pPr>
            <w:r>
              <w:t>0.4</w:t>
            </w:r>
          </w:p>
        </w:tc>
        <w:tc>
          <w:tcPr>
            <w:tcW w:w="1134" w:type="dxa"/>
            <w:tcBorders>
              <w:top w:val="nil"/>
              <w:left w:val="nil"/>
              <w:bottom w:val="single" w:sz="4" w:space="0" w:color="auto"/>
              <w:right w:val="nil"/>
            </w:tcBorders>
            <w:vAlign w:val="bottom"/>
            <w:hideMark/>
          </w:tcPr>
          <w:p w14:paraId="5BEF2811" w14:textId="77777777" w:rsidR="00FE7F8B" w:rsidRDefault="00FE7F8B">
            <w:pPr>
              <w:pStyle w:val="TableTextFinancial"/>
              <w:jc w:val="right"/>
            </w:pPr>
            <w:r>
              <w:t>-</w:t>
            </w:r>
          </w:p>
        </w:tc>
        <w:tc>
          <w:tcPr>
            <w:tcW w:w="1134" w:type="dxa"/>
            <w:tcBorders>
              <w:top w:val="nil"/>
              <w:left w:val="nil"/>
              <w:bottom w:val="single" w:sz="4" w:space="0" w:color="auto"/>
              <w:right w:val="nil"/>
            </w:tcBorders>
            <w:vAlign w:val="bottom"/>
            <w:hideMark/>
          </w:tcPr>
          <w:p w14:paraId="00E10C97" w14:textId="77777777" w:rsidR="00FE7F8B" w:rsidRDefault="00FE7F8B">
            <w:pPr>
              <w:pStyle w:val="TableTextFinancial"/>
              <w:jc w:val="right"/>
            </w:pPr>
            <w:r>
              <w:t>-</w:t>
            </w:r>
          </w:p>
        </w:tc>
        <w:tc>
          <w:tcPr>
            <w:tcW w:w="1271" w:type="dxa"/>
            <w:tcBorders>
              <w:top w:val="nil"/>
              <w:left w:val="nil"/>
              <w:bottom w:val="single" w:sz="4" w:space="0" w:color="auto"/>
              <w:right w:val="nil"/>
            </w:tcBorders>
            <w:vAlign w:val="bottom"/>
            <w:hideMark/>
          </w:tcPr>
          <w:p w14:paraId="54ACAC5C" w14:textId="77777777" w:rsidR="00FE7F8B" w:rsidRDefault="00FE7F8B">
            <w:pPr>
              <w:pStyle w:val="TableTextFinancial"/>
              <w:jc w:val="right"/>
            </w:pPr>
            <w:r>
              <w:t>0.4</w:t>
            </w:r>
          </w:p>
        </w:tc>
      </w:tr>
      <w:tr w:rsidR="00FE7F8B" w14:paraId="1F87C675" w14:textId="77777777" w:rsidTr="00FE7F8B">
        <w:tc>
          <w:tcPr>
            <w:tcW w:w="2699" w:type="dxa"/>
            <w:tcBorders>
              <w:top w:val="single" w:sz="4" w:space="0" w:color="auto"/>
              <w:left w:val="nil"/>
              <w:bottom w:val="single" w:sz="4" w:space="0" w:color="auto"/>
              <w:right w:val="nil"/>
            </w:tcBorders>
            <w:vAlign w:val="bottom"/>
            <w:hideMark/>
          </w:tcPr>
          <w:p w14:paraId="3370DFDF" w14:textId="77777777" w:rsidR="00FE7F8B" w:rsidRDefault="00FE7F8B">
            <w:pPr>
              <w:pStyle w:val="TableTextFinancial"/>
            </w:pPr>
            <w:r>
              <w:t>Total</w:t>
            </w:r>
          </w:p>
        </w:tc>
        <w:tc>
          <w:tcPr>
            <w:tcW w:w="1275" w:type="dxa"/>
            <w:tcBorders>
              <w:top w:val="single" w:sz="4" w:space="0" w:color="auto"/>
              <w:left w:val="nil"/>
              <w:bottom w:val="single" w:sz="4" w:space="0" w:color="auto"/>
              <w:right w:val="nil"/>
            </w:tcBorders>
            <w:shd w:val="clear" w:color="auto" w:fill="F2F2F2" w:themeFill="background1" w:themeFillShade="F2"/>
            <w:vAlign w:val="bottom"/>
            <w:hideMark/>
          </w:tcPr>
          <w:p w14:paraId="0C4946CE" w14:textId="77777777" w:rsidR="00FE7F8B" w:rsidRDefault="00FE7F8B">
            <w:pPr>
              <w:pStyle w:val="TableTextFinancial"/>
              <w:jc w:val="right"/>
              <w:rPr>
                <w:b/>
              </w:rPr>
            </w:pPr>
            <w:r>
              <w:rPr>
                <w:b/>
              </w:rPr>
              <w:t>107.9</w:t>
            </w:r>
          </w:p>
        </w:tc>
        <w:tc>
          <w:tcPr>
            <w:tcW w:w="1134" w:type="dxa"/>
            <w:tcBorders>
              <w:top w:val="single" w:sz="4" w:space="0" w:color="auto"/>
              <w:left w:val="nil"/>
              <w:bottom w:val="single" w:sz="4" w:space="0" w:color="auto"/>
              <w:right w:val="nil"/>
            </w:tcBorders>
            <w:vAlign w:val="bottom"/>
            <w:hideMark/>
          </w:tcPr>
          <w:p w14:paraId="722E09AD" w14:textId="77777777" w:rsidR="00FE7F8B" w:rsidRDefault="00FE7F8B">
            <w:pPr>
              <w:pStyle w:val="TableTextFinancial"/>
              <w:jc w:val="right"/>
              <w:rPr>
                <w:b/>
              </w:rPr>
            </w:pPr>
            <w:r>
              <w:rPr>
                <w:b/>
              </w:rPr>
              <w:t>-</w:t>
            </w:r>
          </w:p>
        </w:tc>
        <w:tc>
          <w:tcPr>
            <w:tcW w:w="1134" w:type="dxa"/>
            <w:tcBorders>
              <w:top w:val="single" w:sz="4" w:space="0" w:color="auto"/>
              <w:left w:val="nil"/>
              <w:bottom w:val="single" w:sz="4" w:space="0" w:color="auto"/>
              <w:right w:val="nil"/>
            </w:tcBorders>
            <w:vAlign w:val="bottom"/>
            <w:hideMark/>
          </w:tcPr>
          <w:p w14:paraId="6B361E91" w14:textId="77777777" w:rsidR="00FE7F8B" w:rsidRDefault="00FE7F8B">
            <w:pPr>
              <w:pStyle w:val="TableTextFinancial"/>
              <w:jc w:val="right"/>
            </w:pPr>
            <w:r>
              <w:t>-</w:t>
            </w:r>
          </w:p>
        </w:tc>
        <w:tc>
          <w:tcPr>
            <w:tcW w:w="1271" w:type="dxa"/>
            <w:tcBorders>
              <w:top w:val="single" w:sz="4" w:space="0" w:color="auto"/>
              <w:left w:val="nil"/>
              <w:bottom w:val="single" w:sz="4" w:space="0" w:color="auto"/>
              <w:right w:val="nil"/>
            </w:tcBorders>
            <w:vAlign w:val="bottom"/>
            <w:hideMark/>
          </w:tcPr>
          <w:p w14:paraId="163F9019" w14:textId="77777777" w:rsidR="00FE7F8B" w:rsidRDefault="00FE7F8B">
            <w:pPr>
              <w:pStyle w:val="TableTextFinancial"/>
              <w:jc w:val="right"/>
              <w:rPr>
                <w:b/>
              </w:rPr>
            </w:pPr>
            <w:r>
              <w:rPr>
                <w:b/>
              </w:rPr>
              <w:t>107.9</w:t>
            </w:r>
          </w:p>
        </w:tc>
      </w:tr>
    </w:tbl>
    <w:p w14:paraId="36D532E6" w14:textId="77777777" w:rsidR="00FE7F8B" w:rsidRDefault="00FE7F8B" w:rsidP="00FE7F8B">
      <w:pPr>
        <w:pStyle w:val="FootnoteText"/>
        <w:rPr>
          <w:sz w:val="13"/>
        </w:rPr>
      </w:pPr>
      <w:r>
        <w:t>1 Classified in accordance with the fair value hierarchy (Note 1(b))</w:t>
      </w:r>
    </w:p>
    <w:p w14:paraId="2C0E6478" w14:textId="77777777" w:rsidR="00FE7F8B" w:rsidRDefault="00FE7F8B" w:rsidP="00FE7F8B">
      <w:pPr>
        <w:spacing w:after="0" w:line="240" w:lineRule="auto"/>
        <w:sectPr w:rsidR="00FE7F8B">
          <w:footnotePr>
            <w:pos w:val="beneathText"/>
            <w:numRestart w:val="eachPage"/>
          </w:footnotePr>
          <w:pgSz w:w="11909" w:h="16834"/>
          <w:pgMar w:top="1814" w:right="1701" w:bottom="1418" w:left="2835" w:header="709" w:footer="709" w:gutter="0"/>
          <w:cols w:space="720"/>
        </w:sectPr>
      </w:pPr>
    </w:p>
    <w:p w14:paraId="3F310AF0" w14:textId="77777777" w:rsidR="00FE7F8B" w:rsidRDefault="00FE7F8B" w:rsidP="00AD641C">
      <w:pPr>
        <w:pStyle w:val="Heading2notes"/>
        <w:numPr>
          <w:ilvl w:val="0"/>
          <w:numId w:val="39"/>
        </w:numPr>
      </w:pPr>
      <w:bookmarkStart w:id="84" w:name="_Toc399491067"/>
      <w:bookmarkStart w:id="85" w:name="_Toc461176299"/>
      <w:bookmarkStart w:id="86" w:name="Intangibles"/>
      <w:r>
        <w:t>Intangible assets</w:t>
      </w:r>
      <w:bookmarkEnd w:id="84"/>
      <w:bookmarkEnd w:id="85"/>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1"/>
        <w:gridCol w:w="851"/>
        <w:gridCol w:w="1277"/>
        <w:gridCol w:w="1276"/>
        <w:gridCol w:w="1135"/>
      </w:tblGrid>
      <w:tr w:rsidR="00FE7F8B" w14:paraId="196A3D85" w14:textId="77777777" w:rsidTr="00FE7F8B">
        <w:tc>
          <w:tcPr>
            <w:tcW w:w="2840" w:type="dxa"/>
            <w:tcBorders>
              <w:top w:val="nil"/>
              <w:left w:val="nil"/>
              <w:bottom w:val="nil"/>
              <w:right w:val="nil"/>
            </w:tcBorders>
            <w:shd w:val="clear" w:color="auto" w:fill="7F7F7F" w:themeFill="text1" w:themeFillTint="80"/>
            <w:vAlign w:val="center"/>
            <w:hideMark/>
          </w:tcPr>
          <w:p w14:paraId="577D6DA1" w14:textId="77777777" w:rsidR="00FE7F8B" w:rsidRDefault="00FE7F8B">
            <w:pPr>
              <w:pStyle w:val="Tablecolumnheading"/>
              <w:jc w:val="center"/>
              <w:rPr>
                <w:lang w:eastAsia="en-AU"/>
              </w:rPr>
            </w:pPr>
            <w:r>
              <w:rPr>
                <w:lang w:eastAsia="en-AU"/>
              </w:rPr>
              <w:t>2016</w:t>
            </w:r>
          </w:p>
        </w:tc>
        <w:tc>
          <w:tcPr>
            <w:tcW w:w="851" w:type="dxa"/>
            <w:tcBorders>
              <w:top w:val="nil"/>
              <w:left w:val="nil"/>
              <w:bottom w:val="nil"/>
              <w:right w:val="nil"/>
            </w:tcBorders>
            <w:shd w:val="clear" w:color="auto" w:fill="7F7F7F" w:themeFill="text1" w:themeFillTint="80"/>
            <w:vAlign w:val="center"/>
            <w:hideMark/>
          </w:tcPr>
          <w:p w14:paraId="01E3AE88" w14:textId="77777777" w:rsidR="00FE7F8B" w:rsidRDefault="00FE7F8B">
            <w:pPr>
              <w:pStyle w:val="Tablecolumnheading"/>
              <w:jc w:val="center"/>
            </w:pPr>
            <w:r>
              <w:rPr>
                <w:lang w:eastAsia="en-AU"/>
              </w:rPr>
              <w:t>Note</w:t>
            </w:r>
          </w:p>
        </w:tc>
        <w:tc>
          <w:tcPr>
            <w:tcW w:w="1276" w:type="dxa"/>
            <w:tcBorders>
              <w:top w:val="nil"/>
              <w:left w:val="nil"/>
              <w:bottom w:val="nil"/>
              <w:right w:val="nil"/>
            </w:tcBorders>
            <w:shd w:val="clear" w:color="auto" w:fill="7F7F7F" w:themeFill="text1" w:themeFillTint="80"/>
            <w:vAlign w:val="bottom"/>
            <w:hideMark/>
          </w:tcPr>
          <w:p w14:paraId="16AB403F" w14:textId="77777777" w:rsidR="00FE7F8B" w:rsidRDefault="00FE7F8B">
            <w:pPr>
              <w:pStyle w:val="Tablecolumnheading"/>
              <w:jc w:val="center"/>
            </w:pPr>
            <w:r>
              <w:rPr>
                <w:lang w:eastAsia="en-AU"/>
              </w:rPr>
              <w:t>Software at cost</w:t>
            </w:r>
            <w:r>
              <w:rPr>
                <w:lang w:eastAsia="en-AU"/>
              </w:rPr>
              <w:br/>
              <w:t>$m</w:t>
            </w:r>
          </w:p>
        </w:tc>
        <w:tc>
          <w:tcPr>
            <w:tcW w:w="1275" w:type="dxa"/>
            <w:tcBorders>
              <w:top w:val="nil"/>
              <w:left w:val="nil"/>
              <w:bottom w:val="nil"/>
              <w:right w:val="nil"/>
            </w:tcBorders>
            <w:shd w:val="clear" w:color="auto" w:fill="7F7F7F" w:themeFill="text1" w:themeFillTint="80"/>
            <w:vAlign w:val="bottom"/>
            <w:hideMark/>
          </w:tcPr>
          <w:p w14:paraId="42CC6424" w14:textId="77777777" w:rsidR="00FE7F8B" w:rsidRDefault="00FE7F8B">
            <w:pPr>
              <w:pStyle w:val="Tablecolumnheading"/>
              <w:jc w:val="center"/>
            </w:pPr>
            <w:r>
              <w:rPr>
                <w:lang w:eastAsia="en-AU"/>
              </w:rPr>
              <w:t>Software work in progress</w:t>
            </w:r>
            <w:r>
              <w:rPr>
                <w:lang w:eastAsia="en-AU"/>
              </w:rPr>
              <w:br/>
              <w:t>$m</w:t>
            </w:r>
          </w:p>
        </w:tc>
        <w:tc>
          <w:tcPr>
            <w:tcW w:w="1134" w:type="dxa"/>
            <w:tcBorders>
              <w:top w:val="nil"/>
              <w:left w:val="nil"/>
              <w:bottom w:val="nil"/>
              <w:right w:val="nil"/>
            </w:tcBorders>
            <w:shd w:val="clear" w:color="auto" w:fill="7F7F7F" w:themeFill="text1" w:themeFillTint="80"/>
            <w:vAlign w:val="bottom"/>
            <w:hideMark/>
          </w:tcPr>
          <w:p w14:paraId="362A8CD9" w14:textId="77777777" w:rsidR="00FE7F8B" w:rsidRDefault="00FE7F8B">
            <w:pPr>
              <w:pStyle w:val="Tablecolumnheading"/>
              <w:jc w:val="center"/>
            </w:pPr>
            <w:r>
              <w:rPr>
                <w:lang w:eastAsia="en-AU"/>
              </w:rPr>
              <w:t>Total</w:t>
            </w:r>
            <w:r>
              <w:rPr>
                <w:lang w:eastAsia="en-AU"/>
              </w:rPr>
              <w:br/>
              <w:t>$m</w:t>
            </w:r>
          </w:p>
        </w:tc>
      </w:tr>
      <w:tr w:rsidR="00FE7F8B" w14:paraId="474F08E9" w14:textId="77777777" w:rsidTr="00FE7F8B">
        <w:tc>
          <w:tcPr>
            <w:tcW w:w="2840" w:type="dxa"/>
            <w:tcBorders>
              <w:top w:val="nil"/>
              <w:left w:val="nil"/>
              <w:bottom w:val="nil"/>
              <w:right w:val="nil"/>
            </w:tcBorders>
            <w:vAlign w:val="bottom"/>
            <w:hideMark/>
          </w:tcPr>
          <w:p w14:paraId="1BC6E53F" w14:textId="77777777" w:rsidR="00FE7F8B" w:rsidRDefault="00FE7F8B">
            <w:pPr>
              <w:pStyle w:val="TableTextFinancial"/>
              <w:rPr>
                <w:b/>
              </w:rPr>
            </w:pPr>
            <w:r>
              <w:rPr>
                <w:b/>
              </w:rPr>
              <w:t>Opening balance</w:t>
            </w:r>
          </w:p>
        </w:tc>
        <w:tc>
          <w:tcPr>
            <w:tcW w:w="851" w:type="dxa"/>
            <w:tcBorders>
              <w:top w:val="nil"/>
              <w:left w:val="nil"/>
              <w:bottom w:val="nil"/>
              <w:right w:val="nil"/>
            </w:tcBorders>
            <w:vAlign w:val="bottom"/>
          </w:tcPr>
          <w:p w14:paraId="385551C4" w14:textId="77777777" w:rsidR="00FE7F8B" w:rsidRDefault="00FE7F8B">
            <w:pPr>
              <w:pStyle w:val="TableTextFinancial"/>
            </w:pPr>
          </w:p>
        </w:tc>
        <w:tc>
          <w:tcPr>
            <w:tcW w:w="1276" w:type="dxa"/>
            <w:tcBorders>
              <w:top w:val="nil"/>
              <w:left w:val="nil"/>
              <w:bottom w:val="nil"/>
              <w:right w:val="nil"/>
            </w:tcBorders>
            <w:vAlign w:val="bottom"/>
            <w:hideMark/>
          </w:tcPr>
          <w:p w14:paraId="3C2EA8AA" w14:textId="77777777" w:rsidR="00FE7F8B" w:rsidRDefault="00FE7F8B">
            <w:pPr>
              <w:pStyle w:val="TableTextFinancial"/>
              <w:jc w:val="right"/>
              <w:rPr>
                <w:b/>
              </w:rPr>
            </w:pPr>
            <w:r>
              <w:rPr>
                <w:b/>
              </w:rPr>
              <w:t>110.9</w:t>
            </w:r>
          </w:p>
        </w:tc>
        <w:tc>
          <w:tcPr>
            <w:tcW w:w="1275" w:type="dxa"/>
            <w:tcBorders>
              <w:top w:val="nil"/>
              <w:left w:val="nil"/>
              <w:bottom w:val="nil"/>
              <w:right w:val="nil"/>
            </w:tcBorders>
            <w:vAlign w:val="bottom"/>
            <w:hideMark/>
          </w:tcPr>
          <w:p w14:paraId="65096124" w14:textId="77777777" w:rsidR="00FE7F8B" w:rsidRDefault="00FE7F8B">
            <w:pPr>
              <w:pStyle w:val="TableTextFinancial"/>
              <w:jc w:val="right"/>
              <w:rPr>
                <w:b/>
              </w:rPr>
            </w:pPr>
            <w:r>
              <w:rPr>
                <w:b/>
              </w:rPr>
              <w:t>38.5</w:t>
            </w:r>
          </w:p>
        </w:tc>
        <w:tc>
          <w:tcPr>
            <w:tcW w:w="1134" w:type="dxa"/>
            <w:tcBorders>
              <w:top w:val="nil"/>
              <w:left w:val="nil"/>
              <w:bottom w:val="nil"/>
              <w:right w:val="nil"/>
            </w:tcBorders>
            <w:vAlign w:val="bottom"/>
            <w:hideMark/>
          </w:tcPr>
          <w:p w14:paraId="33E084AF" w14:textId="77777777" w:rsidR="00FE7F8B" w:rsidRDefault="00FE7F8B">
            <w:pPr>
              <w:pStyle w:val="TableTextFinancial"/>
              <w:jc w:val="right"/>
              <w:rPr>
                <w:b/>
              </w:rPr>
            </w:pPr>
            <w:r>
              <w:rPr>
                <w:b/>
              </w:rPr>
              <w:t>149.4</w:t>
            </w:r>
          </w:p>
        </w:tc>
      </w:tr>
      <w:tr w:rsidR="00FE7F8B" w14:paraId="4841E4B0" w14:textId="77777777" w:rsidTr="00FE7F8B">
        <w:tc>
          <w:tcPr>
            <w:tcW w:w="2840" w:type="dxa"/>
            <w:tcBorders>
              <w:top w:val="nil"/>
              <w:left w:val="nil"/>
              <w:bottom w:val="nil"/>
              <w:right w:val="nil"/>
            </w:tcBorders>
            <w:vAlign w:val="bottom"/>
            <w:hideMark/>
          </w:tcPr>
          <w:p w14:paraId="3E15BC98" w14:textId="77777777" w:rsidR="00FE7F8B" w:rsidRDefault="00FE7F8B">
            <w:pPr>
              <w:pStyle w:val="TableTextFinancial"/>
            </w:pPr>
            <w:r>
              <w:t>Prior year adjustments</w:t>
            </w:r>
          </w:p>
        </w:tc>
        <w:tc>
          <w:tcPr>
            <w:tcW w:w="851" w:type="dxa"/>
            <w:tcBorders>
              <w:top w:val="nil"/>
              <w:left w:val="nil"/>
              <w:bottom w:val="nil"/>
              <w:right w:val="nil"/>
            </w:tcBorders>
            <w:vAlign w:val="bottom"/>
          </w:tcPr>
          <w:p w14:paraId="62F0E6E9" w14:textId="77777777" w:rsidR="00FE7F8B" w:rsidRDefault="00FE7F8B">
            <w:pPr>
              <w:pStyle w:val="TableTextFinancial"/>
            </w:pPr>
          </w:p>
        </w:tc>
        <w:tc>
          <w:tcPr>
            <w:tcW w:w="1276" w:type="dxa"/>
            <w:tcBorders>
              <w:top w:val="nil"/>
              <w:left w:val="nil"/>
              <w:bottom w:val="nil"/>
              <w:right w:val="nil"/>
            </w:tcBorders>
            <w:vAlign w:val="bottom"/>
            <w:hideMark/>
          </w:tcPr>
          <w:p w14:paraId="4ED774BA" w14:textId="77777777" w:rsidR="00FE7F8B" w:rsidRDefault="00FE7F8B">
            <w:pPr>
              <w:pStyle w:val="TableTextFinancial"/>
              <w:jc w:val="right"/>
            </w:pPr>
            <w:r>
              <w:t>11.8</w:t>
            </w:r>
          </w:p>
        </w:tc>
        <w:tc>
          <w:tcPr>
            <w:tcW w:w="1275" w:type="dxa"/>
            <w:tcBorders>
              <w:top w:val="nil"/>
              <w:left w:val="nil"/>
              <w:bottom w:val="nil"/>
              <w:right w:val="nil"/>
            </w:tcBorders>
            <w:vAlign w:val="bottom"/>
            <w:hideMark/>
          </w:tcPr>
          <w:p w14:paraId="3AA5D59E" w14:textId="77777777" w:rsidR="00FE7F8B" w:rsidRDefault="00FE7F8B">
            <w:pPr>
              <w:pStyle w:val="TableTextFinancial"/>
              <w:jc w:val="right"/>
            </w:pPr>
            <w:r>
              <w:t>(11.6)</w:t>
            </w:r>
          </w:p>
        </w:tc>
        <w:tc>
          <w:tcPr>
            <w:tcW w:w="1134" w:type="dxa"/>
            <w:tcBorders>
              <w:top w:val="nil"/>
              <w:left w:val="nil"/>
              <w:bottom w:val="nil"/>
              <w:right w:val="nil"/>
            </w:tcBorders>
            <w:vAlign w:val="bottom"/>
            <w:hideMark/>
          </w:tcPr>
          <w:p w14:paraId="0700E445" w14:textId="77777777" w:rsidR="00FE7F8B" w:rsidRDefault="00FE7F8B">
            <w:pPr>
              <w:pStyle w:val="TableTextFinancial"/>
              <w:jc w:val="right"/>
            </w:pPr>
            <w:r>
              <w:t>0.2</w:t>
            </w:r>
          </w:p>
        </w:tc>
      </w:tr>
      <w:tr w:rsidR="00FE7F8B" w14:paraId="0DEF407D" w14:textId="77777777" w:rsidTr="00FE7F8B">
        <w:tc>
          <w:tcPr>
            <w:tcW w:w="2840" w:type="dxa"/>
            <w:tcBorders>
              <w:top w:val="nil"/>
              <w:left w:val="nil"/>
              <w:bottom w:val="nil"/>
              <w:right w:val="nil"/>
            </w:tcBorders>
            <w:vAlign w:val="bottom"/>
            <w:hideMark/>
          </w:tcPr>
          <w:p w14:paraId="22EF0191" w14:textId="77777777" w:rsidR="00FE7F8B" w:rsidRDefault="00FE7F8B">
            <w:pPr>
              <w:pStyle w:val="TableTextFinancial"/>
            </w:pPr>
            <w:r>
              <w:t>Additions</w:t>
            </w:r>
          </w:p>
        </w:tc>
        <w:tc>
          <w:tcPr>
            <w:tcW w:w="851" w:type="dxa"/>
            <w:tcBorders>
              <w:top w:val="nil"/>
              <w:left w:val="nil"/>
              <w:bottom w:val="nil"/>
              <w:right w:val="nil"/>
            </w:tcBorders>
            <w:vAlign w:val="bottom"/>
          </w:tcPr>
          <w:p w14:paraId="461BD20B" w14:textId="77777777" w:rsidR="00FE7F8B" w:rsidRDefault="00FE7F8B">
            <w:pPr>
              <w:pStyle w:val="TableTextFinancial"/>
            </w:pPr>
          </w:p>
        </w:tc>
        <w:tc>
          <w:tcPr>
            <w:tcW w:w="1276" w:type="dxa"/>
            <w:tcBorders>
              <w:top w:val="nil"/>
              <w:left w:val="nil"/>
              <w:bottom w:val="nil"/>
              <w:right w:val="nil"/>
            </w:tcBorders>
            <w:vAlign w:val="bottom"/>
            <w:hideMark/>
          </w:tcPr>
          <w:p w14:paraId="3455DCF1" w14:textId="77777777" w:rsidR="00FE7F8B" w:rsidRDefault="00FE7F8B">
            <w:pPr>
              <w:pStyle w:val="TableTextFinancial"/>
              <w:jc w:val="right"/>
            </w:pPr>
            <w:r>
              <w:t>0.6</w:t>
            </w:r>
          </w:p>
        </w:tc>
        <w:tc>
          <w:tcPr>
            <w:tcW w:w="1275" w:type="dxa"/>
            <w:tcBorders>
              <w:top w:val="nil"/>
              <w:left w:val="nil"/>
              <w:bottom w:val="nil"/>
              <w:right w:val="nil"/>
            </w:tcBorders>
            <w:vAlign w:val="bottom"/>
            <w:hideMark/>
          </w:tcPr>
          <w:p w14:paraId="5D09E76F" w14:textId="77777777" w:rsidR="00FE7F8B" w:rsidRDefault="00FE7F8B">
            <w:pPr>
              <w:pStyle w:val="TableTextFinancial"/>
              <w:jc w:val="right"/>
            </w:pPr>
            <w:r>
              <w:t>21.2</w:t>
            </w:r>
          </w:p>
        </w:tc>
        <w:tc>
          <w:tcPr>
            <w:tcW w:w="1134" w:type="dxa"/>
            <w:tcBorders>
              <w:top w:val="nil"/>
              <w:left w:val="nil"/>
              <w:bottom w:val="nil"/>
              <w:right w:val="nil"/>
            </w:tcBorders>
            <w:vAlign w:val="bottom"/>
            <w:hideMark/>
          </w:tcPr>
          <w:p w14:paraId="60007E04" w14:textId="77777777" w:rsidR="00FE7F8B" w:rsidRDefault="00FE7F8B">
            <w:pPr>
              <w:pStyle w:val="TableTextFinancial"/>
              <w:jc w:val="right"/>
            </w:pPr>
            <w:r>
              <w:t>21.8</w:t>
            </w:r>
          </w:p>
        </w:tc>
      </w:tr>
      <w:tr w:rsidR="00FE7F8B" w14:paraId="167E7F45" w14:textId="77777777" w:rsidTr="00FE7F8B">
        <w:tc>
          <w:tcPr>
            <w:tcW w:w="2840" w:type="dxa"/>
            <w:tcBorders>
              <w:top w:val="nil"/>
              <w:left w:val="nil"/>
              <w:bottom w:val="nil"/>
              <w:right w:val="nil"/>
            </w:tcBorders>
            <w:vAlign w:val="bottom"/>
            <w:hideMark/>
          </w:tcPr>
          <w:p w14:paraId="2E89B781" w14:textId="77777777" w:rsidR="00FE7F8B" w:rsidRDefault="00FE7F8B">
            <w:pPr>
              <w:pStyle w:val="TableTextFinancial"/>
            </w:pPr>
            <w:r>
              <w:t>Disposals</w:t>
            </w:r>
          </w:p>
        </w:tc>
        <w:tc>
          <w:tcPr>
            <w:tcW w:w="851" w:type="dxa"/>
            <w:tcBorders>
              <w:top w:val="nil"/>
              <w:left w:val="nil"/>
              <w:bottom w:val="nil"/>
              <w:right w:val="nil"/>
            </w:tcBorders>
            <w:vAlign w:val="bottom"/>
          </w:tcPr>
          <w:p w14:paraId="74519D43" w14:textId="77777777" w:rsidR="00FE7F8B" w:rsidRDefault="00FE7F8B">
            <w:pPr>
              <w:pStyle w:val="TableTextFinancial"/>
            </w:pPr>
          </w:p>
        </w:tc>
        <w:tc>
          <w:tcPr>
            <w:tcW w:w="1276" w:type="dxa"/>
            <w:tcBorders>
              <w:top w:val="nil"/>
              <w:left w:val="nil"/>
              <w:bottom w:val="nil"/>
              <w:right w:val="nil"/>
            </w:tcBorders>
            <w:vAlign w:val="bottom"/>
            <w:hideMark/>
          </w:tcPr>
          <w:p w14:paraId="7A0B0587" w14:textId="77777777" w:rsidR="00FE7F8B" w:rsidRDefault="00FE7F8B">
            <w:pPr>
              <w:pStyle w:val="TableTextFinancial"/>
              <w:jc w:val="right"/>
            </w:pPr>
            <w:r>
              <w:t>(0.4)</w:t>
            </w:r>
          </w:p>
        </w:tc>
        <w:tc>
          <w:tcPr>
            <w:tcW w:w="1275" w:type="dxa"/>
            <w:tcBorders>
              <w:top w:val="nil"/>
              <w:left w:val="nil"/>
              <w:bottom w:val="nil"/>
              <w:right w:val="nil"/>
            </w:tcBorders>
            <w:vAlign w:val="bottom"/>
            <w:hideMark/>
          </w:tcPr>
          <w:p w14:paraId="13E0055B"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143A2A89" w14:textId="77777777" w:rsidR="00FE7F8B" w:rsidRDefault="00FE7F8B">
            <w:pPr>
              <w:pStyle w:val="TableTextFinancial"/>
              <w:jc w:val="right"/>
            </w:pPr>
            <w:r>
              <w:t>(0.4)</w:t>
            </w:r>
          </w:p>
        </w:tc>
      </w:tr>
      <w:tr w:rsidR="00FE7F8B" w14:paraId="64DBB791" w14:textId="77777777" w:rsidTr="00FE7F8B">
        <w:tc>
          <w:tcPr>
            <w:tcW w:w="2840" w:type="dxa"/>
            <w:tcBorders>
              <w:top w:val="nil"/>
              <w:left w:val="nil"/>
              <w:bottom w:val="nil"/>
              <w:right w:val="nil"/>
            </w:tcBorders>
            <w:vAlign w:val="bottom"/>
            <w:hideMark/>
          </w:tcPr>
          <w:p w14:paraId="0DE54812" w14:textId="77777777" w:rsidR="00FE7F8B" w:rsidRDefault="00FE7F8B">
            <w:pPr>
              <w:pStyle w:val="TableTextFinancial"/>
            </w:pPr>
            <w:r>
              <w:t>Impairment</w:t>
            </w:r>
          </w:p>
        </w:tc>
        <w:tc>
          <w:tcPr>
            <w:tcW w:w="851" w:type="dxa"/>
            <w:tcBorders>
              <w:top w:val="nil"/>
              <w:left w:val="nil"/>
              <w:bottom w:val="nil"/>
              <w:right w:val="nil"/>
            </w:tcBorders>
            <w:vAlign w:val="bottom"/>
          </w:tcPr>
          <w:p w14:paraId="300A9163" w14:textId="77777777" w:rsidR="00FE7F8B" w:rsidRDefault="00FE7F8B">
            <w:pPr>
              <w:pStyle w:val="TableTextFinancial"/>
            </w:pPr>
          </w:p>
        </w:tc>
        <w:tc>
          <w:tcPr>
            <w:tcW w:w="1276" w:type="dxa"/>
            <w:tcBorders>
              <w:top w:val="nil"/>
              <w:left w:val="nil"/>
              <w:bottom w:val="nil"/>
              <w:right w:val="nil"/>
            </w:tcBorders>
            <w:vAlign w:val="bottom"/>
            <w:hideMark/>
          </w:tcPr>
          <w:p w14:paraId="20785B4F"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44539F18"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570B3ACD" w14:textId="77777777" w:rsidR="00FE7F8B" w:rsidRDefault="00FE7F8B">
            <w:pPr>
              <w:pStyle w:val="TableTextFinancial"/>
              <w:jc w:val="right"/>
            </w:pPr>
            <w:r>
              <w:t>-</w:t>
            </w:r>
          </w:p>
        </w:tc>
      </w:tr>
      <w:tr w:rsidR="00FE7F8B" w14:paraId="282BFBC1" w14:textId="77777777" w:rsidTr="00FE7F8B">
        <w:tc>
          <w:tcPr>
            <w:tcW w:w="2840" w:type="dxa"/>
            <w:tcBorders>
              <w:top w:val="nil"/>
              <w:left w:val="nil"/>
              <w:bottom w:val="single" w:sz="4" w:space="0" w:color="auto"/>
              <w:right w:val="nil"/>
            </w:tcBorders>
            <w:vAlign w:val="bottom"/>
            <w:hideMark/>
          </w:tcPr>
          <w:p w14:paraId="5C1E217F" w14:textId="77777777" w:rsidR="00FE7F8B" w:rsidRDefault="00FE7F8B">
            <w:pPr>
              <w:pStyle w:val="TableTextFinancial"/>
            </w:pPr>
            <w:r>
              <w:t>Transfer to completed assets</w:t>
            </w:r>
          </w:p>
        </w:tc>
        <w:tc>
          <w:tcPr>
            <w:tcW w:w="851" w:type="dxa"/>
            <w:tcBorders>
              <w:top w:val="nil"/>
              <w:left w:val="nil"/>
              <w:bottom w:val="single" w:sz="4" w:space="0" w:color="auto"/>
              <w:right w:val="nil"/>
            </w:tcBorders>
            <w:vAlign w:val="bottom"/>
          </w:tcPr>
          <w:p w14:paraId="0AF7ED97" w14:textId="77777777" w:rsidR="00FE7F8B" w:rsidRDefault="00FE7F8B">
            <w:pPr>
              <w:pStyle w:val="TableTextFinancial"/>
            </w:pPr>
          </w:p>
        </w:tc>
        <w:tc>
          <w:tcPr>
            <w:tcW w:w="1276" w:type="dxa"/>
            <w:tcBorders>
              <w:top w:val="nil"/>
              <w:left w:val="nil"/>
              <w:bottom w:val="single" w:sz="4" w:space="0" w:color="auto"/>
              <w:right w:val="nil"/>
            </w:tcBorders>
            <w:vAlign w:val="bottom"/>
            <w:hideMark/>
          </w:tcPr>
          <w:p w14:paraId="64627546" w14:textId="77777777" w:rsidR="00FE7F8B" w:rsidRDefault="00FE7F8B">
            <w:pPr>
              <w:pStyle w:val="TableTextFinancial"/>
              <w:jc w:val="right"/>
            </w:pPr>
            <w:r>
              <w:t>16.6</w:t>
            </w:r>
          </w:p>
        </w:tc>
        <w:tc>
          <w:tcPr>
            <w:tcW w:w="1275" w:type="dxa"/>
            <w:tcBorders>
              <w:top w:val="nil"/>
              <w:left w:val="nil"/>
              <w:bottom w:val="single" w:sz="4" w:space="0" w:color="auto"/>
              <w:right w:val="nil"/>
            </w:tcBorders>
            <w:vAlign w:val="bottom"/>
            <w:hideMark/>
          </w:tcPr>
          <w:p w14:paraId="3039D9D8" w14:textId="77777777" w:rsidR="00FE7F8B" w:rsidRDefault="00FE7F8B">
            <w:pPr>
              <w:pStyle w:val="TableTextFinancial"/>
              <w:jc w:val="right"/>
            </w:pPr>
            <w:r>
              <w:t>(16.6)</w:t>
            </w:r>
          </w:p>
        </w:tc>
        <w:tc>
          <w:tcPr>
            <w:tcW w:w="1134" w:type="dxa"/>
            <w:tcBorders>
              <w:top w:val="nil"/>
              <w:left w:val="nil"/>
              <w:bottom w:val="single" w:sz="4" w:space="0" w:color="auto"/>
              <w:right w:val="nil"/>
            </w:tcBorders>
            <w:vAlign w:val="bottom"/>
            <w:hideMark/>
          </w:tcPr>
          <w:p w14:paraId="3666FE06" w14:textId="77777777" w:rsidR="00FE7F8B" w:rsidRDefault="00FE7F8B">
            <w:pPr>
              <w:pStyle w:val="TableTextFinancial"/>
              <w:jc w:val="right"/>
            </w:pPr>
            <w:r>
              <w:t>-</w:t>
            </w:r>
          </w:p>
        </w:tc>
      </w:tr>
      <w:tr w:rsidR="00FE7F8B" w14:paraId="09CB2357" w14:textId="77777777" w:rsidTr="00FE7F8B">
        <w:tc>
          <w:tcPr>
            <w:tcW w:w="2840"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A65F135" w14:textId="77777777" w:rsidR="00FE7F8B" w:rsidRDefault="00FE7F8B">
            <w:pPr>
              <w:pStyle w:val="TableTextFinancial"/>
              <w:rPr>
                <w:b/>
              </w:rPr>
            </w:pPr>
            <w:r>
              <w:rPr>
                <w:b/>
              </w:rPr>
              <w:t>Closing balance</w:t>
            </w:r>
          </w:p>
        </w:tc>
        <w:tc>
          <w:tcPr>
            <w:tcW w:w="851" w:type="dxa"/>
            <w:tcBorders>
              <w:top w:val="single" w:sz="4" w:space="0" w:color="auto"/>
              <w:left w:val="nil"/>
              <w:bottom w:val="single" w:sz="4" w:space="0" w:color="auto"/>
              <w:right w:val="nil"/>
            </w:tcBorders>
            <w:tcMar>
              <w:top w:w="28" w:type="dxa"/>
              <w:left w:w="0" w:type="dxa"/>
              <w:bottom w:w="0" w:type="dxa"/>
              <w:right w:w="0" w:type="dxa"/>
            </w:tcMar>
            <w:vAlign w:val="bottom"/>
          </w:tcPr>
          <w:p w14:paraId="73E34CC7" w14:textId="77777777" w:rsidR="00FE7F8B" w:rsidRDefault="00FE7F8B">
            <w:pPr>
              <w:pStyle w:val="TableTextFinancial"/>
            </w:pPr>
          </w:p>
        </w:tc>
        <w:tc>
          <w:tcPr>
            <w:tcW w:w="1276"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720555EB" w14:textId="77777777" w:rsidR="00FE7F8B" w:rsidRDefault="00FE7F8B">
            <w:pPr>
              <w:pStyle w:val="TableTextFinancial"/>
              <w:jc w:val="right"/>
              <w:rPr>
                <w:b/>
              </w:rPr>
            </w:pPr>
            <w:r>
              <w:rPr>
                <w:b/>
              </w:rPr>
              <w:t>139.6</w:t>
            </w:r>
          </w:p>
        </w:tc>
        <w:tc>
          <w:tcPr>
            <w:tcW w:w="127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51BDFA4D" w14:textId="77777777" w:rsidR="00FE7F8B" w:rsidRDefault="00FE7F8B">
            <w:pPr>
              <w:pStyle w:val="TableTextFinancial"/>
              <w:jc w:val="right"/>
              <w:rPr>
                <w:b/>
              </w:rPr>
            </w:pPr>
            <w:r>
              <w:rPr>
                <w:b/>
              </w:rPr>
              <w:t>31.5</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0384567" w14:textId="77777777" w:rsidR="00FE7F8B" w:rsidRDefault="00FE7F8B">
            <w:pPr>
              <w:pStyle w:val="TableTextFinancial"/>
              <w:jc w:val="right"/>
              <w:rPr>
                <w:b/>
              </w:rPr>
            </w:pPr>
            <w:r>
              <w:rPr>
                <w:b/>
              </w:rPr>
              <w:t>171.1</w:t>
            </w:r>
          </w:p>
        </w:tc>
      </w:tr>
      <w:tr w:rsidR="00FE7F8B" w14:paraId="127AD511" w14:textId="77777777" w:rsidTr="00FE7F8B">
        <w:tc>
          <w:tcPr>
            <w:tcW w:w="2840" w:type="dxa"/>
            <w:tcBorders>
              <w:top w:val="single" w:sz="4" w:space="0" w:color="auto"/>
              <w:left w:val="nil"/>
              <w:bottom w:val="nil"/>
              <w:right w:val="nil"/>
            </w:tcBorders>
            <w:vAlign w:val="bottom"/>
            <w:hideMark/>
          </w:tcPr>
          <w:p w14:paraId="51176672" w14:textId="77777777" w:rsidR="00FE7F8B" w:rsidRDefault="00FE7F8B">
            <w:pPr>
              <w:pStyle w:val="TableTextFinancial"/>
              <w:rPr>
                <w:b/>
              </w:rPr>
            </w:pPr>
            <w:r>
              <w:rPr>
                <w:b/>
              </w:rPr>
              <w:t>Accumulated Amortisation</w:t>
            </w:r>
          </w:p>
        </w:tc>
        <w:tc>
          <w:tcPr>
            <w:tcW w:w="851" w:type="dxa"/>
            <w:tcBorders>
              <w:top w:val="single" w:sz="4" w:space="0" w:color="auto"/>
              <w:left w:val="nil"/>
              <w:bottom w:val="nil"/>
              <w:right w:val="nil"/>
            </w:tcBorders>
          </w:tcPr>
          <w:p w14:paraId="09C20138" w14:textId="77777777" w:rsidR="00FE7F8B" w:rsidRDefault="00FE7F8B">
            <w:pPr>
              <w:pStyle w:val="TableTextFinancial"/>
            </w:pPr>
          </w:p>
        </w:tc>
        <w:tc>
          <w:tcPr>
            <w:tcW w:w="1276" w:type="dxa"/>
            <w:tcBorders>
              <w:top w:val="single" w:sz="4" w:space="0" w:color="auto"/>
              <w:left w:val="nil"/>
              <w:bottom w:val="nil"/>
              <w:right w:val="nil"/>
            </w:tcBorders>
          </w:tcPr>
          <w:p w14:paraId="72B5756B" w14:textId="77777777" w:rsidR="00FE7F8B" w:rsidRDefault="00FE7F8B">
            <w:pPr>
              <w:pStyle w:val="TableTextFinancial"/>
              <w:jc w:val="right"/>
            </w:pPr>
          </w:p>
        </w:tc>
        <w:tc>
          <w:tcPr>
            <w:tcW w:w="1275" w:type="dxa"/>
            <w:tcBorders>
              <w:top w:val="single" w:sz="4" w:space="0" w:color="auto"/>
              <w:left w:val="nil"/>
              <w:bottom w:val="nil"/>
              <w:right w:val="nil"/>
            </w:tcBorders>
          </w:tcPr>
          <w:p w14:paraId="36666CED" w14:textId="77777777" w:rsidR="00FE7F8B" w:rsidRDefault="00FE7F8B">
            <w:pPr>
              <w:pStyle w:val="TableTextFinancial"/>
              <w:jc w:val="right"/>
            </w:pPr>
          </w:p>
        </w:tc>
        <w:tc>
          <w:tcPr>
            <w:tcW w:w="1134" w:type="dxa"/>
            <w:tcBorders>
              <w:top w:val="single" w:sz="4" w:space="0" w:color="auto"/>
              <w:left w:val="nil"/>
              <w:bottom w:val="nil"/>
              <w:right w:val="nil"/>
            </w:tcBorders>
          </w:tcPr>
          <w:p w14:paraId="126D9F09" w14:textId="77777777" w:rsidR="00FE7F8B" w:rsidRDefault="00FE7F8B">
            <w:pPr>
              <w:pStyle w:val="TableTextFinancial"/>
              <w:jc w:val="right"/>
            </w:pPr>
          </w:p>
        </w:tc>
      </w:tr>
      <w:tr w:rsidR="00FE7F8B" w14:paraId="0798CCDE" w14:textId="77777777" w:rsidTr="00FE7F8B">
        <w:tc>
          <w:tcPr>
            <w:tcW w:w="2840" w:type="dxa"/>
            <w:tcBorders>
              <w:top w:val="nil"/>
              <w:left w:val="nil"/>
              <w:bottom w:val="nil"/>
              <w:right w:val="nil"/>
            </w:tcBorders>
            <w:vAlign w:val="bottom"/>
            <w:hideMark/>
          </w:tcPr>
          <w:p w14:paraId="0D4CBAE1" w14:textId="77777777" w:rsidR="00FE7F8B" w:rsidRDefault="00FE7F8B">
            <w:pPr>
              <w:pStyle w:val="TableTextFinancial"/>
              <w:rPr>
                <w:b/>
              </w:rPr>
            </w:pPr>
            <w:r>
              <w:rPr>
                <w:b/>
              </w:rPr>
              <w:t>Opening balance</w:t>
            </w:r>
          </w:p>
        </w:tc>
        <w:tc>
          <w:tcPr>
            <w:tcW w:w="851" w:type="dxa"/>
            <w:tcBorders>
              <w:top w:val="nil"/>
              <w:left w:val="nil"/>
              <w:bottom w:val="nil"/>
              <w:right w:val="nil"/>
            </w:tcBorders>
            <w:vAlign w:val="bottom"/>
          </w:tcPr>
          <w:p w14:paraId="53AA0B13" w14:textId="77777777" w:rsidR="00FE7F8B" w:rsidRDefault="00FE7F8B">
            <w:pPr>
              <w:pStyle w:val="TableTextFinancial"/>
            </w:pPr>
          </w:p>
        </w:tc>
        <w:tc>
          <w:tcPr>
            <w:tcW w:w="1276" w:type="dxa"/>
            <w:tcBorders>
              <w:top w:val="nil"/>
              <w:left w:val="nil"/>
              <w:bottom w:val="nil"/>
              <w:right w:val="nil"/>
            </w:tcBorders>
            <w:vAlign w:val="bottom"/>
            <w:hideMark/>
          </w:tcPr>
          <w:p w14:paraId="3D77C0BA" w14:textId="77777777" w:rsidR="00FE7F8B" w:rsidRDefault="00FE7F8B">
            <w:pPr>
              <w:pStyle w:val="TableTextFinancial"/>
              <w:jc w:val="right"/>
            </w:pPr>
            <w:r>
              <w:t>(83.7)</w:t>
            </w:r>
          </w:p>
        </w:tc>
        <w:tc>
          <w:tcPr>
            <w:tcW w:w="1275" w:type="dxa"/>
            <w:tcBorders>
              <w:top w:val="nil"/>
              <w:left w:val="nil"/>
              <w:bottom w:val="nil"/>
              <w:right w:val="nil"/>
            </w:tcBorders>
            <w:vAlign w:val="bottom"/>
            <w:hideMark/>
          </w:tcPr>
          <w:p w14:paraId="36297DD5"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70CD1B2F" w14:textId="77777777" w:rsidR="00FE7F8B" w:rsidRDefault="00FE7F8B">
            <w:pPr>
              <w:pStyle w:val="TableTextFinancial"/>
              <w:jc w:val="right"/>
            </w:pPr>
            <w:r>
              <w:t>(83.7)</w:t>
            </w:r>
          </w:p>
        </w:tc>
      </w:tr>
      <w:tr w:rsidR="00FE7F8B" w14:paraId="067AAD89" w14:textId="77777777" w:rsidTr="00FE7F8B">
        <w:tc>
          <w:tcPr>
            <w:tcW w:w="2840" w:type="dxa"/>
            <w:tcBorders>
              <w:top w:val="nil"/>
              <w:left w:val="nil"/>
              <w:bottom w:val="nil"/>
              <w:right w:val="nil"/>
            </w:tcBorders>
            <w:vAlign w:val="bottom"/>
            <w:hideMark/>
          </w:tcPr>
          <w:p w14:paraId="0BF81E9E" w14:textId="77777777" w:rsidR="00FE7F8B" w:rsidRDefault="00FE7F8B">
            <w:pPr>
              <w:pStyle w:val="TableTextFinancial"/>
            </w:pPr>
            <w:r>
              <w:t>Prior year amortisation adjustments</w:t>
            </w:r>
          </w:p>
        </w:tc>
        <w:tc>
          <w:tcPr>
            <w:tcW w:w="851" w:type="dxa"/>
            <w:tcBorders>
              <w:top w:val="nil"/>
              <w:left w:val="nil"/>
              <w:bottom w:val="nil"/>
              <w:right w:val="nil"/>
            </w:tcBorders>
            <w:vAlign w:val="bottom"/>
          </w:tcPr>
          <w:p w14:paraId="48BB4F31" w14:textId="77777777" w:rsidR="00FE7F8B" w:rsidRDefault="00FE7F8B">
            <w:pPr>
              <w:pStyle w:val="TableTextFinancial"/>
              <w:jc w:val="center"/>
            </w:pPr>
          </w:p>
        </w:tc>
        <w:tc>
          <w:tcPr>
            <w:tcW w:w="1276" w:type="dxa"/>
            <w:tcBorders>
              <w:top w:val="nil"/>
              <w:left w:val="nil"/>
              <w:bottom w:val="nil"/>
              <w:right w:val="nil"/>
            </w:tcBorders>
            <w:vAlign w:val="bottom"/>
            <w:hideMark/>
          </w:tcPr>
          <w:p w14:paraId="54D9E2B1" w14:textId="77777777" w:rsidR="00FE7F8B" w:rsidRDefault="00FE7F8B">
            <w:pPr>
              <w:pStyle w:val="TableTextFinancial"/>
              <w:jc w:val="right"/>
            </w:pPr>
            <w:r>
              <w:t>(4.2)</w:t>
            </w:r>
          </w:p>
        </w:tc>
        <w:tc>
          <w:tcPr>
            <w:tcW w:w="1275" w:type="dxa"/>
            <w:tcBorders>
              <w:top w:val="nil"/>
              <w:left w:val="nil"/>
              <w:bottom w:val="nil"/>
              <w:right w:val="nil"/>
            </w:tcBorders>
            <w:vAlign w:val="bottom"/>
            <w:hideMark/>
          </w:tcPr>
          <w:p w14:paraId="45DA7C9D"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69EB647B" w14:textId="77777777" w:rsidR="00FE7F8B" w:rsidRDefault="00FE7F8B">
            <w:pPr>
              <w:pStyle w:val="TableTextFinancial"/>
              <w:jc w:val="right"/>
            </w:pPr>
            <w:r>
              <w:t>(4.2)</w:t>
            </w:r>
          </w:p>
        </w:tc>
      </w:tr>
      <w:tr w:rsidR="00FE7F8B" w14:paraId="2A035423" w14:textId="77777777" w:rsidTr="00FE7F8B">
        <w:tc>
          <w:tcPr>
            <w:tcW w:w="2840" w:type="dxa"/>
            <w:tcBorders>
              <w:top w:val="nil"/>
              <w:left w:val="nil"/>
              <w:bottom w:val="nil"/>
              <w:right w:val="nil"/>
            </w:tcBorders>
            <w:vAlign w:val="bottom"/>
            <w:hideMark/>
          </w:tcPr>
          <w:p w14:paraId="2B6014FF" w14:textId="77777777" w:rsidR="00FE7F8B" w:rsidRDefault="00FE7F8B">
            <w:pPr>
              <w:pStyle w:val="TableTextFinancial"/>
            </w:pPr>
            <w:r>
              <w:t xml:space="preserve">Amortisation expense </w:t>
            </w:r>
          </w:p>
        </w:tc>
        <w:tc>
          <w:tcPr>
            <w:tcW w:w="851" w:type="dxa"/>
            <w:tcBorders>
              <w:top w:val="nil"/>
              <w:left w:val="nil"/>
              <w:bottom w:val="nil"/>
              <w:right w:val="nil"/>
            </w:tcBorders>
            <w:vAlign w:val="bottom"/>
            <w:hideMark/>
          </w:tcPr>
          <w:p w14:paraId="20124544" w14:textId="77777777" w:rsidR="00FE7F8B" w:rsidRDefault="00FE7F8B">
            <w:pPr>
              <w:pStyle w:val="TableTextFinancial"/>
              <w:jc w:val="center"/>
            </w:pPr>
            <w:r>
              <w:t>4(e)</w:t>
            </w:r>
          </w:p>
        </w:tc>
        <w:tc>
          <w:tcPr>
            <w:tcW w:w="1276" w:type="dxa"/>
            <w:tcBorders>
              <w:top w:val="nil"/>
              <w:left w:val="nil"/>
              <w:bottom w:val="nil"/>
              <w:right w:val="nil"/>
            </w:tcBorders>
            <w:vAlign w:val="bottom"/>
            <w:hideMark/>
          </w:tcPr>
          <w:p w14:paraId="77F8183E" w14:textId="77777777" w:rsidR="00FE7F8B" w:rsidRDefault="00FE7F8B">
            <w:pPr>
              <w:pStyle w:val="TableTextFinancial"/>
              <w:jc w:val="right"/>
            </w:pPr>
            <w:r>
              <w:t>(15.7)</w:t>
            </w:r>
          </w:p>
        </w:tc>
        <w:tc>
          <w:tcPr>
            <w:tcW w:w="1275" w:type="dxa"/>
            <w:tcBorders>
              <w:top w:val="nil"/>
              <w:left w:val="nil"/>
              <w:bottom w:val="nil"/>
              <w:right w:val="nil"/>
            </w:tcBorders>
            <w:vAlign w:val="bottom"/>
            <w:hideMark/>
          </w:tcPr>
          <w:p w14:paraId="03C6FADD"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039298FA" w14:textId="77777777" w:rsidR="00FE7F8B" w:rsidRDefault="00FE7F8B">
            <w:pPr>
              <w:pStyle w:val="TableTextFinancial"/>
              <w:jc w:val="right"/>
            </w:pPr>
            <w:r>
              <w:t>(15.7)</w:t>
            </w:r>
          </w:p>
        </w:tc>
      </w:tr>
      <w:tr w:rsidR="00FE7F8B" w14:paraId="4935444B" w14:textId="77777777" w:rsidTr="00FE7F8B">
        <w:tc>
          <w:tcPr>
            <w:tcW w:w="2840" w:type="dxa"/>
            <w:tcBorders>
              <w:top w:val="nil"/>
              <w:left w:val="nil"/>
              <w:bottom w:val="single" w:sz="4" w:space="0" w:color="auto"/>
              <w:right w:val="nil"/>
            </w:tcBorders>
            <w:vAlign w:val="bottom"/>
            <w:hideMark/>
          </w:tcPr>
          <w:p w14:paraId="5CBF87B9" w14:textId="77777777" w:rsidR="00FE7F8B" w:rsidRDefault="00FE7F8B">
            <w:pPr>
              <w:pStyle w:val="TableTextFinancial"/>
            </w:pPr>
            <w:r>
              <w:t>Write back due to disposals</w:t>
            </w:r>
          </w:p>
        </w:tc>
        <w:tc>
          <w:tcPr>
            <w:tcW w:w="851" w:type="dxa"/>
            <w:tcBorders>
              <w:top w:val="nil"/>
              <w:left w:val="nil"/>
              <w:bottom w:val="single" w:sz="4" w:space="0" w:color="auto"/>
              <w:right w:val="nil"/>
            </w:tcBorders>
            <w:vAlign w:val="bottom"/>
          </w:tcPr>
          <w:p w14:paraId="3AC6A936" w14:textId="77777777" w:rsidR="00FE7F8B" w:rsidRDefault="00FE7F8B">
            <w:pPr>
              <w:pStyle w:val="TableTextFinancial"/>
            </w:pPr>
          </w:p>
        </w:tc>
        <w:tc>
          <w:tcPr>
            <w:tcW w:w="1276" w:type="dxa"/>
            <w:tcBorders>
              <w:top w:val="nil"/>
              <w:left w:val="nil"/>
              <w:bottom w:val="single" w:sz="4" w:space="0" w:color="auto"/>
              <w:right w:val="nil"/>
            </w:tcBorders>
            <w:vAlign w:val="bottom"/>
            <w:hideMark/>
          </w:tcPr>
          <w:p w14:paraId="725650C2" w14:textId="77777777" w:rsidR="00FE7F8B" w:rsidRDefault="00FE7F8B">
            <w:pPr>
              <w:pStyle w:val="TableTextFinancial"/>
              <w:jc w:val="right"/>
            </w:pPr>
            <w:r>
              <w:t>0.3</w:t>
            </w:r>
          </w:p>
        </w:tc>
        <w:tc>
          <w:tcPr>
            <w:tcW w:w="1275" w:type="dxa"/>
            <w:tcBorders>
              <w:top w:val="nil"/>
              <w:left w:val="nil"/>
              <w:bottom w:val="single" w:sz="4" w:space="0" w:color="auto"/>
              <w:right w:val="nil"/>
            </w:tcBorders>
            <w:vAlign w:val="bottom"/>
            <w:hideMark/>
          </w:tcPr>
          <w:p w14:paraId="74652200" w14:textId="77777777" w:rsidR="00FE7F8B" w:rsidRDefault="00FE7F8B">
            <w:pPr>
              <w:pStyle w:val="TableTextFinancial"/>
              <w:jc w:val="right"/>
            </w:pPr>
            <w:r>
              <w:t>-</w:t>
            </w:r>
          </w:p>
        </w:tc>
        <w:tc>
          <w:tcPr>
            <w:tcW w:w="1134" w:type="dxa"/>
            <w:tcBorders>
              <w:top w:val="nil"/>
              <w:left w:val="nil"/>
              <w:bottom w:val="single" w:sz="4" w:space="0" w:color="auto"/>
              <w:right w:val="nil"/>
            </w:tcBorders>
            <w:vAlign w:val="bottom"/>
            <w:hideMark/>
          </w:tcPr>
          <w:p w14:paraId="66D66032" w14:textId="77777777" w:rsidR="00FE7F8B" w:rsidRDefault="00FE7F8B">
            <w:pPr>
              <w:pStyle w:val="TableTextFinancial"/>
              <w:jc w:val="right"/>
            </w:pPr>
            <w:r>
              <w:t>0.3</w:t>
            </w:r>
          </w:p>
        </w:tc>
      </w:tr>
      <w:tr w:rsidR="00FE7F8B" w14:paraId="4D5669AC" w14:textId="77777777" w:rsidTr="00FE7F8B">
        <w:tc>
          <w:tcPr>
            <w:tcW w:w="2840"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1B89BAD4" w14:textId="77777777" w:rsidR="00FE7F8B" w:rsidRDefault="00FE7F8B">
            <w:pPr>
              <w:pStyle w:val="TableTextFinancial"/>
              <w:rPr>
                <w:b/>
              </w:rPr>
            </w:pPr>
            <w:r>
              <w:rPr>
                <w:b/>
              </w:rPr>
              <w:t>Closing balance</w:t>
            </w:r>
          </w:p>
        </w:tc>
        <w:tc>
          <w:tcPr>
            <w:tcW w:w="851" w:type="dxa"/>
            <w:tcBorders>
              <w:top w:val="single" w:sz="4" w:space="0" w:color="auto"/>
              <w:left w:val="nil"/>
              <w:bottom w:val="single" w:sz="4" w:space="0" w:color="auto"/>
              <w:right w:val="nil"/>
            </w:tcBorders>
            <w:tcMar>
              <w:top w:w="28" w:type="dxa"/>
              <w:left w:w="0" w:type="dxa"/>
              <w:bottom w:w="0" w:type="dxa"/>
              <w:right w:w="0" w:type="dxa"/>
            </w:tcMar>
            <w:vAlign w:val="bottom"/>
          </w:tcPr>
          <w:p w14:paraId="0DD118BB" w14:textId="77777777" w:rsidR="00FE7F8B" w:rsidRDefault="00FE7F8B">
            <w:pPr>
              <w:pStyle w:val="TableTextFinancial"/>
            </w:pPr>
          </w:p>
        </w:tc>
        <w:tc>
          <w:tcPr>
            <w:tcW w:w="1276" w:type="dxa"/>
            <w:tcBorders>
              <w:top w:val="single" w:sz="4" w:space="0" w:color="auto"/>
              <w:left w:val="nil"/>
              <w:bottom w:val="single" w:sz="4" w:space="0" w:color="auto"/>
              <w:right w:val="nil"/>
            </w:tcBorders>
            <w:tcMar>
              <w:top w:w="28" w:type="dxa"/>
              <w:left w:w="0" w:type="dxa"/>
              <w:bottom w:w="0" w:type="dxa"/>
              <w:right w:w="0" w:type="dxa"/>
            </w:tcMar>
            <w:hideMark/>
          </w:tcPr>
          <w:p w14:paraId="29AE7CE0" w14:textId="77777777" w:rsidR="00FE7F8B" w:rsidRDefault="00FE7F8B">
            <w:pPr>
              <w:pStyle w:val="TableTextFinancial"/>
              <w:jc w:val="right"/>
              <w:rPr>
                <w:b/>
              </w:rPr>
            </w:pPr>
            <w:r>
              <w:rPr>
                <w:b/>
              </w:rPr>
              <w:t>(103.3)</w:t>
            </w:r>
          </w:p>
        </w:tc>
        <w:tc>
          <w:tcPr>
            <w:tcW w:w="1275" w:type="dxa"/>
            <w:tcBorders>
              <w:top w:val="single" w:sz="4" w:space="0" w:color="auto"/>
              <w:left w:val="nil"/>
              <w:bottom w:val="single" w:sz="4" w:space="0" w:color="auto"/>
              <w:right w:val="nil"/>
            </w:tcBorders>
            <w:tcMar>
              <w:top w:w="28" w:type="dxa"/>
              <w:left w:w="0" w:type="dxa"/>
              <w:bottom w:w="0" w:type="dxa"/>
              <w:right w:w="0" w:type="dxa"/>
            </w:tcMar>
            <w:hideMark/>
          </w:tcPr>
          <w:p w14:paraId="25F96708" w14:textId="77777777" w:rsidR="00FE7F8B" w:rsidRDefault="00FE7F8B">
            <w:pPr>
              <w:pStyle w:val="TableTextFinancial"/>
              <w:jc w:val="right"/>
              <w:rPr>
                <w:b/>
              </w:rPr>
            </w:pPr>
            <w:r>
              <w:rPr>
                <w:b/>
              </w:rPr>
              <w:t>-</w:t>
            </w:r>
          </w:p>
        </w:tc>
        <w:tc>
          <w:tcPr>
            <w:tcW w:w="1134" w:type="dxa"/>
            <w:tcBorders>
              <w:top w:val="single" w:sz="4" w:space="0" w:color="auto"/>
              <w:left w:val="nil"/>
              <w:bottom w:val="single" w:sz="4" w:space="0" w:color="auto"/>
              <w:right w:val="nil"/>
            </w:tcBorders>
            <w:tcMar>
              <w:top w:w="28" w:type="dxa"/>
              <w:left w:w="0" w:type="dxa"/>
              <w:bottom w:w="0" w:type="dxa"/>
              <w:right w:w="0" w:type="dxa"/>
            </w:tcMar>
            <w:hideMark/>
          </w:tcPr>
          <w:p w14:paraId="6BF26696" w14:textId="77777777" w:rsidR="00FE7F8B" w:rsidRDefault="00FE7F8B">
            <w:pPr>
              <w:pStyle w:val="TableTextFinancial"/>
              <w:jc w:val="right"/>
              <w:rPr>
                <w:b/>
              </w:rPr>
            </w:pPr>
            <w:r>
              <w:rPr>
                <w:b/>
              </w:rPr>
              <w:t>(103.3)</w:t>
            </w:r>
          </w:p>
        </w:tc>
      </w:tr>
      <w:tr w:rsidR="00FE7F8B" w14:paraId="21A884AB" w14:textId="77777777" w:rsidTr="00FE7F8B">
        <w:tc>
          <w:tcPr>
            <w:tcW w:w="2840" w:type="dxa"/>
            <w:tcBorders>
              <w:top w:val="single" w:sz="4" w:space="0" w:color="auto"/>
              <w:left w:val="nil"/>
              <w:bottom w:val="nil"/>
              <w:right w:val="nil"/>
            </w:tcBorders>
            <w:tcMar>
              <w:top w:w="28" w:type="dxa"/>
              <w:left w:w="0" w:type="dxa"/>
              <w:bottom w:w="0" w:type="dxa"/>
              <w:right w:w="0" w:type="dxa"/>
            </w:tcMar>
            <w:vAlign w:val="bottom"/>
            <w:hideMark/>
          </w:tcPr>
          <w:p w14:paraId="0720DBF5" w14:textId="77777777" w:rsidR="00FE7F8B" w:rsidRDefault="00FE7F8B">
            <w:pPr>
              <w:pStyle w:val="TableTextFinancial"/>
              <w:rPr>
                <w:b/>
              </w:rPr>
            </w:pPr>
            <w:r>
              <w:rPr>
                <w:b/>
              </w:rPr>
              <w:t>Net book value at end of financial year</w:t>
            </w:r>
          </w:p>
        </w:tc>
        <w:tc>
          <w:tcPr>
            <w:tcW w:w="851" w:type="dxa"/>
            <w:tcBorders>
              <w:top w:val="single" w:sz="4" w:space="0" w:color="auto"/>
              <w:left w:val="nil"/>
              <w:bottom w:val="nil"/>
              <w:right w:val="nil"/>
            </w:tcBorders>
            <w:tcMar>
              <w:top w:w="28" w:type="dxa"/>
              <w:left w:w="0" w:type="dxa"/>
              <w:bottom w:w="0" w:type="dxa"/>
              <w:right w:w="0" w:type="dxa"/>
            </w:tcMar>
            <w:vAlign w:val="bottom"/>
          </w:tcPr>
          <w:p w14:paraId="12A2EBC5" w14:textId="77777777" w:rsidR="00FE7F8B" w:rsidRDefault="00FE7F8B">
            <w:pPr>
              <w:pStyle w:val="TableTextFinancial"/>
            </w:pPr>
          </w:p>
        </w:tc>
        <w:tc>
          <w:tcPr>
            <w:tcW w:w="1276" w:type="dxa"/>
            <w:tcBorders>
              <w:top w:val="single" w:sz="4" w:space="0" w:color="auto"/>
              <w:left w:val="nil"/>
              <w:bottom w:val="nil"/>
              <w:right w:val="nil"/>
            </w:tcBorders>
            <w:tcMar>
              <w:top w:w="28" w:type="dxa"/>
              <w:left w:w="0" w:type="dxa"/>
              <w:bottom w:w="0" w:type="dxa"/>
              <w:right w:w="0" w:type="dxa"/>
            </w:tcMar>
            <w:vAlign w:val="bottom"/>
            <w:hideMark/>
          </w:tcPr>
          <w:p w14:paraId="0F3BAD06" w14:textId="77777777" w:rsidR="00FE7F8B" w:rsidRDefault="00FE7F8B">
            <w:pPr>
              <w:pStyle w:val="TableTextFinancial"/>
              <w:jc w:val="right"/>
              <w:rPr>
                <w:b/>
              </w:rPr>
            </w:pPr>
            <w:r>
              <w:rPr>
                <w:b/>
              </w:rPr>
              <w:t>36.2</w:t>
            </w:r>
          </w:p>
        </w:tc>
        <w:tc>
          <w:tcPr>
            <w:tcW w:w="1275" w:type="dxa"/>
            <w:tcBorders>
              <w:top w:val="single" w:sz="4" w:space="0" w:color="auto"/>
              <w:left w:val="nil"/>
              <w:bottom w:val="nil"/>
              <w:right w:val="nil"/>
            </w:tcBorders>
            <w:tcMar>
              <w:top w:w="28" w:type="dxa"/>
              <w:left w:w="0" w:type="dxa"/>
              <w:bottom w:w="0" w:type="dxa"/>
              <w:right w:w="0" w:type="dxa"/>
            </w:tcMar>
            <w:vAlign w:val="bottom"/>
            <w:hideMark/>
          </w:tcPr>
          <w:p w14:paraId="7F698B74" w14:textId="77777777" w:rsidR="00FE7F8B" w:rsidRDefault="00FE7F8B">
            <w:pPr>
              <w:pStyle w:val="TableTextFinancial"/>
              <w:jc w:val="right"/>
              <w:rPr>
                <w:b/>
              </w:rPr>
            </w:pPr>
            <w:r>
              <w:rPr>
                <w:b/>
              </w:rPr>
              <w:t>31.5</w:t>
            </w:r>
          </w:p>
        </w:tc>
        <w:tc>
          <w:tcPr>
            <w:tcW w:w="1134" w:type="dxa"/>
            <w:tcBorders>
              <w:top w:val="single" w:sz="4" w:space="0" w:color="auto"/>
              <w:left w:val="nil"/>
              <w:bottom w:val="nil"/>
              <w:right w:val="nil"/>
            </w:tcBorders>
            <w:tcMar>
              <w:top w:w="28" w:type="dxa"/>
              <w:left w:w="0" w:type="dxa"/>
              <w:bottom w:w="0" w:type="dxa"/>
              <w:right w:w="0" w:type="dxa"/>
            </w:tcMar>
            <w:vAlign w:val="bottom"/>
            <w:hideMark/>
          </w:tcPr>
          <w:p w14:paraId="0F17DDE6" w14:textId="77777777" w:rsidR="00FE7F8B" w:rsidRDefault="00FE7F8B">
            <w:pPr>
              <w:pStyle w:val="TableTextFinancial"/>
              <w:jc w:val="right"/>
              <w:rPr>
                <w:b/>
              </w:rPr>
            </w:pPr>
            <w:r>
              <w:rPr>
                <w:b/>
              </w:rPr>
              <w:t>67.7</w:t>
            </w:r>
          </w:p>
        </w:tc>
      </w:tr>
      <w:tr w:rsidR="00FE7F8B" w14:paraId="144332F9" w14:textId="77777777" w:rsidTr="00FE7F8B">
        <w:tc>
          <w:tcPr>
            <w:tcW w:w="2840" w:type="dxa"/>
            <w:tcBorders>
              <w:top w:val="single" w:sz="4" w:space="0" w:color="auto"/>
              <w:left w:val="nil"/>
              <w:bottom w:val="nil"/>
              <w:right w:val="nil"/>
            </w:tcBorders>
            <w:vAlign w:val="bottom"/>
          </w:tcPr>
          <w:p w14:paraId="58F64BDE" w14:textId="77777777" w:rsidR="00FE7F8B" w:rsidRDefault="00FE7F8B">
            <w:pPr>
              <w:pStyle w:val="TableTextFinancial"/>
              <w:rPr>
                <w:b/>
              </w:rPr>
            </w:pPr>
          </w:p>
        </w:tc>
        <w:tc>
          <w:tcPr>
            <w:tcW w:w="851" w:type="dxa"/>
            <w:tcBorders>
              <w:top w:val="single" w:sz="4" w:space="0" w:color="auto"/>
              <w:left w:val="nil"/>
              <w:bottom w:val="nil"/>
              <w:right w:val="nil"/>
            </w:tcBorders>
            <w:vAlign w:val="bottom"/>
          </w:tcPr>
          <w:p w14:paraId="7BC962E1" w14:textId="77777777" w:rsidR="00FE7F8B" w:rsidRDefault="00FE7F8B">
            <w:pPr>
              <w:pStyle w:val="TableTextFinancial"/>
            </w:pPr>
          </w:p>
        </w:tc>
        <w:tc>
          <w:tcPr>
            <w:tcW w:w="1276" w:type="dxa"/>
            <w:tcBorders>
              <w:top w:val="single" w:sz="4" w:space="0" w:color="auto"/>
              <w:left w:val="nil"/>
              <w:bottom w:val="nil"/>
              <w:right w:val="nil"/>
            </w:tcBorders>
            <w:vAlign w:val="bottom"/>
          </w:tcPr>
          <w:p w14:paraId="77E34CC4" w14:textId="77777777" w:rsidR="00FE7F8B" w:rsidRDefault="00FE7F8B">
            <w:pPr>
              <w:pStyle w:val="TableTextFinancial"/>
              <w:jc w:val="right"/>
              <w:rPr>
                <w:b/>
              </w:rPr>
            </w:pPr>
          </w:p>
        </w:tc>
        <w:tc>
          <w:tcPr>
            <w:tcW w:w="1275" w:type="dxa"/>
            <w:tcBorders>
              <w:top w:val="single" w:sz="4" w:space="0" w:color="auto"/>
              <w:left w:val="nil"/>
              <w:bottom w:val="nil"/>
              <w:right w:val="nil"/>
            </w:tcBorders>
            <w:vAlign w:val="bottom"/>
          </w:tcPr>
          <w:p w14:paraId="6605054B" w14:textId="77777777" w:rsidR="00FE7F8B" w:rsidRDefault="00FE7F8B">
            <w:pPr>
              <w:pStyle w:val="TableTextFinancial"/>
              <w:jc w:val="right"/>
              <w:rPr>
                <w:b/>
              </w:rPr>
            </w:pPr>
          </w:p>
        </w:tc>
        <w:tc>
          <w:tcPr>
            <w:tcW w:w="1134" w:type="dxa"/>
            <w:tcBorders>
              <w:top w:val="single" w:sz="4" w:space="0" w:color="auto"/>
              <w:left w:val="nil"/>
              <w:bottom w:val="nil"/>
              <w:right w:val="nil"/>
            </w:tcBorders>
            <w:vAlign w:val="bottom"/>
          </w:tcPr>
          <w:p w14:paraId="69A90574" w14:textId="77777777" w:rsidR="00FE7F8B" w:rsidRDefault="00FE7F8B">
            <w:pPr>
              <w:pStyle w:val="TableTextFinancial"/>
              <w:jc w:val="right"/>
              <w:rPr>
                <w:b/>
              </w:rPr>
            </w:pPr>
          </w:p>
        </w:tc>
      </w:tr>
      <w:tr w:rsidR="00FE7F8B" w14:paraId="256ACB12" w14:textId="77777777" w:rsidTr="00FE7F8B">
        <w:tc>
          <w:tcPr>
            <w:tcW w:w="2840" w:type="dxa"/>
            <w:tcBorders>
              <w:top w:val="nil"/>
              <w:left w:val="nil"/>
              <w:bottom w:val="nil"/>
              <w:right w:val="nil"/>
            </w:tcBorders>
            <w:shd w:val="clear" w:color="auto" w:fill="7F7F7F" w:themeFill="text1" w:themeFillTint="80"/>
            <w:vAlign w:val="center"/>
            <w:hideMark/>
          </w:tcPr>
          <w:p w14:paraId="71072949" w14:textId="77777777" w:rsidR="00FE7F8B" w:rsidRDefault="00FE7F8B">
            <w:pPr>
              <w:pStyle w:val="Tablecolumnheading"/>
              <w:jc w:val="center"/>
            </w:pPr>
            <w:r>
              <w:rPr>
                <w:lang w:eastAsia="en-AU"/>
              </w:rPr>
              <w:t>2015</w:t>
            </w:r>
          </w:p>
        </w:tc>
        <w:tc>
          <w:tcPr>
            <w:tcW w:w="851" w:type="dxa"/>
            <w:tcBorders>
              <w:top w:val="nil"/>
              <w:left w:val="nil"/>
              <w:bottom w:val="nil"/>
              <w:right w:val="nil"/>
            </w:tcBorders>
            <w:shd w:val="clear" w:color="auto" w:fill="7F7F7F" w:themeFill="text1" w:themeFillTint="80"/>
            <w:vAlign w:val="center"/>
            <w:hideMark/>
          </w:tcPr>
          <w:p w14:paraId="3AC7C384" w14:textId="77777777" w:rsidR="00FE7F8B" w:rsidRDefault="00FE7F8B">
            <w:pPr>
              <w:pStyle w:val="Tablecolumnheading"/>
              <w:jc w:val="center"/>
            </w:pPr>
            <w:r>
              <w:rPr>
                <w:lang w:eastAsia="en-AU"/>
              </w:rPr>
              <w:t>Note</w:t>
            </w:r>
          </w:p>
        </w:tc>
        <w:tc>
          <w:tcPr>
            <w:tcW w:w="1276" w:type="dxa"/>
            <w:tcBorders>
              <w:top w:val="nil"/>
              <w:left w:val="nil"/>
              <w:bottom w:val="nil"/>
              <w:right w:val="nil"/>
            </w:tcBorders>
            <w:shd w:val="clear" w:color="auto" w:fill="7F7F7F" w:themeFill="text1" w:themeFillTint="80"/>
            <w:vAlign w:val="bottom"/>
            <w:hideMark/>
          </w:tcPr>
          <w:p w14:paraId="1CA46B4F" w14:textId="77777777" w:rsidR="00FE7F8B" w:rsidRDefault="00FE7F8B">
            <w:pPr>
              <w:pStyle w:val="Tablecolumnheading"/>
              <w:jc w:val="center"/>
            </w:pPr>
            <w:r>
              <w:rPr>
                <w:lang w:eastAsia="en-AU"/>
              </w:rPr>
              <w:t>Software at cost</w:t>
            </w:r>
            <w:r>
              <w:rPr>
                <w:lang w:eastAsia="en-AU"/>
              </w:rPr>
              <w:br/>
              <w:t>$m</w:t>
            </w:r>
          </w:p>
        </w:tc>
        <w:tc>
          <w:tcPr>
            <w:tcW w:w="1275" w:type="dxa"/>
            <w:tcBorders>
              <w:top w:val="nil"/>
              <w:left w:val="nil"/>
              <w:bottom w:val="nil"/>
              <w:right w:val="nil"/>
            </w:tcBorders>
            <w:shd w:val="clear" w:color="auto" w:fill="7F7F7F" w:themeFill="text1" w:themeFillTint="80"/>
            <w:vAlign w:val="bottom"/>
            <w:hideMark/>
          </w:tcPr>
          <w:p w14:paraId="6AB56CB2" w14:textId="77777777" w:rsidR="00FE7F8B" w:rsidRDefault="00FE7F8B">
            <w:pPr>
              <w:pStyle w:val="Tablecolumnheading"/>
              <w:jc w:val="center"/>
            </w:pPr>
            <w:r>
              <w:rPr>
                <w:lang w:eastAsia="en-AU"/>
              </w:rPr>
              <w:t>Software work in progress</w:t>
            </w:r>
            <w:r>
              <w:rPr>
                <w:lang w:eastAsia="en-AU"/>
              </w:rPr>
              <w:br/>
              <w:t>$m</w:t>
            </w:r>
          </w:p>
        </w:tc>
        <w:tc>
          <w:tcPr>
            <w:tcW w:w="1134" w:type="dxa"/>
            <w:tcBorders>
              <w:top w:val="nil"/>
              <w:left w:val="nil"/>
              <w:bottom w:val="nil"/>
              <w:right w:val="nil"/>
            </w:tcBorders>
            <w:shd w:val="clear" w:color="auto" w:fill="7F7F7F" w:themeFill="text1" w:themeFillTint="80"/>
            <w:vAlign w:val="bottom"/>
            <w:hideMark/>
          </w:tcPr>
          <w:p w14:paraId="4D17CEF1" w14:textId="77777777" w:rsidR="00FE7F8B" w:rsidRDefault="00FE7F8B">
            <w:pPr>
              <w:pStyle w:val="Tablecolumnheading"/>
              <w:jc w:val="center"/>
            </w:pPr>
            <w:r>
              <w:rPr>
                <w:lang w:eastAsia="en-AU"/>
              </w:rPr>
              <w:t>Total</w:t>
            </w:r>
            <w:r>
              <w:rPr>
                <w:lang w:eastAsia="en-AU"/>
              </w:rPr>
              <w:br/>
              <w:t>$m</w:t>
            </w:r>
          </w:p>
        </w:tc>
      </w:tr>
      <w:tr w:rsidR="00FE7F8B" w14:paraId="1793123A" w14:textId="77777777" w:rsidTr="00FE7F8B">
        <w:tc>
          <w:tcPr>
            <w:tcW w:w="2840" w:type="dxa"/>
            <w:tcBorders>
              <w:top w:val="nil"/>
              <w:left w:val="nil"/>
              <w:bottom w:val="nil"/>
              <w:right w:val="nil"/>
            </w:tcBorders>
            <w:vAlign w:val="bottom"/>
            <w:hideMark/>
          </w:tcPr>
          <w:p w14:paraId="0CFD2B03" w14:textId="77777777" w:rsidR="00FE7F8B" w:rsidRDefault="00FE7F8B">
            <w:pPr>
              <w:pStyle w:val="TableTextFinancial"/>
              <w:rPr>
                <w:b/>
              </w:rPr>
            </w:pPr>
            <w:r>
              <w:rPr>
                <w:b/>
              </w:rPr>
              <w:t>Opening balance</w:t>
            </w:r>
          </w:p>
        </w:tc>
        <w:tc>
          <w:tcPr>
            <w:tcW w:w="851" w:type="dxa"/>
            <w:tcBorders>
              <w:top w:val="nil"/>
              <w:left w:val="nil"/>
              <w:bottom w:val="nil"/>
              <w:right w:val="nil"/>
            </w:tcBorders>
            <w:vAlign w:val="bottom"/>
          </w:tcPr>
          <w:p w14:paraId="6767D1C7" w14:textId="77777777" w:rsidR="00FE7F8B" w:rsidRDefault="00FE7F8B">
            <w:pPr>
              <w:pStyle w:val="TableTextFinancial"/>
            </w:pPr>
          </w:p>
        </w:tc>
        <w:tc>
          <w:tcPr>
            <w:tcW w:w="1276" w:type="dxa"/>
            <w:tcBorders>
              <w:top w:val="nil"/>
              <w:left w:val="nil"/>
              <w:bottom w:val="nil"/>
              <w:right w:val="nil"/>
            </w:tcBorders>
            <w:vAlign w:val="bottom"/>
            <w:hideMark/>
          </w:tcPr>
          <w:p w14:paraId="14E7A845" w14:textId="77777777" w:rsidR="00FE7F8B" w:rsidRDefault="00FE7F8B">
            <w:pPr>
              <w:pStyle w:val="TableTextFinancial"/>
              <w:jc w:val="right"/>
            </w:pPr>
            <w:r>
              <w:t>92.6</w:t>
            </w:r>
          </w:p>
        </w:tc>
        <w:tc>
          <w:tcPr>
            <w:tcW w:w="1275" w:type="dxa"/>
            <w:tcBorders>
              <w:top w:val="nil"/>
              <w:left w:val="nil"/>
              <w:bottom w:val="nil"/>
              <w:right w:val="nil"/>
            </w:tcBorders>
            <w:vAlign w:val="bottom"/>
            <w:hideMark/>
          </w:tcPr>
          <w:p w14:paraId="162F24E7" w14:textId="77777777" w:rsidR="00FE7F8B" w:rsidRDefault="00FE7F8B">
            <w:pPr>
              <w:pStyle w:val="TableTextFinancial"/>
              <w:jc w:val="right"/>
            </w:pPr>
            <w:r>
              <w:t>34.7</w:t>
            </w:r>
          </w:p>
        </w:tc>
        <w:tc>
          <w:tcPr>
            <w:tcW w:w="1134" w:type="dxa"/>
            <w:tcBorders>
              <w:top w:val="nil"/>
              <w:left w:val="nil"/>
              <w:bottom w:val="nil"/>
              <w:right w:val="nil"/>
            </w:tcBorders>
            <w:vAlign w:val="bottom"/>
            <w:hideMark/>
          </w:tcPr>
          <w:p w14:paraId="29A7707C" w14:textId="77777777" w:rsidR="00FE7F8B" w:rsidRDefault="00FE7F8B">
            <w:pPr>
              <w:pStyle w:val="TableTextFinancial"/>
              <w:jc w:val="right"/>
            </w:pPr>
            <w:r>
              <w:t>127.3</w:t>
            </w:r>
          </w:p>
        </w:tc>
      </w:tr>
      <w:tr w:rsidR="00FE7F8B" w14:paraId="66550D51" w14:textId="77777777" w:rsidTr="00FE7F8B">
        <w:tc>
          <w:tcPr>
            <w:tcW w:w="2840" w:type="dxa"/>
            <w:tcBorders>
              <w:top w:val="nil"/>
              <w:left w:val="nil"/>
              <w:bottom w:val="nil"/>
              <w:right w:val="nil"/>
            </w:tcBorders>
            <w:vAlign w:val="bottom"/>
            <w:hideMark/>
          </w:tcPr>
          <w:p w14:paraId="002EF1FF" w14:textId="77777777" w:rsidR="00FE7F8B" w:rsidRDefault="00FE7F8B">
            <w:pPr>
              <w:pStyle w:val="TableTextFinancial"/>
            </w:pPr>
            <w:r>
              <w:t>Additions</w:t>
            </w:r>
          </w:p>
        </w:tc>
        <w:tc>
          <w:tcPr>
            <w:tcW w:w="851" w:type="dxa"/>
            <w:tcBorders>
              <w:top w:val="nil"/>
              <w:left w:val="nil"/>
              <w:bottom w:val="nil"/>
              <w:right w:val="nil"/>
            </w:tcBorders>
            <w:vAlign w:val="bottom"/>
          </w:tcPr>
          <w:p w14:paraId="24067C96" w14:textId="77777777" w:rsidR="00FE7F8B" w:rsidRDefault="00FE7F8B">
            <w:pPr>
              <w:pStyle w:val="TableTextFinancial"/>
            </w:pPr>
          </w:p>
        </w:tc>
        <w:tc>
          <w:tcPr>
            <w:tcW w:w="1276" w:type="dxa"/>
            <w:tcBorders>
              <w:top w:val="nil"/>
              <w:left w:val="nil"/>
              <w:bottom w:val="nil"/>
              <w:right w:val="nil"/>
            </w:tcBorders>
            <w:vAlign w:val="bottom"/>
            <w:hideMark/>
          </w:tcPr>
          <w:p w14:paraId="27E63BC5" w14:textId="77777777" w:rsidR="00FE7F8B" w:rsidRDefault="00FE7F8B">
            <w:pPr>
              <w:pStyle w:val="TableTextFinancial"/>
              <w:jc w:val="right"/>
            </w:pPr>
            <w:r>
              <w:t>0.6</w:t>
            </w:r>
          </w:p>
        </w:tc>
        <w:tc>
          <w:tcPr>
            <w:tcW w:w="1275" w:type="dxa"/>
            <w:tcBorders>
              <w:top w:val="nil"/>
              <w:left w:val="nil"/>
              <w:bottom w:val="nil"/>
              <w:right w:val="nil"/>
            </w:tcBorders>
            <w:vAlign w:val="bottom"/>
            <w:hideMark/>
          </w:tcPr>
          <w:p w14:paraId="468FBC0C" w14:textId="77777777" w:rsidR="00FE7F8B" w:rsidRDefault="00FE7F8B">
            <w:pPr>
              <w:pStyle w:val="TableTextFinancial"/>
              <w:jc w:val="right"/>
            </w:pPr>
            <w:r>
              <w:t>24.3</w:t>
            </w:r>
          </w:p>
        </w:tc>
        <w:tc>
          <w:tcPr>
            <w:tcW w:w="1134" w:type="dxa"/>
            <w:tcBorders>
              <w:top w:val="nil"/>
              <w:left w:val="nil"/>
              <w:bottom w:val="nil"/>
              <w:right w:val="nil"/>
            </w:tcBorders>
            <w:vAlign w:val="bottom"/>
            <w:hideMark/>
          </w:tcPr>
          <w:p w14:paraId="132DFD24" w14:textId="77777777" w:rsidR="00FE7F8B" w:rsidRDefault="00FE7F8B">
            <w:pPr>
              <w:pStyle w:val="TableTextFinancial"/>
              <w:jc w:val="right"/>
            </w:pPr>
            <w:r>
              <w:t>24.9</w:t>
            </w:r>
          </w:p>
        </w:tc>
      </w:tr>
      <w:tr w:rsidR="00FE7F8B" w14:paraId="2F9CA38D" w14:textId="77777777" w:rsidTr="00FE7F8B">
        <w:tc>
          <w:tcPr>
            <w:tcW w:w="2840" w:type="dxa"/>
            <w:tcBorders>
              <w:top w:val="nil"/>
              <w:left w:val="nil"/>
              <w:bottom w:val="nil"/>
              <w:right w:val="nil"/>
            </w:tcBorders>
            <w:vAlign w:val="bottom"/>
            <w:hideMark/>
          </w:tcPr>
          <w:p w14:paraId="67ECC1F4" w14:textId="77777777" w:rsidR="00FE7F8B" w:rsidRDefault="00FE7F8B">
            <w:pPr>
              <w:pStyle w:val="TableTextFinancial"/>
            </w:pPr>
            <w:r>
              <w:t>Disposals</w:t>
            </w:r>
          </w:p>
        </w:tc>
        <w:tc>
          <w:tcPr>
            <w:tcW w:w="851" w:type="dxa"/>
            <w:tcBorders>
              <w:top w:val="nil"/>
              <w:left w:val="nil"/>
              <w:bottom w:val="nil"/>
              <w:right w:val="nil"/>
            </w:tcBorders>
            <w:vAlign w:val="bottom"/>
          </w:tcPr>
          <w:p w14:paraId="00D98C34" w14:textId="77777777" w:rsidR="00FE7F8B" w:rsidRDefault="00FE7F8B">
            <w:pPr>
              <w:pStyle w:val="TableTextFinancial"/>
            </w:pPr>
          </w:p>
        </w:tc>
        <w:tc>
          <w:tcPr>
            <w:tcW w:w="1276" w:type="dxa"/>
            <w:tcBorders>
              <w:top w:val="nil"/>
              <w:left w:val="nil"/>
              <w:bottom w:val="nil"/>
              <w:right w:val="nil"/>
            </w:tcBorders>
            <w:vAlign w:val="bottom"/>
            <w:hideMark/>
          </w:tcPr>
          <w:p w14:paraId="34E46335" w14:textId="77777777" w:rsidR="00FE7F8B" w:rsidRDefault="00FE7F8B">
            <w:pPr>
              <w:pStyle w:val="TableTextFinancial"/>
              <w:jc w:val="right"/>
            </w:pPr>
            <w:r>
              <w:t>(0.4)</w:t>
            </w:r>
          </w:p>
        </w:tc>
        <w:tc>
          <w:tcPr>
            <w:tcW w:w="1275" w:type="dxa"/>
            <w:tcBorders>
              <w:top w:val="nil"/>
              <w:left w:val="nil"/>
              <w:bottom w:val="nil"/>
              <w:right w:val="nil"/>
            </w:tcBorders>
            <w:vAlign w:val="bottom"/>
            <w:hideMark/>
          </w:tcPr>
          <w:p w14:paraId="38BECA90"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0A6DC148" w14:textId="77777777" w:rsidR="00FE7F8B" w:rsidRDefault="00FE7F8B">
            <w:pPr>
              <w:pStyle w:val="TableTextFinancial"/>
              <w:jc w:val="right"/>
            </w:pPr>
            <w:r>
              <w:t>(0.4)</w:t>
            </w:r>
          </w:p>
        </w:tc>
      </w:tr>
      <w:tr w:rsidR="00FE7F8B" w14:paraId="34911486" w14:textId="77777777" w:rsidTr="00FE7F8B">
        <w:tc>
          <w:tcPr>
            <w:tcW w:w="2840" w:type="dxa"/>
            <w:tcBorders>
              <w:top w:val="nil"/>
              <w:left w:val="nil"/>
              <w:bottom w:val="nil"/>
              <w:right w:val="nil"/>
            </w:tcBorders>
            <w:vAlign w:val="bottom"/>
            <w:hideMark/>
          </w:tcPr>
          <w:p w14:paraId="273B1B23" w14:textId="77777777" w:rsidR="00FE7F8B" w:rsidRDefault="00FE7F8B">
            <w:pPr>
              <w:pStyle w:val="TableTextFinancial"/>
            </w:pPr>
            <w:r>
              <w:t>Impairment</w:t>
            </w:r>
            <w:r>
              <w:rPr>
                <w:vertAlign w:val="superscript"/>
              </w:rPr>
              <w:t>1</w:t>
            </w:r>
          </w:p>
        </w:tc>
        <w:tc>
          <w:tcPr>
            <w:tcW w:w="851" w:type="dxa"/>
            <w:tcBorders>
              <w:top w:val="nil"/>
              <w:left w:val="nil"/>
              <w:bottom w:val="nil"/>
              <w:right w:val="nil"/>
            </w:tcBorders>
            <w:vAlign w:val="bottom"/>
          </w:tcPr>
          <w:p w14:paraId="218CC90F" w14:textId="77777777" w:rsidR="00FE7F8B" w:rsidRDefault="00FE7F8B">
            <w:pPr>
              <w:pStyle w:val="TableTextFinancial"/>
            </w:pPr>
          </w:p>
        </w:tc>
        <w:tc>
          <w:tcPr>
            <w:tcW w:w="1276" w:type="dxa"/>
            <w:tcBorders>
              <w:top w:val="nil"/>
              <w:left w:val="nil"/>
              <w:bottom w:val="nil"/>
              <w:right w:val="nil"/>
            </w:tcBorders>
            <w:vAlign w:val="bottom"/>
            <w:hideMark/>
          </w:tcPr>
          <w:p w14:paraId="310A18E5"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6B69D7DD" w14:textId="77777777" w:rsidR="00FE7F8B" w:rsidRDefault="00FE7F8B">
            <w:pPr>
              <w:pStyle w:val="TableTextFinancial"/>
              <w:jc w:val="right"/>
            </w:pPr>
            <w:r>
              <w:t>(2.4)</w:t>
            </w:r>
          </w:p>
        </w:tc>
        <w:tc>
          <w:tcPr>
            <w:tcW w:w="1134" w:type="dxa"/>
            <w:tcBorders>
              <w:top w:val="nil"/>
              <w:left w:val="nil"/>
              <w:bottom w:val="nil"/>
              <w:right w:val="nil"/>
            </w:tcBorders>
            <w:vAlign w:val="bottom"/>
            <w:hideMark/>
          </w:tcPr>
          <w:p w14:paraId="568B2ED9" w14:textId="77777777" w:rsidR="00FE7F8B" w:rsidRDefault="00FE7F8B">
            <w:pPr>
              <w:pStyle w:val="TableTextFinancial"/>
              <w:jc w:val="right"/>
            </w:pPr>
            <w:r>
              <w:t>(2.4)</w:t>
            </w:r>
          </w:p>
        </w:tc>
      </w:tr>
      <w:tr w:rsidR="00FE7F8B" w14:paraId="05FC4CBD" w14:textId="77777777" w:rsidTr="00FE7F8B">
        <w:tc>
          <w:tcPr>
            <w:tcW w:w="2840" w:type="dxa"/>
            <w:tcBorders>
              <w:top w:val="nil"/>
              <w:left w:val="nil"/>
              <w:bottom w:val="single" w:sz="4" w:space="0" w:color="auto"/>
              <w:right w:val="nil"/>
            </w:tcBorders>
            <w:vAlign w:val="bottom"/>
            <w:hideMark/>
          </w:tcPr>
          <w:p w14:paraId="3CCD1C6A" w14:textId="77777777" w:rsidR="00FE7F8B" w:rsidRDefault="00FE7F8B">
            <w:pPr>
              <w:pStyle w:val="TableTextFinancial"/>
            </w:pPr>
            <w:r>
              <w:t>Transfer to completed assets</w:t>
            </w:r>
          </w:p>
        </w:tc>
        <w:tc>
          <w:tcPr>
            <w:tcW w:w="851" w:type="dxa"/>
            <w:tcBorders>
              <w:top w:val="nil"/>
              <w:left w:val="nil"/>
              <w:bottom w:val="single" w:sz="4" w:space="0" w:color="auto"/>
              <w:right w:val="nil"/>
            </w:tcBorders>
            <w:vAlign w:val="bottom"/>
          </w:tcPr>
          <w:p w14:paraId="23C7F024" w14:textId="77777777" w:rsidR="00FE7F8B" w:rsidRDefault="00FE7F8B">
            <w:pPr>
              <w:pStyle w:val="TableTextFinancial"/>
            </w:pPr>
          </w:p>
        </w:tc>
        <w:tc>
          <w:tcPr>
            <w:tcW w:w="1276" w:type="dxa"/>
            <w:tcBorders>
              <w:top w:val="nil"/>
              <w:left w:val="nil"/>
              <w:bottom w:val="single" w:sz="4" w:space="0" w:color="auto"/>
              <w:right w:val="nil"/>
            </w:tcBorders>
            <w:vAlign w:val="bottom"/>
            <w:hideMark/>
          </w:tcPr>
          <w:p w14:paraId="4854628E" w14:textId="77777777" w:rsidR="00FE7F8B" w:rsidRDefault="00FE7F8B">
            <w:pPr>
              <w:pStyle w:val="TableTextFinancial"/>
              <w:jc w:val="right"/>
            </w:pPr>
            <w:r>
              <w:t>18.1</w:t>
            </w:r>
          </w:p>
        </w:tc>
        <w:tc>
          <w:tcPr>
            <w:tcW w:w="1275" w:type="dxa"/>
            <w:tcBorders>
              <w:top w:val="nil"/>
              <w:left w:val="nil"/>
              <w:bottom w:val="single" w:sz="4" w:space="0" w:color="auto"/>
              <w:right w:val="nil"/>
            </w:tcBorders>
            <w:vAlign w:val="bottom"/>
            <w:hideMark/>
          </w:tcPr>
          <w:p w14:paraId="6855B461" w14:textId="77777777" w:rsidR="00FE7F8B" w:rsidRDefault="00FE7F8B">
            <w:pPr>
              <w:pStyle w:val="TableTextFinancial"/>
              <w:jc w:val="right"/>
            </w:pPr>
            <w:r>
              <w:t>(18.1)</w:t>
            </w:r>
          </w:p>
        </w:tc>
        <w:tc>
          <w:tcPr>
            <w:tcW w:w="1134" w:type="dxa"/>
            <w:tcBorders>
              <w:top w:val="nil"/>
              <w:left w:val="nil"/>
              <w:bottom w:val="single" w:sz="4" w:space="0" w:color="auto"/>
              <w:right w:val="nil"/>
            </w:tcBorders>
            <w:vAlign w:val="bottom"/>
            <w:hideMark/>
          </w:tcPr>
          <w:p w14:paraId="3AF5E26D" w14:textId="77777777" w:rsidR="00FE7F8B" w:rsidRDefault="00FE7F8B">
            <w:pPr>
              <w:pStyle w:val="TableTextFinancial"/>
              <w:jc w:val="right"/>
            </w:pPr>
            <w:r>
              <w:t>-</w:t>
            </w:r>
          </w:p>
        </w:tc>
      </w:tr>
      <w:tr w:rsidR="00FE7F8B" w14:paraId="4BE23AFB" w14:textId="77777777" w:rsidTr="00FE7F8B">
        <w:tc>
          <w:tcPr>
            <w:tcW w:w="2840"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B1899AB" w14:textId="77777777" w:rsidR="00FE7F8B" w:rsidRDefault="00FE7F8B">
            <w:pPr>
              <w:pStyle w:val="TableTextFinancial"/>
              <w:rPr>
                <w:b/>
              </w:rPr>
            </w:pPr>
            <w:r>
              <w:rPr>
                <w:b/>
              </w:rPr>
              <w:t>Closing balance</w:t>
            </w:r>
          </w:p>
        </w:tc>
        <w:tc>
          <w:tcPr>
            <w:tcW w:w="851" w:type="dxa"/>
            <w:tcBorders>
              <w:top w:val="single" w:sz="4" w:space="0" w:color="auto"/>
              <w:left w:val="nil"/>
              <w:bottom w:val="single" w:sz="4" w:space="0" w:color="auto"/>
              <w:right w:val="nil"/>
            </w:tcBorders>
            <w:tcMar>
              <w:top w:w="28" w:type="dxa"/>
              <w:left w:w="0" w:type="dxa"/>
              <w:bottom w:w="0" w:type="dxa"/>
              <w:right w:w="0" w:type="dxa"/>
            </w:tcMar>
            <w:vAlign w:val="bottom"/>
          </w:tcPr>
          <w:p w14:paraId="39CC1900" w14:textId="77777777" w:rsidR="00FE7F8B" w:rsidRDefault="00FE7F8B">
            <w:pPr>
              <w:pStyle w:val="TableTextFinancial"/>
            </w:pPr>
          </w:p>
        </w:tc>
        <w:tc>
          <w:tcPr>
            <w:tcW w:w="1276"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65E7F3B5" w14:textId="77777777" w:rsidR="00FE7F8B" w:rsidRDefault="00FE7F8B">
            <w:pPr>
              <w:pStyle w:val="TableTextFinancial"/>
              <w:jc w:val="right"/>
              <w:rPr>
                <w:b/>
              </w:rPr>
            </w:pPr>
            <w:r>
              <w:rPr>
                <w:b/>
              </w:rPr>
              <w:t>110.9</w:t>
            </w:r>
          </w:p>
        </w:tc>
        <w:tc>
          <w:tcPr>
            <w:tcW w:w="127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E7D5760" w14:textId="77777777" w:rsidR="00FE7F8B" w:rsidRDefault="00FE7F8B">
            <w:pPr>
              <w:pStyle w:val="TableTextFinancial"/>
              <w:jc w:val="right"/>
              <w:rPr>
                <w:b/>
              </w:rPr>
            </w:pPr>
            <w:r>
              <w:rPr>
                <w:b/>
              </w:rPr>
              <w:t>38.5</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798DB193" w14:textId="77777777" w:rsidR="00FE7F8B" w:rsidRDefault="00FE7F8B">
            <w:pPr>
              <w:pStyle w:val="TableTextFinancial"/>
              <w:jc w:val="right"/>
              <w:rPr>
                <w:b/>
              </w:rPr>
            </w:pPr>
            <w:r>
              <w:rPr>
                <w:b/>
              </w:rPr>
              <w:t>149.4</w:t>
            </w:r>
          </w:p>
        </w:tc>
      </w:tr>
      <w:tr w:rsidR="00FE7F8B" w14:paraId="4CDFC977" w14:textId="77777777" w:rsidTr="00FE7F8B">
        <w:tc>
          <w:tcPr>
            <w:tcW w:w="2840" w:type="dxa"/>
            <w:tcBorders>
              <w:top w:val="single" w:sz="4" w:space="0" w:color="auto"/>
              <w:left w:val="nil"/>
              <w:bottom w:val="nil"/>
              <w:right w:val="nil"/>
            </w:tcBorders>
            <w:vAlign w:val="bottom"/>
            <w:hideMark/>
          </w:tcPr>
          <w:p w14:paraId="40FD7C49" w14:textId="77777777" w:rsidR="00FE7F8B" w:rsidRDefault="00FE7F8B">
            <w:pPr>
              <w:pStyle w:val="TableTextFinancial"/>
              <w:rPr>
                <w:b/>
              </w:rPr>
            </w:pPr>
            <w:r>
              <w:rPr>
                <w:b/>
              </w:rPr>
              <w:t>Accumulated Amortisation</w:t>
            </w:r>
          </w:p>
        </w:tc>
        <w:tc>
          <w:tcPr>
            <w:tcW w:w="851" w:type="dxa"/>
            <w:tcBorders>
              <w:top w:val="single" w:sz="4" w:space="0" w:color="auto"/>
              <w:left w:val="nil"/>
              <w:bottom w:val="nil"/>
              <w:right w:val="nil"/>
            </w:tcBorders>
            <w:vAlign w:val="bottom"/>
          </w:tcPr>
          <w:p w14:paraId="5795D2D6" w14:textId="77777777" w:rsidR="00FE7F8B" w:rsidRDefault="00FE7F8B">
            <w:pPr>
              <w:pStyle w:val="TableTextFinancial"/>
            </w:pPr>
          </w:p>
        </w:tc>
        <w:tc>
          <w:tcPr>
            <w:tcW w:w="1276" w:type="dxa"/>
            <w:tcBorders>
              <w:top w:val="single" w:sz="4" w:space="0" w:color="auto"/>
              <w:left w:val="nil"/>
              <w:bottom w:val="nil"/>
              <w:right w:val="nil"/>
            </w:tcBorders>
          </w:tcPr>
          <w:p w14:paraId="29C63F2C" w14:textId="77777777" w:rsidR="00FE7F8B" w:rsidRDefault="00FE7F8B">
            <w:pPr>
              <w:pStyle w:val="TableTextFinancial"/>
              <w:jc w:val="right"/>
            </w:pPr>
          </w:p>
        </w:tc>
        <w:tc>
          <w:tcPr>
            <w:tcW w:w="1275" w:type="dxa"/>
            <w:tcBorders>
              <w:top w:val="single" w:sz="4" w:space="0" w:color="auto"/>
              <w:left w:val="nil"/>
              <w:bottom w:val="nil"/>
              <w:right w:val="nil"/>
            </w:tcBorders>
          </w:tcPr>
          <w:p w14:paraId="3572563F" w14:textId="77777777" w:rsidR="00FE7F8B" w:rsidRDefault="00FE7F8B">
            <w:pPr>
              <w:pStyle w:val="TableTextFinancial"/>
              <w:jc w:val="right"/>
            </w:pPr>
          </w:p>
        </w:tc>
        <w:tc>
          <w:tcPr>
            <w:tcW w:w="1134" w:type="dxa"/>
            <w:tcBorders>
              <w:top w:val="single" w:sz="4" w:space="0" w:color="auto"/>
              <w:left w:val="nil"/>
              <w:bottom w:val="nil"/>
              <w:right w:val="nil"/>
            </w:tcBorders>
          </w:tcPr>
          <w:p w14:paraId="7E6391DD" w14:textId="77777777" w:rsidR="00FE7F8B" w:rsidRDefault="00FE7F8B">
            <w:pPr>
              <w:pStyle w:val="TableTextFinancial"/>
              <w:jc w:val="right"/>
            </w:pPr>
          </w:p>
        </w:tc>
      </w:tr>
      <w:tr w:rsidR="00FE7F8B" w14:paraId="5BC43348" w14:textId="77777777" w:rsidTr="00FE7F8B">
        <w:tc>
          <w:tcPr>
            <w:tcW w:w="2840" w:type="dxa"/>
            <w:tcBorders>
              <w:top w:val="nil"/>
              <w:left w:val="nil"/>
              <w:bottom w:val="nil"/>
              <w:right w:val="nil"/>
            </w:tcBorders>
            <w:vAlign w:val="bottom"/>
            <w:hideMark/>
          </w:tcPr>
          <w:p w14:paraId="4040AF93" w14:textId="77777777" w:rsidR="00FE7F8B" w:rsidRDefault="00FE7F8B">
            <w:pPr>
              <w:pStyle w:val="TableTextFinancial"/>
              <w:rPr>
                <w:b/>
              </w:rPr>
            </w:pPr>
            <w:r>
              <w:rPr>
                <w:b/>
              </w:rPr>
              <w:t>Opening balance</w:t>
            </w:r>
          </w:p>
        </w:tc>
        <w:tc>
          <w:tcPr>
            <w:tcW w:w="851" w:type="dxa"/>
            <w:tcBorders>
              <w:top w:val="nil"/>
              <w:left w:val="nil"/>
              <w:bottom w:val="nil"/>
              <w:right w:val="nil"/>
            </w:tcBorders>
            <w:vAlign w:val="bottom"/>
          </w:tcPr>
          <w:p w14:paraId="0C9C6FF9" w14:textId="77777777" w:rsidR="00FE7F8B" w:rsidRDefault="00FE7F8B">
            <w:pPr>
              <w:pStyle w:val="TableTextFinancial"/>
            </w:pPr>
          </w:p>
        </w:tc>
        <w:tc>
          <w:tcPr>
            <w:tcW w:w="1276" w:type="dxa"/>
            <w:tcBorders>
              <w:top w:val="nil"/>
              <w:left w:val="nil"/>
              <w:bottom w:val="nil"/>
              <w:right w:val="nil"/>
            </w:tcBorders>
            <w:vAlign w:val="bottom"/>
            <w:hideMark/>
          </w:tcPr>
          <w:p w14:paraId="68806791" w14:textId="77777777" w:rsidR="00FE7F8B" w:rsidRDefault="00FE7F8B">
            <w:pPr>
              <w:pStyle w:val="TableTextFinancial"/>
              <w:jc w:val="right"/>
            </w:pPr>
            <w:r>
              <w:t>(63.8)</w:t>
            </w:r>
          </w:p>
        </w:tc>
        <w:tc>
          <w:tcPr>
            <w:tcW w:w="1275" w:type="dxa"/>
            <w:tcBorders>
              <w:top w:val="nil"/>
              <w:left w:val="nil"/>
              <w:bottom w:val="nil"/>
              <w:right w:val="nil"/>
            </w:tcBorders>
            <w:vAlign w:val="bottom"/>
            <w:hideMark/>
          </w:tcPr>
          <w:p w14:paraId="211203CA"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4B281541" w14:textId="77777777" w:rsidR="00FE7F8B" w:rsidRDefault="00FE7F8B">
            <w:pPr>
              <w:pStyle w:val="TableTextFinancial"/>
              <w:jc w:val="right"/>
            </w:pPr>
            <w:r>
              <w:t>(63.8)</w:t>
            </w:r>
          </w:p>
        </w:tc>
      </w:tr>
      <w:tr w:rsidR="00FE7F8B" w14:paraId="27870C62" w14:textId="77777777" w:rsidTr="00FE7F8B">
        <w:tc>
          <w:tcPr>
            <w:tcW w:w="2840" w:type="dxa"/>
            <w:tcBorders>
              <w:top w:val="nil"/>
              <w:left w:val="nil"/>
              <w:bottom w:val="nil"/>
              <w:right w:val="nil"/>
            </w:tcBorders>
            <w:vAlign w:val="bottom"/>
            <w:hideMark/>
          </w:tcPr>
          <w:p w14:paraId="10F034BD" w14:textId="77777777" w:rsidR="00FE7F8B" w:rsidRDefault="00FE7F8B">
            <w:pPr>
              <w:pStyle w:val="TableTextFinancial"/>
            </w:pPr>
            <w:r>
              <w:t xml:space="preserve">Amortisation expense </w:t>
            </w:r>
          </w:p>
        </w:tc>
        <w:tc>
          <w:tcPr>
            <w:tcW w:w="851" w:type="dxa"/>
            <w:tcBorders>
              <w:top w:val="nil"/>
              <w:left w:val="nil"/>
              <w:bottom w:val="nil"/>
              <w:right w:val="nil"/>
            </w:tcBorders>
            <w:vAlign w:val="bottom"/>
            <w:hideMark/>
          </w:tcPr>
          <w:p w14:paraId="6A23F97E" w14:textId="77777777" w:rsidR="00FE7F8B" w:rsidRDefault="00FE7F8B">
            <w:pPr>
              <w:pStyle w:val="TableTextFinancial"/>
              <w:jc w:val="center"/>
            </w:pPr>
            <w:r>
              <w:t>4(e)</w:t>
            </w:r>
          </w:p>
        </w:tc>
        <w:tc>
          <w:tcPr>
            <w:tcW w:w="1276" w:type="dxa"/>
            <w:tcBorders>
              <w:top w:val="nil"/>
              <w:left w:val="nil"/>
              <w:bottom w:val="nil"/>
              <w:right w:val="nil"/>
            </w:tcBorders>
            <w:vAlign w:val="bottom"/>
            <w:hideMark/>
          </w:tcPr>
          <w:p w14:paraId="012757E1" w14:textId="77777777" w:rsidR="00FE7F8B" w:rsidRDefault="00FE7F8B">
            <w:pPr>
              <w:pStyle w:val="TableTextFinancial"/>
              <w:jc w:val="right"/>
            </w:pPr>
            <w:r>
              <w:t>(20.3)</w:t>
            </w:r>
          </w:p>
        </w:tc>
        <w:tc>
          <w:tcPr>
            <w:tcW w:w="1275" w:type="dxa"/>
            <w:tcBorders>
              <w:top w:val="nil"/>
              <w:left w:val="nil"/>
              <w:bottom w:val="nil"/>
              <w:right w:val="nil"/>
            </w:tcBorders>
            <w:vAlign w:val="bottom"/>
            <w:hideMark/>
          </w:tcPr>
          <w:p w14:paraId="5D6304F0" w14:textId="77777777" w:rsidR="00FE7F8B" w:rsidRDefault="00FE7F8B">
            <w:pPr>
              <w:pStyle w:val="TableTextFinancial"/>
              <w:jc w:val="right"/>
            </w:pPr>
            <w:r>
              <w:t>-</w:t>
            </w:r>
          </w:p>
        </w:tc>
        <w:tc>
          <w:tcPr>
            <w:tcW w:w="1134" w:type="dxa"/>
            <w:tcBorders>
              <w:top w:val="nil"/>
              <w:left w:val="nil"/>
              <w:bottom w:val="nil"/>
              <w:right w:val="nil"/>
            </w:tcBorders>
            <w:vAlign w:val="bottom"/>
            <w:hideMark/>
          </w:tcPr>
          <w:p w14:paraId="3AC15FDA" w14:textId="77777777" w:rsidR="00FE7F8B" w:rsidRDefault="00FE7F8B">
            <w:pPr>
              <w:pStyle w:val="TableTextFinancial"/>
              <w:jc w:val="right"/>
            </w:pPr>
            <w:r>
              <w:t>(20.3)</w:t>
            </w:r>
          </w:p>
        </w:tc>
      </w:tr>
      <w:tr w:rsidR="00FE7F8B" w14:paraId="385BA684" w14:textId="77777777" w:rsidTr="00FE7F8B">
        <w:tc>
          <w:tcPr>
            <w:tcW w:w="2840" w:type="dxa"/>
            <w:tcBorders>
              <w:top w:val="nil"/>
              <w:left w:val="nil"/>
              <w:bottom w:val="single" w:sz="4" w:space="0" w:color="auto"/>
              <w:right w:val="nil"/>
            </w:tcBorders>
            <w:vAlign w:val="bottom"/>
            <w:hideMark/>
          </w:tcPr>
          <w:p w14:paraId="02F2CB72" w14:textId="77777777" w:rsidR="00FE7F8B" w:rsidRDefault="00FE7F8B">
            <w:pPr>
              <w:pStyle w:val="TableTextFinancial"/>
            </w:pPr>
            <w:r>
              <w:t>Write back due to disposals</w:t>
            </w:r>
          </w:p>
        </w:tc>
        <w:tc>
          <w:tcPr>
            <w:tcW w:w="851" w:type="dxa"/>
            <w:tcBorders>
              <w:top w:val="nil"/>
              <w:left w:val="nil"/>
              <w:bottom w:val="single" w:sz="4" w:space="0" w:color="auto"/>
              <w:right w:val="nil"/>
            </w:tcBorders>
            <w:vAlign w:val="bottom"/>
          </w:tcPr>
          <w:p w14:paraId="37737E99" w14:textId="77777777" w:rsidR="00FE7F8B" w:rsidRDefault="00FE7F8B">
            <w:pPr>
              <w:pStyle w:val="TableTextFinancial"/>
            </w:pPr>
          </w:p>
        </w:tc>
        <w:tc>
          <w:tcPr>
            <w:tcW w:w="1276" w:type="dxa"/>
            <w:tcBorders>
              <w:top w:val="nil"/>
              <w:left w:val="nil"/>
              <w:bottom w:val="single" w:sz="4" w:space="0" w:color="auto"/>
              <w:right w:val="nil"/>
            </w:tcBorders>
            <w:vAlign w:val="bottom"/>
            <w:hideMark/>
          </w:tcPr>
          <w:p w14:paraId="64CC9789" w14:textId="77777777" w:rsidR="00FE7F8B" w:rsidRDefault="00FE7F8B">
            <w:pPr>
              <w:pStyle w:val="TableTextFinancial"/>
              <w:jc w:val="right"/>
            </w:pPr>
            <w:r>
              <w:t>0.3</w:t>
            </w:r>
          </w:p>
        </w:tc>
        <w:tc>
          <w:tcPr>
            <w:tcW w:w="1275" w:type="dxa"/>
            <w:tcBorders>
              <w:top w:val="nil"/>
              <w:left w:val="nil"/>
              <w:bottom w:val="single" w:sz="4" w:space="0" w:color="auto"/>
              <w:right w:val="nil"/>
            </w:tcBorders>
            <w:vAlign w:val="bottom"/>
            <w:hideMark/>
          </w:tcPr>
          <w:p w14:paraId="17DE5F74" w14:textId="77777777" w:rsidR="00FE7F8B" w:rsidRDefault="00FE7F8B">
            <w:pPr>
              <w:pStyle w:val="TableTextFinancial"/>
              <w:jc w:val="right"/>
            </w:pPr>
            <w:r>
              <w:t>-</w:t>
            </w:r>
          </w:p>
        </w:tc>
        <w:tc>
          <w:tcPr>
            <w:tcW w:w="1134" w:type="dxa"/>
            <w:tcBorders>
              <w:top w:val="nil"/>
              <w:left w:val="nil"/>
              <w:bottom w:val="single" w:sz="4" w:space="0" w:color="auto"/>
              <w:right w:val="nil"/>
            </w:tcBorders>
            <w:vAlign w:val="bottom"/>
            <w:hideMark/>
          </w:tcPr>
          <w:p w14:paraId="4900A235" w14:textId="77777777" w:rsidR="00FE7F8B" w:rsidRDefault="00FE7F8B">
            <w:pPr>
              <w:pStyle w:val="TableTextFinancial"/>
              <w:jc w:val="right"/>
            </w:pPr>
            <w:r>
              <w:t>0.3</w:t>
            </w:r>
          </w:p>
        </w:tc>
      </w:tr>
      <w:tr w:rsidR="00FE7F8B" w14:paraId="2AF1AA58" w14:textId="77777777" w:rsidTr="00FE7F8B">
        <w:tc>
          <w:tcPr>
            <w:tcW w:w="2840"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2F0FF8EF" w14:textId="77777777" w:rsidR="00FE7F8B" w:rsidRDefault="00FE7F8B">
            <w:pPr>
              <w:pStyle w:val="TableTextFinancial"/>
              <w:rPr>
                <w:b/>
              </w:rPr>
            </w:pPr>
            <w:r>
              <w:rPr>
                <w:b/>
              </w:rPr>
              <w:t>Closing balance</w:t>
            </w:r>
          </w:p>
        </w:tc>
        <w:tc>
          <w:tcPr>
            <w:tcW w:w="851" w:type="dxa"/>
            <w:tcBorders>
              <w:top w:val="single" w:sz="4" w:space="0" w:color="auto"/>
              <w:left w:val="nil"/>
              <w:bottom w:val="single" w:sz="4" w:space="0" w:color="auto"/>
              <w:right w:val="nil"/>
            </w:tcBorders>
            <w:tcMar>
              <w:top w:w="28" w:type="dxa"/>
              <w:left w:w="0" w:type="dxa"/>
              <w:bottom w:w="0" w:type="dxa"/>
              <w:right w:w="0" w:type="dxa"/>
            </w:tcMar>
            <w:vAlign w:val="bottom"/>
          </w:tcPr>
          <w:p w14:paraId="12CDC0A5" w14:textId="77777777" w:rsidR="00FE7F8B" w:rsidRDefault="00FE7F8B">
            <w:pPr>
              <w:pStyle w:val="TableTextFinancial"/>
            </w:pPr>
          </w:p>
        </w:tc>
        <w:tc>
          <w:tcPr>
            <w:tcW w:w="1276" w:type="dxa"/>
            <w:tcBorders>
              <w:top w:val="single" w:sz="4" w:space="0" w:color="auto"/>
              <w:left w:val="nil"/>
              <w:bottom w:val="single" w:sz="4" w:space="0" w:color="auto"/>
              <w:right w:val="nil"/>
            </w:tcBorders>
            <w:tcMar>
              <w:top w:w="28" w:type="dxa"/>
              <w:left w:w="0" w:type="dxa"/>
              <w:bottom w:w="0" w:type="dxa"/>
              <w:right w:w="0" w:type="dxa"/>
            </w:tcMar>
            <w:hideMark/>
          </w:tcPr>
          <w:p w14:paraId="7A6428EB" w14:textId="77777777" w:rsidR="00FE7F8B" w:rsidRDefault="00FE7F8B">
            <w:pPr>
              <w:pStyle w:val="TableTextFinancial"/>
              <w:jc w:val="right"/>
              <w:rPr>
                <w:b/>
              </w:rPr>
            </w:pPr>
            <w:r>
              <w:rPr>
                <w:b/>
              </w:rPr>
              <w:t>(83.7)</w:t>
            </w:r>
          </w:p>
        </w:tc>
        <w:tc>
          <w:tcPr>
            <w:tcW w:w="1275" w:type="dxa"/>
            <w:tcBorders>
              <w:top w:val="single" w:sz="4" w:space="0" w:color="auto"/>
              <w:left w:val="nil"/>
              <w:bottom w:val="single" w:sz="4" w:space="0" w:color="auto"/>
              <w:right w:val="nil"/>
            </w:tcBorders>
            <w:tcMar>
              <w:top w:w="28" w:type="dxa"/>
              <w:left w:w="0" w:type="dxa"/>
              <w:bottom w:w="0" w:type="dxa"/>
              <w:right w:w="0" w:type="dxa"/>
            </w:tcMar>
            <w:hideMark/>
          </w:tcPr>
          <w:p w14:paraId="6F82BB4D" w14:textId="77777777" w:rsidR="00FE7F8B" w:rsidRDefault="00FE7F8B">
            <w:pPr>
              <w:pStyle w:val="TableTextFinancial"/>
              <w:jc w:val="right"/>
              <w:rPr>
                <w:b/>
              </w:rPr>
            </w:pPr>
            <w:r>
              <w:rPr>
                <w:b/>
              </w:rPr>
              <w:t>-</w:t>
            </w:r>
          </w:p>
        </w:tc>
        <w:tc>
          <w:tcPr>
            <w:tcW w:w="1134" w:type="dxa"/>
            <w:tcBorders>
              <w:top w:val="single" w:sz="4" w:space="0" w:color="auto"/>
              <w:left w:val="nil"/>
              <w:bottom w:val="single" w:sz="4" w:space="0" w:color="auto"/>
              <w:right w:val="nil"/>
            </w:tcBorders>
            <w:tcMar>
              <w:top w:w="28" w:type="dxa"/>
              <w:left w:w="0" w:type="dxa"/>
              <w:bottom w:w="0" w:type="dxa"/>
              <w:right w:w="0" w:type="dxa"/>
            </w:tcMar>
            <w:hideMark/>
          </w:tcPr>
          <w:p w14:paraId="05586399" w14:textId="77777777" w:rsidR="00FE7F8B" w:rsidRDefault="00FE7F8B">
            <w:pPr>
              <w:pStyle w:val="TableTextFinancial"/>
              <w:jc w:val="right"/>
              <w:rPr>
                <w:b/>
              </w:rPr>
            </w:pPr>
            <w:r>
              <w:rPr>
                <w:b/>
              </w:rPr>
              <w:t>(83.7)</w:t>
            </w:r>
          </w:p>
        </w:tc>
      </w:tr>
      <w:tr w:rsidR="00FE7F8B" w14:paraId="6C893765" w14:textId="77777777" w:rsidTr="00FE7F8B">
        <w:tc>
          <w:tcPr>
            <w:tcW w:w="2840"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1420A992" w14:textId="77777777" w:rsidR="00FE7F8B" w:rsidRDefault="00FE7F8B">
            <w:pPr>
              <w:pStyle w:val="TableTextFinancial"/>
              <w:rPr>
                <w:b/>
              </w:rPr>
            </w:pPr>
            <w:r>
              <w:rPr>
                <w:b/>
              </w:rPr>
              <w:t>Net book value at end of financial year</w:t>
            </w:r>
          </w:p>
        </w:tc>
        <w:tc>
          <w:tcPr>
            <w:tcW w:w="851" w:type="dxa"/>
            <w:tcBorders>
              <w:top w:val="single" w:sz="4" w:space="0" w:color="auto"/>
              <w:left w:val="nil"/>
              <w:bottom w:val="single" w:sz="4" w:space="0" w:color="auto"/>
              <w:right w:val="nil"/>
            </w:tcBorders>
            <w:tcMar>
              <w:top w:w="28" w:type="dxa"/>
              <w:left w:w="0" w:type="dxa"/>
              <w:bottom w:w="0" w:type="dxa"/>
              <w:right w:w="0" w:type="dxa"/>
            </w:tcMar>
            <w:vAlign w:val="bottom"/>
          </w:tcPr>
          <w:p w14:paraId="4415F0F9" w14:textId="77777777" w:rsidR="00FE7F8B" w:rsidRDefault="00FE7F8B">
            <w:pPr>
              <w:pStyle w:val="TableTextFinancial"/>
            </w:pPr>
          </w:p>
        </w:tc>
        <w:tc>
          <w:tcPr>
            <w:tcW w:w="1276"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18CA5D5F" w14:textId="77777777" w:rsidR="00FE7F8B" w:rsidRDefault="00FE7F8B">
            <w:pPr>
              <w:pStyle w:val="TableTextFinancial"/>
              <w:jc w:val="right"/>
              <w:rPr>
                <w:b/>
              </w:rPr>
            </w:pPr>
            <w:r>
              <w:rPr>
                <w:b/>
              </w:rPr>
              <w:t>27.2</w:t>
            </w:r>
          </w:p>
        </w:tc>
        <w:tc>
          <w:tcPr>
            <w:tcW w:w="127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266CC1FB" w14:textId="77777777" w:rsidR="00FE7F8B" w:rsidRDefault="00FE7F8B">
            <w:pPr>
              <w:pStyle w:val="TableTextFinancial"/>
              <w:jc w:val="right"/>
              <w:rPr>
                <w:b/>
              </w:rPr>
            </w:pPr>
            <w:r>
              <w:rPr>
                <w:b/>
              </w:rPr>
              <w:t>38.5</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55A8410" w14:textId="77777777" w:rsidR="00FE7F8B" w:rsidRDefault="00FE7F8B">
            <w:pPr>
              <w:pStyle w:val="TableTextFinancial"/>
              <w:jc w:val="right"/>
              <w:rPr>
                <w:b/>
              </w:rPr>
            </w:pPr>
            <w:r>
              <w:rPr>
                <w:b/>
              </w:rPr>
              <w:t>65.7</w:t>
            </w:r>
          </w:p>
        </w:tc>
      </w:tr>
    </w:tbl>
    <w:p w14:paraId="671F18DF" w14:textId="77777777" w:rsidR="00FE7F8B" w:rsidRDefault="00FE7F8B" w:rsidP="00BB1129">
      <w:pPr>
        <w:pStyle w:val="DETFootnoteTextforobjectivestablesOHStable"/>
        <w:spacing w:before="120"/>
        <w:rPr>
          <w:sz w:val="13"/>
        </w:rPr>
      </w:pPr>
      <w:r>
        <w:t>1 Impairment losses are included in the line item 'net gain</w:t>
      </w:r>
      <w:proofErr w:type="gramStart"/>
      <w:r>
        <w:t>/(</w:t>
      </w:r>
      <w:proofErr w:type="gramEnd"/>
      <w:r>
        <w:t>loss) on non-financial assets' in the comprehensive operating statement. The annual impairment review performed by the Department on intangible assets for 2015 resulted in an impairment of the Enterprise online assessment system following a determination to not implement this system.</w:t>
      </w:r>
    </w:p>
    <w:p w14:paraId="2F0A1488" w14:textId="77777777" w:rsidR="00FE7F8B" w:rsidRDefault="00FE7F8B" w:rsidP="00FE7F8B">
      <w:pPr>
        <w:pStyle w:val="Heading2notes"/>
        <w:numPr>
          <w:ilvl w:val="0"/>
          <w:numId w:val="0"/>
        </w:numPr>
      </w:pPr>
    </w:p>
    <w:p w14:paraId="30C26000" w14:textId="77777777" w:rsidR="00FE7F8B" w:rsidRDefault="00FE7F8B" w:rsidP="00FE7F8B">
      <w:pPr>
        <w:pStyle w:val="Heading2Notes0"/>
        <w:numPr>
          <w:ilvl w:val="0"/>
          <w:numId w:val="0"/>
        </w:numPr>
        <w:ind w:left="1276" w:hanging="1276"/>
      </w:pPr>
    </w:p>
    <w:p w14:paraId="2BE9BB7D" w14:textId="77777777" w:rsidR="00FE7F8B" w:rsidRDefault="00FE7F8B" w:rsidP="00FE7F8B">
      <w:pPr>
        <w:pStyle w:val="Heading2Notes0"/>
        <w:numPr>
          <w:ilvl w:val="0"/>
          <w:numId w:val="0"/>
        </w:numPr>
        <w:ind w:left="1276" w:hanging="1276"/>
      </w:pPr>
    </w:p>
    <w:bookmarkEnd w:id="86"/>
    <w:p w14:paraId="40CA7BEF" w14:textId="77777777" w:rsidR="00FE7F8B" w:rsidRDefault="00FE7F8B" w:rsidP="00FE7F8B">
      <w:pPr>
        <w:spacing w:after="200" w:line="276" w:lineRule="auto"/>
      </w:pPr>
      <w:r>
        <w:br w:type="page"/>
      </w:r>
    </w:p>
    <w:p w14:paraId="33014B47" w14:textId="77777777" w:rsidR="00FE7F8B" w:rsidRDefault="00FE7F8B" w:rsidP="00AD641C">
      <w:pPr>
        <w:pStyle w:val="Heading2notes"/>
        <w:numPr>
          <w:ilvl w:val="0"/>
          <w:numId w:val="39"/>
        </w:numPr>
      </w:pPr>
      <w:bookmarkStart w:id="87" w:name="nonfinancial"/>
      <w:bookmarkStart w:id="88" w:name="_Ref399423668"/>
      <w:bookmarkStart w:id="89" w:name="_Toc399491068"/>
      <w:bookmarkStart w:id="90" w:name="_Toc461176300"/>
      <w:r>
        <w:t>Property, plant and equipment—Education purpose group</w:t>
      </w:r>
      <w:r>
        <w:rPr>
          <w:vertAlign w:val="superscript"/>
          <w:lang w:val="en-US"/>
        </w:rPr>
        <w:t>1</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8"/>
        <w:gridCol w:w="1134"/>
        <w:gridCol w:w="1138"/>
      </w:tblGrid>
      <w:tr w:rsidR="00FE7F8B" w14:paraId="512061A4" w14:textId="77777777" w:rsidTr="00FE7F8B">
        <w:tc>
          <w:tcPr>
            <w:tcW w:w="5106" w:type="dxa"/>
            <w:tcBorders>
              <w:top w:val="nil"/>
              <w:left w:val="nil"/>
              <w:bottom w:val="nil"/>
              <w:right w:val="nil"/>
            </w:tcBorders>
            <w:shd w:val="clear" w:color="auto" w:fill="7F7F7F" w:themeFill="text1" w:themeFillTint="80"/>
            <w:vAlign w:val="center"/>
          </w:tcPr>
          <w:p w14:paraId="53B1B942" w14:textId="77777777" w:rsidR="00FE7F8B" w:rsidRDefault="00FE7F8B">
            <w:pPr>
              <w:pStyle w:val="Tablecolumnheading"/>
              <w:jc w:val="center"/>
              <w:rPr>
                <w:lang w:eastAsia="en-AU"/>
              </w:rPr>
            </w:pPr>
          </w:p>
        </w:tc>
        <w:tc>
          <w:tcPr>
            <w:tcW w:w="1133" w:type="dxa"/>
            <w:tcBorders>
              <w:top w:val="nil"/>
              <w:left w:val="nil"/>
              <w:bottom w:val="nil"/>
              <w:right w:val="nil"/>
            </w:tcBorders>
            <w:shd w:val="clear" w:color="auto" w:fill="7F7F7F" w:themeFill="text1" w:themeFillTint="80"/>
            <w:vAlign w:val="center"/>
            <w:hideMark/>
          </w:tcPr>
          <w:p w14:paraId="641D0A57" w14:textId="77777777" w:rsidR="00FE7F8B" w:rsidRDefault="00FE7F8B">
            <w:pPr>
              <w:pStyle w:val="Tablecolumnheading"/>
              <w:jc w:val="center"/>
            </w:pPr>
            <w:r>
              <w:rPr>
                <w:lang w:eastAsia="en-AU"/>
              </w:rPr>
              <w:t>2016</w:t>
            </w:r>
            <w:r>
              <w:rPr>
                <w:lang w:eastAsia="en-AU"/>
              </w:rPr>
              <w:br/>
              <w:t>$m</w:t>
            </w:r>
          </w:p>
        </w:tc>
        <w:tc>
          <w:tcPr>
            <w:tcW w:w="1137" w:type="dxa"/>
            <w:tcBorders>
              <w:top w:val="nil"/>
              <w:left w:val="nil"/>
              <w:bottom w:val="nil"/>
              <w:right w:val="nil"/>
            </w:tcBorders>
            <w:shd w:val="clear" w:color="auto" w:fill="7F7F7F" w:themeFill="text1" w:themeFillTint="80"/>
            <w:vAlign w:val="center"/>
            <w:hideMark/>
          </w:tcPr>
          <w:p w14:paraId="4922A4FD" w14:textId="77777777" w:rsidR="00FE7F8B" w:rsidRDefault="00FE7F8B">
            <w:pPr>
              <w:pStyle w:val="Tablecolumnheading"/>
              <w:jc w:val="center"/>
            </w:pPr>
            <w:r>
              <w:rPr>
                <w:lang w:eastAsia="en-AU"/>
              </w:rPr>
              <w:t>2015</w:t>
            </w:r>
            <w:r>
              <w:rPr>
                <w:lang w:eastAsia="en-AU"/>
              </w:rPr>
              <w:br/>
              <w:t>$m</w:t>
            </w:r>
          </w:p>
        </w:tc>
      </w:tr>
      <w:tr w:rsidR="00FE7F8B" w14:paraId="21F93F28" w14:textId="77777777" w:rsidTr="00FE7F8B">
        <w:tc>
          <w:tcPr>
            <w:tcW w:w="5106" w:type="dxa"/>
            <w:tcBorders>
              <w:top w:val="nil"/>
              <w:left w:val="nil"/>
              <w:bottom w:val="nil"/>
              <w:right w:val="nil"/>
            </w:tcBorders>
            <w:vAlign w:val="bottom"/>
            <w:hideMark/>
          </w:tcPr>
          <w:p w14:paraId="624EA159" w14:textId="77777777" w:rsidR="00FE7F8B" w:rsidRDefault="00FE7F8B">
            <w:pPr>
              <w:pStyle w:val="TableTextFinancial"/>
              <w:rPr>
                <w:b/>
              </w:rPr>
            </w:pPr>
            <w:r>
              <w:rPr>
                <w:b/>
              </w:rPr>
              <w:t>Land</w:t>
            </w:r>
          </w:p>
        </w:tc>
        <w:tc>
          <w:tcPr>
            <w:tcW w:w="1133" w:type="dxa"/>
            <w:tcBorders>
              <w:top w:val="nil"/>
              <w:left w:val="nil"/>
              <w:bottom w:val="nil"/>
              <w:right w:val="nil"/>
            </w:tcBorders>
            <w:shd w:val="clear" w:color="auto" w:fill="F2F2F2" w:themeFill="background1" w:themeFillShade="F2"/>
            <w:vAlign w:val="bottom"/>
          </w:tcPr>
          <w:p w14:paraId="7D90CC30" w14:textId="77777777" w:rsidR="00FE7F8B" w:rsidRDefault="00FE7F8B">
            <w:pPr>
              <w:pStyle w:val="TableTextFinancial"/>
              <w:jc w:val="right"/>
              <w:rPr>
                <w:b/>
              </w:rPr>
            </w:pPr>
          </w:p>
        </w:tc>
        <w:tc>
          <w:tcPr>
            <w:tcW w:w="1137" w:type="dxa"/>
            <w:tcBorders>
              <w:top w:val="nil"/>
              <w:left w:val="nil"/>
              <w:bottom w:val="nil"/>
              <w:right w:val="nil"/>
            </w:tcBorders>
            <w:vAlign w:val="bottom"/>
          </w:tcPr>
          <w:p w14:paraId="36F64D1E" w14:textId="77777777" w:rsidR="00FE7F8B" w:rsidRDefault="00FE7F8B">
            <w:pPr>
              <w:pStyle w:val="TableTextFinancial"/>
              <w:jc w:val="right"/>
            </w:pPr>
          </w:p>
        </w:tc>
      </w:tr>
      <w:tr w:rsidR="00FE7F8B" w14:paraId="0F155170" w14:textId="77777777" w:rsidTr="00FE7F8B">
        <w:tc>
          <w:tcPr>
            <w:tcW w:w="5106" w:type="dxa"/>
            <w:tcBorders>
              <w:top w:val="nil"/>
              <w:left w:val="nil"/>
              <w:bottom w:val="nil"/>
              <w:right w:val="nil"/>
            </w:tcBorders>
            <w:vAlign w:val="bottom"/>
            <w:hideMark/>
          </w:tcPr>
          <w:p w14:paraId="71F8B167" w14:textId="77777777" w:rsidR="00FE7F8B" w:rsidRDefault="00FE7F8B">
            <w:pPr>
              <w:pStyle w:val="TableTextFinancial"/>
            </w:pPr>
            <w:r>
              <w:t>At fair value</w:t>
            </w:r>
            <w:r>
              <w:rPr>
                <w:vertAlign w:val="superscript"/>
              </w:rPr>
              <w:t>2</w:t>
            </w:r>
          </w:p>
        </w:tc>
        <w:tc>
          <w:tcPr>
            <w:tcW w:w="1133" w:type="dxa"/>
            <w:tcBorders>
              <w:top w:val="nil"/>
              <w:left w:val="nil"/>
              <w:bottom w:val="nil"/>
              <w:right w:val="nil"/>
            </w:tcBorders>
            <w:shd w:val="clear" w:color="auto" w:fill="F2F2F2" w:themeFill="background1" w:themeFillShade="F2"/>
            <w:vAlign w:val="bottom"/>
            <w:hideMark/>
          </w:tcPr>
          <w:p w14:paraId="6CBAAE62" w14:textId="77777777" w:rsidR="00FE7F8B" w:rsidRDefault="00FE7F8B">
            <w:pPr>
              <w:pStyle w:val="TableTextFinancial"/>
              <w:jc w:val="right"/>
              <w:rPr>
                <w:b/>
              </w:rPr>
            </w:pPr>
            <w:r>
              <w:rPr>
                <w:b/>
              </w:rPr>
              <w:t>9,367.6</w:t>
            </w:r>
          </w:p>
        </w:tc>
        <w:tc>
          <w:tcPr>
            <w:tcW w:w="1137" w:type="dxa"/>
            <w:tcBorders>
              <w:top w:val="nil"/>
              <w:left w:val="nil"/>
              <w:bottom w:val="nil"/>
              <w:right w:val="nil"/>
            </w:tcBorders>
            <w:vAlign w:val="bottom"/>
            <w:hideMark/>
          </w:tcPr>
          <w:p w14:paraId="50C0CA14" w14:textId="77777777" w:rsidR="00FE7F8B" w:rsidRDefault="00FE7F8B">
            <w:pPr>
              <w:pStyle w:val="TableTextFinancial"/>
              <w:jc w:val="right"/>
            </w:pPr>
            <w:r>
              <w:t>7,895.7</w:t>
            </w:r>
          </w:p>
        </w:tc>
      </w:tr>
      <w:tr w:rsidR="00FE7F8B" w14:paraId="2B8C20B4" w14:textId="77777777" w:rsidTr="00FE7F8B">
        <w:tc>
          <w:tcPr>
            <w:tcW w:w="5106" w:type="dxa"/>
            <w:tcBorders>
              <w:top w:val="nil"/>
              <w:left w:val="nil"/>
              <w:bottom w:val="nil"/>
              <w:right w:val="nil"/>
            </w:tcBorders>
            <w:vAlign w:val="bottom"/>
          </w:tcPr>
          <w:p w14:paraId="3FE1E5F1" w14:textId="77777777" w:rsidR="00FE7F8B" w:rsidRDefault="00FE7F8B">
            <w:pPr>
              <w:pStyle w:val="TableTextFinancial"/>
              <w:rPr>
                <w:b/>
              </w:rPr>
            </w:pPr>
          </w:p>
        </w:tc>
        <w:tc>
          <w:tcPr>
            <w:tcW w:w="1133" w:type="dxa"/>
            <w:tcBorders>
              <w:top w:val="nil"/>
              <w:left w:val="nil"/>
              <w:bottom w:val="nil"/>
              <w:right w:val="nil"/>
            </w:tcBorders>
            <w:shd w:val="clear" w:color="auto" w:fill="F2F2F2" w:themeFill="background1" w:themeFillShade="F2"/>
            <w:vAlign w:val="bottom"/>
          </w:tcPr>
          <w:p w14:paraId="583F277D" w14:textId="77777777" w:rsidR="00FE7F8B" w:rsidRDefault="00FE7F8B">
            <w:pPr>
              <w:pStyle w:val="TableTextFinancial"/>
              <w:jc w:val="right"/>
              <w:rPr>
                <w:b/>
              </w:rPr>
            </w:pPr>
          </w:p>
        </w:tc>
        <w:tc>
          <w:tcPr>
            <w:tcW w:w="1137" w:type="dxa"/>
            <w:tcBorders>
              <w:top w:val="nil"/>
              <w:left w:val="nil"/>
              <w:bottom w:val="nil"/>
              <w:right w:val="nil"/>
            </w:tcBorders>
            <w:vAlign w:val="bottom"/>
          </w:tcPr>
          <w:p w14:paraId="09DAD78E" w14:textId="77777777" w:rsidR="00FE7F8B" w:rsidRDefault="00FE7F8B">
            <w:pPr>
              <w:pStyle w:val="TableTextFinancial"/>
              <w:jc w:val="right"/>
            </w:pPr>
          </w:p>
        </w:tc>
      </w:tr>
      <w:tr w:rsidR="00FE7F8B" w14:paraId="01CA3829" w14:textId="77777777" w:rsidTr="00FE7F8B">
        <w:tc>
          <w:tcPr>
            <w:tcW w:w="5106" w:type="dxa"/>
            <w:tcBorders>
              <w:top w:val="nil"/>
              <w:left w:val="nil"/>
              <w:bottom w:val="nil"/>
              <w:right w:val="nil"/>
            </w:tcBorders>
            <w:vAlign w:val="bottom"/>
            <w:hideMark/>
          </w:tcPr>
          <w:p w14:paraId="39CF631F" w14:textId="77777777" w:rsidR="00FE7F8B" w:rsidRDefault="00FE7F8B">
            <w:pPr>
              <w:pStyle w:val="TableTextFinancial"/>
              <w:rPr>
                <w:b/>
              </w:rPr>
            </w:pPr>
            <w:r>
              <w:rPr>
                <w:b/>
              </w:rPr>
              <w:t>Buildings</w:t>
            </w:r>
          </w:p>
        </w:tc>
        <w:tc>
          <w:tcPr>
            <w:tcW w:w="1133" w:type="dxa"/>
            <w:tcBorders>
              <w:top w:val="nil"/>
              <w:left w:val="nil"/>
              <w:bottom w:val="nil"/>
              <w:right w:val="nil"/>
            </w:tcBorders>
            <w:shd w:val="clear" w:color="auto" w:fill="F2F2F2" w:themeFill="background1" w:themeFillShade="F2"/>
            <w:vAlign w:val="bottom"/>
          </w:tcPr>
          <w:p w14:paraId="641A6BE9" w14:textId="77777777" w:rsidR="00FE7F8B" w:rsidRDefault="00FE7F8B">
            <w:pPr>
              <w:pStyle w:val="TableTextFinancial"/>
              <w:jc w:val="right"/>
              <w:rPr>
                <w:b/>
              </w:rPr>
            </w:pPr>
          </w:p>
        </w:tc>
        <w:tc>
          <w:tcPr>
            <w:tcW w:w="1137" w:type="dxa"/>
            <w:tcBorders>
              <w:top w:val="nil"/>
              <w:left w:val="nil"/>
              <w:bottom w:val="nil"/>
              <w:right w:val="nil"/>
            </w:tcBorders>
            <w:vAlign w:val="bottom"/>
          </w:tcPr>
          <w:p w14:paraId="64AAA6B4" w14:textId="77777777" w:rsidR="00FE7F8B" w:rsidRDefault="00FE7F8B">
            <w:pPr>
              <w:pStyle w:val="TableTextFinancial"/>
              <w:jc w:val="right"/>
            </w:pPr>
          </w:p>
        </w:tc>
      </w:tr>
      <w:tr w:rsidR="00FE7F8B" w14:paraId="264C1414" w14:textId="77777777" w:rsidTr="00FE7F8B">
        <w:tc>
          <w:tcPr>
            <w:tcW w:w="5106" w:type="dxa"/>
            <w:tcBorders>
              <w:top w:val="nil"/>
              <w:left w:val="nil"/>
              <w:bottom w:val="nil"/>
              <w:right w:val="nil"/>
            </w:tcBorders>
            <w:vAlign w:val="bottom"/>
            <w:hideMark/>
          </w:tcPr>
          <w:p w14:paraId="45D93E88" w14:textId="77777777" w:rsidR="00FE7F8B" w:rsidRDefault="00FE7F8B">
            <w:pPr>
              <w:pStyle w:val="TableTextFinancial"/>
            </w:pPr>
            <w:r>
              <w:t>At fair value</w:t>
            </w:r>
          </w:p>
        </w:tc>
        <w:tc>
          <w:tcPr>
            <w:tcW w:w="1133" w:type="dxa"/>
            <w:tcBorders>
              <w:top w:val="nil"/>
              <w:left w:val="nil"/>
              <w:bottom w:val="nil"/>
              <w:right w:val="nil"/>
            </w:tcBorders>
            <w:shd w:val="clear" w:color="auto" w:fill="F2F2F2" w:themeFill="background1" w:themeFillShade="F2"/>
            <w:vAlign w:val="bottom"/>
            <w:hideMark/>
          </w:tcPr>
          <w:p w14:paraId="3A40C5BE" w14:textId="77777777" w:rsidR="00FE7F8B" w:rsidRDefault="00FE7F8B">
            <w:pPr>
              <w:pStyle w:val="TableTextFinancial"/>
              <w:jc w:val="right"/>
              <w:rPr>
                <w:b/>
              </w:rPr>
            </w:pPr>
            <w:r>
              <w:rPr>
                <w:b/>
              </w:rPr>
              <w:t>10,014.0</w:t>
            </w:r>
          </w:p>
        </w:tc>
        <w:tc>
          <w:tcPr>
            <w:tcW w:w="1137" w:type="dxa"/>
            <w:tcBorders>
              <w:top w:val="nil"/>
              <w:left w:val="nil"/>
              <w:bottom w:val="nil"/>
              <w:right w:val="nil"/>
            </w:tcBorders>
            <w:vAlign w:val="bottom"/>
            <w:hideMark/>
          </w:tcPr>
          <w:p w14:paraId="61EEEECD" w14:textId="77777777" w:rsidR="00FE7F8B" w:rsidRDefault="00FE7F8B">
            <w:pPr>
              <w:pStyle w:val="TableTextFinancial"/>
              <w:jc w:val="right"/>
            </w:pPr>
            <w:r>
              <w:t>8,756.9</w:t>
            </w:r>
          </w:p>
        </w:tc>
      </w:tr>
      <w:tr w:rsidR="00FE7F8B" w14:paraId="3E635D05" w14:textId="77777777" w:rsidTr="00FE7F8B">
        <w:tc>
          <w:tcPr>
            <w:tcW w:w="5106" w:type="dxa"/>
            <w:tcBorders>
              <w:top w:val="nil"/>
              <w:left w:val="nil"/>
              <w:bottom w:val="single" w:sz="4" w:space="0" w:color="auto"/>
              <w:right w:val="nil"/>
            </w:tcBorders>
            <w:vAlign w:val="bottom"/>
            <w:hideMark/>
          </w:tcPr>
          <w:p w14:paraId="4FAB026E" w14:textId="77777777" w:rsidR="00FE7F8B" w:rsidRDefault="00FE7F8B">
            <w:pPr>
              <w:pStyle w:val="TableTextFinancial"/>
            </w:pPr>
            <w:r>
              <w:t>Less accumulated depreciation</w:t>
            </w:r>
          </w:p>
        </w:tc>
        <w:tc>
          <w:tcPr>
            <w:tcW w:w="1133" w:type="dxa"/>
            <w:tcBorders>
              <w:top w:val="nil"/>
              <w:left w:val="nil"/>
              <w:bottom w:val="single" w:sz="4" w:space="0" w:color="auto"/>
              <w:right w:val="nil"/>
            </w:tcBorders>
            <w:shd w:val="clear" w:color="auto" w:fill="F2F2F2" w:themeFill="background1" w:themeFillShade="F2"/>
            <w:vAlign w:val="bottom"/>
            <w:hideMark/>
          </w:tcPr>
          <w:p w14:paraId="6E891485" w14:textId="77777777" w:rsidR="00FE7F8B" w:rsidRDefault="00FE7F8B">
            <w:pPr>
              <w:pStyle w:val="TableTextFinancial"/>
              <w:jc w:val="right"/>
              <w:rPr>
                <w:b/>
              </w:rPr>
            </w:pPr>
            <w:r>
              <w:rPr>
                <w:b/>
              </w:rPr>
              <w:t>-</w:t>
            </w:r>
          </w:p>
        </w:tc>
        <w:tc>
          <w:tcPr>
            <w:tcW w:w="1137" w:type="dxa"/>
            <w:tcBorders>
              <w:top w:val="nil"/>
              <w:left w:val="nil"/>
              <w:bottom w:val="single" w:sz="4" w:space="0" w:color="auto"/>
              <w:right w:val="nil"/>
            </w:tcBorders>
            <w:vAlign w:val="bottom"/>
            <w:hideMark/>
          </w:tcPr>
          <w:p w14:paraId="1BE51500" w14:textId="77777777" w:rsidR="00FE7F8B" w:rsidRDefault="00FE7F8B">
            <w:pPr>
              <w:pStyle w:val="TableTextFinancial"/>
              <w:jc w:val="right"/>
            </w:pPr>
            <w:r>
              <w:t>(490.1)</w:t>
            </w:r>
          </w:p>
        </w:tc>
      </w:tr>
      <w:tr w:rsidR="00FE7F8B" w14:paraId="3649445E" w14:textId="77777777" w:rsidTr="00FE7F8B">
        <w:tc>
          <w:tcPr>
            <w:tcW w:w="5106" w:type="dxa"/>
            <w:tcBorders>
              <w:top w:val="single" w:sz="4" w:space="0" w:color="auto"/>
              <w:left w:val="nil"/>
              <w:bottom w:val="nil"/>
              <w:right w:val="nil"/>
            </w:tcBorders>
            <w:vAlign w:val="bottom"/>
            <w:hideMark/>
          </w:tcPr>
          <w:p w14:paraId="04F44F41" w14:textId="77777777" w:rsidR="00FE7F8B" w:rsidRDefault="00FE7F8B">
            <w:pPr>
              <w:pStyle w:val="TableTextFinancial"/>
              <w:rPr>
                <w:b/>
              </w:rPr>
            </w:pPr>
            <w:r>
              <w:rPr>
                <w:b/>
              </w:rPr>
              <w:t>Total buildings</w:t>
            </w:r>
          </w:p>
        </w:tc>
        <w:tc>
          <w:tcPr>
            <w:tcW w:w="1133" w:type="dxa"/>
            <w:tcBorders>
              <w:top w:val="single" w:sz="4" w:space="0" w:color="auto"/>
              <w:left w:val="nil"/>
              <w:bottom w:val="nil"/>
              <w:right w:val="nil"/>
            </w:tcBorders>
            <w:shd w:val="clear" w:color="auto" w:fill="F2F2F2" w:themeFill="background1" w:themeFillShade="F2"/>
            <w:vAlign w:val="bottom"/>
            <w:hideMark/>
          </w:tcPr>
          <w:p w14:paraId="2B911A33" w14:textId="77777777" w:rsidR="00FE7F8B" w:rsidRDefault="00FE7F8B">
            <w:pPr>
              <w:pStyle w:val="TableTextFinancial"/>
              <w:jc w:val="right"/>
              <w:rPr>
                <w:b/>
              </w:rPr>
            </w:pPr>
            <w:r>
              <w:rPr>
                <w:b/>
              </w:rPr>
              <w:t>10,014.0</w:t>
            </w:r>
          </w:p>
        </w:tc>
        <w:tc>
          <w:tcPr>
            <w:tcW w:w="1137" w:type="dxa"/>
            <w:tcBorders>
              <w:top w:val="single" w:sz="4" w:space="0" w:color="auto"/>
              <w:left w:val="nil"/>
              <w:bottom w:val="nil"/>
              <w:right w:val="nil"/>
            </w:tcBorders>
            <w:vAlign w:val="bottom"/>
            <w:hideMark/>
          </w:tcPr>
          <w:p w14:paraId="78A6E918" w14:textId="77777777" w:rsidR="00FE7F8B" w:rsidRDefault="00FE7F8B">
            <w:pPr>
              <w:pStyle w:val="TableTextFinancial"/>
              <w:jc w:val="right"/>
            </w:pPr>
            <w:r>
              <w:t>8,266.8</w:t>
            </w:r>
          </w:p>
        </w:tc>
      </w:tr>
      <w:tr w:rsidR="00FE7F8B" w14:paraId="7ADE7A4E" w14:textId="77777777" w:rsidTr="00FE7F8B">
        <w:tc>
          <w:tcPr>
            <w:tcW w:w="5106" w:type="dxa"/>
            <w:tcBorders>
              <w:top w:val="nil"/>
              <w:left w:val="nil"/>
              <w:bottom w:val="nil"/>
              <w:right w:val="nil"/>
            </w:tcBorders>
            <w:vAlign w:val="bottom"/>
          </w:tcPr>
          <w:p w14:paraId="33D08D5C" w14:textId="77777777" w:rsidR="00FE7F8B" w:rsidRDefault="00FE7F8B">
            <w:pPr>
              <w:pStyle w:val="TableTextFinancial"/>
              <w:rPr>
                <w:b/>
              </w:rPr>
            </w:pPr>
          </w:p>
        </w:tc>
        <w:tc>
          <w:tcPr>
            <w:tcW w:w="1133" w:type="dxa"/>
            <w:tcBorders>
              <w:top w:val="nil"/>
              <w:left w:val="nil"/>
              <w:bottom w:val="nil"/>
              <w:right w:val="nil"/>
            </w:tcBorders>
            <w:shd w:val="clear" w:color="auto" w:fill="F2F2F2" w:themeFill="background1" w:themeFillShade="F2"/>
            <w:vAlign w:val="bottom"/>
          </w:tcPr>
          <w:p w14:paraId="62CBD9A3" w14:textId="77777777" w:rsidR="00FE7F8B" w:rsidRDefault="00FE7F8B">
            <w:pPr>
              <w:pStyle w:val="TableTextFinancial"/>
              <w:jc w:val="right"/>
              <w:rPr>
                <w:b/>
              </w:rPr>
            </w:pPr>
          </w:p>
        </w:tc>
        <w:tc>
          <w:tcPr>
            <w:tcW w:w="1137" w:type="dxa"/>
            <w:tcBorders>
              <w:top w:val="nil"/>
              <w:left w:val="nil"/>
              <w:bottom w:val="nil"/>
              <w:right w:val="nil"/>
            </w:tcBorders>
            <w:vAlign w:val="bottom"/>
          </w:tcPr>
          <w:p w14:paraId="41692C8A" w14:textId="77777777" w:rsidR="00FE7F8B" w:rsidRDefault="00FE7F8B">
            <w:pPr>
              <w:pStyle w:val="TableTextFinancial"/>
              <w:jc w:val="right"/>
            </w:pPr>
          </w:p>
        </w:tc>
      </w:tr>
      <w:tr w:rsidR="00FE7F8B" w14:paraId="61F11F45" w14:textId="77777777" w:rsidTr="00FE7F8B">
        <w:tc>
          <w:tcPr>
            <w:tcW w:w="5106" w:type="dxa"/>
            <w:tcBorders>
              <w:top w:val="nil"/>
              <w:left w:val="nil"/>
              <w:bottom w:val="nil"/>
              <w:right w:val="nil"/>
            </w:tcBorders>
            <w:vAlign w:val="bottom"/>
            <w:hideMark/>
          </w:tcPr>
          <w:p w14:paraId="4406E9D0" w14:textId="77777777" w:rsidR="00FE7F8B" w:rsidRDefault="00FE7F8B">
            <w:pPr>
              <w:pStyle w:val="TableTextFinancial"/>
              <w:rPr>
                <w:b/>
              </w:rPr>
            </w:pPr>
            <w:r>
              <w:rPr>
                <w:b/>
              </w:rPr>
              <w:t>Heritage Buildings</w:t>
            </w:r>
          </w:p>
        </w:tc>
        <w:tc>
          <w:tcPr>
            <w:tcW w:w="1133" w:type="dxa"/>
            <w:tcBorders>
              <w:top w:val="nil"/>
              <w:left w:val="nil"/>
              <w:bottom w:val="nil"/>
              <w:right w:val="nil"/>
            </w:tcBorders>
            <w:shd w:val="clear" w:color="auto" w:fill="F2F2F2" w:themeFill="background1" w:themeFillShade="F2"/>
            <w:vAlign w:val="bottom"/>
          </w:tcPr>
          <w:p w14:paraId="5844A48E" w14:textId="77777777" w:rsidR="00FE7F8B" w:rsidRDefault="00FE7F8B">
            <w:pPr>
              <w:pStyle w:val="TableTextFinancial"/>
              <w:jc w:val="right"/>
              <w:rPr>
                <w:b/>
              </w:rPr>
            </w:pPr>
          </w:p>
        </w:tc>
        <w:tc>
          <w:tcPr>
            <w:tcW w:w="1137" w:type="dxa"/>
            <w:tcBorders>
              <w:top w:val="nil"/>
              <w:left w:val="nil"/>
              <w:bottom w:val="nil"/>
              <w:right w:val="nil"/>
            </w:tcBorders>
            <w:vAlign w:val="bottom"/>
          </w:tcPr>
          <w:p w14:paraId="5C69CD2D" w14:textId="77777777" w:rsidR="00FE7F8B" w:rsidRDefault="00FE7F8B">
            <w:pPr>
              <w:pStyle w:val="TableTextFinancial"/>
              <w:jc w:val="right"/>
            </w:pPr>
          </w:p>
        </w:tc>
      </w:tr>
      <w:tr w:rsidR="00FE7F8B" w14:paraId="302EB034" w14:textId="77777777" w:rsidTr="00FE7F8B">
        <w:tc>
          <w:tcPr>
            <w:tcW w:w="5106" w:type="dxa"/>
            <w:tcBorders>
              <w:top w:val="nil"/>
              <w:left w:val="nil"/>
              <w:bottom w:val="nil"/>
              <w:right w:val="nil"/>
            </w:tcBorders>
            <w:vAlign w:val="bottom"/>
            <w:hideMark/>
          </w:tcPr>
          <w:p w14:paraId="7A4997CB" w14:textId="77777777" w:rsidR="00FE7F8B" w:rsidRDefault="00FE7F8B">
            <w:pPr>
              <w:pStyle w:val="TableTextFinancial"/>
            </w:pPr>
            <w:r>
              <w:t>At fair value</w:t>
            </w:r>
          </w:p>
        </w:tc>
        <w:tc>
          <w:tcPr>
            <w:tcW w:w="1133" w:type="dxa"/>
            <w:tcBorders>
              <w:top w:val="nil"/>
              <w:left w:val="nil"/>
              <w:bottom w:val="nil"/>
              <w:right w:val="nil"/>
            </w:tcBorders>
            <w:shd w:val="clear" w:color="auto" w:fill="F2F2F2" w:themeFill="background1" w:themeFillShade="F2"/>
            <w:vAlign w:val="bottom"/>
            <w:hideMark/>
          </w:tcPr>
          <w:p w14:paraId="74513F01" w14:textId="77777777" w:rsidR="00FE7F8B" w:rsidRDefault="00FE7F8B">
            <w:pPr>
              <w:pStyle w:val="TableTextFinancial"/>
              <w:jc w:val="right"/>
              <w:rPr>
                <w:b/>
              </w:rPr>
            </w:pPr>
            <w:r>
              <w:rPr>
                <w:b/>
              </w:rPr>
              <w:t>104.1</w:t>
            </w:r>
          </w:p>
        </w:tc>
        <w:tc>
          <w:tcPr>
            <w:tcW w:w="1137" w:type="dxa"/>
            <w:tcBorders>
              <w:top w:val="nil"/>
              <w:left w:val="nil"/>
              <w:bottom w:val="nil"/>
              <w:right w:val="nil"/>
            </w:tcBorders>
            <w:vAlign w:val="bottom"/>
            <w:hideMark/>
          </w:tcPr>
          <w:p w14:paraId="6BEAF7BB" w14:textId="77777777" w:rsidR="00FE7F8B" w:rsidRDefault="00FE7F8B">
            <w:pPr>
              <w:pStyle w:val="TableTextFinancial"/>
              <w:jc w:val="right"/>
            </w:pPr>
            <w:r>
              <w:t>63.1</w:t>
            </w:r>
          </w:p>
        </w:tc>
      </w:tr>
      <w:tr w:rsidR="00FE7F8B" w14:paraId="6D634014" w14:textId="77777777" w:rsidTr="00FE7F8B">
        <w:tc>
          <w:tcPr>
            <w:tcW w:w="5106" w:type="dxa"/>
            <w:tcBorders>
              <w:top w:val="nil"/>
              <w:left w:val="nil"/>
              <w:bottom w:val="single" w:sz="4" w:space="0" w:color="auto"/>
              <w:right w:val="nil"/>
            </w:tcBorders>
            <w:vAlign w:val="bottom"/>
            <w:hideMark/>
          </w:tcPr>
          <w:p w14:paraId="0A2A8AB1" w14:textId="77777777" w:rsidR="00FE7F8B" w:rsidRDefault="00FE7F8B">
            <w:pPr>
              <w:pStyle w:val="TableTextFinancial"/>
            </w:pPr>
            <w:r>
              <w:t>Less accumulated depreciation</w:t>
            </w:r>
          </w:p>
        </w:tc>
        <w:tc>
          <w:tcPr>
            <w:tcW w:w="1133" w:type="dxa"/>
            <w:tcBorders>
              <w:top w:val="nil"/>
              <w:left w:val="nil"/>
              <w:bottom w:val="single" w:sz="4" w:space="0" w:color="auto"/>
              <w:right w:val="nil"/>
            </w:tcBorders>
            <w:shd w:val="clear" w:color="auto" w:fill="F2F2F2" w:themeFill="background1" w:themeFillShade="F2"/>
            <w:vAlign w:val="bottom"/>
            <w:hideMark/>
          </w:tcPr>
          <w:p w14:paraId="1D176CF0" w14:textId="77777777" w:rsidR="00FE7F8B" w:rsidRDefault="00FE7F8B">
            <w:pPr>
              <w:pStyle w:val="TableTextFinancial"/>
              <w:jc w:val="right"/>
              <w:rPr>
                <w:b/>
              </w:rPr>
            </w:pPr>
            <w:r>
              <w:rPr>
                <w:b/>
              </w:rPr>
              <w:t>-</w:t>
            </w:r>
          </w:p>
        </w:tc>
        <w:tc>
          <w:tcPr>
            <w:tcW w:w="1137" w:type="dxa"/>
            <w:tcBorders>
              <w:top w:val="nil"/>
              <w:left w:val="nil"/>
              <w:bottom w:val="single" w:sz="4" w:space="0" w:color="auto"/>
              <w:right w:val="nil"/>
            </w:tcBorders>
            <w:vAlign w:val="bottom"/>
            <w:hideMark/>
          </w:tcPr>
          <w:p w14:paraId="26BAF55A" w14:textId="77777777" w:rsidR="00FE7F8B" w:rsidRDefault="00FE7F8B">
            <w:pPr>
              <w:pStyle w:val="TableTextFinancial"/>
              <w:jc w:val="right"/>
            </w:pPr>
            <w:r>
              <w:t>(5.0)</w:t>
            </w:r>
          </w:p>
        </w:tc>
      </w:tr>
      <w:tr w:rsidR="00FE7F8B" w14:paraId="47E5FBF1" w14:textId="77777777" w:rsidTr="00FE7F8B">
        <w:tc>
          <w:tcPr>
            <w:tcW w:w="5106" w:type="dxa"/>
            <w:tcBorders>
              <w:top w:val="single" w:sz="4" w:space="0" w:color="auto"/>
              <w:left w:val="nil"/>
              <w:bottom w:val="nil"/>
              <w:right w:val="nil"/>
            </w:tcBorders>
            <w:vAlign w:val="bottom"/>
            <w:hideMark/>
          </w:tcPr>
          <w:p w14:paraId="139E3CEC" w14:textId="77777777" w:rsidR="00FE7F8B" w:rsidRDefault="00FE7F8B">
            <w:pPr>
              <w:pStyle w:val="TableTextFinancial"/>
              <w:rPr>
                <w:b/>
              </w:rPr>
            </w:pPr>
            <w:r>
              <w:rPr>
                <w:b/>
              </w:rPr>
              <w:t>Total heritage buildings</w:t>
            </w:r>
          </w:p>
        </w:tc>
        <w:tc>
          <w:tcPr>
            <w:tcW w:w="1133" w:type="dxa"/>
            <w:tcBorders>
              <w:top w:val="single" w:sz="4" w:space="0" w:color="auto"/>
              <w:left w:val="nil"/>
              <w:bottom w:val="nil"/>
              <w:right w:val="nil"/>
            </w:tcBorders>
            <w:shd w:val="clear" w:color="auto" w:fill="F2F2F2" w:themeFill="background1" w:themeFillShade="F2"/>
            <w:vAlign w:val="bottom"/>
            <w:hideMark/>
          </w:tcPr>
          <w:p w14:paraId="3893F4BD" w14:textId="77777777" w:rsidR="00FE7F8B" w:rsidRDefault="00FE7F8B">
            <w:pPr>
              <w:pStyle w:val="TableTextFinancial"/>
              <w:jc w:val="right"/>
              <w:rPr>
                <w:b/>
              </w:rPr>
            </w:pPr>
            <w:r>
              <w:rPr>
                <w:b/>
              </w:rPr>
              <w:t>104.1</w:t>
            </w:r>
          </w:p>
        </w:tc>
        <w:tc>
          <w:tcPr>
            <w:tcW w:w="1137" w:type="dxa"/>
            <w:tcBorders>
              <w:top w:val="single" w:sz="4" w:space="0" w:color="auto"/>
              <w:left w:val="nil"/>
              <w:bottom w:val="nil"/>
              <w:right w:val="nil"/>
            </w:tcBorders>
            <w:vAlign w:val="bottom"/>
            <w:hideMark/>
          </w:tcPr>
          <w:p w14:paraId="1F20C9AF" w14:textId="77777777" w:rsidR="00FE7F8B" w:rsidRDefault="00FE7F8B">
            <w:pPr>
              <w:pStyle w:val="TableTextFinancial"/>
              <w:jc w:val="right"/>
            </w:pPr>
            <w:r>
              <w:t>58.1</w:t>
            </w:r>
          </w:p>
        </w:tc>
      </w:tr>
      <w:tr w:rsidR="00FE7F8B" w14:paraId="42813305" w14:textId="77777777" w:rsidTr="00FE7F8B">
        <w:tc>
          <w:tcPr>
            <w:tcW w:w="5106" w:type="dxa"/>
            <w:tcBorders>
              <w:top w:val="nil"/>
              <w:left w:val="nil"/>
              <w:bottom w:val="nil"/>
              <w:right w:val="nil"/>
            </w:tcBorders>
            <w:vAlign w:val="bottom"/>
          </w:tcPr>
          <w:p w14:paraId="5CFF1D52" w14:textId="77777777" w:rsidR="00FE7F8B" w:rsidRDefault="00FE7F8B">
            <w:pPr>
              <w:pStyle w:val="TableTextFinancial"/>
            </w:pPr>
          </w:p>
        </w:tc>
        <w:tc>
          <w:tcPr>
            <w:tcW w:w="1133" w:type="dxa"/>
            <w:tcBorders>
              <w:top w:val="nil"/>
              <w:left w:val="nil"/>
              <w:bottom w:val="nil"/>
              <w:right w:val="nil"/>
            </w:tcBorders>
            <w:shd w:val="clear" w:color="auto" w:fill="F2F2F2" w:themeFill="background1" w:themeFillShade="F2"/>
            <w:vAlign w:val="bottom"/>
          </w:tcPr>
          <w:p w14:paraId="4214CBA6" w14:textId="77777777" w:rsidR="00FE7F8B" w:rsidRDefault="00FE7F8B">
            <w:pPr>
              <w:pStyle w:val="TableTextFinancial"/>
              <w:jc w:val="right"/>
              <w:rPr>
                <w:b/>
              </w:rPr>
            </w:pPr>
          </w:p>
        </w:tc>
        <w:tc>
          <w:tcPr>
            <w:tcW w:w="1137" w:type="dxa"/>
            <w:tcBorders>
              <w:top w:val="nil"/>
              <w:left w:val="nil"/>
              <w:bottom w:val="nil"/>
              <w:right w:val="nil"/>
            </w:tcBorders>
            <w:vAlign w:val="bottom"/>
          </w:tcPr>
          <w:p w14:paraId="32D5789F" w14:textId="77777777" w:rsidR="00FE7F8B" w:rsidRDefault="00FE7F8B">
            <w:pPr>
              <w:pStyle w:val="TableTextFinancial"/>
              <w:jc w:val="right"/>
            </w:pPr>
          </w:p>
        </w:tc>
      </w:tr>
      <w:tr w:rsidR="00FE7F8B" w14:paraId="735153C8" w14:textId="77777777" w:rsidTr="00FE7F8B">
        <w:tc>
          <w:tcPr>
            <w:tcW w:w="5106" w:type="dxa"/>
            <w:tcBorders>
              <w:top w:val="nil"/>
              <w:left w:val="nil"/>
              <w:bottom w:val="nil"/>
              <w:right w:val="nil"/>
            </w:tcBorders>
            <w:vAlign w:val="bottom"/>
            <w:hideMark/>
          </w:tcPr>
          <w:p w14:paraId="718F16B0" w14:textId="77777777" w:rsidR="00FE7F8B" w:rsidRDefault="00FE7F8B">
            <w:pPr>
              <w:pStyle w:val="TableTextFinancial"/>
              <w:rPr>
                <w:b/>
              </w:rPr>
            </w:pPr>
            <w:r>
              <w:rPr>
                <w:b/>
              </w:rPr>
              <w:t>Leasehold buildings</w:t>
            </w:r>
          </w:p>
        </w:tc>
        <w:tc>
          <w:tcPr>
            <w:tcW w:w="1133" w:type="dxa"/>
            <w:tcBorders>
              <w:top w:val="nil"/>
              <w:left w:val="nil"/>
              <w:bottom w:val="nil"/>
              <w:right w:val="nil"/>
            </w:tcBorders>
            <w:shd w:val="clear" w:color="auto" w:fill="F2F2F2" w:themeFill="background1" w:themeFillShade="F2"/>
            <w:vAlign w:val="bottom"/>
          </w:tcPr>
          <w:p w14:paraId="19664FE8" w14:textId="77777777" w:rsidR="00FE7F8B" w:rsidRDefault="00FE7F8B">
            <w:pPr>
              <w:pStyle w:val="TableTextFinancial"/>
              <w:jc w:val="right"/>
              <w:rPr>
                <w:b/>
              </w:rPr>
            </w:pPr>
          </w:p>
        </w:tc>
        <w:tc>
          <w:tcPr>
            <w:tcW w:w="1137" w:type="dxa"/>
            <w:tcBorders>
              <w:top w:val="nil"/>
              <w:left w:val="nil"/>
              <w:bottom w:val="nil"/>
              <w:right w:val="nil"/>
            </w:tcBorders>
            <w:vAlign w:val="bottom"/>
          </w:tcPr>
          <w:p w14:paraId="05143567" w14:textId="77777777" w:rsidR="00FE7F8B" w:rsidRDefault="00FE7F8B">
            <w:pPr>
              <w:pStyle w:val="TableTextFinancial"/>
              <w:jc w:val="right"/>
            </w:pPr>
          </w:p>
        </w:tc>
      </w:tr>
      <w:tr w:rsidR="00FE7F8B" w14:paraId="49498936" w14:textId="77777777" w:rsidTr="00FE7F8B">
        <w:tc>
          <w:tcPr>
            <w:tcW w:w="5106" w:type="dxa"/>
            <w:tcBorders>
              <w:top w:val="nil"/>
              <w:left w:val="nil"/>
              <w:bottom w:val="nil"/>
              <w:right w:val="nil"/>
            </w:tcBorders>
            <w:vAlign w:val="bottom"/>
            <w:hideMark/>
          </w:tcPr>
          <w:p w14:paraId="120815AC" w14:textId="77777777" w:rsidR="00FE7F8B" w:rsidRDefault="00FE7F8B">
            <w:pPr>
              <w:pStyle w:val="TableTextFinancial"/>
            </w:pPr>
            <w:r>
              <w:t>Leasehold buildings - at fair value</w:t>
            </w:r>
          </w:p>
        </w:tc>
        <w:tc>
          <w:tcPr>
            <w:tcW w:w="1133" w:type="dxa"/>
            <w:tcBorders>
              <w:top w:val="nil"/>
              <w:left w:val="nil"/>
              <w:bottom w:val="nil"/>
              <w:right w:val="nil"/>
            </w:tcBorders>
            <w:shd w:val="clear" w:color="auto" w:fill="F2F2F2" w:themeFill="background1" w:themeFillShade="F2"/>
            <w:vAlign w:val="bottom"/>
            <w:hideMark/>
          </w:tcPr>
          <w:p w14:paraId="5B341E41" w14:textId="77777777" w:rsidR="00FE7F8B" w:rsidRDefault="00FE7F8B">
            <w:pPr>
              <w:pStyle w:val="TableTextFinancial"/>
              <w:jc w:val="right"/>
              <w:rPr>
                <w:b/>
              </w:rPr>
            </w:pPr>
            <w:r>
              <w:rPr>
                <w:b/>
              </w:rPr>
              <w:t>145.0</w:t>
            </w:r>
          </w:p>
        </w:tc>
        <w:tc>
          <w:tcPr>
            <w:tcW w:w="1137" w:type="dxa"/>
            <w:tcBorders>
              <w:top w:val="nil"/>
              <w:left w:val="nil"/>
              <w:bottom w:val="nil"/>
              <w:right w:val="nil"/>
            </w:tcBorders>
            <w:vAlign w:val="bottom"/>
            <w:hideMark/>
          </w:tcPr>
          <w:p w14:paraId="79799B58" w14:textId="77777777" w:rsidR="00FE7F8B" w:rsidRDefault="00FE7F8B">
            <w:pPr>
              <w:pStyle w:val="TableTextFinancial"/>
              <w:jc w:val="right"/>
            </w:pPr>
            <w:r>
              <w:t>205.7</w:t>
            </w:r>
          </w:p>
        </w:tc>
      </w:tr>
      <w:tr w:rsidR="00FE7F8B" w14:paraId="1E7CE145" w14:textId="77777777" w:rsidTr="00FE7F8B">
        <w:tc>
          <w:tcPr>
            <w:tcW w:w="5106" w:type="dxa"/>
            <w:tcBorders>
              <w:top w:val="nil"/>
              <w:left w:val="nil"/>
              <w:bottom w:val="single" w:sz="4" w:space="0" w:color="auto"/>
              <w:right w:val="nil"/>
            </w:tcBorders>
            <w:vAlign w:val="bottom"/>
            <w:hideMark/>
          </w:tcPr>
          <w:p w14:paraId="2521BB67" w14:textId="77777777" w:rsidR="00FE7F8B" w:rsidRDefault="00FE7F8B">
            <w:pPr>
              <w:pStyle w:val="TableTextFinancial"/>
            </w:pPr>
            <w:r>
              <w:t>Less accumulated depreciation</w:t>
            </w:r>
          </w:p>
        </w:tc>
        <w:tc>
          <w:tcPr>
            <w:tcW w:w="1133" w:type="dxa"/>
            <w:tcBorders>
              <w:top w:val="nil"/>
              <w:left w:val="nil"/>
              <w:bottom w:val="single" w:sz="4" w:space="0" w:color="auto"/>
              <w:right w:val="nil"/>
            </w:tcBorders>
            <w:shd w:val="clear" w:color="auto" w:fill="F2F2F2" w:themeFill="background1" w:themeFillShade="F2"/>
            <w:vAlign w:val="bottom"/>
            <w:hideMark/>
          </w:tcPr>
          <w:p w14:paraId="1A1F2FA5" w14:textId="77777777" w:rsidR="00FE7F8B" w:rsidRDefault="00FE7F8B">
            <w:pPr>
              <w:pStyle w:val="TableTextFinancial"/>
              <w:jc w:val="right"/>
              <w:rPr>
                <w:b/>
              </w:rPr>
            </w:pPr>
            <w:r>
              <w:rPr>
                <w:b/>
              </w:rPr>
              <w:t>-</w:t>
            </w:r>
          </w:p>
        </w:tc>
        <w:tc>
          <w:tcPr>
            <w:tcW w:w="1137" w:type="dxa"/>
            <w:tcBorders>
              <w:top w:val="nil"/>
              <w:left w:val="nil"/>
              <w:bottom w:val="single" w:sz="4" w:space="0" w:color="auto"/>
              <w:right w:val="nil"/>
            </w:tcBorders>
            <w:vAlign w:val="bottom"/>
            <w:hideMark/>
          </w:tcPr>
          <w:p w14:paraId="39737C86" w14:textId="77777777" w:rsidR="00FE7F8B" w:rsidRDefault="00FE7F8B">
            <w:pPr>
              <w:pStyle w:val="TableTextFinancial"/>
              <w:jc w:val="right"/>
            </w:pPr>
            <w:r>
              <w:t>(14.7)</w:t>
            </w:r>
          </w:p>
        </w:tc>
      </w:tr>
      <w:tr w:rsidR="00FE7F8B" w14:paraId="1E8CD4EE" w14:textId="77777777" w:rsidTr="00FE7F8B">
        <w:tc>
          <w:tcPr>
            <w:tcW w:w="5106" w:type="dxa"/>
            <w:tcBorders>
              <w:top w:val="single" w:sz="4" w:space="0" w:color="auto"/>
              <w:left w:val="nil"/>
              <w:bottom w:val="nil"/>
              <w:right w:val="nil"/>
            </w:tcBorders>
            <w:vAlign w:val="bottom"/>
            <w:hideMark/>
          </w:tcPr>
          <w:p w14:paraId="37DADD92" w14:textId="77777777" w:rsidR="00FE7F8B" w:rsidRDefault="00FE7F8B">
            <w:pPr>
              <w:pStyle w:val="TableTextFinancial"/>
              <w:rPr>
                <w:b/>
              </w:rPr>
            </w:pPr>
            <w:r>
              <w:rPr>
                <w:b/>
              </w:rPr>
              <w:t>Total leasehold buildings</w:t>
            </w:r>
          </w:p>
        </w:tc>
        <w:tc>
          <w:tcPr>
            <w:tcW w:w="1133" w:type="dxa"/>
            <w:tcBorders>
              <w:top w:val="single" w:sz="4" w:space="0" w:color="auto"/>
              <w:left w:val="nil"/>
              <w:bottom w:val="nil"/>
              <w:right w:val="nil"/>
            </w:tcBorders>
            <w:shd w:val="clear" w:color="auto" w:fill="F2F2F2" w:themeFill="background1" w:themeFillShade="F2"/>
            <w:vAlign w:val="bottom"/>
            <w:hideMark/>
          </w:tcPr>
          <w:p w14:paraId="62730B25" w14:textId="77777777" w:rsidR="00FE7F8B" w:rsidRDefault="00FE7F8B">
            <w:pPr>
              <w:pStyle w:val="TableTextFinancial"/>
              <w:jc w:val="right"/>
              <w:rPr>
                <w:b/>
              </w:rPr>
            </w:pPr>
            <w:r>
              <w:rPr>
                <w:b/>
              </w:rPr>
              <w:t>145.0</w:t>
            </w:r>
          </w:p>
        </w:tc>
        <w:tc>
          <w:tcPr>
            <w:tcW w:w="1137" w:type="dxa"/>
            <w:tcBorders>
              <w:top w:val="single" w:sz="4" w:space="0" w:color="auto"/>
              <w:left w:val="nil"/>
              <w:bottom w:val="nil"/>
              <w:right w:val="nil"/>
            </w:tcBorders>
            <w:vAlign w:val="bottom"/>
            <w:hideMark/>
          </w:tcPr>
          <w:p w14:paraId="727F73DD" w14:textId="77777777" w:rsidR="00FE7F8B" w:rsidRDefault="00FE7F8B">
            <w:pPr>
              <w:pStyle w:val="TableTextFinancial"/>
              <w:jc w:val="right"/>
            </w:pPr>
            <w:r>
              <w:t>191.0</w:t>
            </w:r>
          </w:p>
        </w:tc>
      </w:tr>
      <w:tr w:rsidR="00FE7F8B" w14:paraId="358FA89B" w14:textId="77777777" w:rsidTr="00FE7F8B">
        <w:tc>
          <w:tcPr>
            <w:tcW w:w="5106" w:type="dxa"/>
            <w:tcBorders>
              <w:top w:val="nil"/>
              <w:left w:val="nil"/>
              <w:bottom w:val="nil"/>
              <w:right w:val="nil"/>
            </w:tcBorders>
            <w:vAlign w:val="bottom"/>
          </w:tcPr>
          <w:p w14:paraId="1BD17AD1" w14:textId="77777777" w:rsidR="00FE7F8B" w:rsidRDefault="00FE7F8B">
            <w:pPr>
              <w:pStyle w:val="TableTextFinancial"/>
            </w:pPr>
          </w:p>
        </w:tc>
        <w:tc>
          <w:tcPr>
            <w:tcW w:w="1133" w:type="dxa"/>
            <w:tcBorders>
              <w:top w:val="nil"/>
              <w:left w:val="nil"/>
              <w:bottom w:val="nil"/>
              <w:right w:val="nil"/>
            </w:tcBorders>
            <w:shd w:val="clear" w:color="auto" w:fill="F2F2F2" w:themeFill="background1" w:themeFillShade="F2"/>
            <w:vAlign w:val="bottom"/>
          </w:tcPr>
          <w:p w14:paraId="4E615AEC" w14:textId="77777777" w:rsidR="00FE7F8B" w:rsidRDefault="00FE7F8B">
            <w:pPr>
              <w:pStyle w:val="TableTextFinancial"/>
              <w:jc w:val="right"/>
              <w:rPr>
                <w:b/>
              </w:rPr>
            </w:pPr>
          </w:p>
        </w:tc>
        <w:tc>
          <w:tcPr>
            <w:tcW w:w="1137" w:type="dxa"/>
            <w:tcBorders>
              <w:top w:val="nil"/>
              <w:left w:val="nil"/>
              <w:bottom w:val="nil"/>
              <w:right w:val="nil"/>
            </w:tcBorders>
            <w:vAlign w:val="bottom"/>
          </w:tcPr>
          <w:p w14:paraId="07E9F604" w14:textId="77777777" w:rsidR="00FE7F8B" w:rsidRDefault="00FE7F8B">
            <w:pPr>
              <w:pStyle w:val="TableTextFinancial"/>
              <w:jc w:val="right"/>
            </w:pPr>
          </w:p>
        </w:tc>
      </w:tr>
      <w:tr w:rsidR="00FE7F8B" w14:paraId="7FAA888F" w14:textId="77777777" w:rsidTr="00FE7F8B">
        <w:tc>
          <w:tcPr>
            <w:tcW w:w="5106" w:type="dxa"/>
            <w:tcBorders>
              <w:top w:val="nil"/>
              <w:left w:val="nil"/>
              <w:bottom w:val="nil"/>
              <w:right w:val="nil"/>
            </w:tcBorders>
            <w:vAlign w:val="bottom"/>
            <w:hideMark/>
          </w:tcPr>
          <w:p w14:paraId="63442224" w14:textId="77777777" w:rsidR="00FE7F8B" w:rsidRDefault="00FE7F8B">
            <w:pPr>
              <w:pStyle w:val="TableTextFinancial"/>
              <w:rPr>
                <w:b/>
              </w:rPr>
            </w:pPr>
            <w:r>
              <w:rPr>
                <w:b/>
              </w:rPr>
              <w:t>Leasehold improvements</w:t>
            </w:r>
          </w:p>
        </w:tc>
        <w:tc>
          <w:tcPr>
            <w:tcW w:w="1133" w:type="dxa"/>
            <w:tcBorders>
              <w:top w:val="nil"/>
              <w:left w:val="nil"/>
              <w:bottom w:val="nil"/>
              <w:right w:val="nil"/>
            </w:tcBorders>
            <w:shd w:val="clear" w:color="auto" w:fill="F2F2F2" w:themeFill="background1" w:themeFillShade="F2"/>
            <w:vAlign w:val="bottom"/>
          </w:tcPr>
          <w:p w14:paraId="47DEA521" w14:textId="77777777" w:rsidR="00FE7F8B" w:rsidRDefault="00FE7F8B">
            <w:pPr>
              <w:pStyle w:val="TableTextFinancial"/>
              <w:jc w:val="right"/>
              <w:rPr>
                <w:b/>
              </w:rPr>
            </w:pPr>
          </w:p>
        </w:tc>
        <w:tc>
          <w:tcPr>
            <w:tcW w:w="1137" w:type="dxa"/>
            <w:tcBorders>
              <w:top w:val="nil"/>
              <w:left w:val="nil"/>
              <w:bottom w:val="nil"/>
              <w:right w:val="nil"/>
            </w:tcBorders>
            <w:vAlign w:val="bottom"/>
          </w:tcPr>
          <w:p w14:paraId="4371CBF7" w14:textId="77777777" w:rsidR="00FE7F8B" w:rsidRDefault="00FE7F8B">
            <w:pPr>
              <w:pStyle w:val="TableTextFinancial"/>
              <w:jc w:val="right"/>
            </w:pPr>
          </w:p>
        </w:tc>
      </w:tr>
      <w:tr w:rsidR="00FE7F8B" w14:paraId="0F62AA44" w14:textId="77777777" w:rsidTr="00FE7F8B">
        <w:tc>
          <w:tcPr>
            <w:tcW w:w="5106" w:type="dxa"/>
            <w:tcBorders>
              <w:top w:val="nil"/>
              <w:left w:val="nil"/>
              <w:bottom w:val="nil"/>
              <w:right w:val="nil"/>
            </w:tcBorders>
            <w:vAlign w:val="bottom"/>
            <w:hideMark/>
          </w:tcPr>
          <w:p w14:paraId="4C45E13E" w14:textId="77777777" w:rsidR="00FE7F8B" w:rsidRDefault="00FE7F8B">
            <w:pPr>
              <w:pStyle w:val="TableTextFinancial"/>
            </w:pPr>
            <w:r>
              <w:t>Leasehold improvements - at fair value</w:t>
            </w:r>
          </w:p>
        </w:tc>
        <w:tc>
          <w:tcPr>
            <w:tcW w:w="1133" w:type="dxa"/>
            <w:tcBorders>
              <w:top w:val="nil"/>
              <w:left w:val="nil"/>
              <w:bottom w:val="nil"/>
              <w:right w:val="nil"/>
            </w:tcBorders>
            <w:shd w:val="clear" w:color="auto" w:fill="F2F2F2" w:themeFill="background1" w:themeFillShade="F2"/>
            <w:vAlign w:val="bottom"/>
            <w:hideMark/>
          </w:tcPr>
          <w:p w14:paraId="2FDED4C7" w14:textId="77777777" w:rsidR="00FE7F8B" w:rsidRDefault="00FE7F8B">
            <w:pPr>
              <w:pStyle w:val="TableTextFinancial"/>
              <w:jc w:val="right"/>
              <w:rPr>
                <w:b/>
              </w:rPr>
            </w:pPr>
            <w:r>
              <w:rPr>
                <w:b/>
              </w:rPr>
              <w:t>10.1</w:t>
            </w:r>
          </w:p>
        </w:tc>
        <w:tc>
          <w:tcPr>
            <w:tcW w:w="1137" w:type="dxa"/>
            <w:tcBorders>
              <w:top w:val="nil"/>
              <w:left w:val="nil"/>
              <w:bottom w:val="nil"/>
              <w:right w:val="nil"/>
            </w:tcBorders>
            <w:vAlign w:val="bottom"/>
            <w:hideMark/>
          </w:tcPr>
          <w:p w14:paraId="12959430" w14:textId="77777777" w:rsidR="00FE7F8B" w:rsidRDefault="00FE7F8B">
            <w:pPr>
              <w:pStyle w:val="TableTextFinancial"/>
              <w:jc w:val="right"/>
            </w:pPr>
            <w:r>
              <w:t>2.1</w:t>
            </w:r>
          </w:p>
        </w:tc>
      </w:tr>
      <w:tr w:rsidR="00FE7F8B" w14:paraId="5B658061" w14:textId="77777777" w:rsidTr="00FE7F8B">
        <w:tc>
          <w:tcPr>
            <w:tcW w:w="5106" w:type="dxa"/>
            <w:tcBorders>
              <w:top w:val="nil"/>
              <w:left w:val="nil"/>
              <w:bottom w:val="single" w:sz="4" w:space="0" w:color="auto"/>
              <w:right w:val="nil"/>
            </w:tcBorders>
            <w:vAlign w:val="bottom"/>
            <w:hideMark/>
          </w:tcPr>
          <w:p w14:paraId="572AA85A" w14:textId="77777777" w:rsidR="00FE7F8B" w:rsidRDefault="00FE7F8B">
            <w:pPr>
              <w:pStyle w:val="TableTextFinancial"/>
            </w:pPr>
            <w:r>
              <w:t>Less accumulated depreciation</w:t>
            </w:r>
          </w:p>
        </w:tc>
        <w:tc>
          <w:tcPr>
            <w:tcW w:w="1133" w:type="dxa"/>
            <w:tcBorders>
              <w:top w:val="nil"/>
              <w:left w:val="nil"/>
              <w:bottom w:val="single" w:sz="4" w:space="0" w:color="auto"/>
              <w:right w:val="nil"/>
            </w:tcBorders>
            <w:shd w:val="clear" w:color="auto" w:fill="F2F2F2" w:themeFill="background1" w:themeFillShade="F2"/>
            <w:vAlign w:val="bottom"/>
            <w:hideMark/>
          </w:tcPr>
          <w:p w14:paraId="1A8960A3" w14:textId="77777777" w:rsidR="00FE7F8B" w:rsidRDefault="00FE7F8B">
            <w:pPr>
              <w:pStyle w:val="TableTextFinancial"/>
              <w:jc w:val="right"/>
              <w:rPr>
                <w:b/>
              </w:rPr>
            </w:pPr>
            <w:r>
              <w:rPr>
                <w:b/>
              </w:rPr>
              <w:t>(6.4)</w:t>
            </w:r>
          </w:p>
        </w:tc>
        <w:tc>
          <w:tcPr>
            <w:tcW w:w="1137" w:type="dxa"/>
            <w:tcBorders>
              <w:top w:val="nil"/>
              <w:left w:val="nil"/>
              <w:bottom w:val="single" w:sz="4" w:space="0" w:color="auto"/>
              <w:right w:val="nil"/>
            </w:tcBorders>
            <w:vAlign w:val="bottom"/>
            <w:hideMark/>
          </w:tcPr>
          <w:p w14:paraId="234CFBD3" w14:textId="77777777" w:rsidR="00FE7F8B" w:rsidRDefault="00FE7F8B">
            <w:pPr>
              <w:pStyle w:val="TableTextFinancial"/>
              <w:jc w:val="right"/>
            </w:pPr>
            <w:r>
              <w:t>(1.6)</w:t>
            </w:r>
          </w:p>
        </w:tc>
      </w:tr>
      <w:tr w:rsidR="00FE7F8B" w14:paraId="1F7E97F4" w14:textId="77777777" w:rsidTr="00FE7F8B">
        <w:tc>
          <w:tcPr>
            <w:tcW w:w="5106" w:type="dxa"/>
            <w:tcBorders>
              <w:top w:val="single" w:sz="4" w:space="0" w:color="auto"/>
              <w:left w:val="nil"/>
              <w:bottom w:val="nil"/>
              <w:right w:val="nil"/>
            </w:tcBorders>
            <w:vAlign w:val="bottom"/>
            <w:hideMark/>
          </w:tcPr>
          <w:p w14:paraId="5FFAE1F4" w14:textId="77777777" w:rsidR="00FE7F8B" w:rsidRDefault="00FE7F8B">
            <w:pPr>
              <w:pStyle w:val="TableTextFinancial"/>
              <w:rPr>
                <w:b/>
              </w:rPr>
            </w:pPr>
            <w:r>
              <w:rPr>
                <w:b/>
              </w:rPr>
              <w:t>Total leasehold improvements</w:t>
            </w:r>
          </w:p>
        </w:tc>
        <w:tc>
          <w:tcPr>
            <w:tcW w:w="1133" w:type="dxa"/>
            <w:tcBorders>
              <w:top w:val="single" w:sz="4" w:space="0" w:color="auto"/>
              <w:left w:val="nil"/>
              <w:bottom w:val="nil"/>
              <w:right w:val="nil"/>
            </w:tcBorders>
            <w:shd w:val="clear" w:color="auto" w:fill="F2F2F2" w:themeFill="background1" w:themeFillShade="F2"/>
            <w:vAlign w:val="bottom"/>
            <w:hideMark/>
          </w:tcPr>
          <w:p w14:paraId="36BB29E1" w14:textId="77777777" w:rsidR="00FE7F8B" w:rsidRDefault="00FE7F8B">
            <w:pPr>
              <w:pStyle w:val="TableTextFinancial"/>
              <w:jc w:val="right"/>
              <w:rPr>
                <w:b/>
              </w:rPr>
            </w:pPr>
            <w:r>
              <w:rPr>
                <w:b/>
              </w:rPr>
              <w:t>3.7</w:t>
            </w:r>
          </w:p>
        </w:tc>
        <w:tc>
          <w:tcPr>
            <w:tcW w:w="1137" w:type="dxa"/>
            <w:tcBorders>
              <w:top w:val="single" w:sz="4" w:space="0" w:color="auto"/>
              <w:left w:val="nil"/>
              <w:bottom w:val="nil"/>
              <w:right w:val="nil"/>
            </w:tcBorders>
            <w:vAlign w:val="bottom"/>
            <w:hideMark/>
          </w:tcPr>
          <w:p w14:paraId="45426738" w14:textId="77777777" w:rsidR="00FE7F8B" w:rsidRDefault="00FE7F8B">
            <w:pPr>
              <w:pStyle w:val="TableTextFinancial"/>
              <w:jc w:val="right"/>
            </w:pPr>
            <w:r>
              <w:t>0.5</w:t>
            </w:r>
          </w:p>
        </w:tc>
      </w:tr>
      <w:tr w:rsidR="00FE7F8B" w14:paraId="7DACD832" w14:textId="77777777" w:rsidTr="00FE7F8B">
        <w:tc>
          <w:tcPr>
            <w:tcW w:w="5106" w:type="dxa"/>
            <w:tcBorders>
              <w:top w:val="nil"/>
              <w:left w:val="nil"/>
              <w:bottom w:val="nil"/>
              <w:right w:val="nil"/>
            </w:tcBorders>
            <w:vAlign w:val="bottom"/>
          </w:tcPr>
          <w:p w14:paraId="56981F7D" w14:textId="77777777" w:rsidR="00FE7F8B" w:rsidRDefault="00FE7F8B">
            <w:pPr>
              <w:pStyle w:val="TableTextFinancial"/>
            </w:pPr>
          </w:p>
        </w:tc>
        <w:tc>
          <w:tcPr>
            <w:tcW w:w="1133" w:type="dxa"/>
            <w:tcBorders>
              <w:top w:val="nil"/>
              <w:left w:val="nil"/>
              <w:bottom w:val="nil"/>
              <w:right w:val="nil"/>
            </w:tcBorders>
            <w:shd w:val="clear" w:color="auto" w:fill="F2F2F2" w:themeFill="background1" w:themeFillShade="F2"/>
            <w:vAlign w:val="bottom"/>
          </w:tcPr>
          <w:p w14:paraId="24FCF2ED" w14:textId="77777777" w:rsidR="00FE7F8B" w:rsidRDefault="00FE7F8B">
            <w:pPr>
              <w:pStyle w:val="TableTextFinancial"/>
              <w:jc w:val="right"/>
              <w:rPr>
                <w:b/>
              </w:rPr>
            </w:pPr>
          </w:p>
        </w:tc>
        <w:tc>
          <w:tcPr>
            <w:tcW w:w="1137" w:type="dxa"/>
            <w:tcBorders>
              <w:top w:val="nil"/>
              <w:left w:val="nil"/>
              <w:bottom w:val="nil"/>
              <w:right w:val="nil"/>
            </w:tcBorders>
            <w:vAlign w:val="bottom"/>
          </w:tcPr>
          <w:p w14:paraId="170032E2" w14:textId="77777777" w:rsidR="00FE7F8B" w:rsidRDefault="00FE7F8B">
            <w:pPr>
              <w:pStyle w:val="TableTextFinancial"/>
              <w:jc w:val="right"/>
            </w:pPr>
          </w:p>
        </w:tc>
      </w:tr>
      <w:tr w:rsidR="00FE7F8B" w14:paraId="3A563D6E" w14:textId="77777777" w:rsidTr="00FE7F8B">
        <w:tc>
          <w:tcPr>
            <w:tcW w:w="5106" w:type="dxa"/>
            <w:tcBorders>
              <w:top w:val="nil"/>
              <w:left w:val="nil"/>
              <w:bottom w:val="nil"/>
              <w:right w:val="nil"/>
            </w:tcBorders>
            <w:vAlign w:val="bottom"/>
            <w:hideMark/>
          </w:tcPr>
          <w:p w14:paraId="6AEEFD08" w14:textId="77777777" w:rsidR="00FE7F8B" w:rsidRDefault="00FE7F8B">
            <w:pPr>
              <w:pStyle w:val="TableTextFinancial"/>
              <w:rPr>
                <w:b/>
              </w:rPr>
            </w:pPr>
            <w:r>
              <w:rPr>
                <w:b/>
              </w:rPr>
              <w:t>Plant and equipment</w:t>
            </w:r>
          </w:p>
        </w:tc>
        <w:tc>
          <w:tcPr>
            <w:tcW w:w="1133" w:type="dxa"/>
            <w:tcBorders>
              <w:top w:val="nil"/>
              <w:left w:val="nil"/>
              <w:bottom w:val="nil"/>
              <w:right w:val="nil"/>
            </w:tcBorders>
            <w:shd w:val="clear" w:color="auto" w:fill="F2F2F2" w:themeFill="background1" w:themeFillShade="F2"/>
            <w:vAlign w:val="bottom"/>
          </w:tcPr>
          <w:p w14:paraId="6D6E1A4F" w14:textId="77777777" w:rsidR="00FE7F8B" w:rsidRDefault="00FE7F8B">
            <w:pPr>
              <w:pStyle w:val="TableTextFinancial"/>
              <w:jc w:val="right"/>
              <w:rPr>
                <w:b/>
              </w:rPr>
            </w:pPr>
          </w:p>
        </w:tc>
        <w:tc>
          <w:tcPr>
            <w:tcW w:w="1137" w:type="dxa"/>
            <w:tcBorders>
              <w:top w:val="nil"/>
              <w:left w:val="nil"/>
              <w:bottom w:val="nil"/>
              <w:right w:val="nil"/>
            </w:tcBorders>
            <w:vAlign w:val="bottom"/>
          </w:tcPr>
          <w:p w14:paraId="33F43306" w14:textId="77777777" w:rsidR="00FE7F8B" w:rsidRDefault="00FE7F8B">
            <w:pPr>
              <w:pStyle w:val="TableTextFinancial"/>
              <w:jc w:val="right"/>
            </w:pPr>
          </w:p>
        </w:tc>
      </w:tr>
      <w:tr w:rsidR="00FE7F8B" w14:paraId="020B9D8D" w14:textId="77777777" w:rsidTr="00FE7F8B">
        <w:tc>
          <w:tcPr>
            <w:tcW w:w="5106" w:type="dxa"/>
            <w:tcBorders>
              <w:top w:val="nil"/>
              <w:left w:val="nil"/>
              <w:bottom w:val="nil"/>
              <w:right w:val="nil"/>
            </w:tcBorders>
            <w:vAlign w:val="bottom"/>
            <w:hideMark/>
          </w:tcPr>
          <w:p w14:paraId="197F6D0B" w14:textId="77777777" w:rsidR="00FE7F8B" w:rsidRDefault="00FE7F8B">
            <w:pPr>
              <w:pStyle w:val="TableTextFinancial"/>
            </w:pPr>
            <w:r>
              <w:t>At fair value</w:t>
            </w:r>
          </w:p>
        </w:tc>
        <w:tc>
          <w:tcPr>
            <w:tcW w:w="1133" w:type="dxa"/>
            <w:tcBorders>
              <w:top w:val="nil"/>
              <w:left w:val="nil"/>
              <w:bottom w:val="nil"/>
              <w:right w:val="nil"/>
            </w:tcBorders>
            <w:shd w:val="clear" w:color="auto" w:fill="F2F2F2" w:themeFill="background1" w:themeFillShade="F2"/>
            <w:vAlign w:val="bottom"/>
            <w:hideMark/>
          </w:tcPr>
          <w:p w14:paraId="48870ECB" w14:textId="77777777" w:rsidR="00FE7F8B" w:rsidRDefault="00FE7F8B">
            <w:pPr>
              <w:pStyle w:val="TableTextFinancial"/>
              <w:jc w:val="right"/>
              <w:rPr>
                <w:b/>
              </w:rPr>
            </w:pPr>
            <w:r>
              <w:rPr>
                <w:b/>
              </w:rPr>
              <w:t>563.1</w:t>
            </w:r>
          </w:p>
        </w:tc>
        <w:tc>
          <w:tcPr>
            <w:tcW w:w="1137" w:type="dxa"/>
            <w:tcBorders>
              <w:top w:val="nil"/>
              <w:left w:val="nil"/>
              <w:bottom w:val="nil"/>
              <w:right w:val="nil"/>
            </w:tcBorders>
            <w:vAlign w:val="bottom"/>
            <w:hideMark/>
          </w:tcPr>
          <w:p w14:paraId="004F6CBF" w14:textId="77777777" w:rsidR="00FE7F8B" w:rsidRDefault="00FE7F8B">
            <w:pPr>
              <w:pStyle w:val="TableTextFinancial"/>
              <w:jc w:val="right"/>
            </w:pPr>
            <w:r>
              <w:t>759.0</w:t>
            </w:r>
          </w:p>
        </w:tc>
      </w:tr>
      <w:tr w:rsidR="00FE7F8B" w14:paraId="2B1841DE" w14:textId="77777777" w:rsidTr="00FE7F8B">
        <w:tc>
          <w:tcPr>
            <w:tcW w:w="5106" w:type="dxa"/>
            <w:tcBorders>
              <w:top w:val="nil"/>
              <w:left w:val="nil"/>
              <w:bottom w:val="single" w:sz="4" w:space="0" w:color="auto"/>
              <w:right w:val="nil"/>
            </w:tcBorders>
            <w:vAlign w:val="bottom"/>
            <w:hideMark/>
          </w:tcPr>
          <w:p w14:paraId="12A7EC9D" w14:textId="77777777" w:rsidR="00FE7F8B" w:rsidRDefault="00FE7F8B">
            <w:pPr>
              <w:pStyle w:val="TableTextFinancial"/>
            </w:pPr>
            <w:r>
              <w:t>Less accumulated depreciation</w:t>
            </w:r>
          </w:p>
        </w:tc>
        <w:tc>
          <w:tcPr>
            <w:tcW w:w="1133" w:type="dxa"/>
            <w:tcBorders>
              <w:top w:val="nil"/>
              <w:left w:val="nil"/>
              <w:bottom w:val="single" w:sz="4" w:space="0" w:color="auto"/>
              <w:right w:val="nil"/>
            </w:tcBorders>
            <w:shd w:val="clear" w:color="auto" w:fill="F2F2F2" w:themeFill="background1" w:themeFillShade="F2"/>
            <w:vAlign w:val="bottom"/>
            <w:hideMark/>
          </w:tcPr>
          <w:p w14:paraId="4F2D0256" w14:textId="77777777" w:rsidR="00FE7F8B" w:rsidRDefault="00FE7F8B">
            <w:pPr>
              <w:pStyle w:val="TableTextFinancial"/>
              <w:jc w:val="right"/>
              <w:rPr>
                <w:b/>
              </w:rPr>
            </w:pPr>
            <w:r>
              <w:rPr>
                <w:b/>
              </w:rPr>
              <w:t>(489.9)</w:t>
            </w:r>
          </w:p>
        </w:tc>
        <w:tc>
          <w:tcPr>
            <w:tcW w:w="1137" w:type="dxa"/>
            <w:tcBorders>
              <w:top w:val="nil"/>
              <w:left w:val="nil"/>
              <w:bottom w:val="single" w:sz="4" w:space="0" w:color="auto"/>
              <w:right w:val="nil"/>
            </w:tcBorders>
            <w:vAlign w:val="bottom"/>
            <w:hideMark/>
          </w:tcPr>
          <w:p w14:paraId="0CBF89DB" w14:textId="77777777" w:rsidR="00FE7F8B" w:rsidRDefault="00FE7F8B">
            <w:pPr>
              <w:pStyle w:val="TableTextFinancial"/>
              <w:jc w:val="right"/>
            </w:pPr>
            <w:r>
              <w:t>(661.2)</w:t>
            </w:r>
          </w:p>
        </w:tc>
      </w:tr>
      <w:tr w:rsidR="00FE7F8B" w14:paraId="6016ABD3" w14:textId="77777777" w:rsidTr="00FE7F8B">
        <w:tc>
          <w:tcPr>
            <w:tcW w:w="5106" w:type="dxa"/>
            <w:tcBorders>
              <w:top w:val="single" w:sz="4" w:space="0" w:color="auto"/>
              <w:left w:val="nil"/>
              <w:bottom w:val="nil"/>
              <w:right w:val="nil"/>
            </w:tcBorders>
            <w:vAlign w:val="bottom"/>
          </w:tcPr>
          <w:p w14:paraId="5CA3BB09" w14:textId="77777777" w:rsidR="00FE7F8B" w:rsidRDefault="00FE7F8B">
            <w:pPr>
              <w:pStyle w:val="TableTextFinancial"/>
            </w:pPr>
          </w:p>
        </w:tc>
        <w:tc>
          <w:tcPr>
            <w:tcW w:w="1133" w:type="dxa"/>
            <w:tcBorders>
              <w:top w:val="single" w:sz="4" w:space="0" w:color="auto"/>
              <w:left w:val="nil"/>
              <w:bottom w:val="nil"/>
              <w:right w:val="nil"/>
            </w:tcBorders>
            <w:shd w:val="clear" w:color="auto" w:fill="F2F2F2" w:themeFill="background1" w:themeFillShade="F2"/>
            <w:vAlign w:val="bottom"/>
            <w:hideMark/>
          </w:tcPr>
          <w:p w14:paraId="104B3CDC" w14:textId="77777777" w:rsidR="00FE7F8B" w:rsidRDefault="00FE7F8B">
            <w:pPr>
              <w:pStyle w:val="TableTextFinancial"/>
              <w:jc w:val="right"/>
              <w:rPr>
                <w:b/>
              </w:rPr>
            </w:pPr>
            <w:r>
              <w:rPr>
                <w:b/>
              </w:rPr>
              <w:t>73.2</w:t>
            </w:r>
          </w:p>
        </w:tc>
        <w:tc>
          <w:tcPr>
            <w:tcW w:w="1137" w:type="dxa"/>
            <w:tcBorders>
              <w:top w:val="single" w:sz="4" w:space="0" w:color="auto"/>
              <w:left w:val="nil"/>
              <w:bottom w:val="nil"/>
              <w:right w:val="nil"/>
            </w:tcBorders>
            <w:vAlign w:val="bottom"/>
            <w:hideMark/>
          </w:tcPr>
          <w:p w14:paraId="316A8FAD" w14:textId="77777777" w:rsidR="00FE7F8B" w:rsidRDefault="00FE7F8B">
            <w:pPr>
              <w:pStyle w:val="TableTextFinancial"/>
              <w:jc w:val="right"/>
            </w:pPr>
            <w:r>
              <w:t>97.8</w:t>
            </w:r>
          </w:p>
        </w:tc>
      </w:tr>
      <w:tr w:rsidR="00FE7F8B" w14:paraId="7B5C141E" w14:textId="77777777" w:rsidTr="00FE7F8B">
        <w:tc>
          <w:tcPr>
            <w:tcW w:w="5106" w:type="dxa"/>
            <w:tcBorders>
              <w:top w:val="nil"/>
              <w:left w:val="nil"/>
              <w:bottom w:val="nil"/>
              <w:right w:val="nil"/>
            </w:tcBorders>
            <w:vAlign w:val="bottom"/>
          </w:tcPr>
          <w:p w14:paraId="60CA9E88" w14:textId="77777777" w:rsidR="00FE7F8B" w:rsidRDefault="00FE7F8B">
            <w:pPr>
              <w:pStyle w:val="TableTextFinancial"/>
            </w:pPr>
          </w:p>
        </w:tc>
        <w:tc>
          <w:tcPr>
            <w:tcW w:w="1133" w:type="dxa"/>
            <w:tcBorders>
              <w:top w:val="nil"/>
              <w:left w:val="nil"/>
              <w:bottom w:val="nil"/>
              <w:right w:val="nil"/>
            </w:tcBorders>
            <w:shd w:val="clear" w:color="auto" w:fill="F2F2F2" w:themeFill="background1" w:themeFillShade="F2"/>
            <w:vAlign w:val="bottom"/>
          </w:tcPr>
          <w:p w14:paraId="5830C24A" w14:textId="77777777" w:rsidR="00FE7F8B" w:rsidRDefault="00FE7F8B">
            <w:pPr>
              <w:pStyle w:val="TableTextFinancial"/>
              <w:jc w:val="right"/>
              <w:rPr>
                <w:b/>
              </w:rPr>
            </w:pPr>
          </w:p>
        </w:tc>
        <w:tc>
          <w:tcPr>
            <w:tcW w:w="1137" w:type="dxa"/>
            <w:tcBorders>
              <w:top w:val="nil"/>
              <w:left w:val="nil"/>
              <w:bottom w:val="nil"/>
              <w:right w:val="nil"/>
            </w:tcBorders>
            <w:vAlign w:val="bottom"/>
          </w:tcPr>
          <w:p w14:paraId="619A6686" w14:textId="77777777" w:rsidR="00FE7F8B" w:rsidRDefault="00FE7F8B">
            <w:pPr>
              <w:pStyle w:val="TableTextFinancial"/>
              <w:jc w:val="right"/>
            </w:pPr>
          </w:p>
        </w:tc>
      </w:tr>
      <w:tr w:rsidR="00FE7F8B" w14:paraId="3A566568" w14:textId="77777777" w:rsidTr="00FE7F8B">
        <w:tc>
          <w:tcPr>
            <w:tcW w:w="5106" w:type="dxa"/>
            <w:tcBorders>
              <w:top w:val="nil"/>
              <w:left w:val="nil"/>
              <w:bottom w:val="nil"/>
              <w:right w:val="nil"/>
            </w:tcBorders>
            <w:vAlign w:val="bottom"/>
            <w:hideMark/>
          </w:tcPr>
          <w:p w14:paraId="167CC341" w14:textId="77777777" w:rsidR="00FE7F8B" w:rsidRDefault="00FE7F8B">
            <w:pPr>
              <w:pStyle w:val="TableTextFinancial"/>
            </w:pPr>
            <w:r>
              <w:t>Plant and equipment under finance lease</w:t>
            </w:r>
          </w:p>
        </w:tc>
        <w:tc>
          <w:tcPr>
            <w:tcW w:w="1133" w:type="dxa"/>
            <w:tcBorders>
              <w:top w:val="nil"/>
              <w:left w:val="nil"/>
              <w:bottom w:val="nil"/>
              <w:right w:val="nil"/>
            </w:tcBorders>
            <w:shd w:val="clear" w:color="auto" w:fill="F2F2F2" w:themeFill="background1" w:themeFillShade="F2"/>
            <w:vAlign w:val="bottom"/>
            <w:hideMark/>
          </w:tcPr>
          <w:p w14:paraId="4B5B4DEF" w14:textId="77777777" w:rsidR="00FE7F8B" w:rsidRDefault="00FE7F8B">
            <w:pPr>
              <w:pStyle w:val="TableTextFinancial"/>
              <w:jc w:val="right"/>
              <w:rPr>
                <w:b/>
              </w:rPr>
            </w:pPr>
            <w:r>
              <w:rPr>
                <w:b/>
              </w:rPr>
              <w:t>18.9</w:t>
            </w:r>
          </w:p>
        </w:tc>
        <w:tc>
          <w:tcPr>
            <w:tcW w:w="1137" w:type="dxa"/>
            <w:tcBorders>
              <w:top w:val="nil"/>
              <w:left w:val="nil"/>
              <w:bottom w:val="nil"/>
              <w:right w:val="nil"/>
            </w:tcBorders>
            <w:vAlign w:val="bottom"/>
            <w:hideMark/>
          </w:tcPr>
          <w:p w14:paraId="08C9A1F2" w14:textId="77777777" w:rsidR="00FE7F8B" w:rsidRDefault="00FE7F8B">
            <w:pPr>
              <w:pStyle w:val="TableTextFinancial"/>
              <w:jc w:val="right"/>
            </w:pPr>
            <w:r>
              <w:t>17.3</w:t>
            </w:r>
          </w:p>
        </w:tc>
      </w:tr>
      <w:tr w:rsidR="00FE7F8B" w14:paraId="7A954E89" w14:textId="77777777" w:rsidTr="00FE7F8B">
        <w:tc>
          <w:tcPr>
            <w:tcW w:w="5106" w:type="dxa"/>
            <w:tcBorders>
              <w:top w:val="nil"/>
              <w:left w:val="nil"/>
              <w:bottom w:val="single" w:sz="4" w:space="0" w:color="auto"/>
              <w:right w:val="nil"/>
            </w:tcBorders>
            <w:vAlign w:val="bottom"/>
            <w:hideMark/>
          </w:tcPr>
          <w:p w14:paraId="1F7D0BDE" w14:textId="77777777" w:rsidR="00FE7F8B" w:rsidRDefault="00FE7F8B">
            <w:pPr>
              <w:pStyle w:val="TableTextFinancial"/>
            </w:pPr>
            <w:r>
              <w:t>Less accumulated depreciation</w:t>
            </w:r>
          </w:p>
        </w:tc>
        <w:tc>
          <w:tcPr>
            <w:tcW w:w="1133" w:type="dxa"/>
            <w:tcBorders>
              <w:top w:val="nil"/>
              <w:left w:val="nil"/>
              <w:bottom w:val="single" w:sz="4" w:space="0" w:color="auto"/>
              <w:right w:val="nil"/>
            </w:tcBorders>
            <w:shd w:val="clear" w:color="auto" w:fill="F2F2F2" w:themeFill="background1" w:themeFillShade="F2"/>
            <w:vAlign w:val="bottom"/>
            <w:hideMark/>
          </w:tcPr>
          <w:p w14:paraId="1B3D0942" w14:textId="77777777" w:rsidR="00FE7F8B" w:rsidRDefault="00FE7F8B">
            <w:pPr>
              <w:pStyle w:val="TableTextFinancial"/>
              <w:jc w:val="right"/>
              <w:rPr>
                <w:b/>
              </w:rPr>
            </w:pPr>
            <w:r>
              <w:rPr>
                <w:b/>
              </w:rPr>
              <w:t>(7.6)</w:t>
            </w:r>
          </w:p>
        </w:tc>
        <w:tc>
          <w:tcPr>
            <w:tcW w:w="1137" w:type="dxa"/>
            <w:tcBorders>
              <w:top w:val="nil"/>
              <w:left w:val="nil"/>
              <w:bottom w:val="single" w:sz="4" w:space="0" w:color="auto"/>
              <w:right w:val="nil"/>
            </w:tcBorders>
            <w:vAlign w:val="bottom"/>
            <w:hideMark/>
          </w:tcPr>
          <w:p w14:paraId="0F98F901" w14:textId="77777777" w:rsidR="00FE7F8B" w:rsidRDefault="00FE7F8B">
            <w:pPr>
              <w:pStyle w:val="TableTextFinancial"/>
              <w:jc w:val="right"/>
            </w:pPr>
            <w:r>
              <w:t>(6.2)</w:t>
            </w:r>
          </w:p>
        </w:tc>
      </w:tr>
      <w:tr w:rsidR="00FE7F8B" w14:paraId="775BA387" w14:textId="77777777" w:rsidTr="00FE7F8B">
        <w:tc>
          <w:tcPr>
            <w:tcW w:w="5106" w:type="dxa"/>
            <w:tcBorders>
              <w:top w:val="single" w:sz="4" w:space="0" w:color="auto"/>
              <w:left w:val="nil"/>
              <w:bottom w:val="single" w:sz="4" w:space="0" w:color="auto"/>
              <w:right w:val="nil"/>
            </w:tcBorders>
            <w:vAlign w:val="bottom"/>
          </w:tcPr>
          <w:p w14:paraId="4CF2E04B" w14:textId="77777777" w:rsidR="00FE7F8B" w:rsidRDefault="00FE7F8B">
            <w:pPr>
              <w:pStyle w:val="TableTextFinancial"/>
            </w:pPr>
          </w:p>
        </w:tc>
        <w:tc>
          <w:tcPr>
            <w:tcW w:w="1133" w:type="dxa"/>
            <w:tcBorders>
              <w:top w:val="single" w:sz="4" w:space="0" w:color="auto"/>
              <w:left w:val="nil"/>
              <w:bottom w:val="single" w:sz="4" w:space="0" w:color="auto"/>
              <w:right w:val="nil"/>
            </w:tcBorders>
            <w:shd w:val="clear" w:color="auto" w:fill="F2F2F2" w:themeFill="background1" w:themeFillShade="F2"/>
            <w:vAlign w:val="bottom"/>
            <w:hideMark/>
          </w:tcPr>
          <w:p w14:paraId="1C938746" w14:textId="77777777" w:rsidR="00FE7F8B" w:rsidRDefault="00FE7F8B">
            <w:pPr>
              <w:pStyle w:val="TableTextFinancial"/>
              <w:jc w:val="right"/>
              <w:rPr>
                <w:b/>
              </w:rPr>
            </w:pPr>
            <w:r>
              <w:rPr>
                <w:b/>
              </w:rPr>
              <w:t>11.3</w:t>
            </w:r>
          </w:p>
        </w:tc>
        <w:tc>
          <w:tcPr>
            <w:tcW w:w="1137" w:type="dxa"/>
            <w:tcBorders>
              <w:top w:val="single" w:sz="4" w:space="0" w:color="auto"/>
              <w:left w:val="nil"/>
              <w:bottom w:val="single" w:sz="4" w:space="0" w:color="auto"/>
              <w:right w:val="nil"/>
            </w:tcBorders>
            <w:vAlign w:val="bottom"/>
            <w:hideMark/>
          </w:tcPr>
          <w:p w14:paraId="62B93CBA" w14:textId="77777777" w:rsidR="00FE7F8B" w:rsidRDefault="00FE7F8B">
            <w:pPr>
              <w:pStyle w:val="TableTextFinancial"/>
              <w:jc w:val="right"/>
            </w:pPr>
            <w:r>
              <w:t>11.1</w:t>
            </w:r>
          </w:p>
        </w:tc>
      </w:tr>
      <w:tr w:rsidR="00FE7F8B" w14:paraId="06EBAAC3" w14:textId="77777777" w:rsidTr="00FE7F8B">
        <w:tc>
          <w:tcPr>
            <w:tcW w:w="5106" w:type="dxa"/>
            <w:tcBorders>
              <w:top w:val="single" w:sz="4" w:space="0" w:color="auto"/>
              <w:left w:val="nil"/>
              <w:bottom w:val="nil"/>
              <w:right w:val="nil"/>
            </w:tcBorders>
            <w:vAlign w:val="bottom"/>
            <w:hideMark/>
          </w:tcPr>
          <w:p w14:paraId="119D6AD5" w14:textId="77777777" w:rsidR="00FE7F8B" w:rsidRDefault="00FE7F8B">
            <w:pPr>
              <w:pStyle w:val="TableTextFinancial"/>
              <w:rPr>
                <w:b/>
              </w:rPr>
            </w:pPr>
            <w:r>
              <w:rPr>
                <w:b/>
              </w:rPr>
              <w:t>Total plant and equipment</w:t>
            </w:r>
          </w:p>
        </w:tc>
        <w:tc>
          <w:tcPr>
            <w:tcW w:w="1133" w:type="dxa"/>
            <w:tcBorders>
              <w:top w:val="single" w:sz="4" w:space="0" w:color="auto"/>
              <w:left w:val="nil"/>
              <w:bottom w:val="nil"/>
              <w:right w:val="nil"/>
            </w:tcBorders>
            <w:shd w:val="clear" w:color="auto" w:fill="F2F2F2" w:themeFill="background1" w:themeFillShade="F2"/>
            <w:vAlign w:val="bottom"/>
            <w:hideMark/>
          </w:tcPr>
          <w:p w14:paraId="5F18195C" w14:textId="77777777" w:rsidR="00FE7F8B" w:rsidRDefault="00FE7F8B">
            <w:pPr>
              <w:pStyle w:val="TableTextFinancial"/>
              <w:jc w:val="right"/>
              <w:rPr>
                <w:b/>
              </w:rPr>
            </w:pPr>
            <w:r>
              <w:rPr>
                <w:b/>
              </w:rPr>
              <w:t>84.5</w:t>
            </w:r>
          </w:p>
        </w:tc>
        <w:tc>
          <w:tcPr>
            <w:tcW w:w="1137" w:type="dxa"/>
            <w:tcBorders>
              <w:top w:val="single" w:sz="4" w:space="0" w:color="auto"/>
              <w:left w:val="nil"/>
              <w:bottom w:val="nil"/>
              <w:right w:val="nil"/>
            </w:tcBorders>
            <w:vAlign w:val="bottom"/>
            <w:hideMark/>
          </w:tcPr>
          <w:p w14:paraId="3A91D02A" w14:textId="77777777" w:rsidR="00FE7F8B" w:rsidRDefault="00FE7F8B">
            <w:pPr>
              <w:pStyle w:val="TableTextFinancial"/>
              <w:jc w:val="right"/>
            </w:pPr>
            <w:r>
              <w:t>109.0</w:t>
            </w:r>
          </w:p>
        </w:tc>
      </w:tr>
      <w:tr w:rsidR="00FE7F8B" w14:paraId="118C1E57" w14:textId="77777777" w:rsidTr="00FE7F8B">
        <w:tc>
          <w:tcPr>
            <w:tcW w:w="5106" w:type="dxa"/>
            <w:tcBorders>
              <w:top w:val="nil"/>
              <w:left w:val="nil"/>
              <w:bottom w:val="nil"/>
              <w:right w:val="nil"/>
            </w:tcBorders>
            <w:vAlign w:val="bottom"/>
          </w:tcPr>
          <w:p w14:paraId="1A02A39A" w14:textId="77777777" w:rsidR="00FE7F8B" w:rsidRDefault="00FE7F8B">
            <w:pPr>
              <w:pStyle w:val="TableTextFinancial"/>
            </w:pPr>
          </w:p>
        </w:tc>
        <w:tc>
          <w:tcPr>
            <w:tcW w:w="1133" w:type="dxa"/>
            <w:tcBorders>
              <w:top w:val="nil"/>
              <w:left w:val="nil"/>
              <w:bottom w:val="nil"/>
              <w:right w:val="nil"/>
            </w:tcBorders>
            <w:shd w:val="clear" w:color="auto" w:fill="F2F2F2" w:themeFill="background1" w:themeFillShade="F2"/>
            <w:vAlign w:val="bottom"/>
          </w:tcPr>
          <w:p w14:paraId="724B1D97" w14:textId="77777777" w:rsidR="00FE7F8B" w:rsidRDefault="00FE7F8B">
            <w:pPr>
              <w:pStyle w:val="TableTextFinancial"/>
              <w:jc w:val="right"/>
              <w:rPr>
                <w:b/>
              </w:rPr>
            </w:pPr>
          </w:p>
        </w:tc>
        <w:tc>
          <w:tcPr>
            <w:tcW w:w="1137" w:type="dxa"/>
            <w:tcBorders>
              <w:top w:val="nil"/>
              <w:left w:val="nil"/>
              <w:bottom w:val="nil"/>
              <w:right w:val="nil"/>
            </w:tcBorders>
            <w:vAlign w:val="bottom"/>
          </w:tcPr>
          <w:p w14:paraId="46BB111B" w14:textId="77777777" w:rsidR="00FE7F8B" w:rsidRDefault="00FE7F8B">
            <w:pPr>
              <w:pStyle w:val="TableTextFinancial"/>
              <w:jc w:val="right"/>
            </w:pPr>
          </w:p>
        </w:tc>
      </w:tr>
      <w:tr w:rsidR="00FE7F8B" w14:paraId="10F38FCA" w14:textId="77777777" w:rsidTr="00FE7F8B">
        <w:tc>
          <w:tcPr>
            <w:tcW w:w="5106" w:type="dxa"/>
            <w:tcBorders>
              <w:top w:val="nil"/>
              <w:left w:val="nil"/>
              <w:bottom w:val="nil"/>
              <w:right w:val="nil"/>
            </w:tcBorders>
            <w:vAlign w:val="bottom"/>
            <w:hideMark/>
          </w:tcPr>
          <w:p w14:paraId="4774A7CD" w14:textId="77777777" w:rsidR="00FE7F8B" w:rsidRDefault="00FE7F8B">
            <w:pPr>
              <w:pStyle w:val="TableTextFinancial"/>
              <w:rPr>
                <w:b/>
              </w:rPr>
            </w:pPr>
            <w:r>
              <w:rPr>
                <w:b/>
              </w:rPr>
              <w:t>Work in progress</w:t>
            </w:r>
          </w:p>
        </w:tc>
        <w:tc>
          <w:tcPr>
            <w:tcW w:w="1133" w:type="dxa"/>
            <w:tcBorders>
              <w:top w:val="nil"/>
              <w:left w:val="nil"/>
              <w:bottom w:val="nil"/>
              <w:right w:val="nil"/>
            </w:tcBorders>
            <w:shd w:val="clear" w:color="auto" w:fill="F2F2F2" w:themeFill="background1" w:themeFillShade="F2"/>
            <w:vAlign w:val="bottom"/>
          </w:tcPr>
          <w:p w14:paraId="61564627" w14:textId="77777777" w:rsidR="00FE7F8B" w:rsidRDefault="00FE7F8B">
            <w:pPr>
              <w:pStyle w:val="TableTextFinancial"/>
              <w:jc w:val="right"/>
              <w:rPr>
                <w:b/>
              </w:rPr>
            </w:pPr>
          </w:p>
        </w:tc>
        <w:tc>
          <w:tcPr>
            <w:tcW w:w="1137" w:type="dxa"/>
            <w:tcBorders>
              <w:top w:val="nil"/>
              <w:left w:val="nil"/>
              <w:bottom w:val="nil"/>
              <w:right w:val="nil"/>
            </w:tcBorders>
            <w:vAlign w:val="bottom"/>
          </w:tcPr>
          <w:p w14:paraId="45CE2879" w14:textId="77777777" w:rsidR="00FE7F8B" w:rsidRDefault="00FE7F8B">
            <w:pPr>
              <w:pStyle w:val="TableTextFinancial"/>
              <w:jc w:val="right"/>
            </w:pPr>
          </w:p>
        </w:tc>
      </w:tr>
      <w:tr w:rsidR="00FE7F8B" w14:paraId="15337728" w14:textId="77777777" w:rsidTr="00FE7F8B">
        <w:tc>
          <w:tcPr>
            <w:tcW w:w="5106" w:type="dxa"/>
            <w:tcBorders>
              <w:top w:val="nil"/>
              <w:left w:val="nil"/>
              <w:bottom w:val="nil"/>
              <w:right w:val="nil"/>
            </w:tcBorders>
            <w:vAlign w:val="bottom"/>
            <w:hideMark/>
          </w:tcPr>
          <w:p w14:paraId="6ADFE616" w14:textId="77777777" w:rsidR="00FE7F8B" w:rsidRDefault="00FE7F8B">
            <w:pPr>
              <w:pStyle w:val="TableTextFinancial"/>
            </w:pPr>
            <w:r>
              <w:t>Buildings at cost</w:t>
            </w:r>
          </w:p>
        </w:tc>
        <w:tc>
          <w:tcPr>
            <w:tcW w:w="1133" w:type="dxa"/>
            <w:tcBorders>
              <w:top w:val="nil"/>
              <w:left w:val="nil"/>
              <w:bottom w:val="nil"/>
              <w:right w:val="nil"/>
            </w:tcBorders>
            <w:shd w:val="clear" w:color="auto" w:fill="F2F2F2" w:themeFill="background1" w:themeFillShade="F2"/>
            <w:vAlign w:val="bottom"/>
            <w:hideMark/>
          </w:tcPr>
          <w:p w14:paraId="2A8AD28E" w14:textId="77777777" w:rsidR="00FE7F8B" w:rsidRDefault="00FE7F8B">
            <w:pPr>
              <w:pStyle w:val="TableTextFinancial"/>
              <w:jc w:val="right"/>
              <w:rPr>
                <w:b/>
              </w:rPr>
            </w:pPr>
            <w:r>
              <w:rPr>
                <w:b/>
              </w:rPr>
              <w:t>148.2</w:t>
            </w:r>
          </w:p>
        </w:tc>
        <w:tc>
          <w:tcPr>
            <w:tcW w:w="1137" w:type="dxa"/>
            <w:tcBorders>
              <w:top w:val="nil"/>
              <w:left w:val="nil"/>
              <w:bottom w:val="nil"/>
              <w:right w:val="nil"/>
            </w:tcBorders>
            <w:vAlign w:val="bottom"/>
            <w:hideMark/>
          </w:tcPr>
          <w:p w14:paraId="2ABC4F1B" w14:textId="77777777" w:rsidR="00FE7F8B" w:rsidRDefault="00FE7F8B">
            <w:pPr>
              <w:pStyle w:val="TableTextFinancial"/>
              <w:jc w:val="right"/>
            </w:pPr>
            <w:r>
              <w:t>266.9</w:t>
            </w:r>
          </w:p>
        </w:tc>
      </w:tr>
      <w:tr w:rsidR="00FE7F8B" w14:paraId="16CC6A06" w14:textId="77777777" w:rsidTr="00FE7F8B">
        <w:tc>
          <w:tcPr>
            <w:tcW w:w="5106" w:type="dxa"/>
            <w:tcBorders>
              <w:top w:val="nil"/>
              <w:left w:val="nil"/>
              <w:bottom w:val="single" w:sz="4" w:space="0" w:color="auto"/>
              <w:right w:val="nil"/>
            </w:tcBorders>
            <w:vAlign w:val="bottom"/>
            <w:hideMark/>
          </w:tcPr>
          <w:p w14:paraId="726F03C8" w14:textId="77777777" w:rsidR="00FE7F8B" w:rsidRDefault="00FE7F8B">
            <w:pPr>
              <w:pStyle w:val="TableTextFinancial"/>
            </w:pPr>
            <w:r>
              <w:t>Plant and equipment at cost</w:t>
            </w:r>
          </w:p>
        </w:tc>
        <w:tc>
          <w:tcPr>
            <w:tcW w:w="1133" w:type="dxa"/>
            <w:tcBorders>
              <w:top w:val="nil"/>
              <w:left w:val="nil"/>
              <w:bottom w:val="single" w:sz="4" w:space="0" w:color="auto"/>
              <w:right w:val="nil"/>
            </w:tcBorders>
            <w:shd w:val="clear" w:color="auto" w:fill="F2F2F2" w:themeFill="background1" w:themeFillShade="F2"/>
            <w:vAlign w:val="bottom"/>
            <w:hideMark/>
          </w:tcPr>
          <w:p w14:paraId="27F11016" w14:textId="77777777" w:rsidR="00FE7F8B" w:rsidRDefault="00FE7F8B">
            <w:pPr>
              <w:pStyle w:val="TableTextFinancial"/>
              <w:jc w:val="right"/>
              <w:rPr>
                <w:b/>
              </w:rPr>
            </w:pPr>
            <w:r>
              <w:rPr>
                <w:b/>
              </w:rPr>
              <w:t>2.8</w:t>
            </w:r>
          </w:p>
        </w:tc>
        <w:tc>
          <w:tcPr>
            <w:tcW w:w="1137" w:type="dxa"/>
            <w:tcBorders>
              <w:top w:val="nil"/>
              <w:left w:val="nil"/>
              <w:bottom w:val="single" w:sz="4" w:space="0" w:color="auto"/>
              <w:right w:val="nil"/>
            </w:tcBorders>
            <w:vAlign w:val="bottom"/>
            <w:hideMark/>
          </w:tcPr>
          <w:p w14:paraId="6602DC5B" w14:textId="77777777" w:rsidR="00FE7F8B" w:rsidRDefault="00FE7F8B">
            <w:pPr>
              <w:pStyle w:val="TableTextFinancial"/>
              <w:jc w:val="right"/>
            </w:pPr>
            <w:r>
              <w:t>42.1</w:t>
            </w:r>
          </w:p>
        </w:tc>
      </w:tr>
      <w:tr w:rsidR="00FE7F8B" w14:paraId="7E971B01" w14:textId="77777777" w:rsidTr="00FE7F8B">
        <w:tc>
          <w:tcPr>
            <w:tcW w:w="5106" w:type="dxa"/>
            <w:tcBorders>
              <w:top w:val="single" w:sz="4" w:space="0" w:color="auto"/>
              <w:left w:val="nil"/>
              <w:bottom w:val="nil"/>
              <w:right w:val="nil"/>
            </w:tcBorders>
            <w:vAlign w:val="bottom"/>
            <w:hideMark/>
          </w:tcPr>
          <w:p w14:paraId="3B0C2F4A" w14:textId="77777777" w:rsidR="00FE7F8B" w:rsidRDefault="00FE7F8B">
            <w:pPr>
              <w:pStyle w:val="TableTextFinancial"/>
              <w:rPr>
                <w:b/>
              </w:rPr>
            </w:pPr>
            <w:r>
              <w:rPr>
                <w:b/>
              </w:rPr>
              <w:t>Total work in progress</w:t>
            </w:r>
          </w:p>
        </w:tc>
        <w:tc>
          <w:tcPr>
            <w:tcW w:w="1133" w:type="dxa"/>
            <w:tcBorders>
              <w:top w:val="single" w:sz="4" w:space="0" w:color="auto"/>
              <w:left w:val="nil"/>
              <w:bottom w:val="nil"/>
              <w:right w:val="nil"/>
            </w:tcBorders>
            <w:shd w:val="clear" w:color="auto" w:fill="F2F2F2" w:themeFill="background1" w:themeFillShade="F2"/>
            <w:vAlign w:val="bottom"/>
            <w:hideMark/>
          </w:tcPr>
          <w:p w14:paraId="5D7EEBD1" w14:textId="77777777" w:rsidR="00FE7F8B" w:rsidRDefault="00FE7F8B">
            <w:pPr>
              <w:pStyle w:val="TableTextFinancial"/>
              <w:jc w:val="right"/>
              <w:rPr>
                <w:b/>
              </w:rPr>
            </w:pPr>
            <w:r>
              <w:rPr>
                <w:b/>
              </w:rPr>
              <w:t>150.9</w:t>
            </w:r>
          </w:p>
        </w:tc>
        <w:tc>
          <w:tcPr>
            <w:tcW w:w="1137" w:type="dxa"/>
            <w:tcBorders>
              <w:top w:val="single" w:sz="4" w:space="0" w:color="auto"/>
              <w:left w:val="nil"/>
              <w:bottom w:val="nil"/>
              <w:right w:val="nil"/>
            </w:tcBorders>
            <w:vAlign w:val="bottom"/>
            <w:hideMark/>
          </w:tcPr>
          <w:p w14:paraId="6929AB22" w14:textId="77777777" w:rsidR="00FE7F8B" w:rsidRDefault="00FE7F8B">
            <w:pPr>
              <w:pStyle w:val="TableTextFinancial"/>
              <w:jc w:val="right"/>
            </w:pPr>
            <w:r>
              <w:t>309.0</w:t>
            </w:r>
          </w:p>
        </w:tc>
      </w:tr>
      <w:tr w:rsidR="00FE7F8B" w14:paraId="6AC8ADEE" w14:textId="77777777" w:rsidTr="00FE7F8B">
        <w:tc>
          <w:tcPr>
            <w:tcW w:w="5106" w:type="dxa"/>
            <w:tcBorders>
              <w:top w:val="nil"/>
              <w:left w:val="nil"/>
              <w:bottom w:val="single" w:sz="4" w:space="0" w:color="auto"/>
              <w:right w:val="nil"/>
            </w:tcBorders>
            <w:vAlign w:val="bottom"/>
          </w:tcPr>
          <w:p w14:paraId="05F3E589" w14:textId="77777777" w:rsidR="00FE7F8B" w:rsidRDefault="00FE7F8B">
            <w:pPr>
              <w:pStyle w:val="TableTextFinancial"/>
              <w:rPr>
                <w:b/>
              </w:rPr>
            </w:pPr>
          </w:p>
        </w:tc>
        <w:tc>
          <w:tcPr>
            <w:tcW w:w="1133" w:type="dxa"/>
            <w:tcBorders>
              <w:top w:val="nil"/>
              <w:left w:val="nil"/>
              <w:bottom w:val="single" w:sz="4" w:space="0" w:color="auto"/>
              <w:right w:val="nil"/>
            </w:tcBorders>
            <w:shd w:val="clear" w:color="auto" w:fill="F2F2F2" w:themeFill="background1" w:themeFillShade="F2"/>
            <w:vAlign w:val="bottom"/>
          </w:tcPr>
          <w:p w14:paraId="78B96918" w14:textId="77777777" w:rsidR="00FE7F8B" w:rsidRDefault="00FE7F8B">
            <w:pPr>
              <w:pStyle w:val="TableTextFinancial"/>
              <w:jc w:val="right"/>
              <w:rPr>
                <w:b/>
              </w:rPr>
            </w:pPr>
          </w:p>
        </w:tc>
        <w:tc>
          <w:tcPr>
            <w:tcW w:w="1137" w:type="dxa"/>
            <w:tcBorders>
              <w:top w:val="nil"/>
              <w:left w:val="nil"/>
              <w:bottom w:val="single" w:sz="4" w:space="0" w:color="auto"/>
              <w:right w:val="nil"/>
            </w:tcBorders>
            <w:vAlign w:val="bottom"/>
          </w:tcPr>
          <w:p w14:paraId="7C01C3FD" w14:textId="77777777" w:rsidR="00FE7F8B" w:rsidRDefault="00FE7F8B">
            <w:pPr>
              <w:pStyle w:val="TableTextFinancial"/>
              <w:jc w:val="right"/>
            </w:pPr>
          </w:p>
        </w:tc>
      </w:tr>
      <w:tr w:rsidR="00FE7F8B" w14:paraId="4EC7FE01" w14:textId="77777777" w:rsidTr="00FE7F8B">
        <w:tc>
          <w:tcPr>
            <w:tcW w:w="5106" w:type="dxa"/>
            <w:tcBorders>
              <w:top w:val="single" w:sz="4" w:space="0" w:color="auto"/>
              <w:left w:val="nil"/>
              <w:bottom w:val="single" w:sz="4" w:space="0" w:color="auto"/>
              <w:right w:val="nil"/>
            </w:tcBorders>
            <w:vAlign w:val="bottom"/>
            <w:hideMark/>
          </w:tcPr>
          <w:p w14:paraId="2FC56864" w14:textId="77777777" w:rsidR="00FE7F8B" w:rsidRDefault="00FE7F8B">
            <w:pPr>
              <w:pStyle w:val="TableTextFinancial"/>
              <w:rPr>
                <w:b/>
              </w:rPr>
            </w:pPr>
            <w:r>
              <w:rPr>
                <w:b/>
              </w:rPr>
              <w:t>Total property, plant and equipment</w:t>
            </w:r>
          </w:p>
        </w:tc>
        <w:tc>
          <w:tcPr>
            <w:tcW w:w="1133" w:type="dxa"/>
            <w:tcBorders>
              <w:top w:val="single" w:sz="4" w:space="0" w:color="auto"/>
              <w:left w:val="nil"/>
              <w:bottom w:val="single" w:sz="4" w:space="0" w:color="auto"/>
              <w:right w:val="nil"/>
            </w:tcBorders>
            <w:shd w:val="clear" w:color="auto" w:fill="F2F2F2" w:themeFill="background1" w:themeFillShade="F2"/>
            <w:vAlign w:val="bottom"/>
            <w:hideMark/>
          </w:tcPr>
          <w:p w14:paraId="43429194" w14:textId="77777777" w:rsidR="00FE7F8B" w:rsidRDefault="00FE7F8B">
            <w:pPr>
              <w:pStyle w:val="TableTextFinancial"/>
              <w:jc w:val="right"/>
              <w:rPr>
                <w:b/>
              </w:rPr>
            </w:pPr>
            <w:r>
              <w:rPr>
                <w:b/>
              </w:rPr>
              <w:t>19,869.9</w:t>
            </w:r>
          </w:p>
        </w:tc>
        <w:tc>
          <w:tcPr>
            <w:tcW w:w="1137" w:type="dxa"/>
            <w:tcBorders>
              <w:top w:val="single" w:sz="4" w:space="0" w:color="auto"/>
              <w:left w:val="nil"/>
              <w:bottom w:val="single" w:sz="4" w:space="0" w:color="auto"/>
              <w:right w:val="nil"/>
            </w:tcBorders>
            <w:vAlign w:val="bottom"/>
            <w:hideMark/>
          </w:tcPr>
          <w:p w14:paraId="6BD7BF04" w14:textId="77777777" w:rsidR="00FE7F8B" w:rsidRDefault="00FE7F8B">
            <w:pPr>
              <w:pStyle w:val="TableTextFinancial"/>
              <w:jc w:val="right"/>
            </w:pPr>
            <w:r>
              <w:t>16,830.2</w:t>
            </w:r>
          </w:p>
        </w:tc>
      </w:tr>
    </w:tbl>
    <w:p w14:paraId="69684873" w14:textId="77777777" w:rsidR="00FE7F8B" w:rsidRDefault="00FE7F8B" w:rsidP="00BB1129">
      <w:pPr>
        <w:pStyle w:val="DETFootnoteTextforobjectivestablesOHStable"/>
        <w:spacing w:before="120"/>
        <w:rPr>
          <w:rFonts w:ascii="Times New Roman" w:hAnsi="Times New Roman"/>
          <w:sz w:val="24"/>
          <w:szCs w:val="24"/>
        </w:rPr>
      </w:pPr>
      <w:r>
        <w:t>1 Property, plant and equipment are classified primarily by the ‘purpose’ for which the assets are used, according to one of six ‘Purpose Groups’ based upon government purpose classifications (GPC). All assets within a purpose group are further sub-categorised according to the asset’s ‘nature’ (that is, buildings, plant and equipment, and so forth), with each sub-category being classified as a separate class of asset for financial reporting purposes.</w:t>
      </w:r>
    </w:p>
    <w:p w14:paraId="60B046AE" w14:textId="77777777" w:rsidR="00FE7F8B" w:rsidRDefault="00FE7F8B" w:rsidP="00BB1129">
      <w:pPr>
        <w:pStyle w:val="DETFootnoteTextforobjectivestablesOHStable"/>
        <w:spacing w:before="120"/>
        <w:rPr>
          <w:sz w:val="13"/>
        </w:rPr>
      </w:pPr>
      <w:r>
        <w:rPr>
          <w:szCs w:val="14"/>
        </w:rPr>
        <w:t xml:space="preserve">2 </w:t>
      </w:r>
      <w:r>
        <w:t xml:space="preserve">In accordance with FRD 103F the Department conducts fair value assessments based upon the cumulative indices supplied by the </w:t>
      </w:r>
      <w:proofErr w:type="spellStart"/>
      <w:r>
        <w:t>Valuer</w:t>
      </w:r>
      <w:proofErr w:type="spellEnd"/>
      <w:r>
        <w:t>-General since the last formal revaluation. Where fair value assessments indicate that the changes in valuations are greater than 10 per cent and less than 40 per cent, a management valuation is to be undertaken. As part of the fair value assessment of land for the year ended 30 June 2015, land indices were applied to land parcels which resulted in a material movement in the fair value of 12%. A managerial revaluation of $852.9 million was recognised.</w:t>
      </w:r>
      <w:r>
        <w:br w:type="page"/>
      </w:r>
    </w:p>
    <w:bookmarkEnd w:id="87"/>
    <w:bookmarkEnd w:id="88"/>
    <w:bookmarkEnd w:id="89"/>
    <w:bookmarkEnd w:id="90"/>
    <w:p w14:paraId="0BDCA0B4" w14:textId="77777777" w:rsidR="00FE7F8B" w:rsidRDefault="00FE7F8B" w:rsidP="00AD641C">
      <w:pPr>
        <w:pStyle w:val="Heading3notesnumbered"/>
        <w:numPr>
          <w:ilvl w:val="0"/>
          <w:numId w:val="49"/>
        </w:numPr>
      </w:pPr>
      <w:r>
        <w:t>Independent valuation of land and buildings</w:t>
      </w:r>
    </w:p>
    <w:p w14:paraId="2A0DC839" w14:textId="77777777" w:rsidR="00FE7F8B" w:rsidRDefault="00FE7F8B" w:rsidP="00FE7F8B">
      <w:r>
        <w:t xml:space="preserve">An interim independent revaluation of Department land and building assets was conducted by the </w:t>
      </w:r>
      <w:proofErr w:type="spellStart"/>
      <w:r>
        <w:t>Valuer</w:t>
      </w:r>
      <w:proofErr w:type="spellEnd"/>
      <w:r>
        <w:t>-General Victoria (VGV) for the financial year ending 30 June 2016. The revaluation was conducted in accordance with policy set out in Note 1(k). A full revaluation normally occurs every five years, with the next scheduled revaluation to occur in 2018.</w:t>
      </w:r>
    </w:p>
    <w:p w14:paraId="6DC6FA56" w14:textId="77777777" w:rsidR="00FE7F8B" w:rsidRDefault="00FE7F8B" w:rsidP="00AD641C">
      <w:pPr>
        <w:pStyle w:val="Heading3notesnumbered"/>
        <w:numPr>
          <w:ilvl w:val="0"/>
          <w:numId w:val="49"/>
        </w:numPr>
      </w:pPr>
      <w:bookmarkStart w:id="91" w:name="_Ref399423688"/>
      <w:r>
        <w:t>Reconciliations</w:t>
      </w:r>
      <w:bookmarkEnd w:id="91"/>
    </w:p>
    <w:p w14:paraId="057EA7F6" w14:textId="77777777" w:rsidR="00FE7F8B" w:rsidRDefault="00FE7F8B" w:rsidP="00FE7F8B">
      <w:r>
        <w:t>Reconciliations of the carrying amounts of each class of property, plant and equipment at the beginning and end of the financial year are set out on the following page:</w:t>
      </w:r>
    </w:p>
    <w:p w14:paraId="66FE3F70" w14:textId="77777777" w:rsidR="00FE7F8B" w:rsidRDefault="00FE7F8B" w:rsidP="00FE7F8B">
      <w:pPr>
        <w:spacing w:after="0" w:line="240" w:lineRule="auto"/>
        <w:sectPr w:rsidR="00FE7F8B">
          <w:footnotePr>
            <w:pos w:val="beneathText"/>
            <w:numRestart w:val="eachPage"/>
          </w:footnotePr>
          <w:pgSz w:w="11909" w:h="16834"/>
          <w:pgMar w:top="1814" w:right="1701" w:bottom="1418" w:left="2835"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1"/>
        <w:gridCol w:w="1248"/>
        <w:gridCol w:w="1248"/>
        <w:gridCol w:w="1248"/>
        <w:gridCol w:w="1248"/>
        <w:gridCol w:w="1305"/>
        <w:gridCol w:w="1248"/>
        <w:gridCol w:w="1248"/>
        <w:gridCol w:w="1248"/>
      </w:tblGrid>
      <w:tr w:rsidR="00FE7F8B" w14:paraId="76098B28" w14:textId="77777777" w:rsidTr="00FE7F8B">
        <w:tc>
          <w:tcPr>
            <w:tcW w:w="3921" w:type="dxa"/>
            <w:tcBorders>
              <w:top w:val="nil"/>
              <w:left w:val="nil"/>
              <w:bottom w:val="nil"/>
              <w:right w:val="nil"/>
            </w:tcBorders>
            <w:shd w:val="clear" w:color="auto" w:fill="7F7F7F" w:themeFill="text1" w:themeFillTint="80"/>
            <w:vAlign w:val="center"/>
            <w:hideMark/>
          </w:tcPr>
          <w:p w14:paraId="42D498EF" w14:textId="77777777" w:rsidR="00FE7F8B" w:rsidRDefault="00FE7F8B">
            <w:pPr>
              <w:pStyle w:val="Tablecolumnheading"/>
              <w:jc w:val="center"/>
            </w:pPr>
            <w:r>
              <w:t>2016</w:t>
            </w:r>
          </w:p>
        </w:tc>
        <w:tc>
          <w:tcPr>
            <w:tcW w:w="1248" w:type="dxa"/>
            <w:tcBorders>
              <w:top w:val="nil"/>
              <w:left w:val="nil"/>
              <w:bottom w:val="nil"/>
              <w:right w:val="nil"/>
            </w:tcBorders>
            <w:shd w:val="clear" w:color="auto" w:fill="7F7F7F" w:themeFill="text1" w:themeFillTint="80"/>
            <w:vAlign w:val="center"/>
            <w:hideMark/>
          </w:tcPr>
          <w:p w14:paraId="70FBDC37" w14:textId="77777777" w:rsidR="00FE7F8B" w:rsidRDefault="00FE7F8B">
            <w:pPr>
              <w:pStyle w:val="Tablecolumnheading"/>
              <w:jc w:val="center"/>
            </w:pPr>
            <w:r>
              <w:t>Land</w:t>
            </w:r>
            <w:r>
              <w:br/>
              <w:t>$m</w:t>
            </w:r>
          </w:p>
        </w:tc>
        <w:tc>
          <w:tcPr>
            <w:tcW w:w="1248" w:type="dxa"/>
            <w:tcBorders>
              <w:top w:val="nil"/>
              <w:left w:val="nil"/>
              <w:bottom w:val="nil"/>
              <w:right w:val="nil"/>
            </w:tcBorders>
            <w:shd w:val="clear" w:color="auto" w:fill="7F7F7F" w:themeFill="text1" w:themeFillTint="80"/>
            <w:vAlign w:val="center"/>
            <w:hideMark/>
          </w:tcPr>
          <w:p w14:paraId="093C308E" w14:textId="77777777" w:rsidR="00FE7F8B" w:rsidRDefault="00FE7F8B">
            <w:pPr>
              <w:pStyle w:val="Tablecolumnheading"/>
              <w:jc w:val="center"/>
            </w:pPr>
            <w:r>
              <w:t>Buildings</w:t>
            </w:r>
            <w:r>
              <w:br/>
              <w:t>$m</w:t>
            </w:r>
          </w:p>
        </w:tc>
        <w:tc>
          <w:tcPr>
            <w:tcW w:w="1248" w:type="dxa"/>
            <w:tcBorders>
              <w:top w:val="nil"/>
              <w:left w:val="nil"/>
              <w:bottom w:val="nil"/>
              <w:right w:val="nil"/>
            </w:tcBorders>
            <w:shd w:val="clear" w:color="auto" w:fill="7F7F7F" w:themeFill="text1" w:themeFillTint="80"/>
            <w:vAlign w:val="center"/>
            <w:hideMark/>
          </w:tcPr>
          <w:p w14:paraId="651F73C0" w14:textId="77777777" w:rsidR="00FE7F8B" w:rsidRDefault="00FE7F8B">
            <w:pPr>
              <w:pStyle w:val="Tablecolumnheading"/>
              <w:jc w:val="center"/>
            </w:pPr>
            <w:r>
              <w:t>Heritage Buildings</w:t>
            </w:r>
            <w:r>
              <w:br/>
              <w:t>$m</w:t>
            </w:r>
          </w:p>
        </w:tc>
        <w:tc>
          <w:tcPr>
            <w:tcW w:w="1248" w:type="dxa"/>
            <w:tcBorders>
              <w:top w:val="nil"/>
              <w:left w:val="nil"/>
              <w:bottom w:val="nil"/>
              <w:right w:val="nil"/>
            </w:tcBorders>
            <w:shd w:val="clear" w:color="auto" w:fill="7F7F7F" w:themeFill="text1" w:themeFillTint="80"/>
            <w:vAlign w:val="center"/>
            <w:hideMark/>
          </w:tcPr>
          <w:p w14:paraId="02A8877D" w14:textId="77777777" w:rsidR="00FE7F8B" w:rsidRDefault="00FE7F8B">
            <w:pPr>
              <w:pStyle w:val="Tablecolumnheading"/>
              <w:jc w:val="center"/>
            </w:pPr>
            <w:r>
              <w:t>Leasehold buildings</w:t>
            </w:r>
            <w:r>
              <w:br/>
              <w:t>$m</w:t>
            </w:r>
          </w:p>
        </w:tc>
        <w:tc>
          <w:tcPr>
            <w:tcW w:w="1305" w:type="dxa"/>
            <w:tcBorders>
              <w:top w:val="nil"/>
              <w:left w:val="nil"/>
              <w:bottom w:val="nil"/>
              <w:right w:val="nil"/>
            </w:tcBorders>
            <w:shd w:val="clear" w:color="auto" w:fill="7F7F7F" w:themeFill="text1" w:themeFillTint="80"/>
            <w:vAlign w:val="center"/>
            <w:hideMark/>
          </w:tcPr>
          <w:p w14:paraId="166267C2" w14:textId="77777777" w:rsidR="00FE7F8B" w:rsidRDefault="00FE7F8B">
            <w:pPr>
              <w:pStyle w:val="Tablecolumnheading"/>
              <w:jc w:val="center"/>
            </w:pPr>
            <w:r>
              <w:t>Leasehold improvements</w:t>
            </w:r>
            <w:r>
              <w:br/>
              <w:t>$m</w:t>
            </w:r>
          </w:p>
        </w:tc>
        <w:tc>
          <w:tcPr>
            <w:tcW w:w="1248" w:type="dxa"/>
            <w:tcBorders>
              <w:top w:val="nil"/>
              <w:left w:val="nil"/>
              <w:bottom w:val="nil"/>
              <w:right w:val="nil"/>
            </w:tcBorders>
            <w:shd w:val="clear" w:color="auto" w:fill="7F7F7F" w:themeFill="text1" w:themeFillTint="80"/>
            <w:vAlign w:val="center"/>
            <w:hideMark/>
          </w:tcPr>
          <w:p w14:paraId="58332A6F" w14:textId="77777777" w:rsidR="00FE7F8B" w:rsidRDefault="00FE7F8B">
            <w:pPr>
              <w:pStyle w:val="Tablecolumnheading"/>
              <w:jc w:val="center"/>
            </w:pPr>
            <w:r>
              <w:t>Plant and equipment</w:t>
            </w:r>
            <w:r>
              <w:br/>
              <w:t>$m</w:t>
            </w:r>
          </w:p>
        </w:tc>
        <w:tc>
          <w:tcPr>
            <w:tcW w:w="1248" w:type="dxa"/>
            <w:tcBorders>
              <w:top w:val="nil"/>
              <w:left w:val="nil"/>
              <w:bottom w:val="nil"/>
              <w:right w:val="nil"/>
            </w:tcBorders>
            <w:shd w:val="clear" w:color="auto" w:fill="7F7F7F" w:themeFill="text1" w:themeFillTint="80"/>
            <w:vAlign w:val="center"/>
            <w:hideMark/>
          </w:tcPr>
          <w:p w14:paraId="3DEFD491" w14:textId="77777777" w:rsidR="00FE7F8B" w:rsidRDefault="00FE7F8B">
            <w:pPr>
              <w:pStyle w:val="Tablecolumnheading"/>
              <w:jc w:val="center"/>
            </w:pPr>
            <w:r>
              <w:t>Work in progress</w:t>
            </w:r>
            <w:r>
              <w:br/>
              <w:t>$m</w:t>
            </w:r>
          </w:p>
        </w:tc>
        <w:tc>
          <w:tcPr>
            <w:tcW w:w="1248" w:type="dxa"/>
            <w:tcBorders>
              <w:top w:val="nil"/>
              <w:left w:val="nil"/>
              <w:bottom w:val="nil"/>
              <w:right w:val="nil"/>
            </w:tcBorders>
            <w:shd w:val="clear" w:color="auto" w:fill="7F7F7F" w:themeFill="text1" w:themeFillTint="80"/>
            <w:vAlign w:val="center"/>
            <w:hideMark/>
          </w:tcPr>
          <w:p w14:paraId="34BA9C43" w14:textId="77777777" w:rsidR="00FE7F8B" w:rsidRDefault="00FE7F8B">
            <w:pPr>
              <w:pStyle w:val="Tablecolumnheading"/>
              <w:jc w:val="center"/>
            </w:pPr>
            <w:r>
              <w:t>Total</w:t>
            </w:r>
            <w:r>
              <w:br/>
              <w:t>$m</w:t>
            </w:r>
          </w:p>
        </w:tc>
      </w:tr>
      <w:tr w:rsidR="00FE7F8B" w14:paraId="2DA7B217" w14:textId="77777777" w:rsidTr="00FE7F8B">
        <w:tc>
          <w:tcPr>
            <w:tcW w:w="3921" w:type="dxa"/>
            <w:tcBorders>
              <w:top w:val="nil"/>
              <w:left w:val="nil"/>
              <w:bottom w:val="nil"/>
              <w:right w:val="nil"/>
            </w:tcBorders>
            <w:tcMar>
              <w:top w:w="28" w:type="dxa"/>
              <w:left w:w="0" w:type="dxa"/>
              <w:bottom w:w="0" w:type="dxa"/>
              <w:right w:w="0" w:type="dxa"/>
            </w:tcMar>
            <w:vAlign w:val="bottom"/>
            <w:hideMark/>
          </w:tcPr>
          <w:p w14:paraId="672C6F0C" w14:textId="77777777" w:rsidR="00FE7F8B" w:rsidRDefault="00FE7F8B">
            <w:pPr>
              <w:pStyle w:val="TableTextFinancial"/>
              <w:rPr>
                <w:b/>
              </w:rPr>
            </w:pPr>
            <w:r>
              <w:rPr>
                <w:b/>
              </w:rPr>
              <w:t>Opening balance</w:t>
            </w:r>
          </w:p>
        </w:tc>
        <w:tc>
          <w:tcPr>
            <w:tcW w:w="1248" w:type="dxa"/>
            <w:tcBorders>
              <w:top w:val="nil"/>
              <w:left w:val="nil"/>
              <w:bottom w:val="nil"/>
              <w:right w:val="nil"/>
            </w:tcBorders>
            <w:tcMar>
              <w:top w:w="28" w:type="dxa"/>
              <w:left w:w="0" w:type="dxa"/>
              <w:bottom w:w="0" w:type="dxa"/>
              <w:right w:w="0" w:type="dxa"/>
            </w:tcMar>
            <w:vAlign w:val="bottom"/>
            <w:hideMark/>
          </w:tcPr>
          <w:p w14:paraId="2EAD0065" w14:textId="77777777" w:rsidR="00FE7F8B" w:rsidRDefault="00FE7F8B">
            <w:pPr>
              <w:pStyle w:val="TableTextFinancial"/>
              <w:jc w:val="right"/>
            </w:pPr>
            <w:r>
              <w:t>7,895.7</w:t>
            </w:r>
          </w:p>
        </w:tc>
        <w:tc>
          <w:tcPr>
            <w:tcW w:w="1248" w:type="dxa"/>
            <w:tcBorders>
              <w:top w:val="nil"/>
              <w:left w:val="nil"/>
              <w:bottom w:val="nil"/>
              <w:right w:val="nil"/>
            </w:tcBorders>
            <w:tcMar>
              <w:top w:w="28" w:type="dxa"/>
              <w:left w:w="0" w:type="dxa"/>
              <w:bottom w:w="0" w:type="dxa"/>
              <w:right w:w="0" w:type="dxa"/>
            </w:tcMar>
            <w:vAlign w:val="bottom"/>
            <w:hideMark/>
          </w:tcPr>
          <w:p w14:paraId="3DF4DEC9" w14:textId="77777777" w:rsidR="00FE7F8B" w:rsidRDefault="00FE7F8B">
            <w:pPr>
              <w:pStyle w:val="TableTextFinancial"/>
              <w:jc w:val="right"/>
            </w:pPr>
            <w:r>
              <w:t>8,266.8</w:t>
            </w:r>
          </w:p>
        </w:tc>
        <w:tc>
          <w:tcPr>
            <w:tcW w:w="1248" w:type="dxa"/>
            <w:tcBorders>
              <w:top w:val="nil"/>
              <w:left w:val="nil"/>
              <w:bottom w:val="nil"/>
              <w:right w:val="nil"/>
            </w:tcBorders>
            <w:tcMar>
              <w:top w:w="28" w:type="dxa"/>
              <w:left w:w="0" w:type="dxa"/>
              <w:bottom w:w="0" w:type="dxa"/>
              <w:right w:w="0" w:type="dxa"/>
            </w:tcMar>
            <w:vAlign w:val="bottom"/>
            <w:hideMark/>
          </w:tcPr>
          <w:p w14:paraId="7613926B" w14:textId="77777777" w:rsidR="00FE7F8B" w:rsidRDefault="00FE7F8B">
            <w:pPr>
              <w:pStyle w:val="TableTextFinancial"/>
              <w:jc w:val="right"/>
            </w:pPr>
            <w:r>
              <w:t>58.1</w:t>
            </w:r>
          </w:p>
        </w:tc>
        <w:tc>
          <w:tcPr>
            <w:tcW w:w="1248" w:type="dxa"/>
            <w:tcBorders>
              <w:top w:val="nil"/>
              <w:left w:val="nil"/>
              <w:bottom w:val="nil"/>
              <w:right w:val="nil"/>
            </w:tcBorders>
            <w:tcMar>
              <w:top w:w="28" w:type="dxa"/>
              <w:left w:w="0" w:type="dxa"/>
              <w:bottom w:w="0" w:type="dxa"/>
              <w:right w:w="0" w:type="dxa"/>
            </w:tcMar>
            <w:vAlign w:val="bottom"/>
            <w:hideMark/>
          </w:tcPr>
          <w:p w14:paraId="67E5050F" w14:textId="77777777" w:rsidR="00FE7F8B" w:rsidRDefault="00FE7F8B">
            <w:pPr>
              <w:pStyle w:val="TableTextFinancial"/>
              <w:jc w:val="right"/>
            </w:pPr>
            <w:r>
              <w:t>191.0</w:t>
            </w:r>
          </w:p>
        </w:tc>
        <w:tc>
          <w:tcPr>
            <w:tcW w:w="1305" w:type="dxa"/>
            <w:tcBorders>
              <w:top w:val="nil"/>
              <w:left w:val="nil"/>
              <w:bottom w:val="nil"/>
              <w:right w:val="nil"/>
            </w:tcBorders>
            <w:tcMar>
              <w:top w:w="28" w:type="dxa"/>
              <w:left w:w="0" w:type="dxa"/>
              <w:bottom w:w="0" w:type="dxa"/>
              <w:right w:w="0" w:type="dxa"/>
            </w:tcMar>
            <w:vAlign w:val="bottom"/>
            <w:hideMark/>
          </w:tcPr>
          <w:p w14:paraId="580009C2" w14:textId="77777777" w:rsidR="00FE7F8B" w:rsidRDefault="00FE7F8B">
            <w:pPr>
              <w:pStyle w:val="TableTextFinancial"/>
              <w:jc w:val="right"/>
            </w:pPr>
            <w:r>
              <w:t>0.5</w:t>
            </w:r>
          </w:p>
        </w:tc>
        <w:tc>
          <w:tcPr>
            <w:tcW w:w="1248" w:type="dxa"/>
            <w:tcBorders>
              <w:top w:val="nil"/>
              <w:left w:val="nil"/>
              <w:bottom w:val="nil"/>
              <w:right w:val="nil"/>
            </w:tcBorders>
            <w:tcMar>
              <w:top w:w="28" w:type="dxa"/>
              <w:left w:w="0" w:type="dxa"/>
              <w:bottom w:w="0" w:type="dxa"/>
              <w:right w:w="0" w:type="dxa"/>
            </w:tcMar>
            <w:vAlign w:val="bottom"/>
            <w:hideMark/>
          </w:tcPr>
          <w:p w14:paraId="1483343E" w14:textId="77777777" w:rsidR="00FE7F8B" w:rsidRDefault="00FE7F8B">
            <w:pPr>
              <w:pStyle w:val="TableTextFinancial"/>
              <w:jc w:val="right"/>
            </w:pPr>
            <w:r>
              <w:t>109.0</w:t>
            </w:r>
          </w:p>
        </w:tc>
        <w:tc>
          <w:tcPr>
            <w:tcW w:w="1248" w:type="dxa"/>
            <w:tcBorders>
              <w:top w:val="nil"/>
              <w:left w:val="nil"/>
              <w:bottom w:val="nil"/>
              <w:right w:val="nil"/>
            </w:tcBorders>
            <w:tcMar>
              <w:top w:w="28" w:type="dxa"/>
              <w:left w:w="0" w:type="dxa"/>
              <w:bottom w:w="0" w:type="dxa"/>
              <w:right w:w="0" w:type="dxa"/>
            </w:tcMar>
            <w:vAlign w:val="bottom"/>
            <w:hideMark/>
          </w:tcPr>
          <w:p w14:paraId="0877DD0F" w14:textId="77777777" w:rsidR="00FE7F8B" w:rsidRDefault="00FE7F8B">
            <w:pPr>
              <w:pStyle w:val="TableTextFinancial"/>
              <w:jc w:val="right"/>
            </w:pPr>
            <w:r>
              <w:t>309.0</w:t>
            </w:r>
          </w:p>
        </w:tc>
        <w:tc>
          <w:tcPr>
            <w:tcW w:w="1248" w:type="dxa"/>
            <w:tcBorders>
              <w:top w:val="nil"/>
              <w:left w:val="nil"/>
              <w:bottom w:val="nil"/>
              <w:right w:val="nil"/>
            </w:tcBorders>
            <w:tcMar>
              <w:top w:w="28" w:type="dxa"/>
              <w:left w:w="0" w:type="dxa"/>
              <w:bottom w:w="0" w:type="dxa"/>
              <w:right w:w="0" w:type="dxa"/>
            </w:tcMar>
            <w:vAlign w:val="bottom"/>
            <w:hideMark/>
          </w:tcPr>
          <w:p w14:paraId="79683434" w14:textId="77777777" w:rsidR="00FE7F8B" w:rsidRDefault="00FE7F8B">
            <w:pPr>
              <w:pStyle w:val="TableTextFinancial"/>
              <w:jc w:val="right"/>
              <w:rPr>
                <w:b/>
              </w:rPr>
            </w:pPr>
            <w:r>
              <w:rPr>
                <w:b/>
              </w:rPr>
              <w:t>16,830.2</w:t>
            </w:r>
          </w:p>
        </w:tc>
      </w:tr>
      <w:tr w:rsidR="00FE7F8B" w14:paraId="1208E22B" w14:textId="77777777" w:rsidTr="00FE7F8B">
        <w:tc>
          <w:tcPr>
            <w:tcW w:w="3921" w:type="dxa"/>
            <w:tcBorders>
              <w:top w:val="nil"/>
              <w:left w:val="nil"/>
              <w:bottom w:val="nil"/>
              <w:right w:val="nil"/>
            </w:tcBorders>
            <w:vAlign w:val="bottom"/>
            <w:hideMark/>
          </w:tcPr>
          <w:p w14:paraId="1567F84C" w14:textId="77777777" w:rsidR="00FE7F8B" w:rsidRDefault="00FE7F8B">
            <w:pPr>
              <w:pStyle w:val="TableTextFinancial"/>
            </w:pPr>
            <w:r>
              <w:t>Prior year adjustments</w:t>
            </w:r>
          </w:p>
        </w:tc>
        <w:tc>
          <w:tcPr>
            <w:tcW w:w="1248" w:type="dxa"/>
            <w:tcBorders>
              <w:top w:val="nil"/>
              <w:left w:val="nil"/>
              <w:bottom w:val="nil"/>
              <w:right w:val="nil"/>
            </w:tcBorders>
            <w:vAlign w:val="bottom"/>
            <w:hideMark/>
          </w:tcPr>
          <w:p w14:paraId="50AD2A37" w14:textId="77777777" w:rsidR="00FE7F8B" w:rsidRDefault="00FE7F8B">
            <w:pPr>
              <w:pStyle w:val="TableTextFinancial"/>
              <w:jc w:val="right"/>
            </w:pPr>
            <w:r>
              <w:t>(32.6)</w:t>
            </w:r>
          </w:p>
        </w:tc>
        <w:tc>
          <w:tcPr>
            <w:tcW w:w="1248" w:type="dxa"/>
            <w:tcBorders>
              <w:top w:val="nil"/>
              <w:left w:val="nil"/>
              <w:bottom w:val="nil"/>
              <w:right w:val="nil"/>
            </w:tcBorders>
            <w:vAlign w:val="bottom"/>
            <w:hideMark/>
          </w:tcPr>
          <w:p w14:paraId="1E395913" w14:textId="77777777" w:rsidR="00FE7F8B" w:rsidRDefault="00FE7F8B">
            <w:pPr>
              <w:pStyle w:val="TableTextFinancial"/>
              <w:jc w:val="right"/>
            </w:pPr>
            <w:r>
              <w:t>79.4</w:t>
            </w:r>
          </w:p>
        </w:tc>
        <w:tc>
          <w:tcPr>
            <w:tcW w:w="1248" w:type="dxa"/>
            <w:tcBorders>
              <w:top w:val="nil"/>
              <w:left w:val="nil"/>
              <w:bottom w:val="nil"/>
              <w:right w:val="nil"/>
            </w:tcBorders>
            <w:vAlign w:val="bottom"/>
            <w:hideMark/>
          </w:tcPr>
          <w:p w14:paraId="191AE042"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3719F9DA"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7A92EAAC" w14:textId="77777777" w:rsidR="00FE7F8B" w:rsidRDefault="00FE7F8B">
            <w:pPr>
              <w:pStyle w:val="TableTextFinancial"/>
              <w:jc w:val="right"/>
            </w:pPr>
            <w:r>
              <w:t>4.3</w:t>
            </w:r>
          </w:p>
        </w:tc>
        <w:tc>
          <w:tcPr>
            <w:tcW w:w="1248" w:type="dxa"/>
            <w:tcBorders>
              <w:top w:val="nil"/>
              <w:left w:val="nil"/>
              <w:bottom w:val="nil"/>
              <w:right w:val="nil"/>
            </w:tcBorders>
            <w:vAlign w:val="bottom"/>
            <w:hideMark/>
          </w:tcPr>
          <w:p w14:paraId="7141B773" w14:textId="77777777" w:rsidR="00FE7F8B" w:rsidRDefault="00FE7F8B">
            <w:pPr>
              <w:pStyle w:val="TableTextFinancial"/>
              <w:jc w:val="right"/>
            </w:pPr>
            <w:r>
              <w:t>3.5</w:t>
            </w:r>
          </w:p>
        </w:tc>
        <w:tc>
          <w:tcPr>
            <w:tcW w:w="1248" w:type="dxa"/>
            <w:tcBorders>
              <w:top w:val="nil"/>
              <w:left w:val="nil"/>
              <w:bottom w:val="nil"/>
              <w:right w:val="nil"/>
            </w:tcBorders>
            <w:vAlign w:val="bottom"/>
            <w:hideMark/>
          </w:tcPr>
          <w:p w14:paraId="0127B76F" w14:textId="77777777" w:rsidR="00FE7F8B" w:rsidRDefault="00FE7F8B">
            <w:pPr>
              <w:pStyle w:val="TableTextFinancial"/>
              <w:jc w:val="right"/>
            </w:pPr>
            <w:r>
              <w:t>(142.0)</w:t>
            </w:r>
          </w:p>
        </w:tc>
        <w:tc>
          <w:tcPr>
            <w:tcW w:w="1248" w:type="dxa"/>
            <w:tcBorders>
              <w:top w:val="nil"/>
              <w:left w:val="nil"/>
              <w:bottom w:val="nil"/>
              <w:right w:val="nil"/>
            </w:tcBorders>
            <w:vAlign w:val="bottom"/>
            <w:hideMark/>
          </w:tcPr>
          <w:p w14:paraId="6BB4CC27" w14:textId="77777777" w:rsidR="00FE7F8B" w:rsidRDefault="00FE7F8B">
            <w:pPr>
              <w:pStyle w:val="TableTextFinancial"/>
              <w:jc w:val="right"/>
              <w:rPr>
                <w:b/>
              </w:rPr>
            </w:pPr>
            <w:r>
              <w:rPr>
                <w:b/>
              </w:rPr>
              <w:t>(87.5)</w:t>
            </w:r>
          </w:p>
        </w:tc>
      </w:tr>
      <w:tr w:rsidR="00FE7F8B" w14:paraId="20293786" w14:textId="77777777" w:rsidTr="00FE7F8B">
        <w:tc>
          <w:tcPr>
            <w:tcW w:w="3921" w:type="dxa"/>
            <w:tcBorders>
              <w:top w:val="nil"/>
              <w:left w:val="nil"/>
              <w:bottom w:val="nil"/>
              <w:right w:val="nil"/>
            </w:tcBorders>
            <w:vAlign w:val="bottom"/>
            <w:hideMark/>
          </w:tcPr>
          <w:p w14:paraId="79D93D25" w14:textId="77777777" w:rsidR="00FE7F8B" w:rsidRDefault="00FE7F8B">
            <w:pPr>
              <w:pStyle w:val="TableTextFinancial"/>
            </w:pPr>
            <w:r>
              <w:t>Additions</w:t>
            </w:r>
          </w:p>
        </w:tc>
        <w:tc>
          <w:tcPr>
            <w:tcW w:w="1248" w:type="dxa"/>
            <w:tcBorders>
              <w:top w:val="nil"/>
              <w:left w:val="nil"/>
              <w:bottom w:val="nil"/>
              <w:right w:val="nil"/>
            </w:tcBorders>
            <w:vAlign w:val="bottom"/>
            <w:hideMark/>
          </w:tcPr>
          <w:p w14:paraId="1E0BB71E" w14:textId="77777777" w:rsidR="00FE7F8B" w:rsidRDefault="00FE7F8B">
            <w:pPr>
              <w:pStyle w:val="TableTextFinancial"/>
              <w:jc w:val="right"/>
            </w:pPr>
            <w:r>
              <w:t>2.5</w:t>
            </w:r>
          </w:p>
        </w:tc>
        <w:tc>
          <w:tcPr>
            <w:tcW w:w="1248" w:type="dxa"/>
            <w:tcBorders>
              <w:top w:val="nil"/>
              <w:left w:val="nil"/>
              <w:bottom w:val="nil"/>
              <w:right w:val="nil"/>
            </w:tcBorders>
            <w:vAlign w:val="bottom"/>
            <w:hideMark/>
          </w:tcPr>
          <w:p w14:paraId="427CCB58" w14:textId="77777777" w:rsidR="00FE7F8B" w:rsidRDefault="00FE7F8B">
            <w:pPr>
              <w:pStyle w:val="TableTextFinancial"/>
              <w:jc w:val="right"/>
            </w:pPr>
            <w:r>
              <w:t>0.3</w:t>
            </w:r>
          </w:p>
        </w:tc>
        <w:tc>
          <w:tcPr>
            <w:tcW w:w="1248" w:type="dxa"/>
            <w:tcBorders>
              <w:top w:val="nil"/>
              <w:left w:val="nil"/>
              <w:bottom w:val="nil"/>
              <w:right w:val="nil"/>
            </w:tcBorders>
            <w:vAlign w:val="bottom"/>
            <w:hideMark/>
          </w:tcPr>
          <w:p w14:paraId="4891D9D1"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E5E0184"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176CEF96" w14:textId="77777777" w:rsidR="00FE7F8B" w:rsidRDefault="00FE7F8B">
            <w:pPr>
              <w:pStyle w:val="TableTextFinancial"/>
              <w:jc w:val="right"/>
            </w:pPr>
            <w:r>
              <w:t>0.1</w:t>
            </w:r>
          </w:p>
        </w:tc>
        <w:tc>
          <w:tcPr>
            <w:tcW w:w="1248" w:type="dxa"/>
            <w:tcBorders>
              <w:top w:val="nil"/>
              <w:left w:val="nil"/>
              <w:bottom w:val="nil"/>
              <w:right w:val="nil"/>
            </w:tcBorders>
            <w:vAlign w:val="bottom"/>
            <w:hideMark/>
          </w:tcPr>
          <w:p w14:paraId="492FFDAC" w14:textId="77777777" w:rsidR="00FE7F8B" w:rsidRDefault="00FE7F8B">
            <w:pPr>
              <w:pStyle w:val="TableTextFinancial"/>
              <w:jc w:val="right"/>
            </w:pPr>
            <w:r>
              <w:t>21.9</w:t>
            </w:r>
          </w:p>
        </w:tc>
        <w:tc>
          <w:tcPr>
            <w:tcW w:w="1248" w:type="dxa"/>
            <w:tcBorders>
              <w:top w:val="nil"/>
              <w:left w:val="nil"/>
              <w:bottom w:val="nil"/>
              <w:right w:val="nil"/>
            </w:tcBorders>
            <w:vAlign w:val="bottom"/>
            <w:hideMark/>
          </w:tcPr>
          <w:p w14:paraId="51238175" w14:textId="77777777" w:rsidR="00FE7F8B" w:rsidRDefault="00FE7F8B">
            <w:pPr>
              <w:pStyle w:val="TableTextFinancial"/>
              <w:jc w:val="right"/>
            </w:pPr>
            <w:r>
              <w:t>260.1</w:t>
            </w:r>
          </w:p>
        </w:tc>
        <w:tc>
          <w:tcPr>
            <w:tcW w:w="1248" w:type="dxa"/>
            <w:tcBorders>
              <w:top w:val="nil"/>
              <w:left w:val="nil"/>
              <w:bottom w:val="nil"/>
              <w:right w:val="nil"/>
            </w:tcBorders>
            <w:vAlign w:val="bottom"/>
            <w:hideMark/>
          </w:tcPr>
          <w:p w14:paraId="5A2A3467" w14:textId="77777777" w:rsidR="00FE7F8B" w:rsidRDefault="00FE7F8B">
            <w:pPr>
              <w:pStyle w:val="TableTextFinancial"/>
              <w:jc w:val="right"/>
              <w:rPr>
                <w:b/>
              </w:rPr>
            </w:pPr>
            <w:r>
              <w:rPr>
                <w:b/>
              </w:rPr>
              <w:t>284.9</w:t>
            </w:r>
          </w:p>
        </w:tc>
      </w:tr>
      <w:tr w:rsidR="00FE7F8B" w14:paraId="31C7FA1E" w14:textId="77777777" w:rsidTr="00FE7F8B">
        <w:tc>
          <w:tcPr>
            <w:tcW w:w="3921" w:type="dxa"/>
            <w:tcBorders>
              <w:top w:val="nil"/>
              <w:left w:val="nil"/>
              <w:bottom w:val="nil"/>
              <w:right w:val="nil"/>
            </w:tcBorders>
            <w:vAlign w:val="bottom"/>
            <w:hideMark/>
          </w:tcPr>
          <w:p w14:paraId="6843DCEE" w14:textId="77777777" w:rsidR="00FE7F8B" w:rsidRDefault="00FE7F8B">
            <w:pPr>
              <w:pStyle w:val="TableTextFinancial"/>
            </w:pPr>
            <w:r>
              <w:t>Fair value of assets received free of charge or for nominal considerations</w:t>
            </w:r>
          </w:p>
        </w:tc>
        <w:tc>
          <w:tcPr>
            <w:tcW w:w="1248" w:type="dxa"/>
            <w:tcBorders>
              <w:top w:val="nil"/>
              <w:left w:val="nil"/>
              <w:bottom w:val="nil"/>
              <w:right w:val="nil"/>
            </w:tcBorders>
            <w:vAlign w:val="bottom"/>
            <w:hideMark/>
          </w:tcPr>
          <w:p w14:paraId="0E7F7AB8" w14:textId="77777777" w:rsidR="00FE7F8B" w:rsidRDefault="00FE7F8B">
            <w:pPr>
              <w:pStyle w:val="TableTextFinancial"/>
              <w:jc w:val="right"/>
            </w:pPr>
            <w:r>
              <w:t>0.1</w:t>
            </w:r>
          </w:p>
        </w:tc>
        <w:tc>
          <w:tcPr>
            <w:tcW w:w="1248" w:type="dxa"/>
            <w:tcBorders>
              <w:top w:val="nil"/>
              <w:left w:val="nil"/>
              <w:bottom w:val="nil"/>
              <w:right w:val="nil"/>
            </w:tcBorders>
            <w:vAlign w:val="bottom"/>
            <w:hideMark/>
          </w:tcPr>
          <w:p w14:paraId="4B9399A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87B1121"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44D214A"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3E02E8E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0AEAC2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80F4F21"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E5B5B3D" w14:textId="77777777" w:rsidR="00FE7F8B" w:rsidRDefault="00FE7F8B">
            <w:pPr>
              <w:pStyle w:val="TableTextFinancial"/>
              <w:jc w:val="right"/>
              <w:rPr>
                <w:b/>
              </w:rPr>
            </w:pPr>
            <w:r>
              <w:rPr>
                <w:b/>
              </w:rPr>
              <w:t>0.1</w:t>
            </w:r>
          </w:p>
        </w:tc>
      </w:tr>
      <w:tr w:rsidR="00FE7F8B" w14:paraId="50C8527E" w14:textId="77777777" w:rsidTr="00FE7F8B">
        <w:tc>
          <w:tcPr>
            <w:tcW w:w="3921" w:type="dxa"/>
            <w:tcBorders>
              <w:top w:val="nil"/>
              <w:left w:val="nil"/>
              <w:bottom w:val="nil"/>
              <w:right w:val="nil"/>
            </w:tcBorders>
            <w:vAlign w:val="bottom"/>
            <w:hideMark/>
          </w:tcPr>
          <w:p w14:paraId="5FD32B43" w14:textId="77777777" w:rsidR="00FE7F8B" w:rsidRDefault="00FE7F8B">
            <w:pPr>
              <w:pStyle w:val="TableTextFinancial"/>
            </w:pPr>
            <w:r>
              <w:t>Transfers to completed assets</w:t>
            </w:r>
          </w:p>
        </w:tc>
        <w:tc>
          <w:tcPr>
            <w:tcW w:w="1248" w:type="dxa"/>
            <w:tcBorders>
              <w:top w:val="nil"/>
              <w:left w:val="nil"/>
              <w:bottom w:val="nil"/>
              <w:right w:val="nil"/>
            </w:tcBorders>
            <w:vAlign w:val="bottom"/>
            <w:hideMark/>
          </w:tcPr>
          <w:p w14:paraId="432F856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11E8982" w14:textId="77777777" w:rsidR="00FE7F8B" w:rsidRDefault="00FE7F8B">
            <w:pPr>
              <w:pStyle w:val="TableTextFinancial"/>
              <w:jc w:val="right"/>
            </w:pPr>
            <w:r>
              <w:t>273.3</w:t>
            </w:r>
          </w:p>
        </w:tc>
        <w:tc>
          <w:tcPr>
            <w:tcW w:w="1248" w:type="dxa"/>
            <w:tcBorders>
              <w:top w:val="nil"/>
              <w:left w:val="nil"/>
              <w:bottom w:val="nil"/>
              <w:right w:val="nil"/>
            </w:tcBorders>
            <w:vAlign w:val="bottom"/>
            <w:hideMark/>
          </w:tcPr>
          <w:p w14:paraId="5B8DEAB6"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6E722194"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2B7F2653" w14:textId="77777777" w:rsidR="00FE7F8B" w:rsidRDefault="00FE7F8B">
            <w:pPr>
              <w:pStyle w:val="TableTextFinancial"/>
              <w:jc w:val="right"/>
            </w:pPr>
            <w:r>
              <w:t>0.1</w:t>
            </w:r>
          </w:p>
        </w:tc>
        <w:tc>
          <w:tcPr>
            <w:tcW w:w="1248" w:type="dxa"/>
            <w:tcBorders>
              <w:top w:val="nil"/>
              <w:left w:val="nil"/>
              <w:bottom w:val="nil"/>
              <w:right w:val="nil"/>
            </w:tcBorders>
            <w:vAlign w:val="bottom"/>
            <w:hideMark/>
          </w:tcPr>
          <w:p w14:paraId="47EE05DC" w14:textId="77777777" w:rsidR="00FE7F8B" w:rsidRDefault="00FE7F8B">
            <w:pPr>
              <w:pStyle w:val="TableTextFinancial"/>
              <w:jc w:val="right"/>
            </w:pPr>
            <w:r>
              <w:t>2.7</w:t>
            </w:r>
          </w:p>
        </w:tc>
        <w:tc>
          <w:tcPr>
            <w:tcW w:w="1248" w:type="dxa"/>
            <w:tcBorders>
              <w:top w:val="nil"/>
              <w:left w:val="nil"/>
              <w:bottom w:val="nil"/>
              <w:right w:val="nil"/>
            </w:tcBorders>
            <w:vAlign w:val="bottom"/>
            <w:hideMark/>
          </w:tcPr>
          <w:p w14:paraId="11639C3F" w14:textId="77777777" w:rsidR="00FE7F8B" w:rsidRDefault="00FE7F8B">
            <w:pPr>
              <w:pStyle w:val="TableTextFinancial"/>
              <w:jc w:val="right"/>
            </w:pPr>
            <w:r>
              <w:t>(276.1)</w:t>
            </w:r>
          </w:p>
        </w:tc>
        <w:tc>
          <w:tcPr>
            <w:tcW w:w="1248" w:type="dxa"/>
            <w:tcBorders>
              <w:top w:val="nil"/>
              <w:left w:val="nil"/>
              <w:bottom w:val="nil"/>
              <w:right w:val="nil"/>
            </w:tcBorders>
            <w:vAlign w:val="bottom"/>
            <w:hideMark/>
          </w:tcPr>
          <w:p w14:paraId="356DCFC4" w14:textId="77777777" w:rsidR="00FE7F8B" w:rsidRDefault="00FE7F8B">
            <w:pPr>
              <w:pStyle w:val="TableTextFinancial"/>
              <w:jc w:val="right"/>
              <w:rPr>
                <w:b/>
              </w:rPr>
            </w:pPr>
            <w:r>
              <w:rPr>
                <w:b/>
              </w:rPr>
              <w:t>0.0</w:t>
            </w:r>
          </w:p>
        </w:tc>
      </w:tr>
      <w:tr w:rsidR="00FE7F8B" w14:paraId="102954A0" w14:textId="77777777" w:rsidTr="00FE7F8B">
        <w:tc>
          <w:tcPr>
            <w:tcW w:w="3921" w:type="dxa"/>
            <w:tcBorders>
              <w:top w:val="nil"/>
              <w:left w:val="nil"/>
              <w:bottom w:val="nil"/>
              <w:right w:val="nil"/>
            </w:tcBorders>
            <w:vAlign w:val="bottom"/>
            <w:hideMark/>
          </w:tcPr>
          <w:p w14:paraId="30117FC5" w14:textId="77777777" w:rsidR="00FE7F8B" w:rsidRDefault="00FE7F8B">
            <w:pPr>
              <w:pStyle w:val="TableTextFinancial"/>
            </w:pPr>
            <w:r>
              <w:t>Disposals</w:t>
            </w:r>
          </w:p>
        </w:tc>
        <w:tc>
          <w:tcPr>
            <w:tcW w:w="1248" w:type="dxa"/>
            <w:tcBorders>
              <w:top w:val="nil"/>
              <w:left w:val="nil"/>
              <w:bottom w:val="nil"/>
              <w:right w:val="nil"/>
            </w:tcBorders>
            <w:vAlign w:val="bottom"/>
            <w:hideMark/>
          </w:tcPr>
          <w:p w14:paraId="2A5F73CC" w14:textId="77777777" w:rsidR="00FE7F8B" w:rsidRDefault="00FE7F8B">
            <w:pPr>
              <w:pStyle w:val="TableTextFinancial"/>
              <w:jc w:val="right"/>
            </w:pPr>
            <w:r>
              <w:t>(4.8)</w:t>
            </w:r>
          </w:p>
        </w:tc>
        <w:tc>
          <w:tcPr>
            <w:tcW w:w="1248" w:type="dxa"/>
            <w:tcBorders>
              <w:top w:val="nil"/>
              <w:left w:val="nil"/>
              <w:bottom w:val="nil"/>
              <w:right w:val="nil"/>
            </w:tcBorders>
            <w:vAlign w:val="bottom"/>
            <w:hideMark/>
          </w:tcPr>
          <w:p w14:paraId="2AEA1AAC" w14:textId="77777777" w:rsidR="00FE7F8B" w:rsidRDefault="00FE7F8B">
            <w:pPr>
              <w:pStyle w:val="TableTextFinancial"/>
              <w:jc w:val="right"/>
            </w:pPr>
            <w:r>
              <w:t>(18.1)</w:t>
            </w:r>
          </w:p>
        </w:tc>
        <w:tc>
          <w:tcPr>
            <w:tcW w:w="1248" w:type="dxa"/>
            <w:tcBorders>
              <w:top w:val="nil"/>
              <w:left w:val="nil"/>
              <w:bottom w:val="nil"/>
              <w:right w:val="nil"/>
            </w:tcBorders>
            <w:vAlign w:val="bottom"/>
            <w:hideMark/>
          </w:tcPr>
          <w:p w14:paraId="720E0FD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082F018"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5A4190B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059F867" w14:textId="77777777" w:rsidR="00FE7F8B" w:rsidRDefault="00FE7F8B">
            <w:pPr>
              <w:pStyle w:val="TableTextFinancial"/>
              <w:jc w:val="right"/>
            </w:pPr>
            <w:r>
              <w:t>(13.5)</w:t>
            </w:r>
          </w:p>
        </w:tc>
        <w:tc>
          <w:tcPr>
            <w:tcW w:w="1248" w:type="dxa"/>
            <w:tcBorders>
              <w:top w:val="nil"/>
              <w:left w:val="nil"/>
              <w:bottom w:val="nil"/>
              <w:right w:val="nil"/>
            </w:tcBorders>
            <w:vAlign w:val="bottom"/>
            <w:hideMark/>
          </w:tcPr>
          <w:p w14:paraId="369B502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F5F9022" w14:textId="77777777" w:rsidR="00FE7F8B" w:rsidRDefault="00FE7F8B">
            <w:pPr>
              <w:pStyle w:val="TableTextFinancial"/>
              <w:jc w:val="right"/>
              <w:rPr>
                <w:b/>
              </w:rPr>
            </w:pPr>
            <w:r>
              <w:rPr>
                <w:b/>
              </w:rPr>
              <w:t>(36.4)</w:t>
            </w:r>
          </w:p>
        </w:tc>
      </w:tr>
      <w:tr w:rsidR="00FE7F8B" w14:paraId="4AB507A9" w14:textId="77777777" w:rsidTr="00FE7F8B">
        <w:tc>
          <w:tcPr>
            <w:tcW w:w="3921" w:type="dxa"/>
            <w:tcBorders>
              <w:top w:val="nil"/>
              <w:left w:val="nil"/>
              <w:bottom w:val="nil"/>
              <w:right w:val="nil"/>
            </w:tcBorders>
            <w:vAlign w:val="bottom"/>
            <w:hideMark/>
          </w:tcPr>
          <w:p w14:paraId="1CA043BC" w14:textId="77777777" w:rsidR="00FE7F8B" w:rsidRDefault="00FE7F8B">
            <w:pPr>
              <w:pStyle w:val="TableTextFinancial"/>
            </w:pPr>
            <w:r>
              <w:t>Disposal identified through revaluation</w:t>
            </w:r>
          </w:p>
        </w:tc>
        <w:tc>
          <w:tcPr>
            <w:tcW w:w="1248" w:type="dxa"/>
            <w:tcBorders>
              <w:top w:val="nil"/>
              <w:left w:val="nil"/>
              <w:bottom w:val="nil"/>
              <w:right w:val="nil"/>
            </w:tcBorders>
            <w:vAlign w:val="bottom"/>
            <w:hideMark/>
          </w:tcPr>
          <w:p w14:paraId="4B535352" w14:textId="77777777" w:rsidR="00FE7F8B" w:rsidRDefault="00FE7F8B">
            <w:pPr>
              <w:pStyle w:val="TableTextFinancial"/>
              <w:jc w:val="right"/>
            </w:pPr>
            <w:r>
              <w:t>(0.4)</w:t>
            </w:r>
          </w:p>
        </w:tc>
        <w:tc>
          <w:tcPr>
            <w:tcW w:w="1248" w:type="dxa"/>
            <w:tcBorders>
              <w:top w:val="nil"/>
              <w:left w:val="nil"/>
              <w:bottom w:val="nil"/>
              <w:right w:val="nil"/>
            </w:tcBorders>
            <w:vAlign w:val="bottom"/>
            <w:hideMark/>
          </w:tcPr>
          <w:p w14:paraId="56B04A54" w14:textId="77777777" w:rsidR="00FE7F8B" w:rsidRDefault="00FE7F8B">
            <w:pPr>
              <w:pStyle w:val="TableTextFinancial"/>
              <w:jc w:val="right"/>
            </w:pPr>
            <w:r>
              <w:t>(110.1)</w:t>
            </w:r>
          </w:p>
        </w:tc>
        <w:tc>
          <w:tcPr>
            <w:tcW w:w="1248" w:type="dxa"/>
            <w:tcBorders>
              <w:top w:val="nil"/>
              <w:left w:val="nil"/>
              <w:bottom w:val="nil"/>
              <w:right w:val="nil"/>
            </w:tcBorders>
            <w:vAlign w:val="bottom"/>
            <w:hideMark/>
          </w:tcPr>
          <w:p w14:paraId="442054A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75D5AB9"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436E37EF"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664A5A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E343C6F"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4FF2181" w14:textId="77777777" w:rsidR="00FE7F8B" w:rsidRDefault="00FE7F8B">
            <w:pPr>
              <w:pStyle w:val="TableTextFinancial"/>
              <w:jc w:val="right"/>
              <w:rPr>
                <w:b/>
              </w:rPr>
            </w:pPr>
            <w:r>
              <w:rPr>
                <w:b/>
              </w:rPr>
              <w:t>(110.4)</w:t>
            </w:r>
          </w:p>
        </w:tc>
      </w:tr>
      <w:tr w:rsidR="00FE7F8B" w14:paraId="70D3D7C8" w14:textId="77777777" w:rsidTr="00FE7F8B">
        <w:tc>
          <w:tcPr>
            <w:tcW w:w="3921" w:type="dxa"/>
            <w:tcBorders>
              <w:top w:val="nil"/>
              <w:left w:val="nil"/>
              <w:bottom w:val="nil"/>
              <w:right w:val="nil"/>
            </w:tcBorders>
            <w:vAlign w:val="bottom"/>
            <w:hideMark/>
          </w:tcPr>
          <w:p w14:paraId="1DF3C845" w14:textId="77777777" w:rsidR="00FE7F8B" w:rsidRDefault="00FE7F8B">
            <w:pPr>
              <w:pStyle w:val="TableTextFinancial"/>
            </w:pPr>
            <w:r>
              <w:t>Additions identified through revaluation</w:t>
            </w:r>
          </w:p>
        </w:tc>
        <w:tc>
          <w:tcPr>
            <w:tcW w:w="1248" w:type="dxa"/>
            <w:tcBorders>
              <w:top w:val="nil"/>
              <w:left w:val="nil"/>
              <w:bottom w:val="nil"/>
              <w:right w:val="nil"/>
            </w:tcBorders>
            <w:vAlign w:val="bottom"/>
            <w:hideMark/>
          </w:tcPr>
          <w:p w14:paraId="2C56CBCB" w14:textId="77777777" w:rsidR="00FE7F8B" w:rsidRDefault="00FE7F8B">
            <w:pPr>
              <w:pStyle w:val="TableTextFinancial"/>
              <w:jc w:val="right"/>
            </w:pPr>
            <w:r>
              <w:t>255.7</w:t>
            </w:r>
          </w:p>
        </w:tc>
        <w:tc>
          <w:tcPr>
            <w:tcW w:w="1248" w:type="dxa"/>
            <w:tcBorders>
              <w:top w:val="nil"/>
              <w:left w:val="nil"/>
              <w:bottom w:val="nil"/>
              <w:right w:val="nil"/>
            </w:tcBorders>
            <w:vAlign w:val="bottom"/>
            <w:hideMark/>
          </w:tcPr>
          <w:p w14:paraId="18D50496" w14:textId="77777777" w:rsidR="00FE7F8B" w:rsidRDefault="00FE7F8B">
            <w:pPr>
              <w:pStyle w:val="TableTextFinancial"/>
              <w:jc w:val="right"/>
            </w:pPr>
            <w:r>
              <w:t>176.3</w:t>
            </w:r>
          </w:p>
        </w:tc>
        <w:tc>
          <w:tcPr>
            <w:tcW w:w="1248" w:type="dxa"/>
            <w:tcBorders>
              <w:top w:val="nil"/>
              <w:left w:val="nil"/>
              <w:bottom w:val="nil"/>
              <w:right w:val="nil"/>
            </w:tcBorders>
            <w:vAlign w:val="bottom"/>
            <w:hideMark/>
          </w:tcPr>
          <w:p w14:paraId="3F1DC02A"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361E4A5"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0D8D828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8D5672A"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DE35BDE"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6485AE6" w14:textId="77777777" w:rsidR="00FE7F8B" w:rsidRDefault="00FE7F8B">
            <w:pPr>
              <w:pStyle w:val="TableTextFinancial"/>
              <w:jc w:val="right"/>
              <w:rPr>
                <w:b/>
              </w:rPr>
            </w:pPr>
            <w:r>
              <w:rPr>
                <w:b/>
              </w:rPr>
              <w:t>432.0</w:t>
            </w:r>
          </w:p>
        </w:tc>
      </w:tr>
      <w:tr w:rsidR="00FE7F8B" w14:paraId="7B0D34AF" w14:textId="77777777" w:rsidTr="00FE7F8B">
        <w:tc>
          <w:tcPr>
            <w:tcW w:w="3921" w:type="dxa"/>
            <w:tcBorders>
              <w:top w:val="nil"/>
              <w:left w:val="nil"/>
              <w:bottom w:val="nil"/>
              <w:right w:val="nil"/>
            </w:tcBorders>
            <w:vAlign w:val="bottom"/>
            <w:hideMark/>
          </w:tcPr>
          <w:p w14:paraId="0A0A16A2" w14:textId="77777777" w:rsidR="00FE7F8B" w:rsidRDefault="00FE7F8B">
            <w:pPr>
              <w:pStyle w:val="TableTextFinancial"/>
            </w:pPr>
            <w:r>
              <w:t>Revaluation increments/(decrements)</w:t>
            </w:r>
          </w:p>
        </w:tc>
        <w:tc>
          <w:tcPr>
            <w:tcW w:w="1248" w:type="dxa"/>
            <w:tcBorders>
              <w:top w:val="nil"/>
              <w:left w:val="nil"/>
              <w:bottom w:val="nil"/>
              <w:right w:val="nil"/>
            </w:tcBorders>
            <w:vAlign w:val="bottom"/>
            <w:hideMark/>
          </w:tcPr>
          <w:p w14:paraId="40130BCF" w14:textId="77777777" w:rsidR="00FE7F8B" w:rsidRDefault="00FE7F8B">
            <w:pPr>
              <w:pStyle w:val="TableTextFinancial"/>
              <w:jc w:val="right"/>
            </w:pPr>
            <w:r>
              <w:t>1,151.1</w:t>
            </w:r>
          </w:p>
        </w:tc>
        <w:tc>
          <w:tcPr>
            <w:tcW w:w="1248" w:type="dxa"/>
            <w:tcBorders>
              <w:top w:val="nil"/>
              <w:left w:val="nil"/>
              <w:bottom w:val="nil"/>
              <w:right w:val="nil"/>
            </w:tcBorders>
            <w:vAlign w:val="bottom"/>
            <w:hideMark/>
          </w:tcPr>
          <w:p w14:paraId="35B8DE90" w14:textId="77777777" w:rsidR="00FE7F8B" w:rsidRDefault="00FE7F8B">
            <w:pPr>
              <w:pStyle w:val="TableTextFinancial"/>
              <w:jc w:val="right"/>
            </w:pPr>
            <w:r>
              <w:t>1,595.1</w:t>
            </w:r>
          </w:p>
        </w:tc>
        <w:tc>
          <w:tcPr>
            <w:tcW w:w="1248" w:type="dxa"/>
            <w:tcBorders>
              <w:top w:val="nil"/>
              <w:left w:val="nil"/>
              <w:bottom w:val="nil"/>
              <w:right w:val="nil"/>
            </w:tcBorders>
            <w:vAlign w:val="bottom"/>
            <w:hideMark/>
          </w:tcPr>
          <w:p w14:paraId="103F1667" w14:textId="77777777" w:rsidR="00FE7F8B" w:rsidRDefault="00FE7F8B">
            <w:pPr>
              <w:pStyle w:val="TableTextFinancial"/>
              <w:jc w:val="right"/>
            </w:pPr>
            <w:r>
              <w:t>48.7</w:t>
            </w:r>
          </w:p>
        </w:tc>
        <w:tc>
          <w:tcPr>
            <w:tcW w:w="1248" w:type="dxa"/>
            <w:tcBorders>
              <w:top w:val="nil"/>
              <w:left w:val="nil"/>
              <w:bottom w:val="nil"/>
              <w:right w:val="nil"/>
            </w:tcBorders>
            <w:vAlign w:val="bottom"/>
            <w:hideMark/>
          </w:tcPr>
          <w:p w14:paraId="5F4B29F5" w14:textId="77777777" w:rsidR="00FE7F8B" w:rsidRDefault="00FE7F8B">
            <w:pPr>
              <w:pStyle w:val="TableTextFinancial"/>
              <w:jc w:val="right"/>
            </w:pPr>
            <w:r>
              <w:t>(42.8)</w:t>
            </w:r>
          </w:p>
        </w:tc>
        <w:tc>
          <w:tcPr>
            <w:tcW w:w="1305" w:type="dxa"/>
            <w:tcBorders>
              <w:top w:val="nil"/>
              <w:left w:val="nil"/>
              <w:bottom w:val="nil"/>
              <w:right w:val="nil"/>
            </w:tcBorders>
            <w:vAlign w:val="bottom"/>
            <w:hideMark/>
          </w:tcPr>
          <w:p w14:paraId="61959337" w14:textId="77777777" w:rsidR="00FE7F8B" w:rsidRDefault="00FE7F8B">
            <w:pPr>
              <w:pStyle w:val="TableTextFinancial"/>
              <w:jc w:val="right"/>
            </w:pPr>
            <w:r>
              <w:t>0.0</w:t>
            </w:r>
          </w:p>
        </w:tc>
        <w:tc>
          <w:tcPr>
            <w:tcW w:w="1248" w:type="dxa"/>
            <w:tcBorders>
              <w:top w:val="nil"/>
              <w:left w:val="nil"/>
              <w:bottom w:val="nil"/>
              <w:right w:val="nil"/>
            </w:tcBorders>
            <w:vAlign w:val="bottom"/>
            <w:hideMark/>
          </w:tcPr>
          <w:p w14:paraId="423D7E72"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4C28B09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500C184D" w14:textId="77777777" w:rsidR="00FE7F8B" w:rsidRDefault="00FE7F8B">
            <w:pPr>
              <w:pStyle w:val="TableTextFinancial"/>
              <w:jc w:val="right"/>
              <w:rPr>
                <w:b/>
              </w:rPr>
            </w:pPr>
            <w:r>
              <w:rPr>
                <w:b/>
              </w:rPr>
              <w:t>2,752.1</w:t>
            </w:r>
          </w:p>
        </w:tc>
      </w:tr>
      <w:tr w:rsidR="00FE7F8B" w14:paraId="3FCB2000" w14:textId="77777777" w:rsidTr="00FE7F8B">
        <w:tc>
          <w:tcPr>
            <w:tcW w:w="3921" w:type="dxa"/>
            <w:tcBorders>
              <w:top w:val="nil"/>
              <w:left w:val="nil"/>
              <w:bottom w:val="nil"/>
              <w:right w:val="nil"/>
            </w:tcBorders>
            <w:vAlign w:val="bottom"/>
            <w:hideMark/>
          </w:tcPr>
          <w:p w14:paraId="44AB214C" w14:textId="77777777" w:rsidR="00FE7F8B" w:rsidRDefault="00FE7F8B">
            <w:pPr>
              <w:pStyle w:val="TableTextFinancial"/>
            </w:pPr>
            <w:r>
              <w:t>Impairment</w:t>
            </w:r>
          </w:p>
        </w:tc>
        <w:tc>
          <w:tcPr>
            <w:tcW w:w="1248" w:type="dxa"/>
            <w:tcBorders>
              <w:top w:val="nil"/>
              <w:left w:val="nil"/>
              <w:bottom w:val="nil"/>
              <w:right w:val="nil"/>
            </w:tcBorders>
            <w:vAlign w:val="bottom"/>
            <w:hideMark/>
          </w:tcPr>
          <w:p w14:paraId="7429470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6E9709B8"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335CD5F3"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B8899BB"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127E553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398780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5B42465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8924E1B" w14:textId="77777777" w:rsidR="00FE7F8B" w:rsidRDefault="00FE7F8B">
            <w:pPr>
              <w:pStyle w:val="TableTextFinancial"/>
              <w:jc w:val="right"/>
              <w:rPr>
                <w:b/>
              </w:rPr>
            </w:pPr>
            <w:r>
              <w:rPr>
                <w:b/>
              </w:rPr>
              <w:t>-</w:t>
            </w:r>
          </w:p>
        </w:tc>
      </w:tr>
      <w:tr w:rsidR="00FE7F8B" w14:paraId="429B0517" w14:textId="77777777" w:rsidTr="00FE7F8B">
        <w:tc>
          <w:tcPr>
            <w:tcW w:w="3921" w:type="dxa"/>
            <w:tcBorders>
              <w:top w:val="nil"/>
              <w:left w:val="nil"/>
              <w:bottom w:val="nil"/>
              <w:right w:val="nil"/>
            </w:tcBorders>
            <w:vAlign w:val="bottom"/>
            <w:hideMark/>
          </w:tcPr>
          <w:p w14:paraId="6E9770B2" w14:textId="77777777" w:rsidR="00FE7F8B" w:rsidRDefault="00FE7F8B">
            <w:pPr>
              <w:pStyle w:val="TableTextFinancial"/>
            </w:pPr>
            <w:r>
              <w:t>Transfer (to)/from assets held for sale</w:t>
            </w:r>
          </w:p>
        </w:tc>
        <w:tc>
          <w:tcPr>
            <w:tcW w:w="1248" w:type="dxa"/>
            <w:tcBorders>
              <w:top w:val="nil"/>
              <w:left w:val="nil"/>
              <w:bottom w:val="nil"/>
              <w:right w:val="nil"/>
            </w:tcBorders>
            <w:vAlign w:val="bottom"/>
            <w:hideMark/>
          </w:tcPr>
          <w:p w14:paraId="42CB4E8E" w14:textId="77777777" w:rsidR="00FE7F8B" w:rsidRDefault="00FE7F8B">
            <w:pPr>
              <w:pStyle w:val="TableTextFinancial"/>
              <w:jc w:val="right"/>
            </w:pPr>
            <w:r>
              <w:t>100.2</w:t>
            </w:r>
          </w:p>
        </w:tc>
        <w:tc>
          <w:tcPr>
            <w:tcW w:w="1248" w:type="dxa"/>
            <w:tcBorders>
              <w:top w:val="nil"/>
              <w:left w:val="nil"/>
              <w:bottom w:val="nil"/>
              <w:right w:val="nil"/>
            </w:tcBorders>
            <w:vAlign w:val="bottom"/>
            <w:hideMark/>
          </w:tcPr>
          <w:p w14:paraId="0C917B06" w14:textId="77777777" w:rsidR="00FE7F8B" w:rsidRDefault="00FE7F8B">
            <w:pPr>
              <w:pStyle w:val="TableTextFinancial"/>
              <w:jc w:val="right"/>
            </w:pPr>
            <w:r>
              <w:t>(0.6)</w:t>
            </w:r>
          </w:p>
        </w:tc>
        <w:tc>
          <w:tcPr>
            <w:tcW w:w="1248" w:type="dxa"/>
            <w:tcBorders>
              <w:top w:val="nil"/>
              <w:left w:val="nil"/>
              <w:bottom w:val="nil"/>
              <w:right w:val="nil"/>
            </w:tcBorders>
            <w:vAlign w:val="bottom"/>
            <w:hideMark/>
          </w:tcPr>
          <w:p w14:paraId="44295C10"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1BDA536"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6377C276"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46C0B67" w14:textId="77777777" w:rsidR="00FE7F8B" w:rsidRDefault="00FE7F8B">
            <w:pPr>
              <w:pStyle w:val="TableTextFinancial"/>
              <w:jc w:val="right"/>
            </w:pPr>
            <w:r>
              <w:t>0.1</w:t>
            </w:r>
          </w:p>
        </w:tc>
        <w:tc>
          <w:tcPr>
            <w:tcW w:w="1248" w:type="dxa"/>
            <w:tcBorders>
              <w:top w:val="nil"/>
              <w:left w:val="nil"/>
              <w:bottom w:val="nil"/>
              <w:right w:val="nil"/>
            </w:tcBorders>
            <w:vAlign w:val="bottom"/>
            <w:hideMark/>
          </w:tcPr>
          <w:p w14:paraId="3FFE336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607C19B" w14:textId="77777777" w:rsidR="00FE7F8B" w:rsidRDefault="00FE7F8B">
            <w:pPr>
              <w:pStyle w:val="TableTextFinancial"/>
              <w:jc w:val="right"/>
              <w:rPr>
                <w:b/>
              </w:rPr>
            </w:pPr>
            <w:r>
              <w:rPr>
                <w:b/>
              </w:rPr>
              <w:t>99.8</w:t>
            </w:r>
          </w:p>
        </w:tc>
      </w:tr>
      <w:tr w:rsidR="00FE7F8B" w14:paraId="45D01C9D" w14:textId="77777777" w:rsidTr="00FE7F8B">
        <w:tc>
          <w:tcPr>
            <w:tcW w:w="3921" w:type="dxa"/>
            <w:tcBorders>
              <w:top w:val="nil"/>
              <w:left w:val="nil"/>
              <w:bottom w:val="single" w:sz="4" w:space="0" w:color="auto"/>
              <w:right w:val="nil"/>
            </w:tcBorders>
            <w:vAlign w:val="bottom"/>
            <w:hideMark/>
          </w:tcPr>
          <w:p w14:paraId="501F1C85" w14:textId="77777777" w:rsidR="00FE7F8B" w:rsidRDefault="00FE7F8B">
            <w:pPr>
              <w:pStyle w:val="TableTextFinancial"/>
            </w:pPr>
            <w:r>
              <w:t>Depreciation</w:t>
            </w:r>
          </w:p>
        </w:tc>
        <w:tc>
          <w:tcPr>
            <w:tcW w:w="1248" w:type="dxa"/>
            <w:tcBorders>
              <w:top w:val="nil"/>
              <w:left w:val="nil"/>
              <w:bottom w:val="single" w:sz="4" w:space="0" w:color="auto"/>
              <w:right w:val="nil"/>
            </w:tcBorders>
            <w:vAlign w:val="bottom"/>
            <w:hideMark/>
          </w:tcPr>
          <w:p w14:paraId="5495FA00" w14:textId="77777777" w:rsidR="00FE7F8B" w:rsidRDefault="00FE7F8B">
            <w:pPr>
              <w:pStyle w:val="TableTextFinancial"/>
              <w:jc w:val="right"/>
            </w:pPr>
            <w:r>
              <w:t>-</w:t>
            </w:r>
          </w:p>
        </w:tc>
        <w:tc>
          <w:tcPr>
            <w:tcW w:w="1248" w:type="dxa"/>
            <w:tcBorders>
              <w:top w:val="nil"/>
              <w:left w:val="nil"/>
              <w:bottom w:val="single" w:sz="4" w:space="0" w:color="auto"/>
              <w:right w:val="nil"/>
            </w:tcBorders>
            <w:vAlign w:val="bottom"/>
            <w:hideMark/>
          </w:tcPr>
          <w:p w14:paraId="18A4AA1E" w14:textId="77777777" w:rsidR="00FE7F8B" w:rsidRDefault="00FE7F8B">
            <w:pPr>
              <w:pStyle w:val="TableTextFinancial"/>
              <w:jc w:val="right"/>
            </w:pPr>
            <w:r>
              <w:t>(248.6)</w:t>
            </w:r>
          </w:p>
        </w:tc>
        <w:tc>
          <w:tcPr>
            <w:tcW w:w="1248" w:type="dxa"/>
            <w:tcBorders>
              <w:top w:val="nil"/>
              <w:left w:val="nil"/>
              <w:bottom w:val="single" w:sz="4" w:space="0" w:color="auto"/>
              <w:right w:val="nil"/>
            </w:tcBorders>
            <w:vAlign w:val="bottom"/>
            <w:hideMark/>
          </w:tcPr>
          <w:p w14:paraId="001F0BC2" w14:textId="77777777" w:rsidR="00FE7F8B" w:rsidRDefault="00FE7F8B">
            <w:pPr>
              <w:pStyle w:val="TableTextFinancial"/>
              <w:jc w:val="right"/>
            </w:pPr>
            <w:r>
              <w:t>(2.6)</w:t>
            </w:r>
          </w:p>
        </w:tc>
        <w:tc>
          <w:tcPr>
            <w:tcW w:w="1248" w:type="dxa"/>
            <w:tcBorders>
              <w:top w:val="nil"/>
              <w:left w:val="nil"/>
              <w:bottom w:val="single" w:sz="4" w:space="0" w:color="auto"/>
              <w:right w:val="nil"/>
            </w:tcBorders>
            <w:vAlign w:val="bottom"/>
            <w:hideMark/>
          </w:tcPr>
          <w:p w14:paraId="4212B033" w14:textId="77777777" w:rsidR="00FE7F8B" w:rsidRDefault="00FE7F8B">
            <w:pPr>
              <w:pStyle w:val="TableTextFinancial"/>
              <w:jc w:val="right"/>
            </w:pPr>
            <w:r>
              <w:t>(3.2)</w:t>
            </w:r>
          </w:p>
        </w:tc>
        <w:tc>
          <w:tcPr>
            <w:tcW w:w="1305" w:type="dxa"/>
            <w:tcBorders>
              <w:top w:val="nil"/>
              <w:left w:val="nil"/>
              <w:bottom w:val="single" w:sz="4" w:space="0" w:color="auto"/>
              <w:right w:val="nil"/>
            </w:tcBorders>
            <w:vAlign w:val="bottom"/>
            <w:hideMark/>
          </w:tcPr>
          <w:p w14:paraId="61FE5A23" w14:textId="77777777" w:rsidR="00FE7F8B" w:rsidRDefault="00FE7F8B">
            <w:pPr>
              <w:pStyle w:val="TableTextFinancial"/>
              <w:jc w:val="right"/>
            </w:pPr>
            <w:r>
              <w:t>(1.3)</w:t>
            </w:r>
          </w:p>
        </w:tc>
        <w:tc>
          <w:tcPr>
            <w:tcW w:w="1248" w:type="dxa"/>
            <w:tcBorders>
              <w:top w:val="nil"/>
              <w:left w:val="nil"/>
              <w:bottom w:val="single" w:sz="4" w:space="0" w:color="auto"/>
              <w:right w:val="nil"/>
            </w:tcBorders>
            <w:vAlign w:val="bottom"/>
            <w:hideMark/>
          </w:tcPr>
          <w:p w14:paraId="75D4CF1F" w14:textId="77777777" w:rsidR="00FE7F8B" w:rsidRDefault="00FE7F8B">
            <w:pPr>
              <w:pStyle w:val="TableTextFinancial"/>
              <w:jc w:val="right"/>
            </w:pPr>
            <w:r>
              <w:t>(39.1)</w:t>
            </w:r>
          </w:p>
        </w:tc>
        <w:tc>
          <w:tcPr>
            <w:tcW w:w="1248" w:type="dxa"/>
            <w:tcBorders>
              <w:top w:val="nil"/>
              <w:left w:val="nil"/>
              <w:bottom w:val="single" w:sz="4" w:space="0" w:color="auto"/>
              <w:right w:val="nil"/>
            </w:tcBorders>
            <w:vAlign w:val="bottom"/>
            <w:hideMark/>
          </w:tcPr>
          <w:p w14:paraId="001AD360" w14:textId="77777777" w:rsidR="00FE7F8B" w:rsidRDefault="00FE7F8B">
            <w:pPr>
              <w:pStyle w:val="TableTextFinancial"/>
              <w:jc w:val="right"/>
            </w:pPr>
            <w:r>
              <w:t>-</w:t>
            </w:r>
          </w:p>
        </w:tc>
        <w:tc>
          <w:tcPr>
            <w:tcW w:w="1248" w:type="dxa"/>
            <w:tcBorders>
              <w:top w:val="nil"/>
              <w:left w:val="nil"/>
              <w:bottom w:val="single" w:sz="4" w:space="0" w:color="auto"/>
              <w:right w:val="nil"/>
            </w:tcBorders>
            <w:vAlign w:val="bottom"/>
            <w:hideMark/>
          </w:tcPr>
          <w:p w14:paraId="202BA7C6" w14:textId="77777777" w:rsidR="00FE7F8B" w:rsidRDefault="00FE7F8B">
            <w:pPr>
              <w:pStyle w:val="TableTextFinancial"/>
              <w:jc w:val="right"/>
              <w:rPr>
                <w:b/>
              </w:rPr>
            </w:pPr>
            <w:r>
              <w:rPr>
                <w:b/>
              </w:rPr>
              <w:t>(294.8)</w:t>
            </w:r>
          </w:p>
        </w:tc>
      </w:tr>
      <w:tr w:rsidR="00FE7F8B" w14:paraId="07758929" w14:textId="77777777" w:rsidTr="00FE7F8B">
        <w:tc>
          <w:tcPr>
            <w:tcW w:w="3921"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5BE69869" w14:textId="77777777" w:rsidR="00FE7F8B" w:rsidRDefault="00FE7F8B">
            <w:pPr>
              <w:pStyle w:val="TableTextFinancial"/>
              <w:rPr>
                <w:b/>
              </w:rPr>
            </w:pPr>
            <w:r>
              <w:rPr>
                <w:b/>
              </w:rPr>
              <w:t>Closing balance</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871EB22" w14:textId="77777777" w:rsidR="00FE7F8B" w:rsidRDefault="00FE7F8B">
            <w:pPr>
              <w:pStyle w:val="TableTextFinancial"/>
              <w:jc w:val="right"/>
              <w:rPr>
                <w:b/>
              </w:rPr>
            </w:pPr>
            <w:r>
              <w:rPr>
                <w:b/>
              </w:rPr>
              <w:t>9,367.6</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5563BEA" w14:textId="77777777" w:rsidR="00FE7F8B" w:rsidRDefault="00FE7F8B">
            <w:pPr>
              <w:pStyle w:val="TableTextFinancial"/>
              <w:jc w:val="right"/>
              <w:rPr>
                <w:b/>
              </w:rPr>
            </w:pPr>
            <w:r>
              <w:rPr>
                <w:b/>
              </w:rPr>
              <w:t>10,014.0</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58453B33" w14:textId="77777777" w:rsidR="00FE7F8B" w:rsidRDefault="00FE7F8B">
            <w:pPr>
              <w:pStyle w:val="TableTextFinancial"/>
              <w:jc w:val="right"/>
              <w:rPr>
                <w:b/>
              </w:rPr>
            </w:pPr>
            <w:r>
              <w:rPr>
                <w:b/>
              </w:rPr>
              <w:t>104.1</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72FD0065" w14:textId="77777777" w:rsidR="00FE7F8B" w:rsidRDefault="00FE7F8B">
            <w:pPr>
              <w:pStyle w:val="TableTextFinancial"/>
              <w:jc w:val="right"/>
              <w:rPr>
                <w:b/>
              </w:rPr>
            </w:pPr>
            <w:r>
              <w:rPr>
                <w:b/>
              </w:rPr>
              <w:t>145.0</w:t>
            </w:r>
          </w:p>
        </w:tc>
        <w:tc>
          <w:tcPr>
            <w:tcW w:w="130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6F051FF8" w14:textId="77777777" w:rsidR="00FE7F8B" w:rsidRDefault="00FE7F8B">
            <w:pPr>
              <w:pStyle w:val="TableTextFinancial"/>
              <w:jc w:val="right"/>
              <w:rPr>
                <w:b/>
              </w:rPr>
            </w:pPr>
            <w:r>
              <w:rPr>
                <w:b/>
              </w:rPr>
              <w:t>3.7</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2A861E8" w14:textId="77777777" w:rsidR="00FE7F8B" w:rsidRDefault="00FE7F8B">
            <w:pPr>
              <w:pStyle w:val="TableTextFinancial"/>
              <w:jc w:val="right"/>
              <w:rPr>
                <w:b/>
              </w:rPr>
            </w:pPr>
            <w:r>
              <w:rPr>
                <w:b/>
              </w:rPr>
              <w:t>84.5</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0C0E205" w14:textId="77777777" w:rsidR="00FE7F8B" w:rsidRDefault="00FE7F8B">
            <w:pPr>
              <w:pStyle w:val="TableTextFinancial"/>
              <w:jc w:val="right"/>
              <w:rPr>
                <w:b/>
              </w:rPr>
            </w:pPr>
            <w:r>
              <w:rPr>
                <w:b/>
              </w:rPr>
              <w:t>150.9</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2AB7A0A" w14:textId="77777777" w:rsidR="00FE7F8B" w:rsidRDefault="00FE7F8B">
            <w:pPr>
              <w:pStyle w:val="TableTextFinancial"/>
              <w:jc w:val="right"/>
              <w:rPr>
                <w:b/>
              </w:rPr>
            </w:pPr>
            <w:r>
              <w:rPr>
                <w:b/>
              </w:rPr>
              <w:t>19,869.9</w:t>
            </w:r>
          </w:p>
        </w:tc>
      </w:tr>
    </w:tbl>
    <w:p w14:paraId="431B995C" w14:textId="77777777" w:rsidR="00FE7F8B" w:rsidRDefault="00FE7F8B" w:rsidP="00FE7F8B">
      <w:pPr>
        <w:rPr>
          <w:b/>
        </w:rPr>
      </w:pPr>
    </w:p>
    <w:p w14:paraId="14D7371D" w14:textId="77777777" w:rsidR="00FE7F8B" w:rsidRDefault="00FE7F8B" w:rsidP="00FE7F8B">
      <w:pPr>
        <w:rPr>
          <w:b/>
        </w:rPr>
      </w:pPr>
    </w:p>
    <w:p w14:paraId="1F6A01FE" w14:textId="77777777" w:rsidR="00FE7F8B" w:rsidRDefault="00FE7F8B" w:rsidP="00FE7F8B">
      <w:pPr>
        <w:rPr>
          <w:b/>
        </w:rPr>
      </w:pPr>
    </w:p>
    <w:p w14:paraId="40DB386D" w14:textId="77777777" w:rsidR="00FE7F8B" w:rsidRDefault="00FE7F8B" w:rsidP="00FE7F8B">
      <w:pPr>
        <w:rPr>
          <w:b/>
        </w:rPr>
      </w:pPr>
    </w:p>
    <w:p w14:paraId="35108E8E" w14:textId="77777777" w:rsidR="00FE7F8B" w:rsidRDefault="00FE7F8B" w:rsidP="00FE7F8B">
      <w:pPr>
        <w:rPr>
          <w:b/>
        </w:rPr>
      </w:pPr>
    </w:p>
    <w:p w14:paraId="5739B913" w14:textId="77777777" w:rsidR="00FE7F8B" w:rsidRDefault="00FE7F8B" w:rsidP="00FE7F8B">
      <w:pPr>
        <w:rPr>
          <w:b/>
        </w:rPr>
      </w:pPr>
    </w:p>
    <w:p w14:paraId="5C7DDF6C" w14:textId="77777777" w:rsidR="00FE7F8B" w:rsidRDefault="00FE7F8B" w:rsidP="00FE7F8B">
      <w:pPr>
        <w:rPr>
          <w:b/>
        </w:rPr>
      </w:pPr>
    </w:p>
    <w:p w14:paraId="63F1240C" w14:textId="77777777" w:rsidR="00FE7F8B" w:rsidRDefault="00FE7F8B" w:rsidP="00FE7F8B">
      <w:pPr>
        <w:rPr>
          <w:b/>
        </w:rPr>
      </w:pPr>
    </w:p>
    <w:p w14:paraId="3500DD31" w14:textId="77777777" w:rsidR="00FE7F8B" w:rsidRDefault="00FE7F8B" w:rsidP="00FE7F8B">
      <w:pPr>
        <w:rPr>
          <w:b/>
        </w:rPr>
      </w:pPr>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23"/>
        <w:gridCol w:w="1249"/>
        <w:gridCol w:w="1248"/>
        <w:gridCol w:w="1248"/>
        <w:gridCol w:w="1248"/>
        <w:gridCol w:w="1305"/>
        <w:gridCol w:w="1248"/>
        <w:gridCol w:w="1248"/>
        <w:gridCol w:w="1248"/>
      </w:tblGrid>
      <w:tr w:rsidR="00FE7F8B" w14:paraId="574247FE" w14:textId="77777777" w:rsidTr="00FE7F8B">
        <w:tc>
          <w:tcPr>
            <w:tcW w:w="3921" w:type="dxa"/>
            <w:tcBorders>
              <w:top w:val="nil"/>
              <w:left w:val="nil"/>
              <w:bottom w:val="nil"/>
              <w:right w:val="nil"/>
            </w:tcBorders>
            <w:shd w:val="clear" w:color="auto" w:fill="7F7F7F" w:themeFill="text1" w:themeFillTint="80"/>
            <w:vAlign w:val="center"/>
            <w:hideMark/>
          </w:tcPr>
          <w:p w14:paraId="7D326BCD" w14:textId="77777777" w:rsidR="00FE7F8B" w:rsidRDefault="00FE7F8B">
            <w:pPr>
              <w:pStyle w:val="Tablecolumnheading"/>
              <w:jc w:val="center"/>
            </w:pPr>
            <w:r>
              <w:t>2015</w:t>
            </w:r>
          </w:p>
        </w:tc>
        <w:tc>
          <w:tcPr>
            <w:tcW w:w="1248" w:type="dxa"/>
            <w:tcBorders>
              <w:top w:val="nil"/>
              <w:left w:val="nil"/>
              <w:bottom w:val="nil"/>
              <w:right w:val="nil"/>
            </w:tcBorders>
            <w:shd w:val="clear" w:color="auto" w:fill="7F7F7F" w:themeFill="text1" w:themeFillTint="80"/>
            <w:vAlign w:val="center"/>
            <w:hideMark/>
          </w:tcPr>
          <w:p w14:paraId="125E90DC" w14:textId="77777777" w:rsidR="00FE7F8B" w:rsidRDefault="00FE7F8B">
            <w:pPr>
              <w:pStyle w:val="Tablecolumnheading"/>
              <w:jc w:val="center"/>
            </w:pPr>
            <w:r>
              <w:t>Land</w:t>
            </w:r>
            <w:r>
              <w:br/>
              <w:t>$m</w:t>
            </w:r>
          </w:p>
        </w:tc>
        <w:tc>
          <w:tcPr>
            <w:tcW w:w="1248" w:type="dxa"/>
            <w:tcBorders>
              <w:top w:val="nil"/>
              <w:left w:val="nil"/>
              <w:bottom w:val="nil"/>
              <w:right w:val="nil"/>
            </w:tcBorders>
            <w:shd w:val="clear" w:color="auto" w:fill="7F7F7F" w:themeFill="text1" w:themeFillTint="80"/>
            <w:vAlign w:val="center"/>
            <w:hideMark/>
          </w:tcPr>
          <w:p w14:paraId="50E8054A" w14:textId="77777777" w:rsidR="00FE7F8B" w:rsidRDefault="00FE7F8B">
            <w:pPr>
              <w:pStyle w:val="Tablecolumnheading"/>
              <w:jc w:val="center"/>
            </w:pPr>
            <w:r>
              <w:t>Buildings</w:t>
            </w:r>
            <w:r>
              <w:br/>
              <w:t>$m</w:t>
            </w:r>
          </w:p>
        </w:tc>
        <w:tc>
          <w:tcPr>
            <w:tcW w:w="1248" w:type="dxa"/>
            <w:tcBorders>
              <w:top w:val="nil"/>
              <w:left w:val="nil"/>
              <w:bottom w:val="nil"/>
              <w:right w:val="nil"/>
            </w:tcBorders>
            <w:shd w:val="clear" w:color="auto" w:fill="7F7F7F" w:themeFill="text1" w:themeFillTint="80"/>
            <w:vAlign w:val="center"/>
            <w:hideMark/>
          </w:tcPr>
          <w:p w14:paraId="701FB8A7" w14:textId="77777777" w:rsidR="00FE7F8B" w:rsidRDefault="00FE7F8B">
            <w:pPr>
              <w:pStyle w:val="Tablecolumnheading"/>
              <w:jc w:val="center"/>
            </w:pPr>
            <w:r>
              <w:t>Heritage Buildings</w:t>
            </w:r>
            <w:r>
              <w:br/>
              <w:t>$m</w:t>
            </w:r>
          </w:p>
        </w:tc>
        <w:tc>
          <w:tcPr>
            <w:tcW w:w="1248" w:type="dxa"/>
            <w:tcBorders>
              <w:top w:val="nil"/>
              <w:left w:val="nil"/>
              <w:bottom w:val="nil"/>
              <w:right w:val="nil"/>
            </w:tcBorders>
            <w:shd w:val="clear" w:color="auto" w:fill="7F7F7F" w:themeFill="text1" w:themeFillTint="80"/>
            <w:vAlign w:val="center"/>
            <w:hideMark/>
          </w:tcPr>
          <w:p w14:paraId="0BFBD788" w14:textId="77777777" w:rsidR="00FE7F8B" w:rsidRDefault="00FE7F8B">
            <w:pPr>
              <w:pStyle w:val="Tablecolumnheading"/>
              <w:jc w:val="center"/>
            </w:pPr>
            <w:r>
              <w:t>Leasehold buildings</w:t>
            </w:r>
            <w:r>
              <w:br/>
              <w:t>$m</w:t>
            </w:r>
          </w:p>
        </w:tc>
        <w:tc>
          <w:tcPr>
            <w:tcW w:w="1305" w:type="dxa"/>
            <w:tcBorders>
              <w:top w:val="nil"/>
              <w:left w:val="nil"/>
              <w:bottom w:val="nil"/>
              <w:right w:val="nil"/>
            </w:tcBorders>
            <w:shd w:val="clear" w:color="auto" w:fill="7F7F7F" w:themeFill="text1" w:themeFillTint="80"/>
            <w:vAlign w:val="center"/>
            <w:hideMark/>
          </w:tcPr>
          <w:p w14:paraId="57882F6E" w14:textId="77777777" w:rsidR="00FE7F8B" w:rsidRDefault="00FE7F8B">
            <w:pPr>
              <w:pStyle w:val="Tablecolumnheading"/>
              <w:jc w:val="center"/>
            </w:pPr>
            <w:r>
              <w:t>Leasehold improvements</w:t>
            </w:r>
            <w:r>
              <w:br/>
              <w:t>$m</w:t>
            </w:r>
          </w:p>
        </w:tc>
        <w:tc>
          <w:tcPr>
            <w:tcW w:w="1248" w:type="dxa"/>
            <w:tcBorders>
              <w:top w:val="nil"/>
              <w:left w:val="nil"/>
              <w:bottom w:val="nil"/>
              <w:right w:val="nil"/>
            </w:tcBorders>
            <w:shd w:val="clear" w:color="auto" w:fill="7F7F7F" w:themeFill="text1" w:themeFillTint="80"/>
            <w:vAlign w:val="center"/>
            <w:hideMark/>
          </w:tcPr>
          <w:p w14:paraId="1E90838D" w14:textId="77777777" w:rsidR="00FE7F8B" w:rsidRDefault="00FE7F8B">
            <w:pPr>
              <w:pStyle w:val="Tablecolumnheading"/>
              <w:jc w:val="center"/>
            </w:pPr>
            <w:r>
              <w:t>Plant and equipment</w:t>
            </w:r>
            <w:r>
              <w:br/>
              <w:t>$m</w:t>
            </w:r>
          </w:p>
        </w:tc>
        <w:tc>
          <w:tcPr>
            <w:tcW w:w="1248" w:type="dxa"/>
            <w:tcBorders>
              <w:top w:val="nil"/>
              <w:left w:val="nil"/>
              <w:bottom w:val="nil"/>
              <w:right w:val="nil"/>
            </w:tcBorders>
            <w:shd w:val="clear" w:color="auto" w:fill="7F7F7F" w:themeFill="text1" w:themeFillTint="80"/>
            <w:vAlign w:val="center"/>
            <w:hideMark/>
          </w:tcPr>
          <w:p w14:paraId="291383FA" w14:textId="77777777" w:rsidR="00FE7F8B" w:rsidRDefault="00FE7F8B">
            <w:pPr>
              <w:pStyle w:val="Tablecolumnheading"/>
              <w:jc w:val="center"/>
            </w:pPr>
            <w:r>
              <w:t>Work in progress</w:t>
            </w:r>
            <w:r>
              <w:br/>
              <w:t>$m</w:t>
            </w:r>
          </w:p>
        </w:tc>
        <w:tc>
          <w:tcPr>
            <w:tcW w:w="1248" w:type="dxa"/>
            <w:tcBorders>
              <w:top w:val="nil"/>
              <w:left w:val="nil"/>
              <w:bottom w:val="nil"/>
              <w:right w:val="nil"/>
            </w:tcBorders>
            <w:shd w:val="clear" w:color="auto" w:fill="7F7F7F" w:themeFill="text1" w:themeFillTint="80"/>
            <w:vAlign w:val="center"/>
            <w:hideMark/>
          </w:tcPr>
          <w:p w14:paraId="6CBAD9CC" w14:textId="77777777" w:rsidR="00FE7F8B" w:rsidRDefault="00FE7F8B">
            <w:pPr>
              <w:pStyle w:val="Tablecolumnheading"/>
              <w:jc w:val="center"/>
            </w:pPr>
            <w:r>
              <w:t>Total</w:t>
            </w:r>
            <w:r>
              <w:br/>
              <w:t>$m</w:t>
            </w:r>
          </w:p>
        </w:tc>
      </w:tr>
      <w:tr w:rsidR="00FE7F8B" w14:paraId="5389D2DC" w14:textId="77777777" w:rsidTr="00FE7F8B">
        <w:tc>
          <w:tcPr>
            <w:tcW w:w="3921" w:type="dxa"/>
            <w:tcBorders>
              <w:top w:val="nil"/>
              <w:left w:val="nil"/>
              <w:bottom w:val="nil"/>
              <w:right w:val="nil"/>
            </w:tcBorders>
            <w:tcMar>
              <w:top w:w="28" w:type="dxa"/>
              <w:left w:w="0" w:type="dxa"/>
              <w:bottom w:w="0" w:type="dxa"/>
              <w:right w:w="0" w:type="dxa"/>
            </w:tcMar>
            <w:vAlign w:val="bottom"/>
            <w:hideMark/>
          </w:tcPr>
          <w:p w14:paraId="24D0AFDF" w14:textId="77777777" w:rsidR="00FE7F8B" w:rsidRDefault="00FE7F8B">
            <w:pPr>
              <w:pStyle w:val="TableTextFinancial"/>
              <w:rPr>
                <w:b/>
              </w:rPr>
            </w:pPr>
            <w:r>
              <w:rPr>
                <w:b/>
              </w:rPr>
              <w:t>Opening balance</w:t>
            </w:r>
          </w:p>
        </w:tc>
        <w:tc>
          <w:tcPr>
            <w:tcW w:w="1248" w:type="dxa"/>
            <w:tcBorders>
              <w:top w:val="nil"/>
              <w:left w:val="nil"/>
              <w:bottom w:val="nil"/>
              <w:right w:val="nil"/>
            </w:tcBorders>
            <w:tcMar>
              <w:top w:w="28" w:type="dxa"/>
              <w:left w:w="0" w:type="dxa"/>
              <w:bottom w:w="0" w:type="dxa"/>
              <w:right w:w="0" w:type="dxa"/>
            </w:tcMar>
            <w:vAlign w:val="bottom"/>
            <w:hideMark/>
          </w:tcPr>
          <w:p w14:paraId="74F7B442" w14:textId="77777777" w:rsidR="00FE7F8B" w:rsidRDefault="00FE7F8B">
            <w:pPr>
              <w:pStyle w:val="TableTextFinancial"/>
              <w:jc w:val="right"/>
            </w:pPr>
            <w:r>
              <w:t>7,098.9</w:t>
            </w:r>
          </w:p>
        </w:tc>
        <w:tc>
          <w:tcPr>
            <w:tcW w:w="1248" w:type="dxa"/>
            <w:tcBorders>
              <w:top w:val="nil"/>
              <w:left w:val="nil"/>
              <w:bottom w:val="nil"/>
              <w:right w:val="nil"/>
            </w:tcBorders>
            <w:tcMar>
              <w:top w:w="28" w:type="dxa"/>
              <w:left w:w="0" w:type="dxa"/>
              <w:bottom w:w="0" w:type="dxa"/>
              <w:right w:w="0" w:type="dxa"/>
            </w:tcMar>
            <w:vAlign w:val="bottom"/>
            <w:hideMark/>
          </w:tcPr>
          <w:p w14:paraId="5DCB354C" w14:textId="77777777" w:rsidR="00FE7F8B" w:rsidRDefault="00FE7F8B">
            <w:pPr>
              <w:pStyle w:val="TableTextFinancial"/>
              <w:jc w:val="right"/>
            </w:pPr>
            <w:r>
              <w:t>8,309.7</w:t>
            </w:r>
          </w:p>
        </w:tc>
        <w:tc>
          <w:tcPr>
            <w:tcW w:w="1248" w:type="dxa"/>
            <w:tcBorders>
              <w:top w:val="nil"/>
              <w:left w:val="nil"/>
              <w:bottom w:val="nil"/>
              <w:right w:val="nil"/>
            </w:tcBorders>
            <w:tcMar>
              <w:top w:w="28" w:type="dxa"/>
              <w:left w:w="0" w:type="dxa"/>
              <w:bottom w:w="0" w:type="dxa"/>
              <w:right w:w="0" w:type="dxa"/>
            </w:tcMar>
            <w:vAlign w:val="bottom"/>
            <w:hideMark/>
          </w:tcPr>
          <w:p w14:paraId="57C87F0C" w14:textId="77777777" w:rsidR="00FE7F8B" w:rsidRDefault="00FE7F8B">
            <w:pPr>
              <w:pStyle w:val="TableTextFinancial"/>
              <w:jc w:val="right"/>
            </w:pPr>
            <w:r>
              <w:t>60.6</w:t>
            </w:r>
          </w:p>
        </w:tc>
        <w:tc>
          <w:tcPr>
            <w:tcW w:w="1248" w:type="dxa"/>
            <w:tcBorders>
              <w:top w:val="nil"/>
              <w:left w:val="nil"/>
              <w:bottom w:val="nil"/>
              <w:right w:val="nil"/>
            </w:tcBorders>
            <w:tcMar>
              <w:top w:w="28" w:type="dxa"/>
              <w:left w:w="0" w:type="dxa"/>
              <w:bottom w:w="0" w:type="dxa"/>
              <w:right w:w="0" w:type="dxa"/>
            </w:tcMar>
            <w:vAlign w:val="bottom"/>
            <w:hideMark/>
          </w:tcPr>
          <w:p w14:paraId="41BED26A" w14:textId="77777777" w:rsidR="00FE7F8B" w:rsidRDefault="00FE7F8B">
            <w:pPr>
              <w:pStyle w:val="TableTextFinancial"/>
              <w:jc w:val="right"/>
            </w:pPr>
            <w:r>
              <w:t>194.2</w:t>
            </w:r>
          </w:p>
        </w:tc>
        <w:tc>
          <w:tcPr>
            <w:tcW w:w="1305" w:type="dxa"/>
            <w:tcBorders>
              <w:top w:val="nil"/>
              <w:left w:val="nil"/>
              <w:bottom w:val="nil"/>
              <w:right w:val="nil"/>
            </w:tcBorders>
            <w:tcMar>
              <w:top w:w="28" w:type="dxa"/>
              <w:left w:w="0" w:type="dxa"/>
              <w:bottom w:w="0" w:type="dxa"/>
              <w:right w:w="0" w:type="dxa"/>
            </w:tcMar>
            <w:vAlign w:val="bottom"/>
            <w:hideMark/>
          </w:tcPr>
          <w:p w14:paraId="509B0B4B" w14:textId="77777777" w:rsidR="00FE7F8B" w:rsidRDefault="00FE7F8B">
            <w:pPr>
              <w:pStyle w:val="TableTextFinancial"/>
              <w:jc w:val="right"/>
            </w:pPr>
            <w:r>
              <w:t>0.7</w:t>
            </w:r>
          </w:p>
        </w:tc>
        <w:tc>
          <w:tcPr>
            <w:tcW w:w="1248" w:type="dxa"/>
            <w:tcBorders>
              <w:top w:val="nil"/>
              <w:left w:val="nil"/>
              <w:bottom w:val="nil"/>
              <w:right w:val="nil"/>
            </w:tcBorders>
            <w:tcMar>
              <w:top w:w="28" w:type="dxa"/>
              <w:left w:w="0" w:type="dxa"/>
              <w:bottom w:w="0" w:type="dxa"/>
              <w:right w:w="0" w:type="dxa"/>
            </w:tcMar>
            <w:vAlign w:val="bottom"/>
            <w:hideMark/>
          </w:tcPr>
          <w:p w14:paraId="670D0D77" w14:textId="77777777" w:rsidR="00FE7F8B" w:rsidRDefault="00FE7F8B">
            <w:pPr>
              <w:pStyle w:val="TableTextFinancial"/>
              <w:jc w:val="right"/>
            </w:pPr>
            <w:r>
              <w:t>132.9</w:t>
            </w:r>
          </w:p>
        </w:tc>
        <w:tc>
          <w:tcPr>
            <w:tcW w:w="1248" w:type="dxa"/>
            <w:tcBorders>
              <w:top w:val="nil"/>
              <w:left w:val="nil"/>
              <w:bottom w:val="nil"/>
              <w:right w:val="nil"/>
            </w:tcBorders>
            <w:tcMar>
              <w:top w:w="28" w:type="dxa"/>
              <w:left w:w="0" w:type="dxa"/>
              <w:bottom w:w="0" w:type="dxa"/>
              <w:right w:w="0" w:type="dxa"/>
            </w:tcMar>
            <w:vAlign w:val="bottom"/>
            <w:hideMark/>
          </w:tcPr>
          <w:p w14:paraId="7ACA8A89" w14:textId="77777777" w:rsidR="00FE7F8B" w:rsidRDefault="00FE7F8B">
            <w:pPr>
              <w:pStyle w:val="TableTextFinancial"/>
              <w:jc w:val="right"/>
            </w:pPr>
            <w:r>
              <w:t>347.0</w:t>
            </w:r>
          </w:p>
        </w:tc>
        <w:tc>
          <w:tcPr>
            <w:tcW w:w="1248" w:type="dxa"/>
            <w:tcBorders>
              <w:top w:val="nil"/>
              <w:left w:val="nil"/>
              <w:bottom w:val="nil"/>
              <w:right w:val="nil"/>
            </w:tcBorders>
            <w:tcMar>
              <w:top w:w="28" w:type="dxa"/>
              <w:left w:w="0" w:type="dxa"/>
              <w:bottom w:w="0" w:type="dxa"/>
              <w:right w:w="0" w:type="dxa"/>
            </w:tcMar>
            <w:vAlign w:val="bottom"/>
            <w:hideMark/>
          </w:tcPr>
          <w:p w14:paraId="473190B9" w14:textId="77777777" w:rsidR="00FE7F8B" w:rsidRDefault="00FE7F8B">
            <w:pPr>
              <w:pStyle w:val="TableTextFinancial"/>
              <w:jc w:val="right"/>
              <w:rPr>
                <w:b/>
              </w:rPr>
            </w:pPr>
            <w:r>
              <w:rPr>
                <w:b/>
              </w:rPr>
              <w:t>16,144.0</w:t>
            </w:r>
          </w:p>
        </w:tc>
      </w:tr>
      <w:tr w:rsidR="00FE7F8B" w14:paraId="5282B56E" w14:textId="77777777" w:rsidTr="00FE7F8B">
        <w:tc>
          <w:tcPr>
            <w:tcW w:w="3921" w:type="dxa"/>
            <w:tcBorders>
              <w:top w:val="nil"/>
              <w:left w:val="nil"/>
              <w:bottom w:val="nil"/>
              <w:right w:val="nil"/>
            </w:tcBorders>
            <w:vAlign w:val="bottom"/>
            <w:hideMark/>
          </w:tcPr>
          <w:p w14:paraId="696B30F7" w14:textId="77777777" w:rsidR="00FE7F8B" w:rsidRDefault="00FE7F8B">
            <w:pPr>
              <w:pStyle w:val="TableTextFinancial"/>
            </w:pPr>
            <w:r>
              <w:t>Additions</w:t>
            </w:r>
          </w:p>
        </w:tc>
        <w:tc>
          <w:tcPr>
            <w:tcW w:w="1248" w:type="dxa"/>
            <w:tcBorders>
              <w:top w:val="nil"/>
              <w:left w:val="nil"/>
              <w:bottom w:val="nil"/>
              <w:right w:val="nil"/>
            </w:tcBorders>
            <w:vAlign w:val="bottom"/>
            <w:hideMark/>
          </w:tcPr>
          <w:p w14:paraId="504254E9" w14:textId="77777777" w:rsidR="00FE7F8B" w:rsidRDefault="00FE7F8B">
            <w:pPr>
              <w:pStyle w:val="TableTextFinancial"/>
              <w:jc w:val="right"/>
            </w:pPr>
            <w:r>
              <w:t>5.8</w:t>
            </w:r>
          </w:p>
        </w:tc>
        <w:tc>
          <w:tcPr>
            <w:tcW w:w="1248" w:type="dxa"/>
            <w:tcBorders>
              <w:top w:val="nil"/>
              <w:left w:val="nil"/>
              <w:bottom w:val="nil"/>
              <w:right w:val="nil"/>
            </w:tcBorders>
            <w:vAlign w:val="bottom"/>
            <w:hideMark/>
          </w:tcPr>
          <w:p w14:paraId="1BC05F0A" w14:textId="77777777" w:rsidR="00FE7F8B" w:rsidRDefault="00FE7F8B">
            <w:pPr>
              <w:pStyle w:val="TableTextFinancial"/>
              <w:jc w:val="right"/>
            </w:pPr>
            <w:r>
              <w:t>0.5</w:t>
            </w:r>
          </w:p>
        </w:tc>
        <w:tc>
          <w:tcPr>
            <w:tcW w:w="1248" w:type="dxa"/>
            <w:tcBorders>
              <w:top w:val="nil"/>
              <w:left w:val="nil"/>
              <w:bottom w:val="nil"/>
              <w:right w:val="nil"/>
            </w:tcBorders>
            <w:vAlign w:val="bottom"/>
            <w:hideMark/>
          </w:tcPr>
          <w:p w14:paraId="3E0AC7C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3E9F8353"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087DD30F" w14:textId="77777777" w:rsidR="00FE7F8B" w:rsidRDefault="00FE7F8B">
            <w:pPr>
              <w:pStyle w:val="TableTextFinancial"/>
              <w:jc w:val="right"/>
            </w:pPr>
            <w:r>
              <w:t>0.0</w:t>
            </w:r>
          </w:p>
        </w:tc>
        <w:tc>
          <w:tcPr>
            <w:tcW w:w="1248" w:type="dxa"/>
            <w:tcBorders>
              <w:top w:val="nil"/>
              <w:left w:val="nil"/>
              <w:bottom w:val="nil"/>
              <w:right w:val="nil"/>
            </w:tcBorders>
            <w:vAlign w:val="bottom"/>
            <w:hideMark/>
          </w:tcPr>
          <w:p w14:paraId="5E169A00" w14:textId="77777777" w:rsidR="00FE7F8B" w:rsidRDefault="00FE7F8B">
            <w:pPr>
              <w:pStyle w:val="TableTextFinancial"/>
              <w:jc w:val="right"/>
            </w:pPr>
            <w:r>
              <w:t>30.6</w:t>
            </w:r>
          </w:p>
        </w:tc>
        <w:tc>
          <w:tcPr>
            <w:tcW w:w="1248" w:type="dxa"/>
            <w:tcBorders>
              <w:top w:val="nil"/>
              <w:left w:val="nil"/>
              <w:bottom w:val="nil"/>
              <w:right w:val="nil"/>
            </w:tcBorders>
            <w:vAlign w:val="bottom"/>
            <w:hideMark/>
          </w:tcPr>
          <w:p w14:paraId="241ECAA4" w14:textId="77777777" w:rsidR="00FE7F8B" w:rsidRDefault="00FE7F8B">
            <w:pPr>
              <w:pStyle w:val="TableTextFinancial"/>
              <w:jc w:val="right"/>
            </w:pPr>
            <w:r>
              <w:t>219.6</w:t>
            </w:r>
          </w:p>
        </w:tc>
        <w:tc>
          <w:tcPr>
            <w:tcW w:w="1248" w:type="dxa"/>
            <w:tcBorders>
              <w:top w:val="nil"/>
              <w:left w:val="nil"/>
              <w:bottom w:val="nil"/>
              <w:right w:val="nil"/>
            </w:tcBorders>
            <w:vAlign w:val="bottom"/>
            <w:hideMark/>
          </w:tcPr>
          <w:p w14:paraId="4C50CAD9" w14:textId="77777777" w:rsidR="00FE7F8B" w:rsidRDefault="00FE7F8B">
            <w:pPr>
              <w:pStyle w:val="TableTextFinancial"/>
              <w:jc w:val="right"/>
              <w:rPr>
                <w:b/>
              </w:rPr>
            </w:pPr>
            <w:r>
              <w:rPr>
                <w:b/>
              </w:rPr>
              <w:t>256.6</w:t>
            </w:r>
          </w:p>
        </w:tc>
      </w:tr>
      <w:tr w:rsidR="00FE7F8B" w14:paraId="7E411B75" w14:textId="77777777" w:rsidTr="00FE7F8B">
        <w:tc>
          <w:tcPr>
            <w:tcW w:w="3921" w:type="dxa"/>
            <w:tcBorders>
              <w:top w:val="nil"/>
              <w:left w:val="nil"/>
              <w:bottom w:val="nil"/>
              <w:right w:val="nil"/>
            </w:tcBorders>
            <w:vAlign w:val="bottom"/>
            <w:hideMark/>
          </w:tcPr>
          <w:p w14:paraId="7B772B8D" w14:textId="77777777" w:rsidR="00FE7F8B" w:rsidRDefault="00FE7F8B">
            <w:pPr>
              <w:pStyle w:val="TableTextFinancial"/>
            </w:pPr>
            <w:r>
              <w:t>Assets previously not recognised</w:t>
            </w:r>
          </w:p>
        </w:tc>
        <w:tc>
          <w:tcPr>
            <w:tcW w:w="1248" w:type="dxa"/>
            <w:tcBorders>
              <w:top w:val="nil"/>
              <w:left w:val="nil"/>
              <w:bottom w:val="nil"/>
              <w:right w:val="nil"/>
            </w:tcBorders>
            <w:vAlign w:val="bottom"/>
            <w:hideMark/>
          </w:tcPr>
          <w:p w14:paraId="25CEC453" w14:textId="77777777" w:rsidR="00FE7F8B" w:rsidRDefault="00FE7F8B">
            <w:pPr>
              <w:pStyle w:val="TableTextFinancial"/>
              <w:jc w:val="right"/>
            </w:pPr>
            <w:r>
              <w:t>20.8</w:t>
            </w:r>
          </w:p>
        </w:tc>
        <w:tc>
          <w:tcPr>
            <w:tcW w:w="1248" w:type="dxa"/>
            <w:tcBorders>
              <w:top w:val="nil"/>
              <w:left w:val="nil"/>
              <w:bottom w:val="nil"/>
              <w:right w:val="nil"/>
            </w:tcBorders>
            <w:vAlign w:val="bottom"/>
            <w:hideMark/>
          </w:tcPr>
          <w:p w14:paraId="084E60A0" w14:textId="77777777" w:rsidR="00FE7F8B" w:rsidRDefault="00FE7F8B">
            <w:pPr>
              <w:pStyle w:val="TableTextFinancial"/>
              <w:jc w:val="right"/>
            </w:pPr>
            <w:r>
              <w:t>1.1</w:t>
            </w:r>
          </w:p>
        </w:tc>
        <w:tc>
          <w:tcPr>
            <w:tcW w:w="1248" w:type="dxa"/>
            <w:tcBorders>
              <w:top w:val="nil"/>
              <w:left w:val="nil"/>
              <w:bottom w:val="nil"/>
              <w:right w:val="nil"/>
            </w:tcBorders>
            <w:vAlign w:val="bottom"/>
            <w:hideMark/>
          </w:tcPr>
          <w:p w14:paraId="41DD7DA4"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6929DA29"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05A35215"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6590946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69AADD3"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70B7981" w14:textId="77777777" w:rsidR="00FE7F8B" w:rsidRDefault="00FE7F8B">
            <w:pPr>
              <w:pStyle w:val="TableTextFinancial"/>
              <w:jc w:val="right"/>
              <w:rPr>
                <w:b/>
              </w:rPr>
            </w:pPr>
            <w:r>
              <w:rPr>
                <w:b/>
              </w:rPr>
              <w:t>22.0</w:t>
            </w:r>
          </w:p>
        </w:tc>
      </w:tr>
      <w:tr w:rsidR="00FE7F8B" w14:paraId="045ADD32" w14:textId="77777777" w:rsidTr="00FE7F8B">
        <w:tc>
          <w:tcPr>
            <w:tcW w:w="3921" w:type="dxa"/>
            <w:tcBorders>
              <w:top w:val="nil"/>
              <w:left w:val="nil"/>
              <w:bottom w:val="nil"/>
              <w:right w:val="nil"/>
            </w:tcBorders>
            <w:vAlign w:val="bottom"/>
            <w:hideMark/>
          </w:tcPr>
          <w:p w14:paraId="22C7504A" w14:textId="77777777" w:rsidR="00FE7F8B" w:rsidRDefault="00FE7F8B">
            <w:pPr>
              <w:pStyle w:val="TableTextFinancial"/>
            </w:pPr>
            <w:r>
              <w:t>Transfers to completed assets</w:t>
            </w:r>
          </w:p>
        </w:tc>
        <w:tc>
          <w:tcPr>
            <w:tcW w:w="1248" w:type="dxa"/>
            <w:tcBorders>
              <w:top w:val="nil"/>
              <w:left w:val="nil"/>
              <w:bottom w:val="nil"/>
              <w:right w:val="nil"/>
            </w:tcBorders>
            <w:vAlign w:val="bottom"/>
            <w:hideMark/>
          </w:tcPr>
          <w:p w14:paraId="535FF93A"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3E917D0" w14:textId="77777777" w:rsidR="00FE7F8B" w:rsidRDefault="00FE7F8B">
            <w:pPr>
              <w:pStyle w:val="TableTextFinancial"/>
              <w:jc w:val="right"/>
            </w:pPr>
            <w:r>
              <w:t>256.2</w:t>
            </w:r>
          </w:p>
        </w:tc>
        <w:tc>
          <w:tcPr>
            <w:tcW w:w="1248" w:type="dxa"/>
            <w:tcBorders>
              <w:top w:val="nil"/>
              <w:left w:val="nil"/>
              <w:bottom w:val="nil"/>
              <w:right w:val="nil"/>
            </w:tcBorders>
            <w:vAlign w:val="bottom"/>
            <w:hideMark/>
          </w:tcPr>
          <w:p w14:paraId="40435610"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724972EF"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06CB33D6"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3C9059B5" w14:textId="77777777" w:rsidR="00FE7F8B" w:rsidRDefault="00FE7F8B">
            <w:pPr>
              <w:pStyle w:val="TableTextFinancial"/>
              <w:jc w:val="right"/>
            </w:pPr>
            <w:r>
              <w:t>1.3</w:t>
            </w:r>
          </w:p>
        </w:tc>
        <w:tc>
          <w:tcPr>
            <w:tcW w:w="1248" w:type="dxa"/>
            <w:tcBorders>
              <w:top w:val="nil"/>
              <w:left w:val="nil"/>
              <w:bottom w:val="nil"/>
              <w:right w:val="nil"/>
            </w:tcBorders>
            <w:vAlign w:val="bottom"/>
            <w:hideMark/>
          </w:tcPr>
          <w:p w14:paraId="08CE3ABE" w14:textId="77777777" w:rsidR="00FE7F8B" w:rsidRDefault="00FE7F8B">
            <w:pPr>
              <w:pStyle w:val="TableTextFinancial"/>
              <w:jc w:val="right"/>
            </w:pPr>
            <w:r>
              <w:t>(257.5)</w:t>
            </w:r>
          </w:p>
        </w:tc>
        <w:tc>
          <w:tcPr>
            <w:tcW w:w="1248" w:type="dxa"/>
            <w:tcBorders>
              <w:top w:val="nil"/>
              <w:left w:val="nil"/>
              <w:bottom w:val="nil"/>
              <w:right w:val="nil"/>
            </w:tcBorders>
            <w:vAlign w:val="bottom"/>
            <w:hideMark/>
          </w:tcPr>
          <w:p w14:paraId="6AB03129" w14:textId="77777777" w:rsidR="00FE7F8B" w:rsidRDefault="00FE7F8B">
            <w:pPr>
              <w:pStyle w:val="TableTextFinancial"/>
              <w:jc w:val="right"/>
              <w:rPr>
                <w:b/>
              </w:rPr>
            </w:pPr>
            <w:r>
              <w:rPr>
                <w:b/>
              </w:rPr>
              <w:t>-</w:t>
            </w:r>
          </w:p>
        </w:tc>
      </w:tr>
      <w:tr w:rsidR="00FE7F8B" w14:paraId="5EA05160" w14:textId="77777777" w:rsidTr="00FE7F8B">
        <w:tc>
          <w:tcPr>
            <w:tcW w:w="3921" w:type="dxa"/>
            <w:tcBorders>
              <w:top w:val="nil"/>
              <w:left w:val="nil"/>
              <w:bottom w:val="nil"/>
              <w:right w:val="nil"/>
            </w:tcBorders>
            <w:vAlign w:val="bottom"/>
            <w:hideMark/>
          </w:tcPr>
          <w:p w14:paraId="2CE47ED6" w14:textId="77777777" w:rsidR="00FE7F8B" w:rsidRDefault="00FE7F8B">
            <w:pPr>
              <w:pStyle w:val="TableTextFinancial"/>
            </w:pPr>
            <w:r>
              <w:t>Disposals</w:t>
            </w:r>
          </w:p>
        </w:tc>
        <w:tc>
          <w:tcPr>
            <w:tcW w:w="1248" w:type="dxa"/>
            <w:tcBorders>
              <w:top w:val="nil"/>
              <w:left w:val="nil"/>
              <w:bottom w:val="nil"/>
              <w:right w:val="nil"/>
            </w:tcBorders>
            <w:vAlign w:val="bottom"/>
            <w:hideMark/>
          </w:tcPr>
          <w:p w14:paraId="54E2B002" w14:textId="77777777" w:rsidR="00FE7F8B" w:rsidRDefault="00FE7F8B">
            <w:pPr>
              <w:pStyle w:val="TableTextFinancial"/>
              <w:jc w:val="right"/>
            </w:pPr>
            <w:r>
              <w:t>(68.2)</w:t>
            </w:r>
          </w:p>
        </w:tc>
        <w:tc>
          <w:tcPr>
            <w:tcW w:w="1248" w:type="dxa"/>
            <w:tcBorders>
              <w:top w:val="nil"/>
              <w:left w:val="nil"/>
              <w:bottom w:val="nil"/>
              <w:right w:val="nil"/>
            </w:tcBorders>
            <w:vAlign w:val="bottom"/>
            <w:hideMark/>
          </w:tcPr>
          <w:p w14:paraId="17871585" w14:textId="77777777" w:rsidR="00FE7F8B" w:rsidRDefault="00FE7F8B">
            <w:pPr>
              <w:pStyle w:val="TableTextFinancial"/>
              <w:jc w:val="right"/>
            </w:pPr>
            <w:r>
              <w:t>(22.5)</w:t>
            </w:r>
          </w:p>
        </w:tc>
        <w:tc>
          <w:tcPr>
            <w:tcW w:w="1248" w:type="dxa"/>
            <w:tcBorders>
              <w:top w:val="nil"/>
              <w:left w:val="nil"/>
              <w:bottom w:val="nil"/>
              <w:right w:val="nil"/>
            </w:tcBorders>
            <w:vAlign w:val="bottom"/>
            <w:hideMark/>
          </w:tcPr>
          <w:p w14:paraId="34514C2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DE38741"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0CC8919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5864AEA" w14:textId="77777777" w:rsidR="00FE7F8B" w:rsidRDefault="00FE7F8B">
            <w:pPr>
              <w:pStyle w:val="TableTextFinancial"/>
              <w:jc w:val="right"/>
            </w:pPr>
            <w:r>
              <w:t>(3.4)</w:t>
            </w:r>
          </w:p>
        </w:tc>
        <w:tc>
          <w:tcPr>
            <w:tcW w:w="1248" w:type="dxa"/>
            <w:tcBorders>
              <w:top w:val="nil"/>
              <w:left w:val="nil"/>
              <w:bottom w:val="nil"/>
              <w:right w:val="nil"/>
            </w:tcBorders>
            <w:vAlign w:val="bottom"/>
            <w:hideMark/>
          </w:tcPr>
          <w:p w14:paraId="0BF4AC8E"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448C8A3E" w14:textId="77777777" w:rsidR="00FE7F8B" w:rsidRDefault="00FE7F8B">
            <w:pPr>
              <w:pStyle w:val="TableTextFinancial"/>
              <w:jc w:val="right"/>
              <w:rPr>
                <w:b/>
              </w:rPr>
            </w:pPr>
            <w:r>
              <w:rPr>
                <w:b/>
              </w:rPr>
              <w:t>(94.0)</w:t>
            </w:r>
          </w:p>
        </w:tc>
      </w:tr>
      <w:tr w:rsidR="00FE7F8B" w14:paraId="0224F3C7" w14:textId="77777777" w:rsidTr="00FE7F8B">
        <w:tc>
          <w:tcPr>
            <w:tcW w:w="3921" w:type="dxa"/>
            <w:tcBorders>
              <w:top w:val="nil"/>
              <w:left w:val="nil"/>
              <w:bottom w:val="nil"/>
              <w:right w:val="nil"/>
            </w:tcBorders>
            <w:vAlign w:val="bottom"/>
            <w:hideMark/>
          </w:tcPr>
          <w:p w14:paraId="475EBC72" w14:textId="77777777" w:rsidR="00FE7F8B" w:rsidRDefault="00FE7F8B">
            <w:pPr>
              <w:pStyle w:val="TableTextFinancial"/>
            </w:pPr>
            <w:r>
              <w:t>Revaluation increments/(decrements)</w:t>
            </w:r>
          </w:p>
        </w:tc>
        <w:tc>
          <w:tcPr>
            <w:tcW w:w="1248" w:type="dxa"/>
            <w:tcBorders>
              <w:top w:val="nil"/>
              <w:left w:val="nil"/>
              <w:bottom w:val="nil"/>
              <w:right w:val="nil"/>
            </w:tcBorders>
            <w:vAlign w:val="bottom"/>
            <w:hideMark/>
          </w:tcPr>
          <w:p w14:paraId="187042D3" w14:textId="77777777" w:rsidR="00FE7F8B" w:rsidRDefault="00FE7F8B">
            <w:pPr>
              <w:pStyle w:val="TableTextFinancial"/>
              <w:jc w:val="right"/>
            </w:pPr>
            <w:r>
              <w:t>855.5</w:t>
            </w:r>
          </w:p>
        </w:tc>
        <w:tc>
          <w:tcPr>
            <w:tcW w:w="1248" w:type="dxa"/>
            <w:tcBorders>
              <w:top w:val="nil"/>
              <w:left w:val="nil"/>
              <w:bottom w:val="nil"/>
              <w:right w:val="nil"/>
            </w:tcBorders>
            <w:vAlign w:val="bottom"/>
            <w:hideMark/>
          </w:tcPr>
          <w:p w14:paraId="25C0513A"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5DF8D6D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E57D05A"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79E0CE08"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404CF1B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62E27144"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242031D8" w14:textId="77777777" w:rsidR="00FE7F8B" w:rsidRDefault="00FE7F8B">
            <w:pPr>
              <w:pStyle w:val="TableTextFinancial"/>
              <w:jc w:val="right"/>
              <w:rPr>
                <w:b/>
              </w:rPr>
            </w:pPr>
            <w:r>
              <w:rPr>
                <w:b/>
              </w:rPr>
              <w:t>855.5</w:t>
            </w:r>
          </w:p>
        </w:tc>
      </w:tr>
      <w:tr w:rsidR="00FE7F8B" w14:paraId="37425090" w14:textId="77777777" w:rsidTr="00FE7F8B">
        <w:tc>
          <w:tcPr>
            <w:tcW w:w="3921" w:type="dxa"/>
            <w:tcBorders>
              <w:top w:val="nil"/>
              <w:left w:val="nil"/>
              <w:bottom w:val="nil"/>
              <w:right w:val="nil"/>
            </w:tcBorders>
            <w:vAlign w:val="bottom"/>
            <w:hideMark/>
          </w:tcPr>
          <w:p w14:paraId="5EA8D7A2" w14:textId="77777777" w:rsidR="00FE7F8B" w:rsidRDefault="00FE7F8B">
            <w:pPr>
              <w:pStyle w:val="TableTextFinancial"/>
            </w:pPr>
            <w:r>
              <w:t>Impairment</w:t>
            </w:r>
            <w:r>
              <w:rPr>
                <w:vertAlign w:val="superscript"/>
              </w:rPr>
              <w:t>1</w:t>
            </w:r>
          </w:p>
        </w:tc>
        <w:tc>
          <w:tcPr>
            <w:tcW w:w="1248" w:type="dxa"/>
            <w:tcBorders>
              <w:top w:val="nil"/>
              <w:left w:val="nil"/>
              <w:bottom w:val="nil"/>
              <w:right w:val="nil"/>
            </w:tcBorders>
            <w:vAlign w:val="bottom"/>
            <w:hideMark/>
          </w:tcPr>
          <w:p w14:paraId="0E65407E"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5D67D5B3" w14:textId="77777777" w:rsidR="00FE7F8B" w:rsidRDefault="00FE7F8B">
            <w:pPr>
              <w:pStyle w:val="TableTextFinancial"/>
              <w:jc w:val="right"/>
            </w:pPr>
            <w:r>
              <w:t>(40.0)</w:t>
            </w:r>
          </w:p>
        </w:tc>
        <w:tc>
          <w:tcPr>
            <w:tcW w:w="1248" w:type="dxa"/>
            <w:tcBorders>
              <w:top w:val="nil"/>
              <w:left w:val="nil"/>
              <w:bottom w:val="nil"/>
              <w:right w:val="nil"/>
            </w:tcBorders>
            <w:vAlign w:val="bottom"/>
            <w:hideMark/>
          </w:tcPr>
          <w:p w14:paraId="737E0925"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4531B778"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1F584725"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18AE1409"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69435C95"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5843ACA0" w14:textId="77777777" w:rsidR="00FE7F8B" w:rsidRDefault="00FE7F8B">
            <w:pPr>
              <w:pStyle w:val="TableTextFinancial"/>
              <w:jc w:val="right"/>
              <w:rPr>
                <w:b/>
              </w:rPr>
            </w:pPr>
            <w:r>
              <w:rPr>
                <w:b/>
              </w:rPr>
              <w:t>(40.0)</w:t>
            </w:r>
          </w:p>
        </w:tc>
      </w:tr>
      <w:tr w:rsidR="00FE7F8B" w14:paraId="3E005432" w14:textId="77777777" w:rsidTr="00FE7F8B">
        <w:tc>
          <w:tcPr>
            <w:tcW w:w="3921" w:type="dxa"/>
            <w:tcBorders>
              <w:top w:val="nil"/>
              <w:left w:val="nil"/>
              <w:bottom w:val="nil"/>
              <w:right w:val="nil"/>
            </w:tcBorders>
            <w:vAlign w:val="bottom"/>
            <w:hideMark/>
          </w:tcPr>
          <w:p w14:paraId="0619875F" w14:textId="77777777" w:rsidR="00FE7F8B" w:rsidRDefault="00FE7F8B">
            <w:pPr>
              <w:pStyle w:val="TableTextFinancial"/>
            </w:pPr>
            <w:r>
              <w:t>Transfer (to)/from assets held for sale</w:t>
            </w:r>
          </w:p>
        </w:tc>
        <w:tc>
          <w:tcPr>
            <w:tcW w:w="1248" w:type="dxa"/>
            <w:tcBorders>
              <w:top w:val="nil"/>
              <w:left w:val="nil"/>
              <w:bottom w:val="nil"/>
              <w:right w:val="nil"/>
            </w:tcBorders>
            <w:vAlign w:val="bottom"/>
            <w:hideMark/>
          </w:tcPr>
          <w:p w14:paraId="1C6AFFEF" w14:textId="77777777" w:rsidR="00FE7F8B" w:rsidRDefault="00FE7F8B">
            <w:pPr>
              <w:pStyle w:val="TableTextFinancial"/>
              <w:jc w:val="right"/>
            </w:pPr>
            <w:r>
              <w:t>(17.1)</w:t>
            </w:r>
          </w:p>
        </w:tc>
        <w:tc>
          <w:tcPr>
            <w:tcW w:w="1248" w:type="dxa"/>
            <w:tcBorders>
              <w:top w:val="nil"/>
              <w:left w:val="nil"/>
              <w:bottom w:val="nil"/>
              <w:right w:val="nil"/>
            </w:tcBorders>
            <w:vAlign w:val="bottom"/>
            <w:hideMark/>
          </w:tcPr>
          <w:p w14:paraId="4FE9450C"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430AB34D"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C8D77ED" w14:textId="77777777" w:rsidR="00FE7F8B" w:rsidRDefault="00FE7F8B">
            <w:pPr>
              <w:pStyle w:val="TableTextFinancial"/>
              <w:jc w:val="right"/>
            </w:pPr>
            <w:r>
              <w:t>-</w:t>
            </w:r>
          </w:p>
        </w:tc>
        <w:tc>
          <w:tcPr>
            <w:tcW w:w="1305" w:type="dxa"/>
            <w:tcBorders>
              <w:top w:val="nil"/>
              <w:left w:val="nil"/>
              <w:bottom w:val="nil"/>
              <w:right w:val="nil"/>
            </w:tcBorders>
            <w:vAlign w:val="bottom"/>
            <w:hideMark/>
          </w:tcPr>
          <w:p w14:paraId="2A3E889B"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3C0B5D0E" w14:textId="77777777" w:rsidR="00FE7F8B" w:rsidRDefault="00FE7F8B">
            <w:pPr>
              <w:pStyle w:val="TableTextFinancial"/>
              <w:jc w:val="right"/>
            </w:pPr>
            <w:r>
              <w:t>(0.3)</w:t>
            </w:r>
          </w:p>
        </w:tc>
        <w:tc>
          <w:tcPr>
            <w:tcW w:w="1248" w:type="dxa"/>
            <w:tcBorders>
              <w:top w:val="nil"/>
              <w:left w:val="nil"/>
              <w:bottom w:val="nil"/>
              <w:right w:val="nil"/>
            </w:tcBorders>
            <w:vAlign w:val="bottom"/>
            <w:hideMark/>
          </w:tcPr>
          <w:p w14:paraId="1AFDA526" w14:textId="77777777" w:rsidR="00FE7F8B" w:rsidRDefault="00FE7F8B">
            <w:pPr>
              <w:pStyle w:val="TableTextFinancial"/>
              <w:jc w:val="right"/>
            </w:pPr>
            <w:r>
              <w:t>-</w:t>
            </w:r>
          </w:p>
        </w:tc>
        <w:tc>
          <w:tcPr>
            <w:tcW w:w="1248" w:type="dxa"/>
            <w:tcBorders>
              <w:top w:val="nil"/>
              <w:left w:val="nil"/>
              <w:bottom w:val="nil"/>
              <w:right w:val="nil"/>
            </w:tcBorders>
            <w:vAlign w:val="bottom"/>
            <w:hideMark/>
          </w:tcPr>
          <w:p w14:paraId="0FB56C16" w14:textId="77777777" w:rsidR="00FE7F8B" w:rsidRDefault="00FE7F8B">
            <w:pPr>
              <w:pStyle w:val="TableTextFinancial"/>
              <w:jc w:val="right"/>
              <w:rPr>
                <w:b/>
              </w:rPr>
            </w:pPr>
            <w:r>
              <w:rPr>
                <w:b/>
              </w:rPr>
              <w:t>(17.3)</w:t>
            </w:r>
          </w:p>
        </w:tc>
      </w:tr>
      <w:tr w:rsidR="00FE7F8B" w14:paraId="229F5316" w14:textId="77777777" w:rsidTr="00FE7F8B">
        <w:tc>
          <w:tcPr>
            <w:tcW w:w="3921" w:type="dxa"/>
            <w:tcBorders>
              <w:top w:val="nil"/>
              <w:left w:val="nil"/>
              <w:bottom w:val="single" w:sz="4" w:space="0" w:color="auto"/>
              <w:right w:val="nil"/>
            </w:tcBorders>
            <w:vAlign w:val="bottom"/>
            <w:hideMark/>
          </w:tcPr>
          <w:p w14:paraId="2DAAD197" w14:textId="77777777" w:rsidR="00FE7F8B" w:rsidRDefault="00FE7F8B">
            <w:pPr>
              <w:pStyle w:val="TableTextFinancial"/>
            </w:pPr>
            <w:r>
              <w:t>Depreciation</w:t>
            </w:r>
          </w:p>
        </w:tc>
        <w:tc>
          <w:tcPr>
            <w:tcW w:w="1248" w:type="dxa"/>
            <w:tcBorders>
              <w:top w:val="nil"/>
              <w:left w:val="nil"/>
              <w:bottom w:val="single" w:sz="4" w:space="0" w:color="auto"/>
              <w:right w:val="nil"/>
            </w:tcBorders>
            <w:vAlign w:val="bottom"/>
            <w:hideMark/>
          </w:tcPr>
          <w:p w14:paraId="0D375604" w14:textId="77777777" w:rsidR="00FE7F8B" w:rsidRDefault="00FE7F8B">
            <w:pPr>
              <w:pStyle w:val="TableTextFinancial"/>
              <w:jc w:val="right"/>
            </w:pPr>
            <w:r>
              <w:t>-</w:t>
            </w:r>
          </w:p>
        </w:tc>
        <w:tc>
          <w:tcPr>
            <w:tcW w:w="1248" w:type="dxa"/>
            <w:tcBorders>
              <w:top w:val="nil"/>
              <w:left w:val="nil"/>
              <w:bottom w:val="single" w:sz="4" w:space="0" w:color="auto"/>
              <w:right w:val="nil"/>
            </w:tcBorders>
            <w:vAlign w:val="bottom"/>
            <w:hideMark/>
          </w:tcPr>
          <w:p w14:paraId="1EEB87DC" w14:textId="77777777" w:rsidR="00FE7F8B" w:rsidRDefault="00FE7F8B">
            <w:pPr>
              <w:pStyle w:val="TableTextFinancial"/>
              <w:jc w:val="right"/>
            </w:pPr>
            <w:r>
              <w:t>(238.2)</w:t>
            </w:r>
          </w:p>
        </w:tc>
        <w:tc>
          <w:tcPr>
            <w:tcW w:w="1248" w:type="dxa"/>
            <w:tcBorders>
              <w:top w:val="nil"/>
              <w:left w:val="nil"/>
              <w:bottom w:val="single" w:sz="4" w:space="0" w:color="auto"/>
              <w:right w:val="nil"/>
            </w:tcBorders>
            <w:vAlign w:val="bottom"/>
            <w:hideMark/>
          </w:tcPr>
          <w:p w14:paraId="4CC7C36F" w14:textId="77777777" w:rsidR="00FE7F8B" w:rsidRDefault="00FE7F8B">
            <w:pPr>
              <w:pStyle w:val="TableTextFinancial"/>
              <w:jc w:val="right"/>
            </w:pPr>
            <w:r>
              <w:t>(2.5)</w:t>
            </w:r>
          </w:p>
        </w:tc>
        <w:tc>
          <w:tcPr>
            <w:tcW w:w="1248" w:type="dxa"/>
            <w:tcBorders>
              <w:top w:val="nil"/>
              <w:left w:val="nil"/>
              <w:bottom w:val="single" w:sz="4" w:space="0" w:color="auto"/>
              <w:right w:val="nil"/>
            </w:tcBorders>
            <w:vAlign w:val="bottom"/>
            <w:hideMark/>
          </w:tcPr>
          <w:p w14:paraId="26A1623A" w14:textId="77777777" w:rsidR="00FE7F8B" w:rsidRDefault="00FE7F8B">
            <w:pPr>
              <w:pStyle w:val="TableTextFinancial"/>
              <w:jc w:val="right"/>
            </w:pPr>
            <w:r>
              <w:t>(3.2)</w:t>
            </w:r>
          </w:p>
        </w:tc>
        <w:tc>
          <w:tcPr>
            <w:tcW w:w="1305" w:type="dxa"/>
            <w:tcBorders>
              <w:top w:val="nil"/>
              <w:left w:val="nil"/>
              <w:bottom w:val="single" w:sz="4" w:space="0" w:color="auto"/>
              <w:right w:val="nil"/>
            </w:tcBorders>
            <w:vAlign w:val="bottom"/>
            <w:hideMark/>
          </w:tcPr>
          <w:p w14:paraId="184209F0" w14:textId="77777777" w:rsidR="00FE7F8B" w:rsidRDefault="00FE7F8B">
            <w:pPr>
              <w:pStyle w:val="TableTextFinancial"/>
              <w:jc w:val="right"/>
            </w:pPr>
            <w:r>
              <w:t>(0.2)</w:t>
            </w:r>
          </w:p>
        </w:tc>
        <w:tc>
          <w:tcPr>
            <w:tcW w:w="1248" w:type="dxa"/>
            <w:tcBorders>
              <w:top w:val="nil"/>
              <w:left w:val="nil"/>
              <w:bottom w:val="single" w:sz="4" w:space="0" w:color="auto"/>
              <w:right w:val="nil"/>
            </w:tcBorders>
            <w:vAlign w:val="bottom"/>
            <w:hideMark/>
          </w:tcPr>
          <w:p w14:paraId="3883FEE0" w14:textId="77777777" w:rsidR="00FE7F8B" w:rsidRDefault="00FE7F8B">
            <w:pPr>
              <w:pStyle w:val="TableTextFinancial"/>
              <w:jc w:val="right"/>
            </w:pPr>
            <w:r>
              <w:t>(52.3)</w:t>
            </w:r>
          </w:p>
        </w:tc>
        <w:tc>
          <w:tcPr>
            <w:tcW w:w="1248" w:type="dxa"/>
            <w:tcBorders>
              <w:top w:val="nil"/>
              <w:left w:val="nil"/>
              <w:bottom w:val="single" w:sz="4" w:space="0" w:color="auto"/>
              <w:right w:val="nil"/>
            </w:tcBorders>
            <w:vAlign w:val="bottom"/>
            <w:hideMark/>
          </w:tcPr>
          <w:p w14:paraId="3AD5A42D" w14:textId="77777777" w:rsidR="00FE7F8B" w:rsidRDefault="00FE7F8B">
            <w:pPr>
              <w:pStyle w:val="TableTextFinancial"/>
              <w:jc w:val="right"/>
            </w:pPr>
            <w:r>
              <w:t>-</w:t>
            </w:r>
          </w:p>
        </w:tc>
        <w:tc>
          <w:tcPr>
            <w:tcW w:w="1248" w:type="dxa"/>
            <w:tcBorders>
              <w:top w:val="nil"/>
              <w:left w:val="nil"/>
              <w:bottom w:val="single" w:sz="4" w:space="0" w:color="auto"/>
              <w:right w:val="nil"/>
            </w:tcBorders>
            <w:vAlign w:val="bottom"/>
            <w:hideMark/>
          </w:tcPr>
          <w:p w14:paraId="31083328" w14:textId="77777777" w:rsidR="00FE7F8B" w:rsidRDefault="00FE7F8B">
            <w:pPr>
              <w:pStyle w:val="TableTextFinancial"/>
              <w:jc w:val="right"/>
              <w:rPr>
                <w:b/>
              </w:rPr>
            </w:pPr>
            <w:r>
              <w:rPr>
                <w:b/>
              </w:rPr>
              <w:t>(296.4)</w:t>
            </w:r>
          </w:p>
        </w:tc>
      </w:tr>
      <w:tr w:rsidR="00FE7F8B" w14:paraId="7AB83D97" w14:textId="77777777" w:rsidTr="00FE7F8B">
        <w:tc>
          <w:tcPr>
            <w:tcW w:w="3921"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55432664" w14:textId="77777777" w:rsidR="00FE7F8B" w:rsidRDefault="00FE7F8B">
            <w:pPr>
              <w:pStyle w:val="TableTextFinancial"/>
              <w:rPr>
                <w:b/>
              </w:rPr>
            </w:pPr>
            <w:r>
              <w:rPr>
                <w:b/>
              </w:rPr>
              <w:t>Closing balance</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C24BB66" w14:textId="77777777" w:rsidR="00FE7F8B" w:rsidRDefault="00FE7F8B">
            <w:pPr>
              <w:pStyle w:val="TableTextFinancial"/>
              <w:jc w:val="right"/>
              <w:rPr>
                <w:b/>
              </w:rPr>
            </w:pPr>
            <w:r>
              <w:rPr>
                <w:b/>
              </w:rPr>
              <w:t>7,895.7</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7835EF33" w14:textId="77777777" w:rsidR="00FE7F8B" w:rsidRDefault="00FE7F8B">
            <w:pPr>
              <w:pStyle w:val="TableTextFinancial"/>
              <w:jc w:val="right"/>
              <w:rPr>
                <w:b/>
              </w:rPr>
            </w:pPr>
            <w:r>
              <w:rPr>
                <w:b/>
              </w:rPr>
              <w:t>8,266.8</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48266BBE" w14:textId="77777777" w:rsidR="00FE7F8B" w:rsidRDefault="00FE7F8B">
            <w:pPr>
              <w:pStyle w:val="TableTextFinancial"/>
              <w:jc w:val="right"/>
              <w:rPr>
                <w:b/>
              </w:rPr>
            </w:pPr>
            <w:r>
              <w:rPr>
                <w:b/>
              </w:rPr>
              <w:t>58.1</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5002760" w14:textId="77777777" w:rsidR="00FE7F8B" w:rsidRDefault="00FE7F8B">
            <w:pPr>
              <w:pStyle w:val="TableTextFinancial"/>
              <w:jc w:val="right"/>
              <w:rPr>
                <w:b/>
              </w:rPr>
            </w:pPr>
            <w:r>
              <w:rPr>
                <w:b/>
              </w:rPr>
              <w:t>191.0</w:t>
            </w:r>
          </w:p>
        </w:tc>
        <w:tc>
          <w:tcPr>
            <w:tcW w:w="130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71F34F0F" w14:textId="77777777" w:rsidR="00FE7F8B" w:rsidRDefault="00FE7F8B">
            <w:pPr>
              <w:pStyle w:val="TableTextFinancial"/>
              <w:jc w:val="right"/>
              <w:rPr>
                <w:b/>
              </w:rPr>
            </w:pPr>
            <w:r>
              <w:rPr>
                <w:b/>
              </w:rPr>
              <w:t>0.5</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1E2CF3B4" w14:textId="77777777" w:rsidR="00FE7F8B" w:rsidRDefault="00FE7F8B">
            <w:pPr>
              <w:pStyle w:val="TableTextFinancial"/>
              <w:jc w:val="right"/>
              <w:rPr>
                <w:b/>
              </w:rPr>
            </w:pPr>
            <w:r>
              <w:rPr>
                <w:b/>
              </w:rPr>
              <w:t>109.0</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D8E009B" w14:textId="77777777" w:rsidR="00FE7F8B" w:rsidRDefault="00FE7F8B">
            <w:pPr>
              <w:pStyle w:val="TableTextFinancial"/>
              <w:jc w:val="right"/>
              <w:rPr>
                <w:b/>
              </w:rPr>
            </w:pPr>
            <w:r>
              <w:rPr>
                <w:b/>
              </w:rPr>
              <w:t>309.0</w:t>
            </w:r>
          </w:p>
        </w:tc>
        <w:tc>
          <w:tcPr>
            <w:tcW w:w="1248"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BBA0757" w14:textId="77777777" w:rsidR="00FE7F8B" w:rsidRDefault="00FE7F8B">
            <w:pPr>
              <w:pStyle w:val="TableTextFinancial"/>
              <w:jc w:val="right"/>
              <w:rPr>
                <w:b/>
              </w:rPr>
            </w:pPr>
            <w:r>
              <w:rPr>
                <w:b/>
              </w:rPr>
              <w:t>16,830.2</w:t>
            </w:r>
          </w:p>
        </w:tc>
      </w:tr>
    </w:tbl>
    <w:p w14:paraId="091FB169" w14:textId="77777777" w:rsidR="00FE7F8B" w:rsidRDefault="00FE7F8B" w:rsidP="00BB1129">
      <w:pPr>
        <w:pStyle w:val="DETFootnoteTextforobjectivestablesOHStable"/>
        <w:spacing w:before="120"/>
        <w:rPr>
          <w:sz w:val="13"/>
        </w:rPr>
      </w:pPr>
      <w:r>
        <w:t>1 The change in accounting policy to the fair value measurement of closed school buildings on surplus land resulted in the impairment of school buildings of $40.0 million in 2015. For closed school buildings on surplus land, the highest and best use is to demolish the buildings and sell the land as a vacant site. On this basis, the recoverable amount of closed school buildings is zero as there are no future economic benefits associated with the buildings.</w:t>
      </w:r>
    </w:p>
    <w:p w14:paraId="1FE5BDD2" w14:textId="77777777" w:rsidR="00FE7F8B" w:rsidRDefault="00FE7F8B" w:rsidP="00FE7F8B">
      <w:r>
        <w:rPr>
          <w:b/>
        </w:rPr>
        <w:br w:type="page"/>
      </w:r>
    </w:p>
    <w:p w14:paraId="4BAFEF5D" w14:textId="77777777" w:rsidR="00FE7F8B" w:rsidRDefault="00FE7F8B" w:rsidP="00FE7F8B">
      <w:pPr>
        <w:spacing w:after="0" w:line="240" w:lineRule="auto"/>
        <w:sectPr w:rsidR="00FE7F8B">
          <w:footnotePr>
            <w:numRestart w:val="eachPage"/>
          </w:footnotePr>
          <w:pgSz w:w="16834" w:h="11909" w:orient="landscape"/>
          <w:pgMar w:top="2835" w:right="1304" w:bottom="1418" w:left="1418" w:header="709" w:footer="709" w:gutter="0"/>
          <w:cols w:space="720"/>
        </w:sectPr>
      </w:pPr>
    </w:p>
    <w:p w14:paraId="377EA6F7" w14:textId="77777777" w:rsidR="00FE7F8B" w:rsidRDefault="00FE7F8B" w:rsidP="00FE7F8B">
      <w:bookmarkStart w:id="92" w:name="_Ref399509997"/>
      <w:r>
        <w:t>Tables 5 to 8 provide the fair value measurement hierarchy of the Department’s property, plant and equipment.</w:t>
      </w:r>
    </w:p>
    <w:p w14:paraId="10D825F4" w14:textId="77777777" w:rsidR="00FE7F8B" w:rsidRDefault="00FE7F8B" w:rsidP="00FE7F8B">
      <w:pPr>
        <w:pStyle w:val="Caption"/>
      </w:pPr>
      <w:r>
        <w:t xml:space="preserve">Table </w:t>
      </w:r>
      <w:fldSimple w:instr=" SEQ Table \* ARABIC ">
        <w:r w:rsidR="00B60957">
          <w:rPr>
            <w:noProof/>
          </w:rPr>
          <w:t>5</w:t>
        </w:r>
      </w:fldSimple>
      <w:bookmarkEnd w:id="92"/>
      <w:r>
        <w:t>—</w:t>
      </w:r>
      <w:proofErr w:type="gramStart"/>
      <w:r>
        <w:t>Fair</w:t>
      </w:r>
      <w:proofErr w:type="gramEnd"/>
      <w:r>
        <w:t xml:space="preserve"> value measurement hierarchy for assets as at 30 June 2016</w:t>
      </w:r>
    </w:p>
    <w:tbl>
      <w:tblPr>
        <w:tblW w:w="5000" w:type="pct"/>
        <w:tblCellMar>
          <w:left w:w="0" w:type="dxa"/>
          <w:right w:w="0" w:type="dxa"/>
        </w:tblCellMar>
        <w:tblLook w:val="04A0" w:firstRow="1" w:lastRow="0" w:firstColumn="1" w:lastColumn="0" w:noHBand="0" w:noVBand="1"/>
      </w:tblPr>
      <w:tblGrid>
        <w:gridCol w:w="2621"/>
        <w:gridCol w:w="1236"/>
        <w:gridCol w:w="1132"/>
        <w:gridCol w:w="1150"/>
        <w:gridCol w:w="1234"/>
      </w:tblGrid>
      <w:tr w:rsidR="00FE7F8B" w14:paraId="54788638" w14:textId="77777777" w:rsidTr="00FE7F8B">
        <w:tc>
          <w:tcPr>
            <w:tcW w:w="1777" w:type="pct"/>
            <w:shd w:val="clear" w:color="auto" w:fill="7F7F7F" w:themeFill="text1" w:themeFillTint="80"/>
            <w:vAlign w:val="center"/>
          </w:tcPr>
          <w:p w14:paraId="4F34BB69" w14:textId="77777777" w:rsidR="00FE7F8B" w:rsidRDefault="00FE7F8B">
            <w:pPr>
              <w:pStyle w:val="Tablecolumnheading"/>
              <w:jc w:val="center"/>
              <w:rPr>
                <w:lang w:eastAsia="en-AU"/>
              </w:rPr>
            </w:pPr>
          </w:p>
        </w:tc>
        <w:tc>
          <w:tcPr>
            <w:tcW w:w="838" w:type="pct"/>
            <w:shd w:val="clear" w:color="auto" w:fill="7F7F7F" w:themeFill="text1" w:themeFillTint="80"/>
            <w:vAlign w:val="center"/>
          </w:tcPr>
          <w:p w14:paraId="350686B5" w14:textId="77777777" w:rsidR="00FE7F8B" w:rsidRDefault="00FE7F8B">
            <w:pPr>
              <w:pStyle w:val="Tablecolumnheading"/>
              <w:jc w:val="center"/>
              <w:rPr>
                <w:lang w:eastAsia="en-AU"/>
              </w:rPr>
            </w:pPr>
          </w:p>
        </w:tc>
        <w:tc>
          <w:tcPr>
            <w:tcW w:w="2384" w:type="pct"/>
            <w:gridSpan w:val="3"/>
            <w:shd w:val="clear" w:color="auto" w:fill="7F7F7F" w:themeFill="text1" w:themeFillTint="80"/>
            <w:vAlign w:val="center"/>
            <w:hideMark/>
          </w:tcPr>
          <w:p w14:paraId="566AA63E" w14:textId="77777777" w:rsidR="00FE7F8B" w:rsidRDefault="00FE7F8B">
            <w:pPr>
              <w:pStyle w:val="Tablecolumnheading"/>
              <w:jc w:val="center"/>
              <w:rPr>
                <w:lang w:eastAsia="en-AU"/>
              </w:rPr>
            </w:pPr>
            <w:r>
              <w:rPr>
                <w:lang w:eastAsia="en-AU"/>
              </w:rPr>
              <w:t>Fair value measurement at end of reporting period using:</w:t>
            </w:r>
          </w:p>
        </w:tc>
      </w:tr>
      <w:tr w:rsidR="00FE7F8B" w14:paraId="374DAC42" w14:textId="77777777" w:rsidTr="00FE7F8B">
        <w:tc>
          <w:tcPr>
            <w:tcW w:w="1777" w:type="pct"/>
            <w:shd w:val="clear" w:color="auto" w:fill="7F7F7F" w:themeFill="text1" w:themeFillTint="80"/>
            <w:vAlign w:val="center"/>
            <w:hideMark/>
          </w:tcPr>
          <w:p w14:paraId="2EC1E930" w14:textId="77777777" w:rsidR="00FE7F8B" w:rsidRDefault="00FE7F8B">
            <w:pPr>
              <w:pStyle w:val="Tablecolumnheading"/>
              <w:jc w:val="center"/>
              <w:rPr>
                <w:lang w:eastAsia="en-AU"/>
              </w:rPr>
            </w:pPr>
            <w:r>
              <w:rPr>
                <w:lang w:eastAsia="en-AU"/>
              </w:rPr>
              <w:t>2016</w:t>
            </w:r>
          </w:p>
        </w:tc>
        <w:tc>
          <w:tcPr>
            <w:tcW w:w="838" w:type="pct"/>
            <w:shd w:val="clear" w:color="auto" w:fill="7F7F7F" w:themeFill="text1" w:themeFillTint="80"/>
            <w:vAlign w:val="center"/>
            <w:hideMark/>
          </w:tcPr>
          <w:p w14:paraId="601B9DEB" w14:textId="77777777" w:rsidR="00FE7F8B" w:rsidRDefault="00FE7F8B">
            <w:pPr>
              <w:pStyle w:val="Tablecolumnheading"/>
              <w:jc w:val="center"/>
              <w:rPr>
                <w:lang w:eastAsia="en-AU"/>
              </w:rPr>
            </w:pPr>
            <w:r>
              <w:rPr>
                <w:lang w:eastAsia="en-AU"/>
              </w:rPr>
              <w:t>Carrying amount as at 30 June 2016</w:t>
            </w:r>
            <w:r>
              <w:rPr>
                <w:lang w:eastAsia="en-AU"/>
              </w:rPr>
              <w:br/>
              <w:t>$m</w:t>
            </w:r>
          </w:p>
        </w:tc>
        <w:tc>
          <w:tcPr>
            <w:tcW w:w="768" w:type="pct"/>
            <w:shd w:val="clear" w:color="auto" w:fill="7F7F7F" w:themeFill="text1" w:themeFillTint="80"/>
            <w:vAlign w:val="center"/>
            <w:hideMark/>
          </w:tcPr>
          <w:p w14:paraId="1E862527" w14:textId="77777777" w:rsidR="00FE7F8B" w:rsidRDefault="00FE7F8B">
            <w:pPr>
              <w:pStyle w:val="Tablecolumnheading"/>
              <w:jc w:val="center"/>
              <w:rPr>
                <w:lang w:eastAsia="en-AU"/>
              </w:rPr>
            </w:pPr>
            <w:r>
              <w:rPr>
                <w:lang w:eastAsia="en-AU"/>
              </w:rPr>
              <w:t>Level 1</w:t>
            </w:r>
            <w:r>
              <w:rPr>
                <w:rStyle w:val="FootnoteReference"/>
              </w:rPr>
              <w:t>1</w:t>
            </w:r>
            <w:r>
              <w:rPr>
                <w:lang w:eastAsia="en-AU"/>
              </w:rPr>
              <w:br/>
              <w:t>$m</w:t>
            </w:r>
          </w:p>
        </w:tc>
        <w:tc>
          <w:tcPr>
            <w:tcW w:w="780" w:type="pct"/>
            <w:shd w:val="clear" w:color="auto" w:fill="7F7F7F" w:themeFill="text1" w:themeFillTint="80"/>
            <w:vAlign w:val="center"/>
            <w:hideMark/>
          </w:tcPr>
          <w:p w14:paraId="1B4C0869" w14:textId="77777777" w:rsidR="00FE7F8B" w:rsidRDefault="00FE7F8B">
            <w:pPr>
              <w:pStyle w:val="Tablecolumnheading"/>
              <w:jc w:val="center"/>
              <w:rPr>
                <w:lang w:eastAsia="en-AU"/>
              </w:rPr>
            </w:pPr>
            <w:r>
              <w:rPr>
                <w:lang w:eastAsia="en-AU"/>
              </w:rPr>
              <w:t>Level 2</w:t>
            </w:r>
            <w:r>
              <w:rPr>
                <w:rStyle w:val="FootnoteReference"/>
              </w:rPr>
              <w:t>1</w:t>
            </w:r>
            <w:r>
              <w:rPr>
                <w:lang w:eastAsia="en-AU"/>
              </w:rPr>
              <w:br/>
              <w:t>$m</w:t>
            </w:r>
          </w:p>
        </w:tc>
        <w:tc>
          <w:tcPr>
            <w:tcW w:w="837" w:type="pct"/>
            <w:shd w:val="clear" w:color="auto" w:fill="7F7F7F" w:themeFill="text1" w:themeFillTint="80"/>
            <w:vAlign w:val="center"/>
            <w:hideMark/>
          </w:tcPr>
          <w:p w14:paraId="4EEB634F" w14:textId="77777777" w:rsidR="00FE7F8B" w:rsidRDefault="00FE7F8B">
            <w:pPr>
              <w:pStyle w:val="Tablecolumnheading"/>
              <w:jc w:val="center"/>
              <w:rPr>
                <w:lang w:eastAsia="en-AU"/>
              </w:rPr>
            </w:pPr>
            <w:r>
              <w:rPr>
                <w:lang w:eastAsia="en-AU"/>
              </w:rPr>
              <w:t>Level 3</w:t>
            </w:r>
            <w:r>
              <w:rPr>
                <w:rStyle w:val="FootnoteReference"/>
              </w:rPr>
              <w:t>1</w:t>
            </w:r>
            <w:r>
              <w:rPr>
                <w:lang w:eastAsia="en-AU"/>
              </w:rPr>
              <w:br/>
              <w:t>$m</w:t>
            </w:r>
          </w:p>
        </w:tc>
      </w:tr>
      <w:tr w:rsidR="00FE7F8B" w14:paraId="6BC80956" w14:textId="77777777" w:rsidTr="00FE7F8B">
        <w:tc>
          <w:tcPr>
            <w:tcW w:w="5000" w:type="pct"/>
            <w:gridSpan w:val="5"/>
            <w:vAlign w:val="bottom"/>
            <w:hideMark/>
          </w:tcPr>
          <w:p w14:paraId="39D642A8" w14:textId="77777777" w:rsidR="00FE7F8B" w:rsidRDefault="00FE7F8B">
            <w:pPr>
              <w:pStyle w:val="TableTextFinancial"/>
              <w:rPr>
                <w:rFonts w:eastAsia="Times New Roman"/>
                <w:bCs w:val="0"/>
                <w:szCs w:val="16"/>
              </w:rPr>
            </w:pPr>
            <w:r>
              <w:rPr>
                <w:rFonts w:eastAsia="Times New Roman"/>
                <w:bCs w:val="0"/>
                <w:szCs w:val="16"/>
              </w:rPr>
              <w:t>Land at fair value</w:t>
            </w:r>
          </w:p>
        </w:tc>
      </w:tr>
      <w:tr w:rsidR="00FE7F8B" w14:paraId="3901470D" w14:textId="77777777" w:rsidTr="00FE7F8B">
        <w:tc>
          <w:tcPr>
            <w:tcW w:w="1777" w:type="pct"/>
            <w:tcBorders>
              <w:top w:val="nil"/>
              <w:left w:val="nil"/>
              <w:bottom w:val="single" w:sz="4" w:space="0" w:color="auto"/>
              <w:right w:val="nil"/>
            </w:tcBorders>
            <w:vAlign w:val="bottom"/>
            <w:hideMark/>
          </w:tcPr>
          <w:p w14:paraId="741B0E11" w14:textId="77777777" w:rsidR="00FE7F8B" w:rsidRDefault="00FE7F8B">
            <w:pPr>
              <w:pStyle w:val="Tabletextnoindent"/>
              <w:ind w:left="205"/>
              <w:rPr>
                <w:szCs w:val="16"/>
              </w:rPr>
            </w:pPr>
            <w:r>
              <w:rPr>
                <w:sz w:val="16"/>
                <w:szCs w:val="16"/>
              </w:rPr>
              <w:t>Land</w:t>
            </w:r>
          </w:p>
        </w:tc>
        <w:tc>
          <w:tcPr>
            <w:tcW w:w="838" w:type="pct"/>
            <w:tcBorders>
              <w:top w:val="nil"/>
              <w:left w:val="nil"/>
              <w:bottom w:val="single" w:sz="4" w:space="0" w:color="auto"/>
              <w:right w:val="nil"/>
            </w:tcBorders>
            <w:vAlign w:val="bottom"/>
            <w:hideMark/>
          </w:tcPr>
          <w:p w14:paraId="4CF79CAF" w14:textId="77777777" w:rsidR="00FE7F8B" w:rsidRDefault="00FE7F8B">
            <w:pPr>
              <w:pStyle w:val="TableTextFinancial"/>
              <w:jc w:val="right"/>
              <w:rPr>
                <w:szCs w:val="16"/>
              </w:rPr>
            </w:pPr>
            <w:r>
              <w:rPr>
                <w:szCs w:val="16"/>
                <w:lang w:val="en-US"/>
              </w:rPr>
              <w:t>9,367.6</w:t>
            </w:r>
          </w:p>
        </w:tc>
        <w:tc>
          <w:tcPr>
            <w:tcW w:w="768" w:type="pct"/>
            <w:tcBorders>
              <w:top w:val="nil"/>
              <w:left w:val="nil"/>
              <w:bottom w:val="single" w:sz="4" w:space="0" w:color="auto"/>
              <w:right w:val="nil"/>
            </w:tcBorders>
            <w:vAlign w:val="bottom"/>
            <w:hideMark/>
          </w:tcPr>
          <w:p w14:paraId="5242BED0" w14:textId="77777777" w:rsidR="00FE7F8B" w:rsidRDefault="00FE7F8B">
            <w:pPr>
              <w:pStyle w:val="TableTextFinancial"/>
              <w:jc w:val="right"/>
              <w:rPr>
                <w:szCs w:val="16"/>
              </w:rPr>
            </w:pPr>
            <w:r>
              <w:rPr>
                <w:szCs w:val="16"/>
              </w:rPr>
              <w:t>–</w:t>
            </w:r>
          </w:p>
        </w:tc>
        <w:tc>
          <w:tcPr>
            <w:tcW w:w="780" w:type="pct"/>
            <w:tcBorders>
              <w:top w:val="nil"/>
              <w:left w:val="nil"/>
              <w:bottom w:val="single" w:sz="4" w:space="0" w:color="auto"/>
              <w:right w:val="nil"/>
            </w:tcBorders>
            <w:vAlign w:val="bottom"/>
            <w:hideMark/>
          </w:tcPr>
          <w:p w14:paraId="659F1836" w14:textId="77777777" w:rsidR="00FE7F8B" w:rsidRDefault="00FE7F8B">
            <w:pPr>
              <w:pStyle w:val="TableTextFinancial"/>
              <w:jc w:val="right"/>
              <w:rPr>
                <w:szCs w:val="16"/>
              </w:rPr>
            </w:pPr>
            <w:r>
              <w:rPr>
                <w:szCs w:val="16"/>
              </w:rPr>
              <w:t>–</w:t>
            </w:r>
          </w:p>
        </w:tc>
        <w:tc>
          <w:tcPr>
            <w:tcW w:w="837" w:type="pct"/>
            <w:tcBorders>
              <w:top w:val="nil"/>
              <w:left w:val="nil"/>
              <w:bottom w:val="single" w:sz="4" w:space="0" w:color="auto"/>
              <w:right w:val="nil"/>
            </w:tcBorders>
            <w:vAlign w:val="bottom"/>
            <w:hideMark/>
          </w:tcPr>
          <w:p w14:paraId="2370C9FA" w14:textId="77777777" w:rsidR="00FE7F8B" w:rsidRDefault="00FE7F8B">
            <w:pPr>
              <w:pStyle w:val="TableTextFinancial"/>
              <w:jc w:val="right"/>
              <w:rPr>
                <w:szCs w:val="16"/>
              </w:rPr>
            </w:pPr>
            <w:r>
              <w:rPr>
                <w:szCs w:val="16"/>
                <w:lang w:val="en-US"/>
              </w:rPr>
              <w:t>9,367.6</w:t>
            </w:r>
          </w:p>
        </w:tc>
      </w:tr>
      <w:tr w:rsidR="00FE7F8B" w14:paraId="26A1AC68" w14:textId="77777777" w:rsidTr="00FE7F8B">
        <w:tc>
          <w:tcPr>
            <w:tcW w:w="1777" w:type="pct"/>
            <w:tcBorders>
              <w:top w:val="single" w:sz="4" w:space="0" w:color="auto"/>
              <w:left w:val="nil"/>
              <w:bottom w:val="single" w:sz="4" w:space="0" w:color="auto"/>
              <w:right w:val="nil"/>
            </w:tcBorders>
            <w:vAlign w:val="bottom"/>
            <w:hideMark/>
          </w:tcPr>
          <w:p w14:paraId="010F7F4A" w14:textId="77777777" w:rsidR="00FE7F8B" w:rsidRDefault="00FE7F8B">
            <w:pPr>
              <w:pStyle w:val="Tabletextnoindent"/>
              <w:rPr>
                <w:b/>
                <w:sz w:val="16"/>
                <w:szCs w:val="16"/>
              </w:rPr>
            </w:pPr>
            <w:r>
              <w:rPr>
                <w:b/>
                <w:sz w:val="16"/>
                <w:szCs w:val="16"/>
              </w:rPr>
              <w:t>Total land at fair value</w:t>
            </w:r>
          </w:p>
        </w:tc>
        <w:tc>
          <w:tcPr>
            <w:tcW w:w="838" w:type="pct"/>
            <w:tcBorders>
              <w:top w:val="single" w:sz="4" w:space="0" w:color="auto"/>
              <w:left w:val="nil"/>
              <w:bottom w:val="single" w:sz="4" w:space="0" w:color="auto"/>
              <w:right w:val="nil"/>
            </w:tcBorders>
            <w:vAlign w:val="bottom"/>
            <w:hideMark/>
          </w:tcPr>
          <w:p w14:paraId="4A92EAE3" w14:textId="77777777" w:rsidR="00FE7F8B" w:rsidRDefault="00FE7F8B">
            <w:pPr>
              <w:pStyle w:val="TableTextFinancial"/>
              <w:jc w:val="right"/>
              <w:rPr>
                <w:b/>
                <w:szCs w:val="16"/>
              </w:rPr>
            </w:pPr>
            <w:r>
              <w:rPr>
                <w:b/>
                <w:szCs w:val="16"/>
                <w:lang w:val="en-US"/>
              </w:rPr>
              <w:t>9,367.6</w:t>
            </w:r>
          </w:p>
        </w:tc>
        <w:tc>
          <w:tcPr>
            <w:tcW w:w="768" w:type="pct"/>
            <w:tcBorders>
              <w:top w:val="single" w:sz="4" w:space="0" w:color="auto"/>
              <w:left w:val="nil"/>
              <w:bottom w:val="single" w:sz="4" w:space="0" w:color="auto"/>
              <w:right w:val="nil"/>
            </w:tcBorders>
            <w:hideMark/>
          </w:tcPr>
          <w:p w14:paraId="0149D85E" w14:textId="77777777" w:rsidR="00FE7F8B" w:rsidRDefault="00FE7F8B">
            <w:pPr>
              <w:pStyle w:val="TableTextFinancial"/>
              <w:jc w:val="right"/>
              <w:rPr>
                <w:b/>
                <w:szCs w:val="16"/>
              </w:rPr>
            </w:pPr>
            <w:r>
              <w:rPr>
                <w:szCs w:val="16"/>
              </w:rPr>
              <w:t>–</w:t>
            </w:r>
          </w:p>
        </w:tc>
        <w:tc>
          <w:tcPr>
            <w:tcW w:w="780" w:type="pct"/>
            <w:tcBorders>
              <w:top w:val="single" w:sz="4" w:space="0" w:color="auto"/>
              <w:left w:val="nil"/>
              <w:bottom w:val="single" w:sz="4" w:space="0" w:color="auto"/>
              <w:right w:val="nil"/>
            </w:tcBorders>
            <w:hideMark/>
          </w:tcPr>
          <w:p w14:paraId="08FE3B2F" w14:textId="77777777" w:rsidR="00FE7F8B" w:rsidRDefault="00FE7F8B">
            <w:pPr>
              <w:pStyle w:val="TableTextFinancial"/>
              <w:jc w:val="right"/>
              <w:rPr>
                <w:b/>
                <w:szCs w:val="16"/>
              </w:rPr>
            </w:pPr>
            <w:r>
              <w:rPr>
                <w:szCs w:val="16"/>
              </w:rPr>
              <w:t>–</w:t>
            </w:r>
          </w:p>
        </w:tc>
        <w:tc>
          <w:tcPr>
            <w:tcW w:w="837" w:type="pct"/>
            <w:tcBorders>
              <w:top w:val="single" w:sz="4" w:space="0" w:color="auto"/>
              <w:left w:val="nil"/>
              <w:bottom w:val="single" w:sz="4" w:space="0" w:color="auto"/>
              <w:right w:val="nil"/>
            </w:tcBorders>
            <w:vAlign w:val="bottom"/>
            <w:hideMark/>
          </w:tcPr>
          <w:p w14:paraId="1C3133EC" w14:textId="77777777" w:rsidR="00FE7F8B" w:rsidRDefault="00FE7F8B">
            <w:pPr>
              <w:pStyle w:val="TableTextFinancial"/>
              <w:jc w:val="right"/>
              <w:rPr>
                <w:b/>
                <w:szCs w:val="16"/>
              </w:rPr>
            </w:pPr>
            <w:r>
              <w:rPr>
                <w:b/>
                <w:szCs w:val="16"/>
                <w:lang w:val="en-US"/>
              </w:rPr>
              <w:t>9,367.6</w:t>
            </w:r>
          </w:p>
        </w:tc>
      </w:tr>
      <w:tr w:rsidR="00FE7F8B" w14:paraId="2D7F66CF" w14:textId="77777777" w:rsidTr="00FE7F8B">
        <w:tc>
          <w:tcPr>
            <w:tcW w:w="5000" w:type="pct"/>
            <w:gridSpan w:val="5"/>
            <w:tcBorders>
              <w:top w:val="single" w:sz="4" w:space="0" w:color="auto"/>
              <w:left w:val="nil"/>
              <w:bottom w:val="nil"/>
              <w:right w:val="nil"/>
            </w:tcBorders>
            <w:vAlign w:val="bottom"/>
          </w:tcPr>
          <w:p w14:paraId="235FCE70" w14:textId="77777777" w:rsidR="00FE7F8B" w:rsidRDefault="00FE7F8B">
            <w:pPr>
              <w:pStyle w:val="TableTextFinancial"/>
              <w:rPr>
                <w:szCs w:val="16"/>
              </w:rPr>
            </w:pPr>
          </w:p>
        </w:tc>
      </w:tr>
      <w:tr w:rsidR="00FE7F8B" w14:paraId="5A9206BA" w14:textId="77777777" w:rsidTr="00FE7F8B">
        <w:tc>
          <w:tcPr>
            <w:tcW w:w="5000" w:type="pct"/>
            <w:gridSpan w:val="5"/>
            <w:vAlign w:val="bottom"/>
            <w:hideMark/>
          </w:tcPr>
          <w:p w14:paraId="0B97D34E" w14:textId="77777777" w:rsidR="00FE7F8B" w:rsidRDefault="00FE7F8B">
            <w:pPr>
              <w:pStyle w:val="TableTextFinancial"/>
              <w:rPr>
                <w:rFonts w:eastAsia="Times New Roman"/>
                <w:bCs w:val="0"/>
                <w:szCs w:val="16"/>
              </w:rPr>
            </w:pPr>
            <w:r>
              <w:rPr>
                <w:rFonts w:eastAsia="Times New Roman"/>
                <w:bCs w:val="0"/>
                <w:szCs w:val="16"/>
              </w:rPr>
              <w:t>Buildings at fair value</w:t>
            </w:r>
          </w:p>
        </w:tc>
      </w:tr>
      <w:tr w:rsidR="00FE7F8B" w14:paraId="41FA2C59" w14:textId="77777777" w:rsidTr="00C47EBC">
        <w:tc>
          <w:tcPr>
            <w:tcW w:w="1777" w:type="pct"/>
            <w:tcBorders>
              <w:top w:val="nil"/>
              <w:left w:val="nil"/>
              <w:bottom w:val="single" w:sz="4" w:space="0" w:color="auto"/>
              <w:right w:val="nil"/>
            </w:tcBorders>
            <w:vAlign w:val="bottom"/>
            <w:hideMark/>
          </w:tcPr>
          <w:p w14:paraId="2F18F649" w14:textId="77777777" w:rsidR="00FE7F8B" w:rsidRDefault="00FE7F8B">
            <w:pPr>
              <w:pStyle w:val="Tabletextnoindent"/>
              <w:ind w:left="205"/>
              <w:rPr>
                <w:szCs w:val="16"/>
              </w:rPr>
            </w:pPr>
            <w:r>
              <w:rPr>
                <w:sz w:val="16"/>
                <w:szCs w:val="16"/>
              </w:rPr>
              <w:t>Buildings</w:t>
            </w:r>
          </w:p>
        </w:tc>
        <w:tc>
          <w:tcPr>
            <w:tcW w:w="838" w:type="pct"/>
            <w:tcBorders>
              <w:top w:val="nil"/>
              <w:left w:val="nil"/>
              <w:bottom w:val="single" w:sz="4" w:space="0" w:color="auto"/>
              <w:right w:val="nil"/>
            </w:tcBorders>
            <w:vAlign w:val="bottom"/>
            <w:hideMark/>
          </w:tcPr>
          <w:p w14:paraId="6BAD0F1B" w14:textId="77777777" w:rsidR="00FE7F8B" w:rsidRDefault="00FE7F8B">
            <w:pPr>
              <w:pStyle w:val="TableTextFinancial"/>
              <w:jc w:val="right"/>
              <w:rPr>
                <w:szCs w:val="16"/>
              </w:rPr>
            </w:pPr>
            <w:r>
              <w:rPr>
                <w:szCs w:val="16"/>
                <w:lang w:val="en-US"/>
              </w:rPr>
              <w:t>10,014.0</w:t>
            </w:r>
          </w:p>
        </w:tc>
        <w:tc>
          <w:tcPr>
            <w:tcW w:w="768" w:type="pct"/>
            <w:tcBorders>
              <w:top w:val="nil"/>
              <w:left w:val="nil"/>
              <w:bottom w:val="single" w:sz="4" w:space="0" w:color="auto"/>
              <w:right w:val="nil"/>
            </w:tcBorders>
            <w:vAlign w:val="bottom"/>
            <w:hideMark/>
          </w:tcPr>
          <w:p w14:paraId="69296EAD" w14:textId="77777777" w:rsidR="00FE7F8B" w:rsidRDefault="00FE7F8B" w:rsidP="00C47EBC">
            <w:pPr>
              <w:pStyle w:val="TableTextFinancial"/>
              <w:jc w:val="right"/>
              <w:rPr>
                <w:szCs w:val="16"/>
              </w:rPr>
            </w:pPr>
            <w:r>
              <w:rPr>
                <w:szCs w:val="16"/>
              </w:rPr>
              <w:t>–</w:t>
            </w:r>
          </w:p>
        </w:tc>
        <w:tc>
          <w:tcPr>
            <w:tcW w:w="780" w:type="pct"/>
            <w:tcBorders>
              <w:top w:val="nil"/>
              <w:left w:val="nil"/>
              <w:bottom w:val="single" w:sz="4" w:space="0" w:color="auto"/>
              <w:right w:val="nil"/>
            </w:tcBorders>
            <w:vAlign w:val="bottom"/>
            <w:hideMark/>
          </w:tcPr>
          <w:p w14:paraId="7587C407" w14:textId="77777777" w:rsidR="00FE7F8B" w:rsidRDefault="00FE7F8B" w:rsidP="00C47EBC">
            <w:pPr>
              <w:pStyle w:val="TableTextFinancial"/>
              <w:jc w:val="right"/>
              <w:rPr>
                <w:szCs w:val="16"/>
              </w:rPr>
            </w:pPr>
            <w:r>
              <w:rPr>
                <w:szCs w:val="16"/>
              </w:rPr>
              <w:t>–</w:t>
            </w:r>
          </w:p>
        </w:tc>
        <w:tc>
          <w:tcPr>
            <w:tcW w:w="837" w:type="pct"/>
            <w:tcBorders>
              <w:top w:val="nil"/>
              <w:left w:val="nil"/>
              <w:bottom w:val="single" w:sz="4" w:space="0" w:color="auto"/>
              <w:right w:val="nil"/>
            </w:tcBorders>
            <w:vAlign w:val="bottom"/>
            <w:hideMark/>
          </w:tcPr>
          <w:p w14:paraId="747830EF" w14:textId="77777777" w:rsidR="00FE7F8B" w:rsidRDefault="00FE7F8B">
            <w:pPr>
              <w:pStyle w:val="TableTextFinancial"/>
              <w:jc w:val="right"/>
              <w:rPr>
                <w:szCs w:val="16"/>
              </w:rPr>
            </w:pPr>
            <w:r>
              <w:rPr>
                <w:szCs w:val="16"/>
                <w:lang w:val="en-US"/>
              </w:rPr>
              <w:t>10,014.0</w:t>
            </w:r>
          </w:p>
        </w:tc>
      </w:tr>
      <w:tr w:rsidR="00FE7F8B" w14:paraId="64C32A34" w14:textId="77777777" w:rsidTr="00FE7F8B">
        <w:tc>
          <w:tcPr>
            <w:tcW w:w="1777" w:type="pct"/>
            <w:tcBorders>
              <w:top w:val="single" w:sz="4" w:space="0" w:color="auto"/>
              <w:left w:val="nil"/>
              <w:bottom w:val="single" w:sz="4" w:space="0" w:color="auto"/>
              <w:right w:val="nil"/>
            </w:tcBorders>
            <w:vAlign w:val="bottom"/>
            <w:hideMark/>
          </w:tcPr>
          <w:p w14:paraId="35841EFC" w14:textId="77777777" w:rsidR="00FE7F8B" w:rsidRDefault="00FE7F8B">
            <w:pPr>
              <w:pStyle w:val="Tabletextnoindent"/>
              <w:rPr>
                <w:b/>
                <w:sz w:val="16"/>
                <w:szCs w:val="16"/>
              </w:rPr>
            </w:pPr>
            <w:r>
              <w:rPr>
                <w:b/>
                <w:sz w:val="16"/>
                <w:szCs w:val="16"/>
              </w:rPr>
              <w:t>Total of buildings at fair value</w:t>
            </w:r>
          </w:p>
        </w:tc>
        <w:tc>
          <w:tcPr>
            <w:tcW w:w="838" w:type="pct"/>
            <w:tcBorders>
              <w:top w:val="single" w:sz="4" w:space="0" w:color="auto"/>
              <w:left w:val="nil"/>
              <w:bottom w:val="single" w:sz="4" w:space="0" w:color="auto"/>
              <w:right w:val="nil"/>
            </w:tcBorders>
            <w:vAlign w:val="bottom"/>
            <w:hideMark/>
          </w:tcPr>
          <w:p w14:paraId="28A57C6B" w14:textId="77777777" w:rsidR="00FE7F8B" w:rsidRDefault="00FE7F8B">
            <w:pPr>
              <w:pStyle w:val="TableTextFinancial"/>
              <w:jc w:val="right"/>
              <w:rPr>
                <w:b/>
                <w:szCs w:val="16"/>
              </w:rPr>
            </w:pPr>
            <w:r>
              <w:rPr>
                <w:b/>
                <w:szCs w:val="16"/>
                <w:lang w:val="en-US"/>
              </w:rPr>
              <w:t>10,014.0</w:t>
            </w:r>
          </w:p>
        </w:tc>
        <w:tc>
          <w:tcPr>
            <w:tcW w:w="768" w:type="pct"/>
            <w:tcBorders>
              <w:top w:val="single" w:sz="4" w:space="0" w:color="auto"/>
              <w:left w:val="nil"/>
              <w:bottom w:val="single" w:sz="4" w:space="0" w:color="auto"/>
              <w:right w:val="nil"/>
            </w:tcBorders>
            <w:hideMark/>
          </w:tcPr>
          <w:p w14:paraId="6FA2EAA9" w14:textId="77777777" w:rsidR="00FE7F8B" w:rsidRDefault="00FE7F8B">
            <w:pPr>
              <w:pStyle w:val="TableTextFinancial"/>
              <w:jc w:val="right"/>
              <w:rPr>
                <w:b/>
                <w:szCs w:val="16"/>
              </w:rPr>
            </w:pPr>
            <w:r>
              <w:rPr>
                <w:szCs w:val="16"/>
              </w:rPr>
              <w:t>–</w:t>
            </w:r>
          </w:p>
        </w:tc>
        <w:tc>
          <w:tcPr>
            <w:tcW w:w="780" w:type="pct"/>
            <w:tcBorders>
              <w:top w:val="single" w:sz="4" w:space="0" w:color="auto"/>
              <w:left w:val="nil"/>
              <w:bottom w:val="single" w:sz="4" w:space="0" w:color="auto"/>
              <w:right w:val="nil"/>
            </w:tcBorders>
            <w:hideMark/>
          </w:tcPr>
          <w:p w14:paraId="581154C5" w14:textId="77777777" w:rsidR="00FE7F8B" w:rsidRDefault="00FE7F8B">
            <w:pPr>
              <w:pStyle w:val="TableTextFinancial"/>
              <w:jc w:val="right"/>
              <w:rPr>
                <w:b/>
                <w:szCs w:val="16"/>
              </w:rPr>
            </w:pPr>
            <w:r>
              <w:rPr>
                <w:szCs w:val="16"/>
              </w:rPr>
              <w:t>–</w:t>
            </w:r>
          </w:p>
        </w:tc>
        <w:tc>
          <w:tcPr>
            <w:tcW w:w="837" w:type="pct"/>
            <w:tcBorders>
              <w:top w:val="single" w:sz="4" w:space="0" w:color="auto"/>
              <w:left w:val="nil"/>
              <w:bottom w:val="single" w:sz="4" w:space="0" w:color="auto"/>
              <w:right w:val="nil"/>
            </w:tcBorders>
            <w:vAlign w:val="bottom"/>
            <w:hideMark/>
          </w:tcPr>
          <w:p w14:paraId="2BEE01AE" w14:textId="77777777" w:rsidR="00FE7F8B" w:rsidRDefault="00FE7F8B">
            <w:pPr>
              <w:pStyle w:val="TableTextFinancial"/>
              <w:jc w:val="right"/>
              <w:rPr>
                <w:b/>
                <w:szCs w:val="16"/>
              </w:rPr>
            </w:pPr>
            <w:r>
              <w:rPr>
                <w:b/>
                <w:szCs w:val="16"/>
                <w:lang w:val="en-US"/>
              </w:rPr>
              <w:t>10,014.0</w:t>
            </w:r>
          </w:p>
        </w:tc>
      </w:tr>
      <w:tr w:rsidR="00FE7F8B" w14:paraId="0EA27E8D" w14:textId="77777777" w:rsidTr="00FE7F8B">
        <w:tc>
          <w:tcPr>
            <w:tcW w:w="5000" w:type="pct"/>
            <w:gridSpan w:val="5"/>
            <w:tcBorders>
              <w:top w:val="single" w:sz="4" w:space="0" w:color="auto"/>
              <w:left w:val="nil"/>
              <w:bottom w:val="nil"/>
              <w:right w:val="nil"/>
            </w:tcBorders>
            <w:vAlign w:val="bottom"/>
          </w:tcPr>
          <w:p w14:paraId="2E36FD5C" w14:textId="77777777" w:rsidR="00FE7F8B" w:rsidRDefault="00FE7F8B">
            <w:pPr>
              <w:pStyle w:val="TableTextFinancial"/>
              <w:rPr>
                <w:szCs w:val="16"/>
              </w:rPr>
            </w:pPr>
          </w:p>
        </w:tc>
      </w:tr>
      <w:tr w:rsidR="00FE7F8B" w14:paraId="75A9727C" w14:textId="77777777" w:rsidTr="00FE7F8B">
        <w:tc>
          <w:tcPr>
            <w:tcW w:w="5000" w:type="pct"/>
            <w:gridSpan w:val="5"/>
            <w:vAlign w:val="bottom"/>
            <w:hideMark/>
          </w:tcPr>
          <w:p w14:paraId="0ADDAFAF" w14:textId="77777777" w:rsidR="00FE7F8B" w:rsidRDefault="00FE7F8B">
            <w:pPr>
              <w:pStyle w:val="TableTextFinancial"/>
              <w:rPr>
                <w:rFonts w:eastAsia="Times New Roman"/>
                <w:bCs w:val="0"/>
                <w:szCs w:val="16"/>
              </w:rPr>
            </w:pPr>
            <w:r>
              <w:rPr>
                <w:rFonts w:eastAsia="Times New Roman"/>
                <w:bCs w:val="0"/>
                <w:szCs w:val="16"/>
              </w:rPr>
              <w:t>Heritage buildings at fair value</w:t>
            </w:r>
          </w:p>
        </w:tc>
      </w:tr>
      <w:tr w:rsidR="00FE7F8B" w14:paraId="645B0314" w14:textId="77777777" w:rsidTr="00C47EBC">
        <w:tc>
          <w:tcPr>
            <w:tcW w:w="1777" w:type="pct"/>
            <w:tcBorders>
              <w:top w:val="nil"/>
              <w:left w:val="nil"/>
              <w:bottom w:val="single" w:sz="4" w:space="0" w:color="auto"/>
              <w:right w:val="nil"/>
            </w:tcBorders>
            <w:vAlign w:val="bottom"/>
            <w:hideMark/>
          </w:tcPr>
          <w:p w14:paraId="0099FBCF" w14:textId="77777777" w:rsidR="00FE7F8B" w:rsidRDefault="00FE7F8B">
            <w:pPr>
              <w:pStyle w:val="Tabletextnoindent"/>
              <w:ind w:left="205"/>
              <w:rPr>
                <w:szCs w:val="16"/>
              </w:rPr>
            </w:pPr>
            <w:r>
              <w:rPr>
                <w:sz w:val="16"/>
                <w:szCs w:val="16"/>
              </w:rPr>
              <w:t>Heritage Buildings</w:t>
            </w:r>
          </w:p>
        </w:tc>
        <w:tc>
          <w:tcPr>
            <w:tcW w:w="838" w:type="pct"/>
            <w:tcBorders>
              <w:top w:val="nil"/>
              <w:left w:val="nil"/>
              <w:bottom w:val="single" w:sz="4" w:space="0" w:color="auto"/>
              <w:right w:val="nil"/>
            </w:tcBorders>
            <w:vAlign w:val="bottom"/>
            <w:hideMark/>
          </w:tcPr>
          <w:p w14:paraId="2E5DD1F2" w14:textId="77777777" w:rsidR="00FE7F8B" w:rsidRDefault="00FE7F8B">
            <w:pPr>
              <w:pStyle w:val="TableTextFinancial"/>
              <w:jc w:val="right"/>
              <w:rPr>
                <w:szCs w:val="16"/>
              </w:rPr>
            </w:pPr>
            <w:r>
              <w:rPr>
                <w:szCs w:val="16"/>
              </w:rPr>
              <w:t>104.1</w:t>
            </w:r>
          </w:p>
        </w:tc>
        <w:tc>
          <w:tcPr>
            <w:tcW w:w="768" w:type="pct"/>
            <w:tcBorders>
              <w:top w:val="nil"/>
              <w:left w:val="nil"/>
              <w:bottom w:val="single" w:sz="4" w:space="0" w:color="auto"/>
              <w:right w:val="nil"/>
            </w:tcBorders>
            <w:vAlign w:val="bottom"/>
            <w:hideMark/>
          </w:tcPr>
          <w:p w14:paraId="604C0F06" w14:textId="77777777" w:rsidR="00FE7F8B" w:rsidRDefault="00FE7F8B" w:rsidP="00C47EBC">
            <w:pPr>
              <w:pStyle w:val="TableTextFinancial"/>
              <w:jc w:val="right"/>
              <w:rPr>
                <w:szCs w:val="16"/>
              </w:rPr>
            </w:pPr>
            <w:r>
              <w:rPr>
                <w:szCs w:val="16"/>
              </w:rPr>
              <w:t>–</w:t>
            </w:r>
          </w:p>
        </w:tc>
        <w:tc>
          <w:tcPr>
            <w:tcW w:w="780" w:type="pct"/>
            <w:tcBorders>
              <w:top w:val="nil"/>
              <w:left w:val="nil"/>
              <w:bottom w:val="single" w:sz="4" w:space="0" w:color="auto"/>
              <w:right w:val="nil"/>
            </w:tcBorders>
            <w:vAlign w:val="bottom"/>
            <w:hideMark/>
          </w:tcPr>
          <w:p w14:paraId="60E943EA" w14:textId="77777777" w:rsidR="00FE7F8B" w:rsidRDefault="00FE7F8B" w:rsidP="00C47EBC">
            <w:pPr>
              <w:pStyle w:val="TableTextFinancial"/>
              <w:jc w:val="right"/>
              <w:rPr>
                <w:szCs w:val="16"/>
              </w:rPr>
            </w:pPr>
            <w:r>
              <w:rPr>
                <w:szCs w:val="16"/>
              </w:rPr>
              <w:t>–</w:t>
            </w:r>
          </w:p>
        </w:tc>
        <w:tc>
          <w:tcPr>
            <w:tcW w:w="837" w:type="pct"/>
            <w:tcBorders>
              <w:top w:val="nil"/>
              <w:left w:val="nil"/>
              <w:bottom w:val="single" w:sz="4" w:space="0" w:color="auto"/>
              <w:right w:val="nil"/>
            </w:tcBorders>
            <w:vAlign w:val="bottom"/>
            <w:hideMark/>
          </w:tcPr>
          <w:p w14:paraId="6FDF4B5C" w14:textId="77777777" w:rsidR="00FE7F8B" w:rsidRDefault="00FE7F8B">
            <w:pPr>
              <w:pStyle w:val="TableTextFinancial"/>
              <w:jc w:val="right"/>
              <w:rPr>
                <w:szCs w:val="16"/>
              </w:rPr>
            </w:pPr>
            <w:r>
              <w:rPr>
                <w:szCs w:val="16"/>
              </w:rPr>
              <w:t>104.1</w:t>
            </w:r>
          </w:p>
        </w:tc>
      </w:tr>
      <w:tr w:rsidR="00FE7F8B" w14:paraId="1F3FA2DA" w14:textId="77777777" w:rsidTr="00C47EBC">
        <w:tc>
          <w:tcPr>
            <w:tcW w:w="1777" w:type="pct"/>
            <w:tcBorders>
              <w:top w:val="single" w:sz="4" w:space="0" w:color="auto"/>
              <w:left w:val="nil"/>
              <w:bottom w:val="single" w:sz="4" w:space="0" w:color="auto"/>
              <w:right w:val="nil"/>
            </w:tcBorders>
            <w:vAlign w:val="bottom"/>
            <w:hideMark/>
          </w:tcPr>
          <w:p w14:paraId="1291FD72" w14:textId="77777777" w:rsidR="00FE7F8B" w:rsidRDefault="00FE7F8B">
            <w:pPr>
              <w:pStyle w:val="Tabletextnoindent"/>
              <w:rPr>
                <w:b/>
                <w:sz w:val="16"/>
                <w:szCs w:val="16"/>
              </w:rPr>
            </w:pPr>
            <w:r>
              <w:rPr>
                <w:b/>
                <w:sz w:val="16"/>
                <w:szCs w:val="16"/>
              </w:rPr>
              <w:t>Total of heritage buildings at fair value</w:t>
            </w:r>
          </w:p>
        </w:tc>
        <w:tc>
          <w:tcPr>
            <w:tcW w:w="838" w:type="pct"/>
            <w:tcBorders>
              <w:top w:val="single" w:sz="4" w:space="0" w:color="auto"/>
              <w:left w:val="nil"/>
              <w:bottom w:val="single" w:sz="4" w:space="0" w:color="auto"/>
              <w:right w:val="nil"/>
            </w:tcBorders>
            <w:vAlign w:val="bottom"/>
            <w:hideMark/>
          </w:tcPr>
          <w:p w14:paraId="05B4B677" w14:textId="77777777" w:rsidR="00FE7F8B" w:rsidRDefault="00FE7F8B">
            <w:pPr>
              <w:pStyle w:val="TableTextFinancial"/>
              <w:jc w:val="right"/>
              <w:rPr>
                <w:b/>
                <w:szCs w:val="16"/>
              </w:rPr>
            </w:pPr>
            <w:r>
              <w:rPr>
                <w:b/>
                <w:szCs w:val="16"/>
              </w:rPr>
              <w:t>104.1</w:t>
            </w:r>
          </w:p>
        </w:tc>
        <w:tc>
          <w:tcPr>
            <w:tcW w:w="768" w:type="pct"/>
            <w:tcBorders>
              <w:top w:val="single" w:sz="4" w:space="0" w:color="auto"/>
              <w:left w:val="nil"/>
              <w:bottom w:val="single" w:sz="4" w:space="0" w:color="auto"/>
              <w:right w:val="nil"/>
            </w:tcBorders>
            <w:vAlign w:val="bottom"/>
            <w:hideMark/>
          </w:tcPr>
          <w:p w14:paraId="00C8A19E" w14:textId="77777777" w:rsidR="00FE7F8B" w:rsidRDefault="00FE7F8B" w:rsidP="00C47EBC">
            <w:pPr>
              <w:pStyle w:val="TableTextFinancial"/>
              <w:jc w:val="right"/>
              <w:rPr>
                <w:b/>
                <w:szCs w:val="16"/>
              </w:rPr>
            </w:pPr>
            <w:r>
              <w:rPr>
                <w:szCs w:val="16"/>
              </w:rPr>
              <w:t>–</w:t>
            </w:r>
          </w:p>
        </w:tc>
        <w:tc>
          <w:tcPr>
            <w:tcW w:w="780" w:type="pct"/>
            <w:tcBorders>
              <w:top w:val="single" w:sz="4" w:space="0" w:color="auto"/>
              <w:left w:val="nil"/>
              <w:bottom w:val="single" w:sz="4" w:space="0" w:color="auto"/>
              <w:right w:val="nil"/>
            </w:tcBorders>
            <w:vAlign w:val="bottom"/>
            <w:hideMark/>
          </w:tcPr>
          <w:p w14:paraId="2BECC839" w14:textId="77777777" w:rsidR="00FE7F8B" w:rsidRDefault="00FE7F8B" w:rsidP="00C47EBC">
            <w:pPr>
              <w:pStyle w:val="TableTextFinancial"/>
              <w:jc w:val="right"/>
              <w:rPr>
                <w:b/>
                <w:szCs w:val="16"/>
              </w:rPr>
            </w:pPr>
            <w:r>
              <w:rPr>
                <w:szCs w:val="16"/>
              </w:rPr>
              <w:t>–</w:t>
            </w:r>
          </w:p>
        </w:tc>
        <w:tc>
          <w:tcPr>
            <w:tcW w:w="837" w:type="pct"/>
            <w:tcBorders>
              <w:top w:val="single" w:sz="4" w:space="0" w:color="auto"/>
              <w:left w:val="nil"/>
              <w:bottom w:val="single" w:sz="4" w:space="0" w:color="auto"/>
              <w:right w:val="nil"/>
            </w:tcBorders>
            <w:vAlign w:val="bottom"/>
            <w:hideMark/>
          </w:tcPr>
          <w:p w14:paraId="35C9F16D" w14:textId="77777777" w:rsidR="00FE7F8B" w:rsidRDefault="00FE7F8B">
            <w:pPr>
              <w:pStyle w:val="TableTextFinancial"/>
              <w:jc w:val="right"/>
              <w:rPr>
                <w:b/>
                <w:szCs w:val="16"/>
              </w:rPr>
            </w:pPr>
            <w:r>
              <w:rPr>
                <w:b/>
                <w:szCs w:val="16"/>
              </w:rPr>
              <w:t>104.1</w:t>
            </w:r>
          </w:p>
        </w:tc>
      </w:tr>
      <w:tr w:rsidR="00FE7F8B" w14:paraId="199E7F38" w14:textId="77777777" w:rsidTr="00FE7F8B">
        <w:tc>
          <w:tcPr>
            <w:tcW w:w="5000" w:type="pct"/>
            <w:gridSpan w:val="5"/>
            <w:tcBorders>
              <w:top w:val="single" w:sz="4" w:space="0" w:color="auto"/>
              <w:left w:val="nil"/>
              <w:bottom w:val="nil"/>
              <w:right w:val="nil"/>
            </w:tcBorders>
            <w:vAlign w:val="bottom"/>
          </w:tcPr>
          <w:p w14:paraId="6757427C" w14:textId="77777777" w:rsidR="00FE7F8B" w:rsidRDefault="00FE7F8B">
            <w:pPr>
              <w:pStyle w:val="TableTextFinancial"/>
              <w:rPr>
                <w:szCs w:val="16"/>
              </w:rPr>
            </w:pPr>
          </w:p>
        </w:tc>
      </w:tr>
      <w:tr w:rsidR="00FE7F8B" w14:paraId="74F8C185" w14:textId="77777777" w:rsidTr="00FE7F8B">
        <w:tc>
          <w:tcPr>
            <w:tcW w:w="5000" w:type="pct"/>
            <w:gridSpan w:val="5"/>
            <w:vAlign w:val="bottom"/>
            <w:hideMark/>
          </w:tcPr>
          <w:p w14:paraId="70833798" w14:textId="77777777" w:rsidR="00FE7F8B" w:rsidRDefault="00FE7F8B">
            <w:pPr>
              <w:pStyle w:val="TableTextFinancial"/>
              <w:rPr>
                <w:rFonts w:eastAsia="Times New Roman"/>
                <w:bCs w:val="0"/>
                <w:szCs w:val="16"/>
              </w:rPr>
            </w:pPr>
            <w:r>
              <w:rPr>
                <w:rFonts w:eastAsia="Times New Roman"/>
                <w:bCs w:val="0"/>
                <w:szCs w:val="16"/>
              </w:rPr>
              <w:t>Leasehold buildings at fair value</w:t>
            </w:r>
          </w:p>
        </w:tc>
      </w:tr>
      <w:tr w:rsidR="00FE7F8B" w14:paraId="523FDD37" w14:textId="77777777" w:rsidTr="00C47EBC">
        <w:tc>
          <w:tcPr>
            <w:tcW w:w="1777" w:type="pct"/>
            <w:tcBorders>
              <w:top w:val="nil"/>
              <w:left w:val="nil"/>
              <w:bottom w:val="single" w:sz="4" w:space="0" w:color="auto"/>
              <w:right w:val="nil"/>
            </w:tcBorders>
            <w:vAlign w:val="bottom"/>
            <w:hideMark/>
          </w:tcPr>
          <w:p w14:paraId="0624FC89" w14:textId="77777777" w:rsidR="00FE7F8B" w:rsidRDefault="00FE7F8B">
            <w:pPr>
              <w:pStyle w:val="Tabletextnoindent"/>
              <w:ind w:left="205"/>
              <w:rPr>
                <w:szCs w:val="16"/>
              </w:rPr>
            </w:pPr>
            <w:r>
              <w:rPr>
                <w:sz w:val="16"/>
                <w:szCs w:val="16"/>
              </w:rPr>
              <w:t>Leasehold buildings</w:t>
            </w:r>
          </w:p>
        </w:tc>
        <w:tc>
          <w:tcPr>
            <w:tcW w:w="838" w:type="pct"/>
            <w:tcBorders>
              <w:top w:val="nil"/>
              <w:left w:val="nil"/>
              <w:bottom w:val="single" w:sz="4" w:space="0" w:color="auto"/>
              <w:right w:val="nil"/>
            </w:tcBorders>
            <w:vAlign w:val="bottom"/>
            <w:hideMark/>
          </w:tcPr>
          <w:p w14:paraId="53F8D8ED" w14:textId="77777777" w:rsidR="00FE7F8B" w:rsidRDefault="00FE7F8B">
            <w:pPr>
              <w:pStyle w:val="TableTextFinancial"/>
              <w:jc w:val="right"/>
              <w:rPr>
                <w:szCs w:val="16"/>
              </w:rPr>
            </w:pPr>
            <w:r>
              <w:rPr>
                <w:szCs w:val="16"/>
                <w:lang w:val="en-US"/>
              </w:rPr>
              <w:t>145.0</w:t>
            </w:r>
          </w:p>
        </w:tc>
        <w:tc>
          <w:tcPr>
            <w:tcW w:w="768" w:type="pct"/>
            <w:tcBorders>
              <w:top w:val="nil"/>
              <w:left w:val="nil"/>
              <w:bottom w:val="single" w:sz="4" w:space="0" w:color="auto"/>
              <w:right w:val="nil"/>
            </w:tcBorders>
            <w:vAlign w:val="bottom"/>
            <w:hideMark/>
          </w:tcPr>
          <w:p w14:paraId="0CA6EF0B" w14:textId="77777777" w:rsidR="00FE7F8B" w:rsidRDefault="00FE7F8B" w:rsidP="00C47EBC">
            <w:pPr>
              <w:pStyle w:val="TableTextFinancial"/>
              <w:jc w:val="right"/>
              <w:rPr>
                <w:szCs w:val="16"/>
              </w:rPr>
            </w:pPr>
            <w:r>
              <w:rPr>
                <w:szCs w:val="16"/>
              </w:rPr>
              <w:t>–</w:t>
            </w:r>
          </w:p>
        </w:tc>
        <w:tc>
          <w:tcPr>
            <w:tcW w:w="780" w:type="pct"/>
            <w:tcBorders>
              <w:top w:val="nil"/>
              <w:left w:val="nil"/>
              <w:bottom w:val="single" w:sz="4" w:space="0" w:color="auto"/>
              <w:right w:val="nil"/>
            </w:tcBorders>
            <w:vAlign w:val="bottom"/>
            <w:hideMark/>
          </w:tcPr>
          <w:p w14:paraId="7B2D1E88" w14:textId="77777777" w:rsidR="00FE7F8B" w:rsidRDefault="00FE7F8B" w:rsidP="00C47EBC">
            <w:pPr>
              <w:pStyle w:val="TableTextFinancial"/>
              <w:jc w:val="right"/>
              <w:rPr>
                <w:szCs w:val="16"/>
              </w:rPr>
            </w:pPr>
            <w:r>
              <w:rPr>
                <w:szCs w:val="16"/>
              </w:rPr>
              <w:t>–</w:t>
            </w:r>
          </w:p>
        </w:tc>
        <w:tc>
          <w:tcPr>
            <w:tcW w:w="837" w:type="pct"/>
            <w:tcBorders>
              <w:top w:val="nil"/>
              <w:left w:val="nil"/>
              <w:bottom w:val="single" w:sz="4" w:space="0" w:color="auto"/>
              <w:right w:val="nil"/>
            </w:tcBorders>
            <w:vAlign w:val="bottom"/>
            <w:hideMark/>
          </w:tcPr>
          <w:p w14:paraId="0CF947B0" w14:textId="77777777" w:rsidR="00FE7F8B" w:rsidRDefault="00FE7F8B">
            <w:pPr>
              <w:pStyle w:val="TableTextFinancial"/>
              <w:jc w:val="right"/>
              <w:rPr>
                <w:szCs w:val="16"/>
              </w:rPr>
            </w:pPr>
            <w:r>
              <w:rPr>
                <w:szCs w:val="16"/>
                <w:lang w:val="en-US"/>
              </w:rPr>
              <w:t>145.0</w:t>
            </w:r>
          </w:p>
        </w:tc>
      </w:tr>
      <w:tr w:rsidR="00FE7F8B" w14:paraId="6FD82E54" w14:textId="77777777" w:rsidTr="00C47EBC">
        <w:tc>
          <w:tcPr>
            <w:tcW w:w="1777" w:type="pct"/>
            <w:tcBorders>
              <w:top w:val="single" w:sz="4" w:space="0" w:color="auto"/>
              <w:left w:val="nil"/>
              <w:bottom w:val="single" w:sz="4" w:space="0" w:color="auto"/>
              <w:right w:val="nil"/>
            </w:tcBorders>
            <w:vAlign w:val="bottom"/>
            <w:hideMark/>
          </w:tcPr>
          <w:p w14:paraId="77165C3F" w14:textId="77777777" w:rsidR="00FE7F8B" w:rsidRDefault="00FE7F8B">
            <w:pPr>
              <w:pStyle w:val="Tabletextnoindent"/>
              <w:rPr>
                <w:b/>
                <w:sz w:val="16"/>
                <w:szCs w:val="16"/>
              </w:rPr>
            </w:pPr>
            <w:r>
              <w:rPr>
                <w:b/>
                <w:sz w:val="16"/>
                <w:szCs w:val="16"/>
              </w:rPr>
              <w:t>Total of leasehold buildings at fair value</w:t>
            </w:r>
          </w:p>
        </w:tc>
        <w:tc>
          <w:tcPr>
            <w:tcW w:w="838" w:type="pct"/>
            <w:tcBorders>
              <w:top w:val="single" w:sz="4" w:space="0" w:color="auto"/>
              <w:left w:val="nil"/>
              <w:bottom w:val="single" w:sz="4" w:space="0" w:color="auto"/>
              <w:right w:val="nil"/>
            </w:tcBorders>
            <w:vAlign w:val="bottom"/>
            <w:hideMark/>
          </w:tcPr>
          <w:p w14:paraId="2FDDD1DA" w14:textId="77777777" w:rsidR="00FE7F8B" w:rsidRDefault="00FE7F8B">
            <w:pPr>
              <w:pStyle w:val="TableTextFinancial"/>
              <w:jc w:val="right"/>
              <w:rPr>
                <w:b/>
                <w:szCs w:val="16"/>
              </w:rPr>
            </w:pPr>
            <w:r>
              <w:rPr>
                <w:b/>
                <w:szCs w:val="16"/>
                <w:lang w:val="en-US"/>
              </w:rPr>
              <w:t>145.0</w:t>
            </w:r>
          </w:p>
        </w:tc>
        <w:tc>
          <w:tcPr>
            <w:tcW w:w="768" w:type="pct"/>
            <w:tcBorders>
              <w:top w:val="single" w:sz="4" w:space="0" w:color="auto"/>
              <w:left w:val="nil"/>
              <w:bottom w:val="single" w:sz="4" w:space="0" w:color="auto"/>
              <w:right w:val="nil"/>
            </w:tcBorders>
            <w:vAlign w:val="bottom"/>
            <w:hideMark/>
          </w:tcPr>
          <w:p w14:paraId="6BC86080" w14:textId="77777777" w:rsidR="00FE7F8B" w:rsidRDefault="00FE7F8B" w:rsidP="00C47EBC">
            <w:pPr>
              <w:pStyle w:val="TableTextFinancial"/>
              <w:jc w:val="right"/>
              <w:rPr>
                <w:b/>
                <w:szCs w:val="16"/>
              </w:rPr>
            </w:pPr>
            <w:r>
              <w:rPr>
                <w:szCs w:val="16"/>
              </w:rPr>
              <w:t>–</w:t>
            </w:r>
          </w:p>
        </w:tc>
        <w:tc>
          <w:tcPr>
            <w:tcW w:w="780" w:type="pct"/>
            <w:tcBorders>
              <w:top w:val="single" w:sz="4" w:space="0" w:color="auto"/>
              <w:left w:val="nil"/>
              <w:bottom w:val="single" w:sz="4" w:space="0" w:color="auto"/>
              <w:right w:val="nil"/>
            </w:tcBorders>
            <w:vAlign w:val="bottom"/>
            <w:hideMark/>
          </w:tcPr>
          <w:p w14:paraId="012AF335" w14:textId="77777777" w:rsidR="00FE7F8B" w:rsidRDefault="00FE7F8B" w:rsidP="00C47EBC">
            <w:pPr>
              <w:pStyle w:val="TableTextFinancial"/>
              <w:jc w:val="right"/>
              <w:rPr>
                <w:b/>
                <w:szCs w:val="16"/>
              </w:rPr>
            </w:pPr>
            <w:r>
              <w:rPr>
                <w:szCs w:val="16"/>
              </w:rPr>
              <w:t>–</w:t>
            </w:r>
          </w:p>
        </w:tc>
        <w:tc>
          <w:tcPr>
            <w:tcW w:w="837" w:type="pct"/>
            <w:tcBorders>
              <w:top w:val="single" w:sz="4" w:space="0" w:color="auto"/>
              <w:left w:val="nil"/>
              <w:bottom w:val="single" w:sz="4" w:space="0" w:color="auto"/>
              <w:right w:val="nil"/>
            </w:tcBorders>
            <w:vAlign w:val="bottom"/>
            <w:hideMark/>
          </w:tcPr>
          <w:p w14:paraId="67C0F086" w14:textId="77777777" w:rsidR="00FE7F8B" w:rsidRDefault="00FE7F8B">
            <w:pPr>
              <w:pStyle w:val="TableTextFinancial"/>
              <w:jc w:val="right"/>
              <w:rPr>
                <w:b/>
                <w:szCs w:val="16"/>
              </w:rPr>
            </w:pPr>
            <w:r>
              <w:rPr>
                <w:b/>
                <w:szCs w:val="16"/>
                <w:lang w:val="en-US"/>
              </w:rPr>
              <w:t>145.0</w:t>
            </w:r>
          </w:p>
        </w:tc>
      </w:tr>
      <w:tr w:rsidR="00FE7F8B" w14:paraId="7908C797" w14:textId="77777777" w:rsidTr="00FE7F8B">
        <w:tc>
          <w:tcPr>
            <w:tcW w:w="5000" w:type="pct"/>
            <w:gridSpan w:val="5"/>
            <w:tcBorders>
              <w:top w:val="single" w:sz="4" w:space="0" w:color="auto"/>
              <w:left w:val="nil"/>
              <w:bottom w:val="nil"/>
              <w:right w:val="nil"/>
            </w:tcBorders>
            <w:vAlign w:val="bottom"/>
          </w:tcPr>
          <w:p w14:paraId="5376362A" w14:textId="77777777" w:rsidR="00FE7F8B" w:rsidRDefault="00FE7F8B">
            <w:pPr>
              <w:pStyle w:val="TableTextFinancial"/>
              <w:rPr>
                <w:szCs w:val="16"/>
              </w:rPr>
            </w:pPr>
          </w:p>
        </w:tc>
      </w:tr>
      <w:tr w:rsidR="00FE7F8B" w14:paraId="3AE70218" w14:textId="77777777" w:rsidTr="00FE7F8B">
        <w:tc>
          <w:tcPr>
            <w:tcW w:w="5000" w:type="pct"/>
            <w:gridSpan w:val="5"/>
            <w:vAlign w:val="bottom"/>
            <w:hideMark/>
          </w:tcPr>
          <w:p w14:paraId="60DDDFFE" w14:textId="77777777" w:rsidR="00FE7F8B" w:rsidRDefault="00FE7F8B">
            <w:pPr>
              <w:pStyle w:val="TableTextFinancial"/>
              <w:rPr>
                <w:rFonts w:eastAsia="Times New Roman"/>
                <w:bCs w:val="0"/>
                <w:szCs w:val="16"/>
              </w:rPr>
            </w:pPr>
            <w:r>
              <w:rPr>
                <w:rFonts w:eastAsia="Times New Roman"/>
                <w:bCs w:val="0"/>
                <w:szCs w:val="16"/>
              </w:rPr>
              <w:t>Leasehold improvements at fair value</w:t>
            </w:r>
          </w:p>
        </w:tc>
      </w:tr>
      <w:tr w:rsidR="00C47EBC" w14:paraId="77CAEB53" w14:textId="77777777" w:rsidTr="00DF05CD">
        <w:tc>
          <w:tcPr>
            <w:tcW w:w="1777" w:type="pct"/>
            <w:tcBorders>
              <w:top w:val="nil"/>
              <w:left w:val="nil"/>
              <w:bottom w:val="single" w:sz="4" w:space="0" w:color="auto"/>
              <w:right w:val="nil"/>
            </w:tcBorders>
            <w:vAlign w:val="bottom"/>
            <w:hideMark/>
          </w:tcPr>
          <w:p w14:paraId="4B481EFF" w14:textId="77777777" w:rsidR="00C47EBC" w:rsidRDefault="00C47EBC">
            <w:pPr>
              <w:pStyle w:val="Tabletextnoindent"/>
              <w:ind w:left="205"/>
              <w:rPr>
                <w:szCs w:val="16"/>
              </w:rPr>
            </w:pPr>
            <w:r>
              <w:rPr>
                <w:sz w:val="16"/>
                <w:szCs w:val="16"/>
              </w:rPr>
              <w:t>Leasehold improvements</w:t>
            </w:r>
          </w:p>
        </w:tc>
        <w:tc>
          <w:tcPr>
            <w:tcW w:w="838" w:type="pct"/>
            <w:tcBorders>
              <w:top w:val="nil"/>
              <w:left w:val="nil"/>
              <w:bottom w:val="single" w:sz="4" w:space="0" w:color="auto"/>
              <w:right w:val="nil"/>
            </w:tcBorders>
            <w:vAlign w:val="bottom"/>
            <w:hideMark/>
          </w:tcPr>
          <w:p w14:paraId="28D9F308" w14:textId="77777777" w:rsidR="00C47EBC" w:rsidRDefault="00C47EBC">
            <w:pPr>
              <w:pStyle w:val="TableTextFinancial"/>
              <w:jc w:val="right"/>
              <w:rPr>
                <w:szCs w:val="16"/>
              </w:rPr>
            </w:pPr>
            <w:r>
              <w:rPr>
                <w:szCs w:val="16"/>
                <w:lang w:val="en-US"/>
              </w:rPr>
              <w:t>3.7</w:t>
            </w:r>
          </w:p>
        </w:tc>
        <w:tc>
          <w:tcPr>
            <w:tcW w:w="768" w:type="pct"/>
            <w:tcBorders>
              <w:top w:val="nil"/>
              <w:left w:val="nil"/>
              <w:bottom w:val="single" w:sz="4" w:space="0" w:color="auto"/>
              <w:right w:val="nil"/>
            </w:tcBorders>
            <w:vAlign w:val="bottom"/>
          </w:tcPr>
          <w:p w14:paraId="4C4D3DF1" w14:textId="3415E97C" w:rsidR="00C47EBC" w:rsidRDefault="00C47EBC">
            <w:pPr>
              <w:pStyle w:val="TableTextFinancial"/>
              <w:jc w:val="right"/>
              <w:rPr>
                <w:szCs w:val="16"/>
              </w:rPr>
            </w:pPr>
            <w:r>
              <w:rPr>
                <w:szCs w:val="16"/>
              </w:rPr>
              <w:t>–</w:t>
            </w:r>
          </w:p>
        </w:tc>
        <w:tc>
          <w:tcPr>
            <w:tcW w:w="780" w:type="pct"/>
            <w:tcBorders>
              <w:top w:val="nil"/>
              <w:left w:val="nil"/>
              <w:bottom w:val="single" w:sz="4" w:space="0" w:color="auto"/>
              <w:right w:val="nil"/>
            </w:tcBorders>
            <w:vAlign w:val="bottom"/>
          </w:tcPr>
          <w:p w14:paraId="4A4E1DB1" w14:textId="47AB1888" w:rsidR="00C47EBC" w:rsidRDefault="00C47EBC">
            <w:pPr>
              <w:pStyle w:val="TableTextFinancial"/>
              <w:jc w:val="right"/>
              <w:rPr>
                <w:szCs w:val="16"/>
              </w:rPr>
            </w:pPr>
            <w:r>
              <w:rPr>
                <w:szCs w:val="16"/>
              </w:rPr>
              <w:t>–</w:t>
            </w:r>
          </w:p>
        </w:tc>
        <w:tc>
          <w:tcPr>
            <w:tcW w:w="837" w:type="pct"/>
            <w:tcBorders>
              <w:top w:val="nil"/>
              <w:left w:val="nil"/>
              <w:bottom w:val="single" w:sz="4" w:space="0" w:color="auto"/>
              <w:right w:val="nil"/>
            </w:tcBorders>
            <w:vAlign w:val="bottom"/>
            <w:hideMark/>
          </w:tcPr>
          <w:p w14:paraId="31D5F2A8" w14:textId="77777777" w:rsidR="00C47EBC" w:rsidRDefault="00C47EBC">
            <w:pPr>
              <w:pStyle w:val="TableTextFinancial"/>
              <w:jc w:val="right"/>
              <w:rPr>
                <w:szCs w:val="16"/>
              </w:rPr>
            </w:pPr>
            <w:r>
              <w:rPr>
                <w:szCs w:val="16"/>
                <w:lang w:val="en-US"/>
              </w:rPr>
              <w:t>3.7</w:t>
            </w:r>
          </w:p>
        </w:tc>
      </w:tr>
      <w:tr w:rsidR="00C47EBC" w14:paraId="06353299" w14:textId="77777777" w:rsidTr="00DF05CD">
        <w:tc>
          <w:tcPr>
            <w:tcW w:w="1777" w:type="pct"/>
            <w:tcBorders>
              <w:top w:val="single" w:sz="4" w:space="0" w:color="auto"/>
              <w:left w:val="nil"/>
              <w:bottom w:val="single" w:sz="4" w:space="0" w:color="auto"/>
              <w:right w:val="nil"/>
            </w:tcBorders>
            <w:vAlign w:val="bottom"/>
            <w:hideMark/>
          </w:tcPr>
          <w:p w14:paraId="3EB2B641" w14:textId="77777777" w:rsidR="00C47EBC" w:rsidRDefault="00C47EBC">
            <w:pPr>
              <w:pStyle w:val="Tabletextnoindent"/>
              <w:rPr>
                <w:b/>
                <w:sz w:val="16"/>
                <w:szCs w:val="16"/>
              </w:rPr>
            </w:pPr>
            <w:r>
              <w:rPr>
                <w:b/>
                <w:sz w:val="16"/>
                <w:szCs w:val="16"/>
              </w:rPr>
              <w:t>Total of leasehold improvements at fair value</w:t>
            </w:r>
          </w:p>
        </w:tc>
        <w:tc>
          <w:tcPr>
            <w:tcW w:w="838" w:type="pct"/>
            <w:tcBorders>
              <w:top w:val="single" w:sz="4" w:space="0" w:color="auto"/>
              <w:left w:val="nil"/>
              <w:bottom w:val="single" w:sz="4" w:space="0" w:color="auto"/>
              <w:right w:val="nil"/>
            </w:tcBorders>
            <w:vAlign w:val="bottom"/>
            <w:hideMark/>
          </w:tcPr>
          <w:p w14:paraId="6906B30D" w14:textId="77777777" w:rsidR="00C47EBC" w:rsidRDefault="00C47EBC">
            <w:pPr>
              <w:pStyle w:val="TableTextFinancial"/>
              <w:jc w:val="right"/>
              <w:rPr>
                <w:b/>
                <w:szCs w:val="16"/>
              </w:rPr>
            </w:pPr>
            <w:r>
              <w:rPr>
                <w:b/>
                <w:szCs w:val="16"/>
                <w:lang w:val="en-US"/>
              </w:rPr>
              <w:t>3.7</w:t>
            </w:r>
          </w:p>
        </w:tc>
        <w:tc>
          <w:tcPr>
            <w:tcW w:w="768" w:type="pct"/>
            <w:tcBorders>
              <w:top w:val="single" w:sz="4" w:space="0" w:color="auto"/>
              <w:left w:val="nil"/>
              <w:bottom w:val="single" w:sz="4" w:space="0" w:color="auto"/>
              <w:right w:val="nil"/>
            </w:tcBorders>
            <w:vAlign w:val="bottom"/>
          </w:tcPr>
          <w:p w14:paraId="410FF8F3" w14:textId="6C57A823" w:rsidR="00C47EBC" w:rsidRDefault="00C47EBC">
            <w:pPr>
              <w:pStyle w:val="TableTextFinancial"/>
              <w:jc w:val="right"/>
              <w:rPr>
                <w:b/>
                <w:szCs w:val="16"/>
              </w:rPr>
            </w:pPr>
            <w:r>
              <w:rPr>
                <w:szCs w:val="16"/>
              </w:rPr>
              <w:t>–</w:t>
            </w:r>
          </w:p>
        </w:tc>
        <w:tc>
          <w:tcPr>
            <w:tcW w:w="780" w:type="pct"/>
            <w:tcBorders>
              <w:top w:val="single" w:sz="4" w:space="0" w:color="auto"/>
              <w:left w:val="nil"/>
              <w:bottom w:val="single" w:sz="4" w:space="0" w:color="auto"/>
              <w:right w:val="nil"/>
            </w:tcBorders>
            <w:vAlign w:val="bottom"/>
          </w:tcPr>
          <w:p w14:paraId="1CCE6C74" w14:textId="79DA3EF9" w:rsidR="00C47EBC" w:rsidRDefault="00C47EBC">
            <w:pPr>
              <w:pStyle w:val="TableTextFinancial"/>
              <w:jc w:val="right"/>
              <w:rPr>
                <w:b/>
                <w:szCs w:val="16"/>
              </w:rPr>
            </w:pPr>
            <w:r>
              <w:rPr>
                <w:szCs w:val="16"/>
              </w:rPr>
              <w:t>–</w:t>
            </w:r>
          </w:p>
        </w:tc>
        <w:tc>
          <w:tcPr>
            <w:tcW w:w="837" w:type="pct"/>
            <w:tcBorders>
              <w:top w:val="single" w:sz="4" w:space="0" w:color="auto"/>
              <w:left w:val="nil"/>
              <w:bottom w:val="single" w:sz="4" w:space="0" w:color="auto"/>
              <w:right w:val="nil"/>
            </w:tcBorders>
            <w:vAlign w:val="bottom"/>
            <w:hideMark/>
          </w:tcPr>
          <w:p w14:paraId="36236061" w14:textId="77777777" w:rsidR="00C47EBC" w:rsidRDefault="00C47EBC">
            <w:pPr>
              <w:pStyle w:val="TableTextFinancial"/>
              <w:jc w:val="right"/>
              <w:rPr>
                <w:b/>
                <w:szCs w:val="16"/>
              </w:rPr>
            </w:pPr>
            <w:r>
              <w:rPr>
                <w:b/>
                <w:szCs w:val="16"/>
                <w:lang w:val="en-US"/>
              </w:rPr>
              <w:t>3.7</w:t>
            </w:r>
          </w:p>
        </w:tc>
      </w:tr>
      <w:tr w:rsidR="00FE7F8B" w14:paraId="3394FBA2" w14:textId="77777777" w:rsidTr="00FE7F8B">
        <w:tc>
          <w:tcPr>
            <w:tcW w:w="5000" w:type="pct"/>
            <w:gridSpan w:val="5"/>
            <w:tcBorders>
              <w:top w:val="single" w:sz="4" w:space="0" w:color="auto"/>
              <w:left w:val="nil"/>
              <w:bottom w:val="nil"/>
              <w:right w:val="nil"/>
            </w:tcBorders>
            <w:vAlign w:val="bottom"/>
          </w:tcPr>
          <w:p w14:paraId="41E2C464" w14:textId="77777777" w:rsidR="00FE7F8B" w:rsidRDefault="00FE7F8B">
            <w:pPr>
              <w:pStyle w:val="TableTextFinancial"/>
              <w:rPr>
                <w:szCs w:val="16"/>
              </w:rPr>
            </w:pPr>
          </w:p>
        </w:tc>
      </w:tr>
      <w:tr w:rsidR="00FE7F8B" w14:paraId="3A1408D9" w14:textId="77777777" w:rsidTr="00FE7F8B">
        <w:tc>
          <w:tcPr>
            <w:tcW w:w="5000" w:type="pct"/>
            <w:gridSpan w:val="5"/>
            <w:vAlign w:val="bottom"/>
            <w:hideMark/>
          </w:tcPr>
          <w:p w14:paraId="75863E61" w14:textId="77777777" w:rsidR="00FE7F8B" w:rsidRDefault="00FE7F8B">
            <w:pPr>
              <w:pStyle w:val="TableTextFinancial"/>
              <w:rPr>
                <w:rFonts w:eastAsia="Times New Roman"/>
                <w:bCs w:val="0"/>
                <w:szCs w:val="16"/>
              </w:rPr>
            </w:pPr>
            <w:r>
              <w:rPr>
                <w:rFonts w:eastAsia="Times New Roman"/>
                <w:bCs w:val="0"/>
                <w:szCs w:val="16"/>
              </w:rPr>
              <w:t>Plant and equipment at fair value</w:t>
            </w:r>
          </w:p>
        </w:tc>
      </w:tr>
      <w:tr w:rsidR="00FE7F8B" w14:paraId="2F4D8F99" w14:textId="77777777" w:rsidTr="00C47EBC">
        <w:tc>
          <w:tcPr>
            <w:tcW w:w="1777" w:type="pct"/>
            <w:tcBorders>
              <w:top w:val="nil"/>
              <w:left w:val="nil"/>
              <w:bottom w:val="single" w:sz="4" w:space="0" w:color="auto"/>
              <w:right w:val="nil"/>
            </w:tcBorders>
            <w:vAlign w:val="bottom"/>
            <w:hideMark/>
          </w:tcPr>
          <w:p w14:paraId="2DA43F2E" w14:textId="77777777" w:rsidR="00FE7F8B" w:rsidRDefault="00FE7F8B">
            <w:pPr>
              <w:pStyle w:val="Tabletextnoindent"/>
              <w:ind w:left="205"/>
              <w:rPr>
                <w:szCs w:val="16"/>
              </w:rPr>
            </w:pPr>
            <w:r>
              <w:rPr>
                <w:sz w:val="16"/>
                <w:szCs w:val="16"/>
              </w:rPr>
              <w:t>Plant and equipment</w:t>
            </w:r>
          </w:p>
        </w:tc>
        <w:tc>
          <w:tcPr>
            <w:tcW w:w="838" w:type="pct"/>
            <w:tcBorders>
              <w:top w:val="nil"/>
              <w:left w:val="nil"/>
              <w:bottom w:val="single" w:sz="4" w:space="0" w:color="auto"/>
              <w:right w:val="nil"/>
            </w:tcBorders>
            <w:vAlign w:val="bottom"/>
            <w:hideMark/>
          </w:tcPr>
          <w:p w14:paraId="11189318" w14:textId="77777777" w:rsidR="00FE7F8B" w:rsidRDefault="00FE7F8B">
            <w:pPr>
              <w:pStyle w:val="TableTextFinancial"/>
              <w:jc w:val="right"/>
              <w:rPr>
                <w:szCs w:val="16"/>
              </w:rPr>
            </w:pPr>
            <w:r>
              <w:rPr>
                <w:szCs w:val="16"/>
                <w:lang w:val="en-US"/>
              </w:rPr>
              <w:t>84.5</w:t>
            </w:r>
          </w:p>
        </w:tc>
        <w:tc>
          <w:tcPr>
            <w:tcW w:w="768" w:type="pct"/>
            <w:tcBorders>
              <w:top w:val="nil"/>
              <w:left w:val="nil"/>
              <w:bottom w:val="single" w:sz="4" w:space="0" w:color="auto"/>
              <w:right w:val="nil"/>
            </w:tcBorders>
            <w:vAlign w:val="bottom"/>
            <w:hideMark/>
          </w:tcPr>
          <w:p w14:paraId="76CFA8DA" w14:textId="77777777" w:rsidR="00FE7F8B" w:rsidRDefault="00FE7F8B" w:rsidP="00C47EBC">
            <w:pPr>
              <w:pStyle w:val="TableTextFinancial"/>
              <w:jc w:val="right"/>
              <w:rPr>
                <w:szCs w:val="16"/>
              </w:rPr>
            </w:pPr>
            <w:r>
              <w:rPr>
                <w:szCs w:val="16"/>
              </w:rPr>
              <w:t>–</w:t>
            </w:r>
          </w:p>
        </w:tc>
        <w:tc>
          <w:tcPr>
            <w:tcW w:w="780" w:type="pct"/>
            <w:tcBorders>
              <w:top w:val="nil"/>
              <w:left w:val="nil"/>
              <w:bottom w:val="single" w:sz="4" w:space="0" w:color="auto"/>
              <w:right w:val="nil"/>
            </w:tcBorders>
            <w:vAlign w:val="bottom"/>
            <w:hideMark/>
          </w:tcPr>
          <w:p w14:paraId="178DA8B0" w14:textId="118CE040" w:rsidR="00FE7F8B" w:rsidRDefault="00C47EBC" w:rsidP="00C47EBC">
            <w:pPr>
              <w:pStyle w:val="TableTextFinancial"/>
              <w:jc w:val="right"/>
              <w:rPr>
                <w:szCs w:val="16"/>
              </w:rPr>
            </w:pPr>
            <w:r>
              <w:rPr>
                <w:szCs w:val="16"/>
              </w:rPr>
              <w:t>11.3</w:t>
            </w:r>
          </w:p>
        </w:tc>
        <w:tc>
          <w:tcPr>
            <w:tcW w:w="837" w:type="pct"/>
            <w:tcBorders>
              <w:top w:val="nil"/>
              <w:left w:val="nil"/>
              <w:bottom w:val="single" w:sz="4" w:space="0" w:color="auto"/>
              <w:right w:val="nil"/>
            </w:tcBorders>
            <w:vAlign w:val="bottom"/>
            <w:hideMark/>
          </w:tcPr>
          <w:p w14:paraId="308D1439" w14:textId="77777777" w:rsidR="00FE7F8B" w:rsidRDefault="00FE7F8B">
            <w:pPr>
              <w:pStyle w:val="TableTextFinancial"/>
              <w:jc w:val="right"/>
              <w:rPr>
                <w:szCs w:val="16"/>
              </w:rPr>
            </w:pPr>
            <w:r>
              <w:rPr>
                <w:szCs w:val="16"/>
                <w:lang w:val="en-US"/>
              </w:rPr>
              <w:t>73.2</w:t>
            </w:r>
          </w:p>
        </w:tc>
      </w:tr>
      <w:tr w:rsidR="00FE7F8B" w14:paraId="6A184A7B" w14:textId="77777777" w:rsidTr="00C47EBC">
        <w:tc>
          <w:tcPr>
            <w:tcW w:w="1777" w:type="pct"/>
            <w:tcBorders>
              <w:top w:val="single" w:sz="4" w:space="0" w:color="auto"/>
              <w:left w:val="nil"/>
              <w:bottom w:val="single" w:sz="4" w:space="0" w:color="auto"/>
              <w:right w:val="nil"/>
            </w:tcBorders>
            <w:vAlign w:val="bottom"/>
            <w:hideMark/>
          </w:tcPr>
          <w:p w14:paraId="4D8A9F99" w14:textId="77777777" w:rsidR="00FE7F8B" w:rsidRDefault="00FE7F8B">
            <w:pPr>
              <w:pStyle w:val="Tabletextnoindent"/>
              <w:rPr>
                <w:b/>
                <w:sz w:val="16"/>
                <w:szCs w:val="16"/>
              </w:rPr>
            </w:pPr>
            <w:r>
              <w:rPr>
                <w:b/>
                <w:sz w:val="16"/>
                <w:szCs w:val="16"/>
              </w:rPr>
              <w:t>Total of plant and equipment at fair value</w:t>
            </w:r>
          </w:p>
        </w:tc>
        <w:tc>
          <w:tcPr>
            <w:tcW w:w="838" w:type="pct"/>
            <w:tcBorders>
              <w:top w:val="single" w:sz="4" w:space="0" w:color="auto"/>
              <w:left w:val="nil"/>
              <w:bottom w:val="single" w:sz="4" w:space="0" w:color="auto"/>
              <w:right w:val="nil"/>
            </w:tcBorders>
            <w:vAlign w:val="bottom"/>
            <w:hideMark/>
          </w:tcPr>
          <w:p w14:paraId="5A198134" w14:textId="77777777" w:rsidR="00FE7F8B" w:rsidRDefault="00FE7F8B">
            <w:pPr>
              <w:pStyle w:val="TableTextFinancial"/>
              <w:jc w:val="right"/>
              <w:rPr>
                <w:b/>
                <w:szCs w:val="16"/>
              </w:rPr>
            </w:pPr>
            <w:r>
              <w:rPr>
                <w:b/>
                <w:szCs w:val="16"/>
                <w:lang w:val="en-US"/>
              </w:rPr>
              <w:t>84.5</w:t>
            </w:r>
          </w:p>
        </w:tc>
        <w:tc>
          <w:tcPr>
            <w:tcW w:w="768" w:type="pct"/>
            <w:tcBorders>
              <w:top w:val="single" w:sz="4" w:space="0" w:color="auto"/>
              <w:left w:val="nil"/>
              <w:bottom w:val="single" w:sz="4" w:space="0" w:color="auto"/>
              <w:right w:val="nil"/>
            </w:tcBorders>
            <w:vAlign w:val="bottom"/>
            <w:hideMark/>
          </w:tcPr>
          <w:p w14:paraId="1F7E92D1" w14:textId="77777777" w:rsidR="00FE7F8B" w:rsidRDefault="00FE7F8B" w:rsidP="00C47EBC">
            <w:pPr>
              <w:pStyle w:val="TableTextFinancial"/>
              <w:jc w:val="right"/>
              <w:rPr>
                <w:b/>
                <w:szCs w:val="16"/>
              </w:rPr>
            </w:pPr>
            <w:r>
              <w:rPr>
                <w:szCs w:val="16"/>
              </w:rPr>
              <w:t>–</w:t>
            </w:r>
          </w:p>
        </w:tc>
        <w:tc>
          <w:tcPr>
            <w:tcW w:w="780" w:type="pct"/>
            <w:tcBorders>
              <w:top w:val="single" w:sz="4" w:space="0" w:color="auto"/>
              <w:left w:val="nil"/>
              <w:bottom w:val="single" w:sz="4" w:space="0" w:color="auto"/>
              <w:right w:val="nil"/>
            </w:tcBorders>
            <w:vAlign w:val="bottom"/>
            <w:hideMark/>
          </w:tcPr>
          <w:p w14:paraId="55D3171E" w14:textId="437CD144" w:rsidR="00FE7F8B" w:rsidRDefault="00C47EBC" w:rsidP="00C47EBC">
            <w:pPr>
              <w:pStyle w:val="TableTextFinancial"/>
              <w:jc w:val="right"/>
              <w:rPr>
                <w:b/>
                <w:szCs w:val="16"/>
              </w:rPr>
            </w:pPr>
            <w:r>
              <w:rPr>
                <w:szCs w:val="16"/>
              </w:rPr>
              <w:t>11.3</w:t>
            </w:r>
          </w:p>
        </w:tc>
        <w:tc>
          <w:tcPr>
            <w:tcW w:w="837" w:type="pct"/>
            <w:tcBorders>
              <w:top w:val="single" w:sz="4" w:space="0" w:color="auto"/>
              <w:left w:val="nil"/>
              <w:bottom w:val="single" w:sz="4" w:space="0" w:color="auto"/>
              <w:right w:val="nil"/>
            </w:tcBorders>
            <w:vAlign w:val="bottom"/>
            <w:hideMark/>
          </w:tcPr>
          <w:p w14:paraId="1E2AC6C6" w14:textId="77777777" w:rsidR="00FE7F8B" w:rsidRDefault="00FE7F8B">
            <w:pPr>
              <w:pStyle w:val="TableTextFinancial"/>
              <w:jc w:val="right"/>
              <w:rPr>
                <w:b/>
                <w:szCs w:val="16"/>
              </w:rPr>
            </w:pPr>
            <w:r>
              <w:rPr>
                <w:b/>
                <w:szCs w:val="16"/>
                <w:lang w:val="en-US"/>
              </w:rPr>
              <w:t>73.2</w:t>
            </w:r>
          </w:p>
        </w:tc>
      </w:tr>
    </w:tbl>
    <w:p w14:paraId="40EE457F" w14:textId="77777777" w:rsidR="00FE7F8B" w:rsidRDefault="00FE7F8B" w:rsidP="00BB1129">
      <w:pPr>
        <w:pStyle w:val="DETFootnoteTextforobjectivestablesOHStable"/>
        <w:spacing w:before="120"/>
        <w:rPr>
          <w:sz w:val="13"/>
        </w:rPr>
      </w:pPr>
      <w:r>
        <w:rPr>
          <w:vertAlign w:val="superscript"/>
        </w:rPr>
        <w:t>1</w:t>
      </w:r>
      <w:r>
        <w:t xml:space="preserve"> Classified in accordance with the fair value hierarchy, see Note 1(b).</w:t>
      </w:r>
    </w:p>
    <w:p w14:paraId="0FECF9CC" w14:textId="77777777" w:rsidR="00FE7F8B" w:rsidRDefault="00FE7F8B" w:rsidP="00FE7F8B">
      <w:pPr>
        <w:pStyle w:val="ARFootnote"/>
      </w:pPr>
    </w:p>
    <w:p w14:paraId="1137C6BA" w14:textId="77777777" w:rsidR="00FE7F8B" w:rsidRDefault="00FE7F8B" w:rsidP="00FE7F8B"/>
    <w:p w14:paraId="23CF8937" w14:textId="77777777" w:rsidR="00FE7F8B" w:rsidRDefault="00FE7F8B" w:rsidP="00FE7F8B">
      <w:r>
        <w:br w:type="page"/>
      </w:r>
    </w:p>
    <w:p w14:paraId="6BCFCCEF" w14:textId="77777777" w:rsidR="00FE7F8B" w:rsidRDefault="00FE7F8B" w:rsidP="00FE7F8B">
      <w:pPr>
        <w:pStyle w:val="Captionaftertable"/>
      </w:pPr>
      <w:r>
        <w:t xml:space="preserve">Table </w:t>
      </w:r>
      <w:fldSimple w:instr=" SEQ Table \* ARABIC ">
        <w:r w:rsidR="00B60957">
          <w:rPr>
            <w:noProof/>
          </w:rPr>
          <w:t>6</w:t>
        </w:r>
      </w:fldSimple>
      <w:r>
        <w:t>—Reconciliation of Level 3 fair value 30 June 2016</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90"/>
        <w:gridCol w:w="704"/>
        <w:gridCol w:w="850"/>
        <w:gridCol w:w="851"/>
        <w:gridCol w:w="994"/>
        <w:gridCol w:w="1270"/>
        <w:gridCol w:w="991"/>
      </w:tblGrid>
      <w:tr w:rsidR="00FE7F8B" w14:paraId="2AE1069B" w14:textId="77777777" w:rsidTr="002D5BEE">
        <w:tc>
          <w:tcPr>
            <w:tcW w:w="1990" w:type="dxa"/>
            <w:tcBorders>
              <w:top w:val="nil"/>
              <w:left w:val="nil"/>
              <w:bottom w:val="nil"/>
              <w:right w:val="nil"/>
            </w:tcBorders>
            <w:shd w:val="clear" w:color="auto" w:fill="7F7F7F" w:themeFill="text1" w:themeFillTint="80"/>
            <w:vAlign w:val="center"/>
            <w:hideMark/>
          </w:tcPr>
          <w:p w14:paraId="1DF5D161" w14:textId="77777777" w:rsidR="00FE7F8B" w:rsidRDefault="00FE7F8B">
            <w:pPr>
              <w:pStyle w:val="Tablecolumnheading"/>
              <w:jc w:val="center"/>
              <w:rPr>
                <w:lang w:eastAsia="en-AU"/>
              </w:rPr>
            </w:pPr>
            <w:r>
              <w:rPr>
                <w:lang w:eastAsia="en-AU"/>
              </w:rPr>
              <w:t>2016</w:t>
            </w:r>
          </w:p>
        </w:tc>
        <w:tc>
          <w:tcPr>
            <w:tcW w:w="704" w:type="dxa"/>
            <w:tcBorders>
              <w:top w:val="nil"/>
              <w:left w:val="nil"/>
              <w:bottom w:val="nil"/>
              <w:right w:val="nil"/>
            </w:tcBorders>
            <w:shd w:val="clear" w:color="auto" w:fill="7F7F7F" w:themeFill="text1" w:themeFillTint="80"/>
            <w:vAlign w:val="center"/>
            <w:hideMark/>
          </w:tcPr>
          <w:p w14:paraId="7A6E4715" w14:textId="77777777" w:rsidR="00FE7F8B" w:rsidRDefault="00FE7F8B">
            <w:pPr>
              <w:pStyle w:val="Tablecolumnheading"/>
              <w:jc w:val="center"/>
              <w:rPr>
                <w:lang w:eastAsia="en-AU"/>
              </w:rPr>
            </w:pPr>
            <w:r>
              <w:rPr>
                <w:lang w:eastAsia="en-AU"/>
              </w:rPr>
              <w:t>Land</w:t>
            </w:r>
            <w:r>
              <w:rPr>
                <w:lang w:eastAsia="en-AU"/>
              </w:rPr>
              <w:br/>
              <w:t>$m</w:t>
            </w:r>
          </w:p>
        </w:tc>
        <w:tc>
          <w:tcPr>
            <w:tcW w:w="850" w:type="dxa"/>
            <w:tcBorders>
              <w:top w:val="nil"/>
              <w:left w:val="nil"/>
              <w:bottom w:val="nil"/>
              <w:right w:val="nil"/>
            </w:tcBorders>
            <w:shd w:val="clear" w:color="auto" w:fill="7F7F7F" w:themeFill="text1" w:themeFillTint="80"/>
            <w:vAlign w:val="center"/>
            <w:hideMark/>
          </w:tcPr>
          <w:p w14:paraId="73A9F074" w14:textId="77777777" w:rsidR="00FE7F8B" w:rsidRDefault="00FE7F8B">
            <w:pPr>
              <w:pStyle w:val="Tablecolumnheading"/>
              <w:jc w:val="center"/>
              <w:rPr>
                <w:lang w:eastAsia="en-AU"/>
              </w:rPr>
            </w:pPr>
            <w:r>
              <w:rPr>
                <w:lang w:eastAsia="en-AU"/>
              </w:rPr>
              <w:t>Buildings</w:t>
            </w:r>
            <w:r>
              <w:rPr>
                <w:lang w:eastAsia="en-AU"/>
              </w:rPr>
              <w:br/>
              <w:t>$m</w:t>
            </w:r>
          </w:p>
        </w:tc>
        <w:tc>
          <w:tcPr>
            <w:tcW w:w="851" w:type="dxa"/>
            <w:tcBorders>
              <w:top w:val="nil"/>
              <w:left w:val="nil"/>
              <w:bottom w:val="nil"/>
              <w:right w:val="nil"/>
            </w:tcBorders>
            <w:shd w:val="clear" w:color="auto" w:fill="7F7F7F" w:themeFill="text1" w:themeFillTint="80"/>
            <w:vAlign w:val="center"/>
            <w:hideMark/>
          </w:tcPr>
          <w:p w14:paraId="597A8DD9" w14:textId="77777777" w:rsidR="00FE7F8B" w:rsidRDefault="00FE7F8B">
            <w:pPr>
              <w:pStyle w:val="Tablecolumnheading"/>
              <w:jc w:val="center"/>
              <w:rPr>
                <w:lang w:eastAsia="en-AU"/>
              </w:rPr>
            </w:pPr>
            <w:r>
              <w:rPr>
                <w:lang w:eastAsia="en-AU"/>
              </w:rPr>
              <w:t>Heritage buildings</w:t>
            </w:r>
            <w:r>
              <w:rPr>
                <w:lang w:eastAsia="en-AU"/>
              </w:rPr>
              <w:br/>
              <w:t>$m</w:t>
            </w:r>
          </w:p>
        </w:tc>
        <w:tc>
          <w:tcPr>
            <w:tcW w:w="994" w:type="dxa"/>
            <w:tcBorders>
              <w:top w:val="nil"/>
              <w:left w:val="nil"/>
              <w:bottom w:val="nil"/>
              <w:right w:val="nil"/>
            </w:tcBorders>
            <w:shd w:val="clear" w:color="auto" w:fill="7F7F7F" w:themeFill="text1" w:themeFillTint="80"/>
            <w:vAlign w:val="center"/>
            <w:hideMark/>
          </w:tcPr>
          <w:p w14:paraId="4DA09379" w14:textId="77777777" w:rsidR="00FE7F8B" w:rsidRDefault="00FE7F8B">
            <w:pPr>
              <w:pStyle w:val="Tablecolumnheading"/>
              <w:jc w:val="center"/>
              <w:rPr>
                <w:lang w:eastAsia="en-AU"/>
              </w:rPr>
            </w:pPr>
            <w:r>
              <w:rPr>
                <w:lang w:eastAsia="en-AU"/>
              </w:rPr>
              <w:t>Leasehold buildings</w:t>
            </w:r>
            <w:r>
              <w:rPr>
                <w:lang w:eastAsia="en-AU"/>
              </w:rPr>
              <w:br/>
              <w:t>$m</w:t>
            </w:r>
          </w:p>
        </w:tc>
        <w:tc>
          <w:tcPr>
            <w:tcW w:w="1270" w:type="dxa"/>
            <w:tcBorders>
              <w:top w:val="nil"/>
              <w:left w:val="nil"/>
              <w:bottom w:val="nil"/>
              <w:right w:val="nil"/>
            </w:tcBorders>
            <w:shd w:val="clear" w:color="auto" w:fill="7F7F7F" w:themeFill="text1" w:themeFillTint="80"/>
            <w:vAlign w:val="center"/>
            <w:hideMark/>
          </w:tcPr>
          <w:p w14:paraId="24467A67" w14:textId="77777777" w:rsidR="00FE7F8B" w:rsidRDefault="00FE7F8B">
            <w:pPr>
              <w:pStyle w:val="Tablecolumnheading"/>
              <w:jc w:val="center"/>
              <w:rPr>
                <w:lang w:eastAsia="en-AU"/>
              </w:rPr>
            </w:pPr>
            <w:r>
              <w:rPr>
                <w:lang w:eastAsia="en-AU"/>
              </w:rPr>
              <w:t>Leasehold improvements</w:t>
            </w:r>
            <w:r>
              <w:rPr>
                <w:lang w:eastAsia="en-AU"/>
              </w:rPr>
              <w:br/>
              <w:t>$m</w:t>
            </w:r>
          </w:p>
        </w:tc>
        <w:tc>
          <w:tcPr>
            <w:tcW w:w="991" w:type="dxa"/>
            <w:tcBorders>
              <w:top w:val="nil"/>
              <w:left w:val="nil"/>
              <w:bottom w:val="nil"/>
              <w:right w:val="nil"/>
            </w:tcBorders>
            <w:shd w:val="clear" w:color="auto" w:fill="7F7F7F" w:themeFill="text1" w:themeFillTint="80"/>
            <w:vAlign w:val="center"/>
            <w:hideMark/>
          </w:tcPr>
          <w:p w14:paraId="3ED2750B" w14:textId="77777777" w:rsidR="00FE7F8B" w:rsidRDefault="00FE7F8B">
            <w:pPr>
              <w:pStyle w:val="Tablecolumnheading"/>
              <w:jc w:val="center"/>
              <w:rPr>
                <w:lang w:eastAsia="en-AU"/>
              </w:rPr>
            </w:pPr>
            <w:r>
              <w:rPr>
                <w:lang w:eastAsia="en-AU"/>
              </w:rPr>
              <w:t>Plant and equipment</w:t>
            </w:r>
            <w:r>
              <w:rPr>
                <w:lang w:eastAsia="en-AU"/>
              </w:rPr>
              <w:br/>
              <w:t>$m</w:t>
            </w:r>
          </w:p>
        </w:tc>
      </w:tr>
      <w:tr w:rsidR="00FE7F8B" w14:paraId="469DB92F" w14:textId="77777777" w:rsidTr="002D5BEE">
        <w:tc>
          <w:tcPr>
            <w:tcW w:w="1990" w:type="dxa"/>
            <w:tcBorders>
              <w:top w:val="nil"/>
              <w:left w:val="nil"/>
              <w:bottom w:val="nil"/>
              <w:right w:val="nil"/>
            </w:tcBorders>
            <w:vAlign w:val="bottom"/>
            <w:hideMark/>
          </w:tcPr>
          <w:p w14:paraId="15C73975" w14:textId="77777777" w:rsidR="00FE7F8B" w:rsidRDefault="00FE7F8B">
            <w:pPr>
              <w:pStyle w:val="Tabletextnoindent"/>
              <w:rPr>
                <w:rFonts w:ascii="Times New Roman" w:hAnsi="Times New Roman"/>
                <w:b/>
                <w:sz w:val="24"/>
                <w:szCs w:val="24"/>
              </w:rPr>
            </w:pPr>
            <w:r>
              <w:rPr>
                <w:b/>
              </w:rPr>
              <w:t>Opening balance</w:t>
            </w:r>
          </w:p>
        </w:tc>
        <w:tc>
          <w:tcPr>
            <w:tcW w:w="704" w:type="dxa"/>
            <w:tcBorders>
              <w:top w:val="nil"/>
              <w:left w:val="nil"/>
              <w:bottom w:val="nil"/>
              <w:right w:val="nil"/>
            </w:tcBorders>
            <w:vAlign w:val="bottom"/>
            <w:hideMark/>
          </w:tcPr>
          <w:p w14:paraId="16F40C7B" w14:textId="77777777" w:rsidR="00FE7F8B" w:rsidRDefault="00FE7F8B" w:rsidP="002D5BEE">
            <w:pPr>
              <w:pStyle w:val="TableTextFinancial"/>
              <w:jc w:val="center"/>
              <w:rPr>
                <w:b/>
              </w:rPr>
            </w:pPr>
            <w:r>
              <w:rPr>
                <w:b/>
              </w:rPr>
              <w:t>7,895.7</w:t>
            </w:r>
          </w:p>
        </w:tc>
        <w:tc>
          <w:tcPr>
            <w:tcW w:w="850" w:type="dxa"/>
            <w:tcBorders>
              <w:top w:val="nil"/>
              <w:left w:val="nil"/>
              <w:bottom w:val="nil"/>
              <w:right w:val="nil"/>
            </w:tcBorders>
            <w:vAlign w:val="bottom"/>
            <w:hideMark/>
          </w:tcPr>
          <w:p w14:paraId="2B8F8F65" w14:textId="77777777" w:rsidR="00FE7F8B" w:rsidRDefault="00FE7F8B" w:rsidP="002D5BEE">
            <w:pPr>
              <w:pStyle w:val="TableTextFinancial"/>
              <w:jc w:val="center"/>
              <w:rPr>
                <w:b/>
              </w:rPr>
            </w:pPr>
            <w:r>
              <w:rPr>
                <w:b/>
              </w:rPr>
              <w:t>8,266.8</w:t>
            </w:r>
          </w:p>
        </w:tc>
        <w:tc>
          <w:tcPr>
            <w:tcW w:w="851" w:type="dxa"/>
            <w:tcBorders>
              <w:top w:val="nil"/>
              <w:left w:val="nil"/>
              <w:bottom w:val="nil"/>
              <w:right w:val="nil"/>
            </w:tcBorders>
            <w:vAlign w:val="bottom"/>
            <w:hideMark/>
          </w:tcPr>
          <w:p w14:paraId="3D7CDED2" w14:textId="77777777" w:rsidR="00FE7F8B" w:rsidRDefault="00FE7F8B" w:rsidP="002D5BEE">
            <w:pPr>
              <w:pStyle w:val="TableTextFinancial"/>
              <w:jc w:val="center"/>
              <w:rPr>
                <w:b/>
              </w:rPr>
            </w:pPr>
            <w:r>
              <w:rPr>
                <w:b/>
              </w:rPr>
              <w:t>58.1</w:t>
            </w:r>
          </w:p>
        </w:tc>
        <w:tc>
          <w:tcPr>
            <w:tcW w:w="994" w:type="dxa"/>
            <w:tcBorders>
              <w:top w:val="nil"/>
              <w:left w:val="nil"/>
              <w:bottom w:val="nil"/>
              <w:right w:val="nil"/>
            </w:tcBorders>
            <w:vAlign w:val="bottom"/>
            <w:hideMark/>
          </w:tcPr>
          <w:p w14:paraId="7A7D02EA" w14:textId="77777777" w:rsidR="00FE7F8B" w:rsidRDefault="00FE7F8B" w:rsidP="002D5BEE">
            <w:pPr>
              <w:pStyle w:val="TableTextFinancial"/>
              <w:jc w:val="center"/>
              <w:rPr>
                <w:b/>
              </w:rPr>
            </w:pPr>
            <w:r>
              <w:rPr>
                <w:b/>
              </w:rPr>
              <w:t>191.0</w:t>
            </w:r>
          </w:p>
        </w:tc>
        <w:tc>
          <w:tcPr>
            <w:tcW w:w="1270" w:type="dxa"/>
            <w:tcBorders>
              <w:top w:val="nil"/>
              <w:left w:val="nil"/>
              <w:bottom w:val="nil"/>
              <w:right w:val="nil"/>
            </w:tcBorders>
            <w:vAlign w:val="bottom"/>
            <w:hideMark/>
          </w:tcPr>
          <w:p w14:paraId="28E5C90A" w14:textId="77777777" w:rsidR="00FE7F8B" w:rsidRDefault="00FE7F8B" w:rsidP="002D5BEE">
            <w:pPr>
              <w:pStyle w:val="TableTextFinancial"/>
              <w:jc w:val="center"/>
              <w:rPr>
                <w:b/>
              </w:rPr>
            </w:pPr>
            <w:r>
              <w:rPr>
                <w:b/>
              </w:rPr>
              <w:t>0.5</w:t>
            </w:r>
          </w:p>
        </w:tc>
        <w:tc>
          <w:tcPr>
            <w:tcW w:w="991" w:type="dxa"/>
            <w:tcBorders>
              <w:top w:val="nil"/>
              <w:left w:val="nil"/>
              <w:bottom w:val="nil"/>
              <w:right w:val="nil"/>
            </w:tcBorders>
            <w:vAlign w:val="bottom"/>
            <w:hideMark/>
          </w:tcPr>
          <w:p w14:paraId="125E4C31" w14:textId="77777777" w:rsidR="00FE7F8B" w:rsidRDefault="00FE7F8B" w:rsidP="002D5BEE">
            <w:pPr>
              <w:pStyle w:val="TableTextFinancial"/>
              <w:jc w:val="center"/>
              <w:rPr>
                <w:b/>
              </w:rPr>
            </w:pPr>
            <w:r>
              <w:rPr>
                <w:b/>
              </w:rPr>
              <w:t>97.8</w:t>
            </w:r>
          </w:p>
        </w:tc>
      </w:tr>
      <w:tr w:rsidR="00FE7F8B" w14:paraId="5BBE69C2" w14:textId="77777777" w:rsidTr="00DF3464">
        <w:tc>
          <w:tcPr>
            <w:tcW w:w="1990" w:type="dxa"/>
            <w:tcBorders>
              <w:top w:val="nil"/>
              <w:left w:val="nil"/>
              <w:bottom w:val="nil"/>
              <w:right w:val="nil"/>
            </w:tcBorders>
            <w:vAlign w:val="bottom"/>
            <w:hideMark/>
          </w:tcPr>
          <w:p w14:paraId="2BD6218F" w14:textId="77777777" w:rsidR="00FE7F8B" w:rsidRDefault="00FE7F8B">
            <w:pPr>
              <w:pStyle w:val="Tabletextnoindent"/>
            </w:pPr>
            <w:r>
              <w:t>Prior year adjustments</w:t>
            </w:r>
          </w:p>
        </w:tc>
        <w:tc>
          <w:tcPr>
            <w:tcW w:w="704" w:type="dxa"/>
            <w:tcBorders>
              <w:top w:val="nil"/>
              <w:left w:val="nil"/>
              <w:bottom w:val="nil"/>
              <w:right w:val="nil"/>
            </w:tcBorders>
            <w:vAlign w:val="bottom"/>
            <w:hideMark/>
          </w:tcPr>
          <w:p w14:paraId="50D22A7D" w14:textId="77777777" w:rsidR="00FE7F8B" w:rsidRDefault="00FE7F8B" w:rsidP="002D5BEE">
            <w:pPr>
              <w:pStyle w:val="TableTextFinancial"/>
              <w:jc w:val="center"/>
            </w:pPr>
            <w:r>
              <w:t>(32.6)</w:t>
            </w:r>
          </w:p>
        </w:tc>
        <w:tc>
          <w:tcPr>
            <w:tcW w:w="850" w:type="dxa"/>
            <w:tcBorders>
              <w:top w:val="nil"/>
              <w:left w:val="nil"/>
              <w:bottom w:val="nil"/>
              <w:right w:val="nil"/>
            </w:tcBorders>
            <w:vAlign w:val="bottom"/>
            <w:hideMark/>
          </w:tcPr>
          <w:p w14:paraId="29B4D873" w14:textId="77777777" w:rsidR="00FE7F8B" w:rsidRDefault="00FE7F8B" w:rsidP="002D5BEE">
            <w:pPr>
              <w:pStyle w:val="TableTextFinancial"/>
              <w:jc w:val="center"/>
            </w:pPr>
            <w:r>
              <w:t>79.4</w:t>
            </w:r>
          </w:p>
        </w:tc>
        <w:tc>
          <w:tcPr>
            <w:tcW w:w="851" w:type="dxa"/>
            <w:tcBorders>
              <w:top w:val="nil"/>
              <w:left w:val="nil"/>
              <w:bottom w:val="nil"/>
              <w:right w:val="nil"/>
            </w:tcBorders>
            <w:vAlign w:val="bottom"/>
            <w:hideMark/>
          </w:tcPr>
          <w:p w14:paraId="19E081DB"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54E26C60"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0D647319" w14:textId="77777777" w:rsidR="00FE7F8B" w:rsidRDefault="00FE7F8B" w:rsidP="002D5BEE">
            <w:pPr>
              <w:pStyle w:val="TableTextFinancial"/>
              <w:jc w:val="center"/>
            </w:pPr>
            <w:r>
              <w:t>4.3</w:t>
            </w:r>
          </w:p>
        </w:tc>
        <w:tc>
          <w:tcPr>
            <w:tcW w:w="991" w:type="dxa"/>
            <w:tcBorders>
              <w:top w:val="nil"/>
              <w:left w:val="nil"/>
              <w:bottom w:val="nil"/>
              <w:right w:val="nil"/>
            </w:tcBorders>
            <w:vAlign w:val="bottom"/>
            <w:hideMark/>
          </w:tcPr>
          <w:p w14:paraId="61A03FDA" w14:textId="77777777" w:rsidR="00FE7F8B" w:rsidRDefault="00FE7F8B" w:rsidP="002D5BEE">
            <w:pPr>
              <w:pStyle w:val="TableTextFinancial"/>
              <w:jc w:val="center"/>
            </w:pPr>
            <w:r>
              <w:t>3.5</w:t>
            </w:r>
          </w:p>
        </w:tc>
      </w:tr>
      <w:tr w:rsidR="00FE7F8B" w14:paraId="3B0B6F6F" w14:textId="77777777" w:rsidTr="00DF3464">
        <w:tc>
          <w:tcPr>
            <w:tcW w:w="1990" w:type="dxa"/>
            <w:tcBorders>
              <w:top w:val="nil"/>
              <w:left w:val="nil"/>
              <w:bottom w:val="nil"/>
              <w:right w:val="nil"/>
            </w:tcBorders>
            <w:vAlign w:val="bottom"/>
            <w:hideMark/>
          </w:tcPr>
          <w:p w14:paraId="32EC0FF8" w14:textId="77777777" w:rsidR="00FE7F8B" w:rsidRDefault="00FE7F8B">
            <w:pPr>
              <w:pStyle w:val="Tabletextnoindent"/>
            </w:pPr>
            <w:r>
              <w:t>Purchases (sales)</w:t>
            </w:r>
          </w:p>
        </w:tc>
        <w:tc>
          <w:tcPr>
            <w:tcW w:w="704" w:type="dxa"/>
            <w:tcBorders>
              <w:top w:val="nil"/>
              <w:left w:val="nil"/>
              <w:bottom w:val="nil"/>
              <w:right w:val="nil"/>
            </w:tcBorders>
            <w:vAlign w:val="bottom"/>
            <w:hideMark/>
          </w:tcPr>
          <w:p w14:paraId="252D646D" w14:textId="77777777" w:rsidR="00FE7F8B" w:rsidRDefault="00FE7F8B" w:rsidP="002D5BEE">
            <w:pPr>
              <w:pStyle w:val="TableTextFinancial"/>
              <w:jc w:val="center"/>
            </w:pPr>
            <w:r>
              <w:t>(2.2)</w:t>
            </w:r>
          </w:p>
        </w:tc>
        <w:tc>
          <w:tcPr>
            <w:tcW w:w="850" w:type="dxa"/>
            <w:tcBorders>
              <w:top w:val="nil"/>
              <w:left w:val="nil"/>
              <w:bottom w:val="nil"/>
              <w:right w:val="nil"/>
            </w:tcBorders>
            <w:vAlign w:val="bottom"/>
            <w:hideMark/>
          </w:tcPr>
          <w:p w14:paraId="59728070" w14:textId="77777777" w:rsidR="00FE7F8B" w:rsidRDefault="00FE7F8B" w:rsidP="002D5BEE">
            <w:pPr>
              <w:pStyle w:val="TableTextFinancial"/>
              <w:jc w:val="center"/>
            </w:pPr>
            <w:r>
              <w:t>(17.8)</w:t>
            </w:r>
          </w:p>
        </w:tc>
        <w:tc>
          <w:tcPr>
            <w:tcW w:w="851" w:type="dxa"/>
            <w:tcBorders>
              <w:top w:val="nil"/>
              <w:left w:val="nil"/>
              <w:bottom w:val="nil"/>
              <w:right w:val="nil"/>
            </w:tcBorders>
            <w:vAlign w:val="bottom"/>
            <w:hideMark/>
          </w:tcPr>
          <w:p w14:paraId="18B63689"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2156E430"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1D7CC4AE" w14:textId="77777777" w:rsidR="00FE7F8B" w:rsidRDefault="00FE7F8B" w:rsidP="002D5BEE">
            <w:pPr>
              <w:pStyle w:val="TableTextFinancial"/>
              <w:jc w:val="center"/>
            </w:pPr>
            <w:r>
              <w:t>0.1</w:t>
            </w:r>
          </w:p>
        </w:tc>
        <w:tc>
          <w:tcPr>
            <w:tcW w:w="991" w:type="dxa"/>
            <w:tcBorders>
              <w:top w:val="nil"/>
              <w:left w:val="nil"/>
              <w:bottom w:val="nil"/>
              <w:right w:val="nil"/>
            </w:tcBorders>
            <w:vAlign w:val="bottom"/>
            <w:hideMark/>
          </w:tcPr>
          <w:p w14:paraId="56920660" w14:textId="77777777" w:rsidR="00FE7F8B" w:rsidRDefault="00FE7F8B" w:rsidP="002D5BEE">
            <w:pPr>
              <w:pStyle w:val="TableTextFinancial"/>
              <w:jc w:val="center"/>
            </w:pPr>
            <w:r>
              <w:t>5.0</w:t>
            </w:r>
          </w:p>
        </w:tc>
      </w:tr>
      <w:tr w:rsidR="00FE7F8B" w14:paraId="7A5FAE25" w14:textId="77777777" w:rsidTr="00DF3464">
        <w:tc>
          <w:tcPr>
            <w:tcW w:w="1990" w:type="dxa"/>
            <w:tcBorders>
              <w:top w:val="nil"/>
              <w:left w:val="nil"/>
              <w:bottom w:val="nil"/>
              <w:right w:val="nil"/>
            </w:tcBorders>
            <w:vAlign w:val="bottom"/>
            <w:hideMark/>
          </w:tcPr>
          <w:p w14:paraId="40BED801" w14:textId="77777777" w:rsidR="00FE7F8B" w:rsidRDefault="00FE7F8B">
            <w:pPr>
              <w:pStyle w:val="Tabletextnoindent"/>
            </w:pPr>
            <w:r>
              <w:t>Assets previously not recognised</w:t>
            </w:r>
          </w:p>
        </w:tc>
        <w:tc>
          <w:tcPr>
            <w:tcW w:w="704" w:type="dxa"/>
            <w:tcBorders>
              <w:top w:val="nil"/>
              <w:left w:val="nil"/>
              <w:bottom w:val="nil"/>
              <w:right w:val="nil"/>
            </w:tcBorders>
            <w:vAlign w:val="bottom"/>
            <w:hideMark/>
          </w:tcPr>
          <w:p w14:paraId="747180AB" w14:textId="77777777" w:rsidR="00FE7F8B" w:rsidRDefault="00FE7F8B" w:rsidP="00DF3464">
            <w:pPr>
              <w:pStyle w:val="TableTextFinancial"/>
              <w:jc w:val="center"/>
            </w:pPr>
            <w:r>
              <w:rPr>
                <w:szCs w:val="16"/>
              </w:rPr>
              <w:t>–</w:t>
            </w:r>
          </w:p>
        </w:tc>
        <w:tc>
          <w:tcPr>
            <w:tcW w:w="850" w:type="dxa"/>
            <w:tcBorders>
              <w:top w:val="nil"/>
              <w:left w:val="nil"/>
              <w:bottom w:val="nil"/>
              <w:right w:val="nil"/>
            </w:tcBorders>
            <w:vAlign w:val="bottom"/>
            <w:hideMark/>
          </w:tcPr>
          <w:p w14:paraId="416205F3" w14:textId="77777777" w:rsidR="00FE7F8B" w:rsidRDefault="00FE7F8B" w:rsidP="00DF3464">
            <w:pPr>
              <w:pStyle w:val="TableTextFinancial"/>
              <w:jc w:val="center"/>
            </w:pPr>
            <w:r>
              <w:rPr>
                <w:szCs w:val="16"/>
              </w:rPr>
              <w:t>–</w:t>
            </w:r>
          </w:p>
        </w:tc>
        <w:tc>
          <w:tcPr>
            <w:tcW w:w="851" w:type="dxa"/>
            <w:tcBorders>
              <w:top w:val="nil"/>
              <w:left w:val="nil"/>
              <w:bottom w:val="nil"/>
              <w:right w:val="nil"/>
            </w:tcBorders>
            <w:vAlign w:val="bottom"/>
            <w:hideMark/>
          </w:tcPr>
          <w:p w14:paraId="688B0F6B"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39DB7B66"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3419D7BD" w14:textId="77777777" w:rsidR="00FE7F8B" w:rsidRDefault="00FE7F8B" w:rsidP="00DF3464">
            <w:pPr>
              <w:pStyle w:val="TableTextFinancial"/>
              <w:jc w:val="center"/>
            </w:pPr>
            <w:r>
              <w:rPr>
                <w:szCs w:val="16"/>
              </w:rPr>
              <w:t>–</w:t>
            </w:r>
          </w:p>
        </w:tc>
        <w:tc>
          <w:tcPr>
            <w:tcW w:w="991" w:type="dxa"/>
            <w:tcBorders>
              <w:top w:val="nil"/>
              <w:left w:val="nil"/>
              <w:bottom w:val="nil"/>
              <w:right w:val="nil"/>
            </w:tcBorders>
            <w:vAlign w:val="bottom"/>
            <w:hideMark/>
          </w:tcPr>
          <w:p w14:paraId="5E7645C6" w14:textId="77777777" w:rsidR="00FE7F8B" w:rsidRDefault="00FE7F8B" w:rsidP="00DF3464">
            <w:pPr>
              <w:pStyle w:val="TableTextFinancial"/>
              <w:jc w:val="center"/>
            </w:pPr>
            <w:r>
              <w:rPr>
                <w:szCs w:val="16"/>
              </w:rPr>
              <w:t>–</w:t>
            </w:r>
          </w:p>
        </w:tc>
      </w:tr>
      <w:tr w:rsidR="00FE7F8B" w14:paraId="7B89AFC0" w14:textId="77777777" w:rsidTr="00DF3464">
        <w:tc>
          <w:tcPr>
            <w:tcW w:w="1990" w:type="dxa"/>
            <w:tcBorders>
              <w:top w:val="nil"/>
              <w:left w:val="nil"/>
              <w:bottom w:val="nil"/>
              <w:right w:val="nil"/>
            </w:tcBorders>
            <w:vAlign w:val="bottom"/>
            <w:hideMark/>
          </w:tcPr>
          <w:p w14:paraId="43A8ACE4" w14:textId="77777777" w:rsidR="00FE7F8B" w:rsidRDefault="00FE7F8B">
            <w:pPr>
              <w:pStyle w:val="Tabletextnoindent"/>
            </w:pPr>
            <w:r>
              <w:t>Transfers to completed assets</w:t>
            </w:r>
          </w:p>
        </w:tc>
        <w:tc>
          <w:tcPr>
            <w:tcW w:w="704" w:type="dxa"/>
            <w:tcBorders>
              <w:top w:val="nil"/>
              <w:left w:val="nil"/>
              <w:bottom w:val="nil"/>
              <w:right w:val="nil"/>
            </w:tcBorders>
            <w:vAlign w:val="bottom"/>
            <w:hideMark/>
          </w:tcPr>
          <w:p w14:paraId="38FD6C96" w14:textId="77777777" w:rsidR="00FE7F8B" w:rsidRDefault="00FE7F8B" w:rsidP="002D5BEE">
            <w:pPr>
              <w:pStyle w:val="TableTextFinancial"/>
              <w:jc w:val="center"/>
            </w:pPr>
            <w:r>
              <w:rPr>
                <w:szCs w:val="16"/>
              </w:rPr>
              <w:t>–</w:t>
            </w:r>
          </w:p>
        </w:tc>
        <w:tc>
          <w:tcPr>
            <w:tcW w:w="850" w:type="dxa"/>
            <w:tcBorders>
              <w:top w:val="nil"/>
              <w:left w:val="nil"/>
              <w:bottom w:val="nil"/>
              <w:right w:val="nil"/>
            </w:tcBorders>
            <w:vAlign w:val="bottom"/>
            <w:hideMark/>
          </w:tcPr>
          <w:p w14:paraId="6D3B9473" w14:textId="77777777" w:rsidR="00FE7F8B" w:rsidRDefault="00FE7F8B" w:rsidP="002D5BEE">
            <w:pPr>
              <w:pStyle w:val="TableTextFinancial"/>
              <w:jc w:val="center"/>
            </w:pPr>
            <w:r>
              <w:t>273.3</w:t>
            </w:r>
          </w:p>
        </w:tc>
        <w:tc>
          <w:tcPr>
            <w:tcW w:w="851" w:type="dxa"/>
            <w:tcBorders>
              <w:top w:val="nil"/>
              <w:left w:val="nil"/>
              <w:bottom w:val="nil"/>
              <w:right w:val="nil"/>
            </w:tcBorders>
            <w:vAlign w:val="bottom"/>
            <w:hideMark/>
          </w:tcPr>
          <w:p w14:paraId="21BAF771"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1CB360AD"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28909049" w14:textId="77777777" w:rsidR="00FE7F8B" w:rsidRDefault="00FE7F8B" w:rsidP="002D5BEE">
            <w:pPr>
              <w:pStyle w:val="TableTextFinancial"/>
              <w:jc w:val="center"/>
            </w:pPr>
            <w:r>
              <w:t>0.1</w:t>
            </w:r>
          </w:p>
        </w:tc>
        <w:tc>
          <w:tcPr>
            <w:tcW w:w="991" w:type="dxa"/>
            <w:tcBorders>
              <w:top w:val="nil"/>
              <w:left w:val="nil"/>
              <w:bottom w:val="nil"/>
              <w:right w:val="nil"/>
            </w:tcBorders>
            <w:vAlign w:val="bottom"/>
            <w:hideMark/>
          </w:tcPr>
          <w:p w14:paraId="4CFC0647" w14:textId="77777777" w:rsidR="00FE7F8B" w:rsidRDefault="00FE7F8B" w:rsidP="002D5BEE">
            <w:pPr>
              <w:pStyle w:val="TableTextFinancial"/>
              <w:jc w:val="center"/>
            </w:pPr>
            <w:r>
              <w:t>2.7</w:t>
            </w:r>
          </w:p>
        </w:tc>
      </w:tr>
      <w:tr w:rsidR="00FE7F8B" w14:paraId="1132C740" w14:textId="77777777" w:rsidTr="00DF3464">
        <w:tc>
          <w:tcPr>
            <w:tcW w:w="1990" w:type="dxa"/>
            <w:tcBorders>
              <w:top w:val="nil"/>
              <w:left w:val="nil"/>
              <w:bottom w:val="nil"/>
              <w:right w:val="nil"/>
            </w:tcBorders>
            <w:vAlign w:val="bottom"/>
            <w:hideMark/>
          </w:tcPr>
          <w:p w14:paraId="6C285068" w14:textId="77777777" w:rsidR="00FE7F8B" w:rsidRDefault="00FE7F8B">
            <w:pPr>
              <w:pStyle w:val="Tabletextnoindent"/>
            </w:pPr>
            <w:r>
              <w:t>Transfer (to)/from assets held for sale</w:t>
            </w:r>
          </w:p>
        </w:tc>
        <w:tc>
          <w:tcPr>
            <w:tcW w:w="704" w:type="dxa"/>
            <w:tcBorders>
              <w:top w:val="nil"/>
              <w:left w:val="nil"/>
              <w:bottom w:val="nil"/>
              <w:right w:val="nil"/>
            </w:tcBorders>
            <w:vAlign w:val="bottom"/>
            <w:hideMark/>
          </w:tcPr>
          <w:p w14:paraId="61A1A921" w14:textId="77777777" w:rsidR="00FE7F8B" w:rsidRDefault="00FE7F8B" w:rsidP="002D5BEE">
            <w:pPr>
              <w:pStyle w:val="TableTextFinancial"/>
              <w:jc w:val="center"/>
            </w:pPr>
            <w:r>
              <w:t>100.2</w:t>
            </w:r>
          </w:p>
        </w:tc>
        <w:tc>
          <w:tcPr>
            <w:tcW w:w="850" w:type="dxa"/>
            <w:tcBorders>
              <w:top w:val="nil"/>
              <w:left w:val="nil"/>
              <w:bottom w:val="nil"/>
              <w:right w:val="nil"/>
            </w:tcBorders>
            <w:vAlign w:val="bottom"/>
            <w:hideMark/>
          </w:tcPr>
          <w:p w14:paraId="11E240DD" w14:textId="77777777" w:rsidR="00FE7F8B" w:rsidRDefault="00FE7F8B" w:rsidP="002D5BEE">
            <w:pPr>
              <w:pStyle w:val="TableTextFinancial"/>
              <w:jc w:val="center"/>
            </w:pPr>
            <w:r>
              <w:t>(0.6)</w:t>
            </w:r>
          </w:p>
        </w:tc>
        <w:tc>
          <w:tcPr>
            <w:tcW w:w="851" w:type="dxa"/>
            <w:tcBorders>
              <w:top w:val="nil"/>
              <w:left w:val="nil"/>
              <w:bottom w:val="nil"/>
              <w:right w:val="nil"/>
            </w:tcBorders>
            <w:vAlign w:val="bottom"/>
            <w:hideMark/>
          </w:tcPr>
          <w:p w14:paraId="2FDF2B03"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1F81EBEE"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5644DB22" w14:textId="77777777" w:rsidR="00FE7F8B" w:rsidRDefault="00FE7F8B" w:rsidP="00DF3464">
            <w:pPr>
              <w:pStyle w:val="TableTextFinancial"/>
              <w:jc w:val="center"/>
            </w:pPr>
            <w:r>
              <w:rPr>
                <w:szCs w:val="16"/>
              </w:rPr>
              <w:t>–</w:t>
            </w:r>
          </w:p>
        </w:tc>
        <w:tc>
          <w:tcPr>
            <w:tcW w:w="991" w:type="dxa"/>
            <w:tcBorders>
              <w:top w:val="nil"/>
              <w:left w:val="nil"/>
              <w:bottom w:val="nil"/>
              <w:right w:val="nil"/>
            </w:tcBorders>
            <w:vAlign w:val="bottom"/>
            <w:hideMark/>
          </w:tcPr>
          <w:p w14:paraId="2A9780BE" w14:textId="77777777" w:rsidR="00FE7F8B" w:rsidRDefault="00FE7F8B" w:rsidP="00DF3464">
            <w:pPr>
              <w:pStyle w:val="TableTextFinancial"/>
              <w:jc w:val="center"/>
            </w:pPr>
            <w:r>
              <w:rPr>
                <w:szCs w:val="16"/>
              </w:rPr>
              <w:t>–</w:t>
            </w:r>
          </w:p>
        </w:tc>
      </w:tr>
      <w:tr w:rsidR="00FE7F8B" w14:paraId="7281B6BF" w14:textId="77777777" w:rsidTr="00DF3464">
        <w:tc>
          <w:tcPr>
            <w:tcW w:w="1990" w:type="dxa"/>
            <w:tcBorders>
              <w:top w:val="nil"/>
              <w:left w:val="nil"/>
              <w:bottom w:val="nil"/>
              <w:right w:val="nil"/>
            </w:tcBorders>
            <w:vAlign w:val="bottom"/>
            <w:hideMark/>
          </w:tcPr>
          <w:p w14:paraId="6412AE00" w14:textId="77777777" w:rsidR="00FE7F8B" w:rsidRDefault="00FE7F8B">
            <w:pPr>
              <w:pStyle w:val="Tabletextnoindent"/>
            </w:pPr>
            <w:r>
              <w:t>Depreciation</w:t>
            </w:r>
          </w:p>
        </w:tc>
        <w:tc>
          <w:tcPr>
            <w:tcW w:w="704" w:type="dxa"/>
            <w:tcBorders>
              <w:top w:val="nil"/>
              <w:left w:val="nil"/>
              <w:bottom w:val="nil"/>
              <w:right w:val="nil"/>
            </w:tcBorders>
            <w:vAlign w:val="bottom"/>
            <w:hideMark/>
          </w:tcPr>
          <w:p w14:paraId="3BAA2857" w14:textId="77777777" w:rsidR="00FE7F8B" w:rsidRDefault="00FE7F8B" w:rsidP="00DF3464">
            <w:pPr>
              <w:pStyle w:val="TableTextFinancial"/>
              <w:jc w:val="center"/>
            </w:pPr>
            <w:r>
              <w:rPr>
                <w:szCs w:val="16"/>
              </w:rPr>
              <w:t>–</w:t>
            </w:r>
          </w:p>
        </w:tc>
        <w:tc>
          <w:tcPr>
            <w:tcW w:w="850" w:type="dxa"/>
            <w:tcBorders>
              <w:top w:val="nil"/>
              <w:left w:val="nil"/>
              <w:bottom w:val="nil"/>
              <w:right w:val="nil"/>
            </w:tcBorders>
            <w:vAlign w:val="bottom"/>
            <w:hideMark/>
          </w:tcPr>
          <w:p w14:paraId="09DA727E" w14:textId="77777777" w:rsidR="00FE7F8B" w:rsidRDefault="00FE7F8B" w:rsidP="002D5BEE">
            <w:pPr>
              <w:pStyle w:val="TableTextFinancial"/>
              <w:jc w:val="center"/>
            </w:pPr>
            <w:r>
              <w:t>(248.6)</w:t>
            </w:r>
          </w:p>
        </w:tc>
        <w:tc>
          <w:tcPr>
            <w:tcW w:w="851" w:type="dxa"/>
            <w:tcBorders>
              <w:top w:val="nil"/>
              <w:left w:val="nil"/>
              <w:bottom w:val="nil"/>
              <w:right w:val="nil"/>
            </w:tcBorders>
            <w:vAlign w:val="bottom"/>
            <w:hideMark/>
          </w:tcPr>
          <w:p w14:paraId="1C66F9EF" w14:textId="77777777" w:rsidR="00FE7F8B" w:rsidRDefault="00FE7F8B" w:rsidP="002D5BEE">
            <w:pPr>
              <w:pStyle w:val="TableTextFinancial"/>
              <w:jc w:val="center"/>
            </w:pPr>
            <w:r>
              <w:t>(2.6)</w:t>
            </w:r>
          </w:p>
        </w:tc>
        <w:tc>
          <w:tcPr>
            <w:tcW w:w="994" w:type="dxa"/>
            <w:tcBorders>
              <w:top w:val="nil"/>
              <w:left w:val="nil"/>
              <w:bottom w:val="nil"/>
              <w:right w:val="nil"/>
            </w:tcBorders>
            <w:vAlign w:val="bottom"/>
            <w:hideMark/>
          </w:tcPr>
          <w:p w14:paraId="358EF51B" w14:textId="77777777" w:rsidR="00FE7F8B" w:rsidRDefault="00FE7F8B" w:rsidP="002D5BEE">
            <w:pPr>
              <w:pStyle w:val="TableTextFinancial"/>
              <w:jc w:val="center"/>
            </w:pPr>
            <w:r>
              <w:t>(3.2)</w:t>
            </w:r>
          </w:p>
        </w:tc>
        <w:tc>
          <w:tcPr>
            <w:tcW w:w="1270" w:type="dxa"/>
            <w:tcBorders>
              <w:top w:val="nil"/>
              <w:left w:val="nil"/>
              <w:bottom w:val="nil"/>
              <w:right w:val="nil"/>
            </w:tcBorders>
            <w:vAlign w:val="bottom"/>
            <w:hideMark/>
          </w:tcPr>
          <w:p w14:paraId="485DD7E3" w14:textId="77777777" w:rsidR="00FE7F8B" w:rsidRDefault="00FE7F8B" w:rsidP="002D5BEE">
            <w:pPr>
              <w:pStyle w:val="TableTextFinancial"/>
              <w:jc w:val="center"/>
            </w:pPr>
            <w:r>
              <w:t>(1.3)</w:t>
            </w:r>
          </w:p>
        </w:tc>
        <w:tc>
          <w:tcPr>
            <w:tcW w:w="991" w:type="dxa"/>
            <w:tcBorders>
              <w:top w:val="nil"/>
              <w:left w:val="nil"/>
              <w:bottom w:val="nil"/>
              <w:right w:val="nil"/>
            </w:tcBorders>
            <w:vAlign w:val="bottom"/>
            <w:hideMark/>
          </w:tcPr>
          <w:p w14:paraId="532FF974" w14:textId="77777777" w:rsidR="00FE7F8B" w:rsidRDefault="00FE7F8B" w:rsidP="002D5BEE">
            <w:pPr>
              <w:pStyle w:val="TableTextFinancial"/>
              <w:jc w:val="center"/>
            </w:pPr>
            <w:r>
              <w:t>(35.7)</w:t>
            </w:r>
          </w:p>
        </w:tc>
      </w:tr>
      <w:tr w:rsidR="00FE7F8B" w14:paraId="629DFBC6" w14:textId="77777777" w:rsidTr="00DF3464">
        <w:tc>
          <w:tcPr>
            <w:tcW w:w="1990" w:type="dxa"/>
            <w:tcBorders>
              <w:top w:val="nil"/>
              <w:left w:val="nil"/>
              <w:bottom w:val="nil"/>
              <w:right w:val="nil"/>
            </w:tcBorders>
            <w:vAlign w:val="bottom"/>
            <w:hideMark/>
          </w:tcPr>
          <w:p w14:paraId="754CB4E5" w14:textId="77777777" w:rsidR="00FE7F8B" w:rsidRDefault="00FE7F8B">
            <w:pPr>
              <w:pStyle w:val="Tabletextnoindent"/>
            </w:pPr>
            <w:r>
              <w:t>Impairment loss</w:t>
            </w:r>
          </w:p>
        </w:tc>
        <w:tc>
          <w:tcPr>
            <w:tcW w:w="704" w:type="dxa"/>
            <w:tcBorders>
              <w:top w:val="nil"/>
              <w:left w:val="nil"/>
              <w:bottom w:val="nil"/>
              <w:right w:val="nil"/>
            </w:tcBorders>
            <w:vAlign w:val="bottom"/>
            <w:hideMark/>
          </w:tcPr>
          <w:p w14:paraId="1AC4AA9B" w14:textId="77777777" w:rsidR="00FE7F8B" w:rsidRDefault="00FE7F8B" w:rsidP="00DF3464">
            <w:pPr>
              <w:pStyle w:val="TableTextFinancial"/>
              <w:jc w:val="center"/>
            </w:pPr>
            <w:r>
              <w:rPr>
                <w:szCs w:val="16"/>
              </w:rPr>
              <w:t>–</w:t>
            </w:r>
          </w:p>
        </w:tc>
        <w:tc>
          <w:tcPr>
            <w:tcW w:w="850" w:type="dxa"/>
            <w:tcBorders>
              <w:top w:val="nil"/>
              <w:left w:val="nil"/>
              <w:bottom w:val="nil"/>
              <w:right w:val="nil"/>
            </w:tcBorders>
            <w:vAlign w:val="bottom"/>
            <w:hideMark/>
          </w:tcPr>
          <w:p w14:paraId="05D1C811" w14:textId="77777777" w:rsidR="00FE7F8B" w:rsidRDefault="00FE7F8B" w:rsidP="00DF3464">
            <w:pPr>
              <w:pStyle w:val="TableTextFinancial"/>
              <w:jc w:val="center"/>
            </w:pPr>
            <w:r>
              <w:rPr>
                <w:szCs w:val="16"/>
              </w:rPr>
              <w:t>–</w:t>
            </w:r>
          </w:p>
        </w:tc>
        <w:tc>
          <w:tcPr>
            <w:tcW w:w="851" w:type="dxa"/>
            <w:tcBorders>
              <w:top w:val="nil"/>
              <w:left w:val="nil"/>
              <w:bottom w:val="nil"/>
              <w:right w:val="nil"/>
            </w:tcBorders>
            <w:vAlign w:val="bottom"/>
            <w:hideMark/>
          </w:tcPr>
          <w:p w14:paraId="5BF4D9CA"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5B53FB44"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3FDB3439" w14:textId="77777777" w:rsidR="00FE7F8B" w:rsidRDefault="00FE7F8B" w:rsidP="00DF3464">
            <w:pPr>
              <w:pStyle w:val="TableTextFinancial"/>
              <w:jc w:val="center"/>
            </w:pPr>
            <w:r>
              <w:rPr>
                <w:szCs w:val="16"/>
              </w:rPr>
              <w:t>–</w:t>
            </w:r>
          </w:p>
        </w:tc>
        <w:tc>
          <w:tcPr>
            <w:tcW w:w="991" w:type="dxa"/>
            <w:tcBorders>
              <w:top w:val="nil"/>
              <w:left w:val="nil"/>
              <w:bottom w:val="nil"/>
              <w:right w:val="nil"/>
            </w:tcBorders>
            <w:vAlign w:val="bottom"/>
            <w:hideMark/>
          </w:tcPr>
          <w:p w14:paraId="576F4459" w14:textId="77777777" w:rsidR="00FE7F8B" w:rsidRDefault="00FE7F8B" w:rsidP="00DF3464">
            <w:pPr>
              <w:pStyle w:val="TableTextFinancial"/>
              <w:jc w:val="center"/>
            </w:pPr>
            <w:r>
              <w:rPr>
                <w:szCs w:val="16"/>
              </w:rPr>
              <w:t>–</w:t>
            </w:r>
          </w:p>
        </w:tc>
      </w:tr>
      <w:tr w:rsidR="00FE7F8B" w14:paraId="4D772669" w14:textId="77777777" w:rsidTr="00DF3464">
        <w:tc>
          <w:tcPr>
            <w:tcW w:w="1990" w:type="dxa"/>
            <w:tcBorders>
              <w:top w:val="nil"/>
              <w:left w:val="nil"/>
              <w:bottom w:val="nil"/>
              <w:right w:val="nil"/>
            </w:tcBorders>
            <w:vAlign w:val="bottom"/>
            <w:hideMark/>
          </w:tcPr>
          <w:p w14:paraId="61D0B4EB" w14:textId="77777777" w:rsidR="00FE7F8B" w:rsidRDefault="00FE7F8B">
            <w:pPr>
              <w:pStyle w:val="Tabletextnoindent"/>
            </w:pPr>
            <w:r>
              <w:t>Disposals identified through revaluation</w:t>
            </w:r>
          </w:p>
        </w:tc>
        <w:tc>
          <w:tcPr>
            <w:tcW w:w="704" w:type="dxa"/>
            <w:tcBorders>
              <w:top w:val="nil"/>
              <w:left w:val="nil"/>
              <w:bottom w:val="nil"/>
              <w:right w:val="nil"/>
            </w:tcBorders>
            <w:vAlign w:val="bottom"/>
            <w:hideMark/>
          </w:tcPr>
          <w:p w14:paraId="1EB97AFB" w14:textId="77777777" w:rsidR="00FE7F8B" w:rsidRDefault="00FE7F8B" w:rsidP="002D5BEE">
            <w:pPr>
              <w:pStyle w:val="TableTextFinancial"/>
              <w:jc w:val="center"/>
            </w:pPr>
            <w:r>
              <w:t>(0.4)</w:t>
            </w:r>
          </w:p>
        </w:tc>
        <w:tc>
          <w:tcPr>
            <w:tcW w:w="850" w:type="dxa"/>
            <w:tcBorders>
              <w:top w:val="nil"/>
              <w:left w:val="nil"/>
              <w:bottom w:val="nil"/>
              <w:right w:val="nil"/>
            </w:tcBorders>
            <w:vAlign w:val="bottom"/>
            <w:hideMark/>
          </w:tcPr>
          <w:p w14:paraId="4CAFC055" w14:textId="77777777" w:rsidR="00FE7F8B" w:rsidRDefault="00FE7F8B" w:rsidP="002D5BEE">
            <w:pPr>
              <w:pStyle w:val="TableTextFinancial"/>
              <w:jc w:val="center"/>
            </w:pPr>
            <w:r>
              <w:t>(110.1)</w:t>
            </w:r>
          </w:p>
        </w:tc>
        <w:tc>
          <w:tcPr>
            <w:tcW w:w="851" w:type="dxa"/>
            <w:tcBorders>
              <w:top w:val="nil"/>
              <w:left w:val="nil"/>
              <w:bottom w:val="nil"/>
              <w:right w:val="nil"/>
            </w:tcBorders>
            <w:vAlign w:val="bottom"/>
            <w:hideMark/>
          </w:tcPr>
          <w:p w14:paraId="0D724BDB"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74D4D544"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24068133" w14:textId="77777777" w:rsidR="00FE7F8B" w:rsidRDefault="00FE7F8B" w:rsidP="00DF3464">
            <w:pPr>
              <w:pStyle w:val="TableTextFinancial"/>
              <w:jc w:val="center"/>
            </w:pPr>
            <w:r>
              <w:rPr>
                <w:szCs w:val="16"/>
              </w:rPr>
              <w:t>–</w:t>
            </w:r>
          </w:p>
        </w:tc>
        <w:tc>
          <w:tcPr>
            <w:tcW w:w="991" w:type="dxa"/>
            <w:tcBorders>
              <w:top w:val="nil"/>
              <w:left w:val="nil"/>
              <w:bottom w:val="nil"/>
              <w:right w:val="nil"/>
            </w:tcBorders>
            <w:vAlign w:val="bottom"/>
            <w:hideMark/>
          </w:tcPr>
          <w:p w14:paraId="28973FCB" w14:textId="77777777" w:rsidR="00FE7F8B" w:rsidRDefault="00FE7F8B" w:rsidP="00DF3464">
            <w:pPr>
              <w:pStyle w:val="TableTextFinancial"/>
              <w:jc w:val="center"/>
            </w:pPr>
            <w:r>
              <w:rPr>
                <w:szCs w:val="16"/>
              </w:rPr>
              <w:t>–</w:t>
            </w:r>
          </w:p>
        </w:tc>
      </w:tr>
      <w:tr w:rsidR="00FE7F8B" w14:paraId="22203C84" w14:textId="77777777" w:rsidTr="00DF3464">
        <w:tc>
          <w:tcPr>
            <w:tcW w:w="1990" w:type="dxa"/>
            <w:tcBorders>
              <w:top w:val="nil"/>
              <w:left w:val="nil"/>
              <w:bottom w:val="nil"/>
              <w:right w:val="nil"/>
            </w:tcBorders>
            <w:vAlign w:val="bottom"/>
            <w:hideMark/>
          </w:tcPr>
          <w:p w14:paraId="6F0977E9" w14:textId="77777777" w:rsidR="00FE7F8B" w:rsidRDefault="00FE7F8B">
            <w:pPr>
              <w:pStyle w:val="Tabletextnoindent"/>
            </w:pPr>
            <w:r>
              <w:t>Additions identified through revaluation</w:t>
            </w:r>
          </w:p>
        </w:tc>
        <w:tc>
          <w:tcPr>
            <w:tcW w:w="704" w:type="dxa"/>
            <w:tcBorders>
              <w:top w:val="nil"/>
              <w:left w:val="nil"/>
              <w:bottom w:val="nil"/>
              <w:right w:val="nil"/>
            </w:tcBorders>
            <w:vAlign w:val="bottom"/>
            <w:hideMark/>
          </w:tcPr>
          <w:p w14:paraId="594A29D1" w14:textId="77777777" w:rsidR="00FE7F8B" w:rsidRDefault="00FE7F8B" w:rsidP="002D5BEE">
            <w:pPr>
              <w:pStyle w:val="TableTextFinancial"/>
              <w:jc w:val="center"/>
            </w:pPr>
            <w:r>
              <w:t>255.7</w:t>
            </w:r>
          </w:p>
        </w:tc>
        <w:tc>
          <w:tcPr>
            <w:tcW w:w="850" w:type="dxa"/>
            <w:tcBorders>
              <w:top w:val="nil"/>
              <w:left w:val="nil"/>
              <w:bottom w:val="nil"/>
              <w:right w:val="nil"/>
            </w:tcBorders>
            <w:vAlign w:val="bottom"/>
            <w:hideMark/>
          </w:tcPr>
          <w:p w14:paraId="0D3320A7" w14:textId="77777777" w:rsidR="00FE7F8B" w:rsidRDefault="00FE7F8B" w:rsidP="002D5BEE">
            <w:pPr>
              <w:pStyle w:val="TableTextFinancial"/>
              <w:jc w:val="center"/>
            </w:pPr>
            <w:r>
              <w:t>176.3</w:t>
            </w:r>
          </w:p>
        </w:tc>
        <w:tc>
          <w:tcPr>
            <w:tcW w:w="851" w:type="dxa"/>
            <w:tcBorders>
              <w:top w:val="nil"/>
              <w:left w:val="nil"/>
              <w:bottom w:val="nil"/>
              <w:right w:val="nil"/>
            </w:tcBorders>
            <w:vAlign w:val="bottom"/>
            <w:hideMark/>
          </w:tcPr>
          <w:p w14:paraId="7D786574" w14:textId="77777777" w:rsidR="00FE7F8B" w:rsidRDefault="00FE7F8B" w:rsidP="00DF3464">
            <w:pPr>
              <w:pStyle w:val="TableTextFinancial"/>
              <w:jc w:val="center"/>
            </w:pPr>
            <w:r>
              <w:rPr>
                <w:szCs w:val="16"/>
              </w:rPr>
              <w:t>–</w:t>
            </w:r>
          </w:p>
        </w:tc>
        <w:tc>
          <w:tcPr>
            <w:tcW w:w="994" w:type="dxa"/>
            <w:tcBorders>
              <w:top w:val="nil"/>
              <w:left w:val="nil"/>
              <w:bottom w:val="nil"/>
              <w:right w:val="nil"/>
            </w:tcBorders>
            <w:vAlign w:val="bottom"/>
            <w:hideMark/>
          </w:tcPr>
          <w:p w14:paraId="0ED91B97" w14:textId="77777777" w:rsidR="00FE7F8B" w:rsidRDefault="00FE7F8B" w:rsidP="00DF3464">
            <w:pPr>
              <w:pStyle w:val="TableTextFinancial"/>
              <w:jc w:val="center"/>
            </w:pPr>
            <w:r>
              <w:rPr>
                <w:szCs w:val="16"/>
              </w:rPr>
              <w:t>–</w:t>
            </w:r>
          </w:p>
        </w:tc>
        <w:tc>
          <w:tcPr>
            <w:tcW w:w="1270" w:type="dxa"/>
            <w:tcBorders>
              <w:top w:val="nil"/>
              <w:left w:val="nil"/>
              <w:bottom w:val="nil"/>
              <w:right w:val="nil"/>
            </w:tcBorders>
            <w:vAlign w:val="bottom"/>
            <w:hideMark/>
          </w:tcPr>
          <w:p w14:paraId="3A041A7E" w14:textId="77777777" w:rsidR="00FE7F8B" w:rsidRDefault="00FE7F8B" w:rsidP="00DF3464">
            <w:pPr>
              <w:pStyle w:val="TableTextFinancial"/>
              <w:jc w:val="center"/>
            </w:pPr>
            <w:r>
              <w:rPr>
                <w:szCs w:val="16"/>
              </w:rPr>
              <w:t>–</w:t>
            </w:r>
          </w:p>
        </w:tc>
        <w:tc>
          <w:tcPr>
            <w:tcW w:w="991" w:type="dxa"/>
            <w:tcBorders>
              <w:top w:val="nil"/>
              <w:left w:val="nil"/>
              <w:bottom w:val="nil"/>
              <w:right w:val="nil"/>
            </w:tcBorders>
            <w:vAlign w:val="bottom"/>
            <w:hideMark/>
          </w:tcPr>
          <w:p w14:paraId="4A7914D0" w14:textId="77777777" w:rsidR="00FE7F8B" w:rsidRDefault="00FE7F8B" w:rsidP="00DF3464">
            <w:pPr>
              <w:pStyle w:val="TableTextFinancial"/>
              <w:jc w:val="center"/>
            </w:pPr>
            <w:r>
              <w:rPr>
                <w:szCs w:val="16"/>
              </w:rPr>
              <w:t>–</w:t>
            </w:r>
          </w:p>
        </w:tc>
      </w:tr>
      <w:tr w:rsidR="00FE7F8B" w14:paraId="41AC70FA" w14:textId="77777777" w:rsidTr="002D5BEE">
        <w:tc>
          <w:tcPr>
            <w:tcW w:w="1990" w:type="dxa"/>
            <w:tcBorders>
              <w:top w:val="nil"/>
              <w:left w:val="nil"/>
              <w:bottom w:val="single" w:sz="4" w:space="0" w:color="auto"/>
              <w:right w:val="nil"/>
            </w:tcBorders>
            <w:vAlign w:val="bottom"/>
            <w:hideMark/>
          </w:tcPr>
          <w:p w14:paraId="49BE5C55" w14:textId="77777777" w:rsidR="00FE7F8B" w:rsidRDefault="00FE7F8B">
            <w:pPr>
              <w:pStyle w:val="TableTextFinancial"/>
              <w:rPr>
                <w:rFonts w:ascii="Times New Roman" w:hAnsi="Times New Roman"/>
                <w:sz w:val="24"/>
                <w:szCs w:val="24"/>
              </w:rPr>
            </w:pPr>
            <w:r>
              <w:rPr>
                <w:rFonts w:eastAsia="Times New Roman"/>
                <w:bCs w:val="0"/>
                <w:sz w:val="17"/>
                <w:szCs w:val="18"/>
              </w:rPr>
              <w:t>Revaluation</w:t>
            </w:r>
          </w:p>
        </w:tc>
        <w:tc>
          <w:tcPr>
            <w:tcW w:w="704" w:type="dxa"/>
            <w:tcBorders>
              <w:top w:val="nil"/>
              <w:left w:val="nil"/>
              <w:bottom w:val="single" w:sz="4" w:space="0" w:color="auto"/>
              <w:right w:val="nil"/>
            </w:tcBorders>
            <w:vAlign w:val="bottom"/>
            <w:hideMark/>
          </w:tcPr>
          <w:p w14:paraId="26E9148D" w14:textId="77777777" w:rsidR="00FE7F8B" w:rsidRDefault="00FE7F8B" w:rsidP="002D5BEE">
            <w:pPr>
              <w:pStyle w:val="TableTextFinancial"/>
              <w:jc w:val="center"/>
            </w:pPr>
            <w:r>
              <w:t>1,151.1</w:t>
            </w:r>
          </w:p>
        </w:tc>
        <w:tc>
          <w:tcPr>
            <w:tcW w:w="850" w:type="dxa"/>
            <w:tcBorders>
              <w:top w:val="nil"/>
              <w:left w:val="nil"/>
              <w:bottom w:val="single" w:sz="4" w:space="0" w:color="auto"/>
              <w:right w:val="nil"/>
            </w:tcBorders>
            <w:vAlign w:val="bottom"/>
            <w:hideMark/>
          </w:tcPr>
          <w:p w14:paraId="56C63FBC" w14:textId="77777777" w:rsidR="00FE7F8B" w:rsidRDefault="00FE7F8B" w:rsidP="002D5BEE">
            <w:pPr>
              <w:pStyle w:val="TableTextFinancial"/>
              <w:jc w:val="center"/>
            </w:pPr>
            <w:r>
              <w:t>1,595.1</w:t>
            </w:r>
          </w:p>
        </w:tc>
        <w:tc>
          <w:tcPr>
            <w:tcW w:w="851" w:type="dxa"/>
            <w:tcBorders>
              <w:top w:val="nil"/>
              <w:left w:val="nil"/>
              <w:bottom w:val="single" w:sz="4" w:space="0" w:color="auto"/>
              <w:right w:val="nil"/>
            </w:tcBorders>
            <w:vAlign w:val="bottom"/>
            <w:hideMark/>
          </w:tcPr>
          <w:p w14:paraId="0E87F953" w14:textId="77777777" w:rsidR="00FE7F8B" w:rsidRDefault="00FE7F8B" w:rsidP="002D5BEE">
            <w:pPr>
              <w:pStyle w:val="TableTextFinancial"/>
              <w:jc w:val="center"/>
            </w:pPr>
            <w:r>
              <w:t>48.7</w:t>
            </w:r>
          </w:p>
        </w:tc>
        <w:tc>
          <w:tcPr>
            <w:tcW w:w="994" w:type="dxa"/>
            <w:tcBorders>
              <w:top w:val="nil"/>
              <w:left w:val="nil"/>
              <w:bottom w:val="single" w:sz="4" w:space="0" w:color="auto"/>
              <w:right w:val="nil"/>
            </w:tcBorders>
            <w:vAlign w:val="bottom"/>
            <w:hideMark/>
          </w:tcPr>
          <w:p w14:paraId="11749975" w14:textId="77777777" w:rsidR="00FE7F8B" w:rsidRDefault="00FE7F8B" w:rsidP="002D5BEE">
            <w:pPr>
              <w:pStyle w:val="TableTextFinancial"/>
              <w:jc w:val="center"/>
            </w:pPr>
            <w:r>
              <w:t>(42.8)</w:t>
            </w:r>
          </w:p>
        </w:tc>
        <w:tc>
          <w:tcPr>
            <w:tcW w:w="1270" w:type="dxa"/>
            <w:tcBorders>
              <w:top w:val="nil"/>
              <w:left w:val="nil"/>
              <w:bottom w:val="single" w:sz="4" w:space="0" w:color="auto"/>
              <w:right w:val="nil"/>
            </w:tcBorders>
            <w:vAlign w:val="bottom"/>
            <w:hideMark/>
          </w:tcPr>
          <w:p w14:paraId="412FC8BD" w14:textId="77777777" w:rsidR="00FE7F8B" w:rsidRDefault="00FE7F8B" w:rsidP="002D5BEE">
            <w:pPr>
              <w:pStyle w:val="TableTextFinancial"/>
              <w:jc w:val="center"/>
            </w:pPr>
            <w:r>
              <w:t>0.0</w:t>
            </w:r>
          </w:p>
        </w:tc>
        <w:tc>
          <w:tcPr>
            <w:tcW w:w="991" w:type="dxa"/>
            <w:tcBorders>
              <w:top w:val="nil"/>
              <w:left w:val="nil"/>
              <w:bottom w:val="single" w:sz="4" w:space="0" w:color="auto"/>
              <w:right w:val="nil"/>
            </w:tcBorders>
            <w:vAlign w:val="bottom"/>
            <w:hideMark/>
          </w:tcPr>
          <w:p w14:paraId="6134CD14" w14:textId="77777777" w:rsidR="00FE7F8B" w:rsidRDefault="00FE7F8B" w:rsidP="002D5BEE">
            <w:pPr>
              <w:pStyle w:val="TableTextFinancial"/>
              <w:jc w:val="center"/>
            </w:pPr>
            <w:r>
              <w:rPr>
                <w:szCs w:val="16"/>
              </w:rPr>
              <w:t>–</w:t>
            </w:r>
          </w:p>
        </w:tc>
      </w:tr>
      <w:tr w:rsidR="00FE7F8B" w14:paraId="29E25451" w14:textId="77777777" w:rsidTr="002D5BEE">
        <w:tc>
          <w:tcPr>
            <w:tcW w:w="1990" w:type="dxa"/>
            <w:tcBorders>
              <w:top w:val="single" w:sz="4" w:space="0" w:color="auto"/>
              <w:left w:val="nil"/>
              <w:bottom w:val="single" w:sz="4" w:space="0" w:color="auto"/>
              <w:right w:val="nil"/>
            </w:tcBorders>
            <w:vAlign w:val="bottom"/>
            <w:hideMark/>
          </w:tcPr>
          <w:p w14:paraId="0F76F234" w14:textId="77777777" w:rsidR="00FE7F8B" w:rsidRDefault="00FE7F8B">
            <w:pPr>
              <w:pStyle w:val="Tabletextnoindent"/>
              <w:rPr>
                <w:b/>
              </w:rPr>
            </w:pPr>
            <w:r>
              <w:rPr>
                <w:b/>
              </w:rPr>
              <w:t>Closing balance</w:t>
            </w:r>
          </w:p>
        </w:tc>
        <w:tc>
          <w:tcPr>
            <w:tcW w:w="704" w:type="dxa"/>
            <w:tcBorders>
              <w:top w:val="single" w:sz="4" w:space="0" w:color="auto"/>
              <w:left w:val="nil"/>
              <w:bottom w:val="single" w:sz="4" w:space="0" w:color="auto"/>
              <w:right w:val="nil"/>
            </w:tcBorders>
            <w:vAlign w:val="bottom"/>
            <w:hideMark/>
          </w:tcPr>
          <w:p w14:paraId="61365E06" w14:textId="77777777" w:rsidR="00FE7F8B" w:rsidRDefault="00FE7F8B" w:rsidP="002D5BEE">
            <w:pPr>
              <w:pStyle w:val="TableTextFinancial"/>
              <w:jc w:val="center"/>
              <w:rPr>
                <w:b/>
              </w:rPr>
            </w:pPr>
            <w:r>
              <w:rPr>
                <w:b/>
              </w:rPr>
              <w:t>9,367.6</w:t>
            </w:r>
          </w:p>
        </w:tc>
        <w:tc>
          <w:tcPr>
            <w:tcW w:w="850" w:type="dxa"/>
            <w:tcBorders>
              <w:top w:val="single" w:sz="4" w:space="0" w:color="auto"/>
              <w:left w:val="nil"/>
              <w:bottom w:val="single" w:sz="4" w:space="0" w:color="auto"/>
              <w:right w:val="nil"/>
            </w:tcBorders>
            <w:vAlign w:val="bottom"/>
            <w:hideMark/>
          </w:tcPr>
          <w:p w14:paraId="7DC201AA" w14:textId="77777777" w:rsidR="00FE7F8B" w:rsidRDefault="00FE7F8B" w:rsidP="002D5BEE">
            <w:pPr>
              <w:pStyle w:val="TableTextFinancial"/>
              <w:jc w:val="center"/>
              <w:rPr>
                <w:b/>
              </w:rPr>
            </w:pPr>
            <w:r>
              <w:rPr>
                <w:b/>
              </w:rPr>
              <w:t>10,014.0</w:t>
            </w:r>
          </w:p>
        </w:tc>
        <w:tc>
          <w:tcPr>
            <w:tcW w:w="851" w:type="dxa"/>
            <w:tcBorders>
              <w:top w:val="single" w:sz="4" w:space="0" w:color="auto"/>
              <w:left w:val="nil"/>
              <w:bottom w:val="single" w:sz="4" w:space="0" w:color="auto"/>
              <w:right w:val="nil"/>
            </w:tcBorders>
            <w:vAlign w:val="bottom"/>
            <w:hideMark/>
          </w:tcPr>
          <w:p w14:paraId="16C6CFC5" w14:textId="77777777" w:rsidR="00FE7F8B" w:rsidRDefault="00FE7F8B" w:rsidP="002D5BEE">
            <w:pPr>
              <w:pStyle w:val="TableTextFinancial"/>
              <w:jc w:val="center"/>
              <w:rPr>
                <w:b/>
              </w:rPr>
            </w:pPr>
            <w:r>
              <w:rPr>
                <w:b/>
              </w:rPr>
              <w:t>104.1</w:t>
            </w:r>
          </w:p>
        </w:tc>
        <w:tc>
          <w:tcPr>
            <w:tcW w:w="994" w:type="dxa"/>
            <w:tcBorders>
              <w:top w:val="single" w:sz="4" w:space="0" w:color="auto"/>
              <w:left w:val="nil"/>
              <w:bottom w:val="single" w:sz="4" w:space="0" w:color="auto"/>
              <w:right w:val="nil"/>
            </w:tcBorders>
            <w:vAlign w:val="bottom"/>
            <w:hideMark/>
          </w:tcPr>
          <w:p w14:paraId="641D7987" w14:textId="77777777" w:rsidR="00FE7F8B" w:rsidRDefault="00FE7F8B" w:rsidP="002D5BEE">
            <w:pPr>
              <w:pStyle w:val="TableTextFinancial"/>
              <w:jc w:val="center"/>
              <w:rPr>
                <w:b/>
              </w:rPr>
            </w:pPr>
            <w:r>
              <w:rPr>
                <w:b/>
              </w:rPr>
              <w:t>145.0</w:t>
            </w:r>
          </w:p>
        </w:tc>
        <w:tc>
          <w:tcPr>
            <w:tcW w:w="1270" w:type="dxa"/>
            <w:tcBorders>
              <w:top w:val="single" w:sz="4" w:space="0" w:color="auto"/>
              <w:left w:val="nil"/>
              <w:bottom w:val="single" w:sz="4" w:space="0" w:color="auto"/>
              <w:right w:val="nil"/>
            </w:tcBorders>
            <w:vAlign w:val="bottom"/>
            <w:hideMark/>
          </w:tcPr>
          <w:p w14:paraId="59CC1C63" w14:textId="77777777" w:rsidR="00FE7F8B" w:rsidRDefault="00FE7F8B" w:rsidP="002D5BEE">
            <w:pPr>
              <w:pStyle w:val="TableTextFinancial"/>
              <w:jc w:val="center"/>
              <w:rPr>
                <w:b/>
              </w:rPr>
            </w:pPr>
            <w:r>
              <w:rPr>
                <w:b/>
              </w:rPr>
              <w:t>3.7</w:t>
            </w:r>
          </w:p>
        </w:tc>
        <w:tc>
          <w:tcPr>
            <w:tcW w:w="991" w:type="dxa"/>
            <w:tcBorders>
              <w:top w:val="single" w:sz="4" w:space="0" w:color="auto"/>
              <w:left w:val="nil"/>
              <w:bottom w:val="single" w:sz="4" w:space="0" w:color="auto"/>
              <w:right w:val="nil"/>
            </w:tcBorders>
            <w:vAlign w:val="bottom"/>
            <w:hideMark/>
          </w:tcPr>
          <w:p w14:paraId="0669F4D5" w14:textId="77777777" w:rsidR="00FE7F8B" w:rsidRDefault="00FE7F8B" w:rsidP="002D5BEE">
            <w:pPr>
              <w:pStyle w:val="TableTextFinancial"/>
              <w:jc w:val="center"/>
              <w:rPr>
                <w:b/>
              </w:rPr>
            </w:pPr>
            <w:r>
              <w:rPr>
                <w:b/>
              </w:rPr>
              <w:t>73.2</w:t>
            </w:r>
          </w:p>
        </w:tc>
      </w:tr>
    </w:tbl>
    <w:p w14:paraId="6AC95F18" w14:textId="77777777" w:rsidR="00FE7F8B" w:rsidRDefault="00FE7F8B" w:rsidP="00FE7F8B">
      <w:pPr>
        <w:pStyle w:val="Captionaftertable"/>
      </w:pPr>
    </w:p>
    <w:p w14:paraId="4A521A59" w14:textId="77777777" w:rsidR="00FE7F8B" w:rsidRDefault="00FE7F8B" w:rsidP="00FE7F8B">
      <w:pPr>
        <w:pStyle w:val="Captionaftertable"/>
      </w:pPr>
    </w:p>
    <w:p w14:paraId="4AC9A146" w14:textId="77777777" w:rsidR="00FE7F8B" w:rsidRDefault="00FE7F8B" w:rsidP="00FE7F8B">
      <w:pPr>
        <w:rPr>
          <w:b/>
        </w:rPr>
      </w:pPr>
      <w:r>
        <w:rPr>
          <w:b/>
        </w:rPr>
        <w:br w:type="page"/>
      </w:r>
    </w:p>
    <w:p w14:paraId="343CC536" w14:textId="77777777" w:rsidR="00FE7F8B" w:rsidRDefault="00FE7F8B" w:rsidP="00FE7F8B">
      <w:pPr>
        <w:pStyle w:val="Captionaftertable"/>
      </w:pPr>
      <w:r>
        <w:t xml:space="preserve">Table </w:t>
      </w:r>
      <w:fldSimple w:instr=" SEQ Table \* ARABIC ">
        <w:r w:rsidR="00B60957">
          <w:rPr>
            <w:noProof/>
          </w:rPr>
          <w:t>7</w:t>
        </w:r>
      </w:fldSimple>
      <w:r>
        <w:t>—</w:t>
      </w:r>
      <w:proofErr w:type="gramStart"/>
      <w:r>
        <w:t>Fair</w:t>
      </w:r>
      <w:proofErr w:type="gramEnd"/>
      <w:r>
        <w:t xml:space="preserve"> value measurement hierarchy for assets as at 30 June 2015</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99"/>
        <w:gridCol w:w="1135"/>
        <w:gridCol w:w="1135"/>
        <w:gridCol w:w="1135"/>
        <w:gridCol w:w="1276"/>
      </w:tblGrid>
      <w:tr w:rsidR="00FE7F8B" w14:paraId="2E3C44DD" w14:textId="77777777" w:rsidTr="00FE7F8B">
        <w:tc>
          <w:tcPr>
            <w:tcW w:w="2699" w:type="dxa"/>
            <w:tcBorders>
              <w:top w:val="nil"/>
              <w:left w:val="nil"/>
              <w:bottom w:val="nil"/>
              <w:right w:val="nil"/>
            </w:tcBorders>
            <w:shd w:val="clear" w:color="auto" w:fill="7F7F7F" w:themeFill="text1" w:themeFillTint="80"/>
            <w:vAlign w:val="center"/>
          </w:tcPr>
          <w:p w14:paraId="1A6666BC" w14:textId="77777777" w:rsidR="00FE7F8B" w:rsidRDefault="00FE7F8B">
            <w:pPr>
              <w:pStyle w:val="Tablecolumnheading"/>
              <w:ind w:right="113"/>
              <w:jc w:val="center"/>
              <w:rPr>
                <w:lang w:eastAsia="en-AU"/>
              </w:rPr>
            </w:pPr>
          </w:p>
        </w:tc>
        <w:tc>
          <w:tcPr>
            <w:tcW w:w="1134" w:type="dxa"/>
            <w:tcBorders>
              <w:top w:val="nil"/>
              <w:left w:val="nil"/>
              <w:bottom w:val="nil"/>
              <w:right w:val="nil"/>
            </w:tcBorders>
            <w:shd w:val="clear" w:color="auto" w:fill="7F7F7F" w:themeFill="text1" w:themeFillTint="80"/>
            <w:vAlign w:val="center"/>
          </w:tcPr>
          <w:p w14:paraId="65800406" w14:textId="77777777" w:rsidR="00FE7F8B" w:rsidRDefault="00FE7F8B">
            <w:pPr>
              <w:pStyle w:val="Tablecolumnheading"/>
              <w:ind w:right="113"/>
              <w:jc w:val="center"/>
              <w:rPr>
                <w:lang w:eastAsia="en-AU"/>
              </w:rPr>
            </w:pPr>
          </w:p>
        </w:tc>
        <w:tc>
          <w:tcPr>
            <w:tcW w:w="3543" w:type="dxa"/>
            <w:gridSpan w:val="3"/>
            <w:tcBorders>
              <w:top w:val="nil"/>
              <w:left w:val="nil"/>
              <w:bottom w:val="nil"/>
              <w:right w:val="nil"/>
            </w:tcBorders>
            <w:shd w:val="clear" w:color="auto" w:fill="7F7F7F" w:themeFill="text1" w:themeFillTint="80"/>
            <w:vAlign w:val="center"/>
            <w:hideMark/>
          </w:tcPr>
          <w:p w14:paraId="7B275030" w14:textId="77777777" w:rsidR="00FE7F8B" w:rsidRDefault="00FE7F8B">
            <w:pPr>
              <w:pStyle w:val="Tablecolumnheading"/>
              <w:ind w:right="113"/>
              <w:jc w:val="center"/>
              <w:rPr>
                <w:lang w:eastAsia="en-AU"/>
              </w:rPr>
            </w:pPr>
            <w:r>
              <w:rPr>
                <w:lang w:eastAsia="en-AU"/>
              </w:rPr>
              <w:t>Fair value measurement at end of reporting period using:</w:t>
            </w:r>
          </w:p>
        </w:tc>
      </w:tr>
      <w:tr w:rsidR="00FE7F8B" w14:paraId="2C877DB8" w14:textId="77777777" w:rsidTr="00FE7F8B">
        <w:tc>
          <w:tcPr>
            <w:tcW w:w="2699" w:type="dxa"/>
            <w:tcBorders>
              <w:top w:val="nil"/>
              <w:left w:val="nil"/>
              <w:bottom w:val="nil"/>
              <w:right w:val="nil"/>
            </w:tcBorders>
            <w:shd w:val="clear" w:color="auto" w:fill="7F7F7F" w:themeFill="text1" w:themeFillTint="80"/>
            <w:vAlign w:val="center"/>
            <w:hideMark/>
          </w:tcPr>
          <w:p w14:paraId="592A9CD6" w14:textId="77777777" w:rsidR="00FE7F8B" w:rsidRDefault="00FE7F8B">
            <w:pPr>
              <w:pStyle w:val="Tablecolumnheading"/>
              <w:ind w:right="113"/>
              <w:jc w:val="center"/>
              <w:rPr>
                <w:lang w:eastAsia="en-AU"/>
              </w:rPr>
            </w:pPr>
            <w:r>
              <w:rPr>
                <w:lang w:eastAsia="en-AU"/>
              </w:rPr>
              <w:t>2015</w:t>
            </w:r>
          </w:p>
        </w:tc>
        <w:tc>
          <w:tcPr>
            <w:tcW w:w="1134" w:type="dxa"/>
            <w:tcBorders>
              <w:top w:val="nil"/>
              <w:left w:val="nil"/>
              <w:bottom w:val="nil"/>
              <w:right w:val="nil"/>
            </w:tcBorders>
            <w:shd w:val="clear" w:color="auto" w:fill="7F7F7F" w:themeFill="text1" w:themeFillTint="80"/>
            <w:vAlign w:val="center"/>
            <w:hideMark/>
          </w:tcPr>
          <w:p w14:paraId="52CFB3AE" w14:textId="13B4AAEC" w:rsidR="00FE7F8B" w:rsidRDefault="00FE7F8B" w:rsidP="00DB3A2E">
            <w:pPr>
              <w:pStyle w:val="Tablecolumnheading"/>
              <w:ind w:right="113"/>
              <w:jc w:val="center"/>
              <w:rPr>
                <w:lang w:eastAsia="en-AU"/>
              </w:rPr>
            </w:pPr>
            <w:r>
              <w:rPr>
                <w:lang w:eastAsia="en-AU"/>
              </w:rPr>
              <w:t>Carrying amount as at 30 June 201</w:t>
            </w:r>
            <w:r w:rsidR="00DB3A2E">
              <w:rPr>
                <w:lang w:eastAsia="en-AU"/>
              </w:rPr>
              <w:t>5</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052CF04F" w14:textId="77777777" w:rsidR="00FE7F8B" w:rsidRDefault="00FE7F8B">
            <w:pPr>
              <w:pStyle w:val="Tablecolumnheading"/>
              <w:ind w:right="113"/>
              <w:jc w:val="center"/>
              <w:rPr>
                <w:lang w:eastAsia="en-AU"/>
              </w:rPr>
            </w:pPr>
            <w:r>
              <w:rPr>
                <w:lang w:eastAsia="en-AU"/>
              </w:rPr>
              <w:t>Level 1</w:t>
            </w:r>
            <w:r>
              <w:rPr>
                <w:rStyle w:val="FootnoteReference"/>
              </w:rPr>
              <w:t>1</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280BAEDD" w14:textId="77777777" w:rsidR="00FE7F8B" w:rsidRDefault="00FE7F8B">
            <w:pPr>
              <w:pStyle w:val="Tablecolumnheading"/>
              <w:ind w:right="113"/>
              <w:jc w:val="center"/>
              <w:rPr>
                <w:lang w:eastAsia="en-AU"/>
              </w:rPr>
            </w:pPr>
            <w:r>
              <w:rPr>
                <w:lang w:eastAsia="en-AU"/>
              </w:rPr>
              <w:t>Level 2</w:t>
            </w:r>
            <w:r>
              <w:rPr>
                <w:rStyle w:val="FootnoteReference"/>
              </w:rPr>
              <w:t>1</w:t>
            </w:r>
            <w:r>
              <w:rPr>
                <w:lang w:eastAsia="en-AU"/>
              </w:rPr>
              <w:br/>
              <w:t>$m</w:t>
            </w:r>
          </w:p>
        </w:tc>
        <w:tc>
          <w:tcPr>
            <w:tcW w:w="1275" w:type="dxa"/>
            <w:tcBorders>
              <w:top w:val="nil"/>
              <w:left w:val="nil"/>
              <w:bottom w:val="nil"/>
              <w:right w:val="nil"/>
            </w:tcBorders>
            <w:shd w:val="clear" w:color="auto" w:fill="7F7F7F" w:themeFill="text1" w:themeFillTint="80"/>
            <w:vAlign w:val="center"/>
            <w:hideMark/>
          </w:tcPr>
          <w:p w14:paraId="6340158C" w14:textId="77777777" w:rsidR="00FE7F8B" w:rsidRDefault="00FE7F8B">
            <w:pPr>
              <w:pStyle w:val="Tablecolumnheading"/>
              <w:ind w:right="113"/>
              <w:jc w:val="center"/>
              <w:rPr>
                <w:lang w:eastAsia="en-AU"/>
              </w:rPr>
            </w:pPr>
            <w:r>
              <w:rPr>
                <w:lang w:eastAsia="en-AU"/>
              </w:rPr>
              <w:t>Level 3</w:t>
            </w:r>
            <w:r>
              <w:rPr>
                <w:rStyle w:val="FootnoteReference"/>
              </w:rPr>
              <w:t>1</w:t>
            </w:r>
            <w:r>
              <w:rPr>
                <w:lang w:eastAsia="en-AU"/>
              </w:rPr>
              <w:br/>
              <w:t>$m</w:t>
            </w:r>
          </w:p>
        </w:tc>
      </w:tr>
      <w:tr w:rsidR="00FE7F8B" w14:paraId="35105FB8" w14:textId="77777777" w:rsidTr="00FE7F8B">
        <w:tc>
          <w:tcPr>
            <w:tcW w:w="7376" w:type="dxa"/>
            <w:gridSpan w:val="5"/>
            <w:tcBorders>
              <w:top w:val="nil"/>
              <w:left w:val="nil"/>
              <w:bottom w:val="nil"/>
              <w:right w:val="nil"/>
            </w:tcBorders>
            <w:vAlign w:val="bottom"/>
            <w:hideMark/>
          </w:tcPr>
          <w:p w14:paraId="64EEB7DC" w14:textId="77777777" w:rsidR="00FE7F8B" w:rsidRDefault="00FE7F8B">
            <w:pPr>
              <w:pStyle w:val="Tabletextnoindent"/>
            </w:pPr>
            <w:r>
              <w:t>Land at fair value</w:t>
            </w:r>
          </w:p>
        </w:tc>
      </w:tr>
      <w:tr w:rsidR="00FE7F8B" w14:paraId="0199DE5F" w14:textId="77777777" w:rsidTr="00B359AF">
        <w:tc>
          <w:tcPr>
            <w:tcW w:w="2699" w:type="dxa"/>
            <w:tcBorders>
              <w:top w:val="nil"/>
              <w:left w:val="nil"/>
              <w:bottom w:val="single" w:sz="4" w:space="0" w:color="auto"/>
              <w:right w:val="nil"/>
            </w:tcBorders>
            <w:vAlign w:val="bottom"/>
            <w:hideMark/>
          </w:tcPr>
          <w:p w14:paraId="5034E5CB" w14:textId="77777777" w:rsidR="00FE7F8B" w:rsidRDefault="00FE7F8B">
            <w:pPr>
              <w:pStyle w:val="Tabletextnoindent"/>
              <w:ind w:left="205"/>
            </w:pPr>
            <w:r>
              <w:t>Land</w:t>
            </w:r>
          </w:p>
        </w:tc>
        <w:tc>
          <w:tcPr>
            <w:tcW w:w="1134" w:type="dxa"/>
            <w:tcBorders>
              <w:top w:val="nil"/>
              <w:left w:val="nil"/>
              <w:bottom w:val="single" w:sz="4" w:space="0" w:color="auto"/>
              <w:right w:val="nil"/>
            </w:tcBorders>
            <w:vAlign w:val="bottom"/>
            <w:hideMark/>
          </w:tcPr>
          <w:p w14:paraId="18606F52" w14:textId="77777777" w:rsidR="00FE7F8B" w:rsidRDefault="00FE7F8B">
            <w:pPr>
              <w:pStyle w:val="TableTextFinancial"/>
              <w:jc w:val="right"/>
            </w:pPr>
            <w:r>
              <w:t>7,895.7</w:t>
            </w:r>
          </w:p>
        </w:tc>
        <w:tc>
          <w:tcPr>
            <w:tcW w:w="1134" w:type="dxa"/>
            <w:tcBorders>
              <w:top w:val="nil"/>
              <w:left w:val="nil"/>
              <w:bottom w:val="single" w:sz="4" w:space="0" w:color="auto"/>
              <w:right w:val="nil"/>
            </w:tcBorders>
            <w:vAlign w:val="bottom"/>
            <w:hideMark/>
          </w:tcPr>
          <w:p w14:paraId="469B56B5" w14:textId="77777777" w:rsidR="00FE7F8B" w:rsidRDefault="00FE7F8B" w:rsidP="00B359AF">
            <w:pPr>
              <w:pStyle w:val="TableTextFinancial"/>
              <w:jc w:val="right"/>
            </w:pPr>
            <w:r>
              <w:rPr>
                <w:szCs w:val="16"/>
              </w:rPr>
              <w:t>–</w:t>
            </w:r>
          </w:p>
        </w:tc>
        <w:tc>
          <w:tcPr>
            <w:tcW w:w="1134" w:type="dxa"/>
            <w:tcBorders>
              <w:top w:val="nil"/>
              <w:left w:val="nil"/>
              <w:bottom w:val="single" w:sz="4" w:space="0" w:color="auto"/>
              <w:right w:val="nil"/>
            </w:tcBorders>
            <w:vAlign w:val="bottom"/>
            <w:hideMark/>
          </w:tcPr>
          <w:p w14:paraId="505A4741" w14:textId="77777777" w:rsidR="00FE7F8B" w:rsidRDefault="00FE7F8B" w:rsidP="00B359AF">
            <w:pPr>
              <w:pStyle w:val="TableTextFinancial"/>
              <w:jc w:val="right"/>
            </w:pPr>
            <w:r>
              <w:rPr>
                <w:szCs w:val="16"/>
              </w:rPr>
              <w:t>–</w:t>
            </w:r>
          </w:p>
        </w:tc>
        <w:tc>
          <w:tcPr>
            <w:tcW w:w="1275" w:type="dxa"/>
            <w:tcBorders>
              <w:top w:val="nil"/>
              <w:left w:val="nil"/>
              <w:bottom w:val="single" w:sz="4" w:space="0" w:color="auto"/>
              <w:right w:val="nil"/>
            </w:tcBorders>
            <w:vAlign w:val="bottom"/>
            <w:hideMark/>
          </w:tcPr>
          <w:p w14:paraId="326C58DD" w14:textId="77777777" w:rsidR="00FE7F8B" w:rsidRDefault="00FE7F8B">
            <w:pPr>
              <w:pStyle w:val="TableTextFinancial"/>
              <w:jc w:val="right"/>
            </w:pPr>
            <w:r>
              <w:t>7,895.7</w:t>
            </w:r>
          </w:p>
        </w:tc>
      </w:tr>
      <w:tr w:rsidR="00FE7F8B" w14:paraId="150E2C99" w14:textId="77777777" w:rsidTr="00B359AF">
        <w:tc>
          <w:tcPr>
            <w:tcW w:w="2699" w:type="dxa"/>
            <w:tcBorders>
              <w:top w:val="single" w:sz="4" w:space="0" w:color="auto"/>
              <w:left w:val="nil"/>
              <w:bottom w:val="single" w:sz="4" w:space="0" w:color="auto"/>
              <w:right w:val="nil"/>
            </w:tcBorders>
            <w:vAlign w:val="bottom"/>
            <w:hideMark/>
          </w:tcPr>
          <w:p w14:paraId="06F48BF3" w14:textId="77777777" w:rsidR="00FE7F8B" w:rsidRDefault="00FE7F8B">
            <w:pPr>
              <w:pStyle w:val="Tabletextnoindent"/>
              <w:rPr>
                <w:b/>
              </w:rPr>
            </w:pPr>
            <w:r>
              <w:rPr>
                <w:b/>
              </w:rPr>
              <w:t>Total land at fair value</w:t>
            </w:r>
          </w:p>
        </w:tc>
        <w:tc>
          <w:tcPr>
            <w:tcW w:w="1134" w:type="dxa"/>
            <w:tcBorders>
              <w:top w:val="single" w:sz="4" w:space="0" w:color="auto"/>
              <w:left w:val="nil"/>
              <w:bottom w:val="single" w:sz="4" w:space="0" w:color="auto"/>
              <w:right w:val="nil"/>
            </w:tcBorders>
            <w:vAlign w:val="bottom"/>
            <w:hideMark/>
          </w:tcPr>
          <w:p w14:paraId="6EA9ADE9" w14:textId="77777777" w:rsidR="00FE7F8B" w:rsidRDefault="00FE7F8B">
            <w:pPr>
              <w:pStyle w:val="TableTextFinancial"/>
              <w:jc w:val="right"/>
              <w:rPr>
                <w:b/>
              </w:rPr>
            </w:pPr>
            <w:r>
              <w:rPr>
                <w:b/>
              </w:rPr>
              <w:t>7,895.7</w:t>
            </w:r>
          </w:p>
        </w:tc>
        <w:tc>
          <w:tcPr>
            <w:tcW w:w="1134" w:type="dxa"/>
            <w:tcBorders>
              <w:top w:val="single" w:sz="4" w:space="0" w:color="auto"/>
              <w:left w:val="nil"/>
              <w:bottom w:val="single" w:sz="4" w:space="0" w:color="auto"/>
              <w:right w:val="nil"/>
            </w:tcBorders>
            <w:vAlign w:val="bottom"/>
            <w:hideMark/>
          </w:tcPr>
          <w:p w14:paraId="7E81B7AB" w14:textId="77777777" w:rsidR="00FE7F8B" w:rsidRDefault="00FE7F8B" w:rsidP="00B359AF">
            <w:pPr>
              <w:pStyle w:val="TableTextFinancial"/>
              <w:jc w:val="right"/>
              <w:rPr>
                <w:b/>
              </w:rPr>
            </w:pPr>
            <w:r>
              <w:rPr>
                <w:szCs w:val="16"/>
              </w:rPr>
              <w:t>–</w:t>
            </w:r>
          </w:p>
        </w:tc>
        <w:tc>
          <w:tcPr>
            <w:tcW w:w="1134" w:type="dxa"/>
            <w:tcBorders>
              <w:top w:val="single" w:sz="4" w:space="0" w:color="auto"/>
              <w:left w:val="nil"/>
              <w:bottom w:val="single" w:sz="4" w:space="0" w:color="auto"/>
              <w:right w:val="nil"/>
            </w:tcBorders>
            <w:vAlign w:val="bottom"/>
            <w:hideMark/>
          </w:tcPr>
          <w:p w14:paraId="517012A2" w14:textId="77777777" w:rsidR="00FE7F8B" w:rsidRDefault="00FE7F8B" w:rsidP="00B359AF">
            <w:pPr>
              <w:pStyle w:val="TableTextFinancial"/>
              <w:jc w:val="right"/>
              <w:rPr>
                <w:b/>
              </w:rPr>
            </w:pPr>
            <w:r>
              <w:rPr>
                <w:szCs w:val="16"/>
              </w:rPr>
              <w:t>–</w:t>
            </w:r>
          </w:p>
        </w:tc>
        <w:tc>
          <w:tcPr>
            <w:tcW w:w="1275" w:type="dxa"/>
            <w:tcBorders>
              <w:top w:val="single" w:sz="4" w:space="0" w:color="auto"/>
              <w:left w:val="nil"/>
              <w:bottom w:val="single" w:sz="4" w:space="0" w:color="auto"/>
              <w:right w:val="nil"/>
            </w:tcBorders>
            <w:vAlign w:val="bottom"/>
            <w:hideMark/>
          </w:tcPr>
          <w:p w14:paraId="53879FE6" w14:textId="77777777" w:rsidR="00FE7F8B" w:rsidRDefault="00FE7F8B">
            <w:pPr>
              <w:pStyle w:val="TableTextFinancial"/>
              <w:jc w:val="right"/>
              <w:rPr>
                <w:b/>
              </w:rPr>
            </w:pPr>
            <w:r>
              <w:rPr>
                <w:b/>
              </w:rPr>
              <w:t>7,895.7</w:t>
            </w:r>
          </w:p>
        </w:tc>
      </w:tr>
      <w:tr w:rsidR="00FE7F8B" w14:paraId="1623BBDD" w14:textId="77777777" w:rsidTr="00FE7F8B">
        <w:tc>
          <w:tcPr>
            <w:tcW w:w="7376" w:type="dxa"/>
            <w:gridSpan w:val="5"/>
            <w:tcBorders>
              <w:top w:val="single" w:sz="4" w:space="0" w:color="auto"/>
              <w:left w:val="nil"/>
              <w:bottom w:val="nil"/>
              <w:right w:val="nil"/>
            </w:tcBorders>
            <w:vAlign w:val="bottom"/>
          </w:tcPr>
          <w:p w14:paraId="5BD1AE97" w14:textId="77777777" w:rsidR="00FE7F8B" w:rsidRDefault="00FE7F8B">
            <w:pPr>
              <w:pStyle w:val="TableTextFinancial"/>
            </w:pPr>
          </w:p>
        </w:tc>
      </w:tr>
      <w:tr w:rsidR="00FE7F8B" w14:paraId="0F175458" w14:textId="77777777" w:rsidTr="00FE7F8B">
        <w:tc>
          <w:tcPr>
            <w:tcW w:w="7376" w:type="dxa"/>
            <w:gridSpan w:val="5"/>
            <w:tcBorders>
              <w:top w:val="nil"/>
              <w:left w:val="nil"/>
              <w:bottom w:val="nil"/>
              <w:right w:val="nil"/>
            </w:tcBorders>
            <w:vAlign w:val="bottom"/>
            <w:hideMark/>
          </w:tcPr>
          <w:p w14:paraId="73EABB10" w14:textId="77777777" w:rsidR="00FE7F8B" w:rsidRDefault="00FE7F8B">
            <w:pPr>
              <w:pStyle w:val="Tabletextnoindent"/>
            </w:pPr>
            <w:r>
              <w:t>Buildings at fair value</w:t>
            </w:r>
          </w:p>
        </w:tc>
      </w:tr>
      <w:tr w:rsidR="00FE7F8B" w14:paraId="32535A0F" w14:textId="77777777" w:rsidTr="00B359AF">
        <w:tc>
          <w:tcPr>
            <w:tcW w:w="2699" w:type="dxa"/>
            <w:tcBorders>
              <w:top w:val="nil"/>
              <w:left w:val="nil"/>
              <w:bottom w:val="single" w:sz="4" w:space="0" w:color="auto"/>
              <w:right w:val="nil"/>
            </w:tcBorders>
            <w:vAlign w:val="bottom"/>
            <w:hideMark/>
          </w:tcPr>
          <w:p w14:paraId="0D0B6D71" w14:textId="77777777" w:rsidR="00FE7F8B" w:rsidRDefault="00FE7F8B">
            <w:pPr>
              <w:pStyle w:val="Tabletextnoindent"/>
              <w:ind w:left="205"/>
            </w:pPr>
            <w:r>
              <w:t>Buildings</w:t>
            </w:r>
          </w:p>
        </w:tc>
        <w:tc>
          <w:tcPr>
            <w:tcW w:w="1134" w:type="dxa"/>
            <w:tcBorders>
              <w:top w:val="nil"/>
              <w:left w:val="nil"/>
              <w:bottom w:val="single" w:sz="4" w:space="0" w:color="auto"/>
              <w:right w:val="nil"/>
            </w:tcBorders>
            <w:vAlign w:val="bottom"/>
            <w:hideMark/>
          </w:tcPr>
          <w:p w14:paraId="0A7247BE" w14:textId="77777777" w:rsidR="00FE7F8B" w:rsidRDefault="00FE7F8B">
            <w:pPr>
              <w:pStyle w:val="TableTextFinancial"/>
              <w:jc w:val="right"/>
            </w:pPr>
            <w:r>
              <w:t>8,266.8</w:t>
            </w:r>
          </w:p>
        </w:tc>
        <w:tc>
          <w:tcPr>
            <w:tcW w:w="1134" w:type="dxa"/>
            <w:tcBorders>
              <w:top w:val="nil"/>
              <w:left w:val="nil"/>
              <w:bottom w:val="single" w:sz="4" w:space="0" w:color="auto"/>
              <w:right w:val="nil"/>
            </w:tcBorders>
            <w:vAlign w:val="bottom"/>
            <w:hideMark/>
          </w:tcPr>
          <w:p w14:paraId="5D3706A2" w14:textId="77777777" w:rsidR="00FE7F8B" w:rsidRDefault="00FE7F8B" w:rsidP="00B359AF">
            <w:pPr>
              <w:pStyle w:val="TableTextFinancial"/>
              <w:jc w:val="right"/>
            </w:pPr>
            <w:r>
              <w:rPr>
                <w:szCs w:val="16"/>
              </w:rPr>
              <w:t>–</w:t>
            </w:r>
          </w:p>
        </w:tc>
        <w:tc>
          <w:tcPr>
            <w:tcW w:w="1134" w:type="dxa"/>
            <w:tcBorders>
              <w:top w:val="nil"/>
              <w:left w:val="nil"/>
              <w:bottom w:val="single" w:sz="4" w:space="0" w:color="auto"/>
              <w:right w:val="nil"/>
            </w:tcBorders>
            <w:vAlign w:val="bottom"/>
            <w:hideMark/>
          </w:tcPr>
          <w:p w14:paraId="2306610D" w14:textId="77777777" w:rsidR="00FE7F8B" w:rsidRDefault="00FE7F8B" w:rsidP="00B359AF">
            <w:pPr>
              <w:pStyle w:val="TableTextFinancial"/>
              <w:jc w:val="right"/>
            </w:pPr>
            <w:r>
              <w:rPr>
                <w:szCs w:val="16"/>
              </w:rPr>
              <w:t>–</w:t>
            </w:r>
          </w:p>
        </w:tc>
        <w:tc>
          <w:tcPr>
            <w:tcW w:w="1275" w:type="dxa"/>
            <w:tcBorders>
              <w:top w:val="nil"/>
              <w:left w:val="nil"/>
              <w:bottom w:val="single" w:sz="4" w:space="0" w:color="auto"/>
              <w:right w:val="nil"/>
            </w:tcBorders>
            <w:vAlign w:val="bottom"/>
            <w:hideMark/>
          </w:tcPr>
          <w:p w14:paraId="46C5EE4A" w14:textId="77777777" w:rsidR="00FE7F8B" w:rsidRDefault="00FE7F8B">
            <w:pPr>
              <w:pStyle w:val="TableTextFinancial"/>
              <w:jc w:val="right"/>
            </w:pPr>
            <w:r>
              <w:t>8,266.8</w:t>
            </w:r>
          </w:p>
        </w:tc>
      </w:tr>
      <w:tr w:rsidR="00FE7F8B" w14:paraId="62D88648" w14:textId="77777777" w:rsidTr="00B359AF">
        <w:tc>
          <w:tcPr>
            <w:tcW w:w="2699" w:type="dxa"/>
            <w:tcBorders>
              <w:top w:val="single" w:sz="4" w:space="0" w:color="auto"/>
              <w:left w:val="nil"/>
              <w:bottom w:val="single" w:sz="4" w:space="0" w:color="auto"/>
              <w:right w:val="nil"/>
            </w:tcBorders>
            <w:vAlign w:val="bottom"/>
            <w:hideMark/>
          </w:tcPr>
          <w:p w14:paraId="42B2CEBC" w14:textId="77777777" w:rsidR="00FE7F8B" w:rsidRDefault="00FE7F8B">
            <w:pPr>
              <w:pStyle w:val="Tabletextnoindent"/>
              <w:rPr>
                <w:b/>
              </w:rPr>
            </w:pPr>
            <w:r>
              <w:rPr>
                <w:b/>
              </w:rPr>
              <w:t>Total of buildings at fair value</w:t>
            </w:r>
          </w:p>
        </w:tc>
        <w:tc>
          <w:tcPr>
            <w:tcW w:w="1134" w:type="dxa"/>
            <w:tcBorders>
              <w:top w:val="single" w:sz="4" w:space="0" w:color="auto"/>
              <w:left w:val="nil"/>
              <w:bottom w:val="single" w:sz="4" w:space="0" w:color="auto"/>
              <w:right w:val="nil"/>
            </w:tcBorders>
            <w:vAlign w:val="bottom"/>
            <w:hideMark/>
          </w:tcPr>
          <w:p w14:paraId="60B1E19B" w14:textId="77777777" w:rsidR="00FE7F8B" w:rsidRDefault="00FE7F8B">
            <w:pPr>
              <w:pStyle w:val="TableTextFinancial"/>
              <w:jc w:val="right"/>
              <w:rPr>
                <w:b/>
              </w:rPr>
            </w:pPr>
            <w:r>
              <w:rPr>
                <w:b/>
              </w:rPr>
              <w:t>8,266.8</w:t>
            </w:r>
          </w:p>
        </w:tc>
        <w:tc>
          <w:tcPr>
            <w:tcW w:w="1134" w:type="dxa"/>
            <w:tcBorders>
              <w:top w:val="single" w:sz="4" w:space="0" w:color="auto"/>
              <w:left w:val="nil"/>
              <w:bottom w:val="single" w:sz="4" w:space="0" w:color="auto"/>
              <w:right w:val="nil"/>
            </w:tcBorders>
            <w:vAlign w:val="bottom"/>
            <w:hideMark/>
          </w:tcPr>
          <w:p w14:paraId="2328D2F3" w14:textId="77777777" w:rsidR="00FE7F8B" w:rsidRDefault="00FE7F8B" w:rsidP="00B359AF">
            <w:pPr>
              <w:pStyle w:val="TableTextFinancial"/>
              <w:jc w:val="right"/>
              <w:rPr>
                <w:b/>
              </w:rPr>
            </w:pPr>
            <w:r>
              <w:rPr>
                <w:szCs w:val="16"/>
              </w:rPr>
              <w:t>–</w:t>
            </w:r>
          </w:p>
        </w:tc>
        <w:tc>
          <w:tcPr>
            <w:tcW w:w="1134" w:type="dxa"/>
            <w:tcBorders>
              <w:top w:val="single" w:sz="4" w:space="0" w:color="auto"/>
              <w:left w:val="nil"/>
              <w:bottom w:val="single" w:sz="4" w:space="0" w:color="auto"/>
              <w:right w:val="nil"/>
            </w:tcBorders>
            <w:vAlign w:val="bottom"/>
            <w:hideMark/>
          </w:tcPr>
          <w:p w14:paraId="70316D5F" w14:textId="77777777" w:rsidR="00FE7F8B" w:rsidRDefault="00FE7F8B" w:rsidP="00B359AF">
            <w:pPr>
              <w:pStyle w:val="TableTextFinancial"/>
              <w:jc w:val="right"/>
              <w:rPr>
                <w:b/>
              </w:rPr>
            </w:pPr>
            <w:r>
              <w:rPr>
                <w:szCs w:val="16"/>
              </w:rPr>
              <w:t>–</w:t>
            </w:r>
          </w:p>
        </w:tc>
        <w:tc>
          <w:tcPr>
            <w:tcW w:w="1275" w:type="dxa"/>
            <w:tcBorders>
              <w:top w:val="single" w:sz="4" w:space="0" w:color="auto"/>
              <w:left w:val="nil"/>
              <w:bottom w:val="single" w:sz="4" w:space="0" w:color="auto"/>
              <w:right w:val="nil"/>
            </w:tcBorders>
            <w:vAlign w:val="bottom"/>
            <w:hideMark/>
          </w:tcPr>
          <w:p w14:paraId="333DBF16" w14:textId="77777777" w:rsidR="00FE7F8B" w:rsidRDefault="00FE7F8B">
            <w:pPr>
              <w:pStyle w:val="TableTextFinancial"/>
              <w:jc w:val="right"/>
              <w:rPr>
                <w:b/>
              </w:rPr>
            </w:pPr>
            <w:r>
              <w:rPr>
                <w:b/>
              </w:rPr>
              <w:t>8,266.8</w:t>
            </w:r>
          </w:p>
        </w:tc>
      </w:tr>
      <w:tr w:rsidR="00FE7F8B" w14:paraId="696E2CD4" w14:textId="77777777" w:rsidTr="00FE7F8B">
        <w:tc>
          <w:tcPr>
            <w:tcW w:w="7376" w:type="dxa"/>
            <w:gridSpan w:val="5"/>
            <w:tcBorders>
              <w:top w:val="single" w:sz="4" w:space="0" w:color="auto"/>
              <w:left w:val="nil"/>
              <w:bottom w:val="nil"/>
              <w:right w:val="nil"/>
            </w:tcBorders>
            <w:vAlign w:val="bottom"/>
          </w:tcPr>
          <w:p w14:paraId="27A46973" w14:textId="77777777" w:rsidR="00FE7F8B" w:rsidRDefault="00FE7F8B">
            <w:pPr>
              <w:pStyle w:val="TableTextFinancial"/>
            </w:pPr>
          </w:p>
        </w:tc>
      </w:tr>
      <w:tr w:rsidR="00FE7F8B" w14:paraId="0DED1D0D" w14:textId="77777777" w:rsidTr="00FE7F8B">
        <w:tc>
          <w:tcPr>
            <w:tcW w:w="7376" w:type="dxa"/>
            <w:gridSpan w:val="5"/>
            <w:tcBorders>
              <w:top w:val="nil"/>
              <w:left w:val="nil"/>
              <w:bottom w:val="nil"/>
              <w:right w:val="nil"/>
            </w:tcBorders>
            <w:vAlign w:val="bottom"/>
            <w:hideMark/>
          </w:tcPr>
          <w:p w14:paraId="42BAA8DE" w14:textId="77777777" w:rsidR="00FE7F8B" w:rsidRDefault="00FE7F8B">
            <w:pPr>
              <w:pStyle w:val="Tabletextnoindent"/>
            </w:pPr>
            <w:r>
              <w:t>Heritage buildings at fair value</w:t>
            </w:r>
          </w:p>
        </w:tc>
      </w:tr>
      <w:tr w:rsidR="00FE7F8B" w14:paraId="3DFBC6FE" w14:textId="77777777" w:rsidTr="00B359AF">
        <w:tc>
          <w:tcPr>
            <w:tcW w:w="2699" w:type="dxa"/>
            <w:tcBorders>
              <w:top w:val="nil"/>
              <w:left w:val="nil"/>
              <w:bottom w:val="single" w:sz="4" w:space="0" w:color="auto"/>
              <w:right w:val="nil"/>
            </w:tcBorders>
            <w:vAlign w:val="bottom"/>
            <w:hideMark/>
          </w:tcPr>
          <w:p w14:paraId="5C802B60" w14:textId="77777777" w:rsidR="00FE7F8B" w:rsidRDefault="00FE7F8B">
            <w:pPr>
              <w:pStyle w:val="Tabletextnoindent"/>
              <w:ind w:left="205"/>
            </w:pPr>
            <w:r>
              <w:t>Heritage buildings</w:t>
            </w:r>
          </w:p>
        </w:tc>
        <w:tc>
          <w:tcPr>
            <w:tcW w:w="1134" w:type="dxa"/>
            <w:tcBorders>
              <w:top w:val="nil"/>
              <w:left w:val="nil"/>
              <w:bottom w:val="single" w:sz="4" w:space="0" w:color="auto"/>
              <w:right w:val="nil"/>
            </w:tcBorders>
            <w:vAlign w:val="bottom"/>
            <w:hideMark/>
          </w:tcPr>
          <w:p w14:paraId="3C0CEFCC" w14:textId="77777777" w:rsidR="00FE7F8B" w:rsidRDefault="00FE7F8B">
            <w:pPr>
              <w:pStyle w:val="TableTextFinancial"/>
              <w:jc w:val="right"/>
            </w:pPr>
            <w:r>
              <w:t>58.1</w:t>
            </w:r>
          </w:p>
        </w:tc>
        <w:tc>
          <w:tcPr>
            <w:tcW w:w="1134" w:type="dxa"/>
            <w:tcBorders>
              <w:top w:val="nil"/>
              <w:left w:val="nil"/>
              <w:bottom w:val="single" w:sz="4" w:space="0" w:color="auto"/>
              <w:right w:val="nil"/>
            </w:tcBorders>
            <w:vAlign w:val="bottom"/>
            <w:hideMark/>
          </w:tcPr>
          <w:p w14:paraId="57582A7E" w14:textId="77777777" w:rsidR="00FE7F8B" w:rsidRDefault="00FE7F8B" w:rsidP="00B359AF">
            <w:pPr>
              <w:pStyle w:val="TableTextFinancial"/>
              <w:jc w:val="right"/>
            </w:pPr>
            <w:r>
              <w:rPr>
                <w:szCs w:val="16"/>
              </w:rPr>
              <w:t>–</w:t>
            </w:r>
          </w:p>
        </w:tc>
        <w:tc>
          <w:tcPr>
            <w:tcW w:w="1134" w:type="dxa"/>
            <w:tcBorders>
              <w:top w:val="nil"/>
              <w:left w:val="nil"/>
              <w:bottom w:val="single" w:sz="4" w:space="0" w:color="auto"/>
              <w:right w:val="nil"/>
            </w:tcBorders>
            <w:vAlign w:val="bottom"/>
            <w:hideMark/>
          </w:tcPr>
          <w:p w14:paraId="6C630541" w14:textId="77777777" w:rsidR="00FE7F8B" w:rsidRDefault="00FE7F8B" w:rsidP="00B359AF">
            <w:pPr>
              <w:pStyle w:val="TableTextFinancial"/>
              <w:jc w:val="right"/>
            </w:pPr>
            <w:r>
              <w:rPr>
                <w:szCs w:val="16"/>
              </w:rPr>
              <w:t>–</w:t>
            </w:r>
          </w:p>
        </w:tc>
        <w:tc>
          <w:tcPr>
            <w:tcW w:w="1275" w:type="dxa"/>
            <w:tcBorders>
              <w:top w:val="nil"/>
              <w:left w:val="nil"/>
              <w:bottom w:val="single" w:sz="4" w:space="0" w:color="auto"/>
              <w:right w:val="nil"/>
            </w:tcBorders>
            <w:vAlign w:val="bottom"/>
            <w:hideMark/>
          </w:tcPr>
          <w:p w14:paraId="2DCD7484" w14:textId="77777777" w:rsidR="00FE7F8B" w:rsidRDefault="00FE7F8B">
            <w:pPr>
              <w:pStyle w:val="TableTextFinancial"/>
              <w:jc w:val="right"/>
            </w:pPr>
            <w:r>
              <w:t>58.1</w:t>
            </w:r>
          </w:p>
        </w:tc>
      </w:tr>
      <w:tr w:rsidR="00FE7F8B" w14:paraId="052D9BBF" w14:textId="77777777" w:rsidTr="00B359AF">
        <w:tc>
          <w:tcPr>
            <w:tcW w:w="2699" w:type="dxa"/>
            <w:tcBorders>
              <w:top w:val="single" w:sz="4" w:space="0" w:color="auto"/>
              <w:left w:val="nil"/>
              <w:bottom w:val="single" w:sz="4" w:space="0" w:color="auto"/>
              <w:right w:val="nil"/>
            </w:tcBorders>
            <w:vAlign w:val="bottom"/>
            <w:hideMark/>
          </w:tcPr>
          <w:p w14:paraId="7F0DCC58" w14:textId="77777777" w:rsidR="00FE7F8B" w:rsidRDefault="00FE7F8B">
            <w:pPr>
              <w:pStyle w:val="Tabletextnoindent"/>
              <w:rPr>
                <w:b/>
              </w:rPr>
            </w:pPr>
            <w:r>
              <w:rPr>
                <w:b/>
              </w:rPr>
              <w:t>Total of heritage buildings at fair value</w:t>
            </w:r>
          </w:p>
        </w:tc>
        <w:tc>
          <w:tcPr>
            <w:tcW w:w="1134" w:type="dxa"/>
            <w:tcBorders>
              <w:top w:val="single" w:sz="4" w:space="0" w:color="auto"/>
              <w:left w:val="nil"/>
              <w:bottom w:val="single" w:sz="4" w:space="0" w:color="auto"/>
              <w:right w:val="nil"/>
            </w:tcBorders>
            <w:vAlign w:val="bottom"/>
            <w:hideMark/>
          </w:tcPr>
          <w:p w14:paraId="4F655683" w14:textId="77777777" w:rsidR="00FE7F8B" w:rsidRDefault="00FE7F8B">
            <w:pPr>
              <w:pStyle w:val="TableTextFinancial"/>
              <w:jc w:val="right"/>
              <w:rPr>
                <w:b/>
              </w:rPr>
            </w:pPr>
            <w:r>
              <w:rPr>
                <w:b/>
              </w:rPr>
              <w:t>58.1</w:t>
            </w:r>
          </w:p>
        </w:tc>
        <w:tc>
          <w:tcPr>
            <w:tcW w:w="1134" w:type="dxa"/>
            <w:tcBorders>
              <w:top w:val="single" w:sz="4" w:space="0" w:color="auto"/>
              <w:left w:val="nil"/>
              <w:bottom w:val="single" w:sz="4" w:space="0" w:color="auto"/>
              <w:right w:val="nil"/>
            </w:tcBorders>
            <w:vAlign w:val="bottom"/>
            <w:hideMark/>
          </w:tcPr>
          <w:p w14:paraId="7DB4B3E1" w14:textId="77777777" w:rsidR="00FE7F8B" w:rsidRDefault="00FE7F8B" w:rsidP="00B359AF">
            <w:pPr>
              <w:pStyle w:val="TableTextFinancial"/>
              <w:jc w:val="right"/>
              <w:rPr>
                <w:b/>
              </w:rPr>
            </w:pPr>
            <w:r>
              <w:rPr>
                <w:szCs w:val="16"/>
              </w:rPr>
              <w:t>–</w:t>
            </w:r>
          </w:p>
        </w:tc>
        <w:tc>
          <w:tcPr>
            <w:tcW w:w="1134" w:type="dxa"/>
            <w:tcBorders>
              <w:top w:val="single" w:sz="4" w:space="0" w:color="auto"/>
              <w:left w:val="nil"/>
              <w:bottom w:val="single" w:sz="4" w:space="0" w:color="auto"/>
              <w:right w:val="nil"/>
            </w:tcBorders>
            <w:vAlign w:val="bottom"/>
            <w:hideMark/>
          </w:tcPr>
          <w:p w14:paraId="1865CC35" w14:textId="77777777" w:rsidR="00FE7F8B" w:rsidRDefault="00FE7F8B" w:rsidP="00B359AF">
            <w:pPr>
              <w:pStyle w:val="TableTextFinancial"/>
              <w:jc w:val="right"/>
              <w:rPr>
                <w:b/>
              </w:rPr>
            </w:pPr>
            <w:r>
              <w:rPr>
                <w:szCs w:val="16"/>
              </w:rPr>
              <w:t>–</w:t>
            </w:r>
          </w:p>
        </w:tc>
        <w:tc>
          <w:tcPr>
            <w:tcW w:w="1275" w:type="dxa"/>
            <w:tcBorders>
              <w:top w:val="single" w:sz="4" w:space="0" w:color="auto"/>
              <w:left w:val="nil"/>
              <w:bottom w:val="single" w:sz="4" w:space="0" w:color="auto"/>
              <w:right w:val="nil"/>
            </w:tcBorders>
            <w:vAlign w:val="bottom"/>
            <w:hideMark/>
          </w:tcPr>
          <w:p w14:paraId="1457BE56" w14:textId="77777777" w:rsidR="00FE7F8B" w:rsidRDefault="00FE7F8B">
            <w:pPr>
              <w:pStyle w:val="TableTextFinancial"/>
              <w:jc w:val="right"/>
              <w:rPr>
                <w:b/>
              </w:rPr>
            </w:pPr>
            <w:r>
              <w:rPr>
                <w:b/>
              </w:rPr>
              <w:t>58.1</w:t>
            </w:r>
          </w:p>
        </w:tc>
      </w:tr>
      <w:tr w:rsidR="00FE7F8B" w14:paraId="7F0D10C3" w14:textId="77777777" w:rsidTr="00FE7F8B">
        <w:tc>
          <w:tcPr>
            <w:tcW w:w="7376" w:type="dxa"/>
            <w:gridSpan w:val="5"/>
            <w:tcBorders>
              <w:top w:val="single" w:sz="4" w:space="0" w:color="auto"/>
              <w:left w:val="nil"/>
              <w:bottom w:val="nil"/>
              <w:right w:val="nil"/>
            </w:tcBorders>
            <w:vAlign w:val="bottom"/>
          </w:tcPr>
          <w:p w14:paraId="41BCB232" w14:textId="77777777" w:rsidR="00FE7F8B" w:rsidRDefault="00FE7F8B">
            <w:pPr>
              <w:pStyle w:val="TableTextFinancial"/>
            </w:pPr>
          </w:p>
        </w:tc>
      </w:tr>
      <w:tr w:rsidR="00FE7F8B" w14:paraId="11745933" w14:textId="77777777" w:rsidTr="00FE7F8B">
        <w:tc>
          <w:tcPr>
            <w:tcW w:w="7376" w:type="dxa"/>
            <w:gridSpan w:val="5"/>
            <w:tcBorders>
              <w:top w:val="nil"/>
              <w:left w:val="nil"/>
              <w:bottom w:val="nil"/>
              <w:right w:val="nil"/>
            </w:tcBorders>
            <w:vAlign w:val="bottom"/>
            <w:hideMark/>
          </w:tcPr>
          <w:p w14:paraId="3348F88F" w14:textId="77777777" w:rsidR="00FE7F8B" w:rsidRDefault="00FE7F8B">
            <w:pPr>
              <w:pStyle w:val="Tabletextnoindent"/>
            </w:pPr>
            <w:r>
              <w:t>Leasehold buildings at fair value</w:t>
            </w:r>
          </w:p>
        </w:tc>
      </w:tr>
      <w:tr w:rsidR="00FE7F8B" w14:paraId="5AD47561" w14:textId="77777777" w:rsidTr="00B359AF">
        <w:tc>
          <w:tcPr>
            <w:tcW w:w="2699" w:type="dxa"/>
            <w:tcBorders>
              <w:top w:val="nil"/>
              <w:left w:val="nil"/>
              <w:bottom w:val="single" w:sz="4" w:space="0" w:color="auto"/>
              <w:right w:val="nil"/>
            </w:tcBorders>
            <w:vAlign w:val="bottom"/>
            <w:hideMark/>
          </w:tcPr>
          <w:p w14:paraId="378EA570" w14:textId="77777777" w:rsidR="00FE7F8B" w:rsidRDefault="00FE7F8B">
            <w:pPr>
              <w:pStyle w:val="Tabletextnoindent"/>
              <w:ind w:left="205"/>
            </w:pPr>
            <w:r>
              <w:t>Leasehold buildings</w:t>
            </w:r>
          </w:p>
        </w:tc>
        <w:tc>
          <w:tcPr>
            <w:tcW w:w="1134" w:type="dxa"/>
            <w:tcBorders>
              <w:top w:val="nil"/>
              <w:left w:val="nil"/>
              <w:bottom w:val="single" w:sz="4" w:space="0" w:color="auto"/>
              <w:right w:val="nil"/>
            </w:tcBorders>
            <w:vAlign w:val="bottom"/>
            <w:hideMark/>
          </w:tcPr>
          <w:p w14:paraId="766D7E18" w14:textId="77777777" w:rsidR="00FE7F8B" w:rsidRDefault="00FE7F8B">
            <w:pPr>
              <w:pStyle w:val="TableTextFinancial"/>
              <w:jc w:val="right"/>
            </w:pPr>
            <w:r>
              <w:t>191.0</w:t>
            </w:r>
          </w:p>
        </w:tc>
        <w:tc>
          <w:tcPr>
            <w:tcW w:w="1134" w:type="dxa"/>
            <w:tcBorders>
              <w:top w:val="nil"/>
              <w:left w:val="nil"/>
              <w:bottom w:val="single" w:sz="4" w:space="0" w:color="auto"/>
              <w:right w:val="nil"/>
            </w:tcBorders>
            <w:vAlign w:val="bottom"/>
            <w:hideMark/>
          </w:tcPr>
          <w:p w14:paraId="618B58B3" w14:textId="77777777" w:rsidR="00FE7F8B" w:rsidRDefault="00FE7F8B" w:rsidP="00B359AF">
            <w:pPr>
              <w:pStyle w:val="TableTextFinancial"/>
              <w:jc w:val="right"/>
            </w:pPr>
            <w:r>
              <w:rPr>
                <w:szCs w:val="16"/>
              </w:rPr>
              <w:t>–</w:t>
            </w:r>
          </w:p>
        </w:tc>
        <w:tc>
          <w:tcPr>
            <w:tcW w:w="1134" w:type="dxa"/>
            <w:tcBorders>
              <w:top w:val="nil"/>
              <w:left w:val="nil"/>
              <w:bottom w:val="single" w:sz="4" w:space="0" w:color="auto"/>
              <w:right w:val="nil"/>
            </w:tcBorders>
            <w:vAlign w:val="bottom"/>
            <w:hideMark/>
          </w:tcPr>
          <w:p w14:paraId="39D6C024" w14:textId="77777777" w:rsidR="00FE7F8B" w:rsidRDefault="00FE7F8B" w:rsidP="00B359AF">
            <w:pPr>
              <w:pStyle w:val="TableTextFinancial"/>
              <w:jc w:val="right"/>
            </w:pPr>
            <w:r>
              <w:rPr>
                <w:szCs w:val="16"/>
              </w:rPr>
              <w:t>–</w:t>
            </w:r>
          </w:p>
        </w:tc>
        <w:tc>
          <w:tcPr>
            <w:tcW w:w="1275" w:type="dxa"/>
            <w:tcBorders>
              <w:top w:val="nil"/>
              <w:left w:val="nil"/>
              <w:bottom w:val="single" w:sz="4" w:space="0" w:color="auto"/>
              <w:right w:val="nil"/>
            </w:tcBorders>
            <w:vAlign w:val="bottom"/>
            <w:hideMark/>
          </w:tcPr>
          <w:p w14:paraId="7E95FB3E" w14:textId="77777777" w:rsidR="00FE7F8B" w:rsidRDefault="00FE7F8B">
            <w:pPr>
              <w:pStyle w:val="TableTextFinancial"/>
              <w:jc w:val="right"/>
            </w:pPr>
            <w:r>
              <w:t>191.0</w:t>
            </w:r>
          </w:p>
        </w:tc>
      </w:tr>
      <w:tr w:rsidR="00FE7F8B" w14:paraId="77152F3F" w14:textId="77777777" w:rsidTr="00B359AF">
        <w:tc>
          <w:tcPr>
            <w:tcW w:w="2699" w:type="dxa"/>
            <w:tcBorders>
              <w:top w:val="single" w:sz="4" w:space="0" w:color="auto"/>
              <w:left w:val="nil"/>
              <w:bottom w:val="single" w:sz="4" w:space="0" w:color="auto"/>
              <w:right w:val="nil"/>
            </w:tcBorders>
            <w:vAlign w:val="bottom"/>
            <w:hideMark/>
          </w:tcPr>
          <w:p w14:paraId="23A7EDD2" w14:textId="77777777" w:rsidR="00FE7F8B" w:rsidRDefault="00FE7F8B">
            <w:pPr>
              <w:pStyle w:val="Tabletextnoindent"/>
              <w:rPr>
                <w:b/>
              </w:rPr>
            </w:pPr>
            <w:r>
              <w:rPr>
                <w:b/>
              </w:rPr>
              <w:t>Total of leasehold buildings at fair value</w:t>
            </w:r>
          </w:p>
        </w:tc>
        <w:tc>
          <w:tcPr>
            <w:tcW w:w="1134" w:type="dxa"/>
            <w:tcBorders>
              <w:top w:val="single" w:sz="4" w:space="0" w:color="auto"/>
              <w:left w:val="nil"/>
              <w:bottom w:val="single" w:sz="4" w:space="0" w:color="auto"/>
              <w:right w:val="nil"/>
            </w:tcBorders>
            <w:vAlign w:val="bottom"/>
            <w:hideMark/>
          </w:tcPr>
          <w:p w14:paraId="7C5B541F" w14:textId="77777777" w:rsidR="00FE7F8B" w:rsidRDefault="00FE7F8B">
            <w:pPr>
              <w:pStyle w:val="TableTextFinancial"/>
              <w:jc w:val="right"/>
              <w:rPr>
                <w:b/>
              </w:rPr>
            </w:pPr>
            <w:r>
              <w:rPr>
                <w:b/>
              </w:rPr>
              <w:t>191.0</w:t>
            </w:r>
          </w:p>
        </w:tc>
        <w:tc>
          <w:tcPr>
            <w:tcW w:w="1134" w:type="dxa"/>
            <w:tcBorders>
              <w:top w:val="single" w:sz="4" w:space="0" w:color="auto"/>
              <w:left w:val="nil"/>
              <w:bottom w:val="single" w:sz="4" w:space="0" w:color="auto"/>
              <w:right w:val="nil"/>
            </w:tcBorders>
            <w:vAlign w:val="bottom"/>
            <w:hideMark/>
          </w:tcPr>
          <w:p w14:paraId="56B72A5D" w14:textId="77777777" w:rsidR="00FE7F8B" w:rsidRDefault="00FE7F8B" w:rsidP="00B359AF">
            <w:pPr>
              <w:pStyle w:val="TableTextFinancial"/>
              <w:jc w:val="right"/>
              <w:rPr>
                <w:b/>
              </w:rPr>
            </w:pPr>
            <w:r>
              <w:rPr>
                <w:szCs w:val="16"/>
              </w:rPr>
              <w:t>–</w:t>
            </w:r>
          </w:p>
        </w:tc>
        <w:tc>
          <w:tcPr>
            <w:tcW w:w="1134" w:type="dxa"/>
            <w:tcBorders>
              <w:top w:val="single" w:sz="4" w:space="0" w:color="auto"/>
              <w:left w:val="nil"/>
              <w:bottom w:val="single" w:sz="4" w:space="0" w:color="auto"/>
              <w:right w:val="nil"/>
            </w:tcBorders>
            <w:vAlign w:val="bottom"/>
            <w:hideMark/>
          </w:tcPr>
          <w:p w14:paraId="4BE10A6D" w14:textId="77777777" w:rsidR="00FE7F8B" w:rsidRDefault="00FE7F8B" w:rsidP="00B359AF">
            <w:pPr>
              <w:pStyle w:val="TableTextFinancial"/>
              <w:jc w:val="right"/>
              <w:rPr>
                <w:b/>
              </w:rPr>
            </w:pPr>
            <w:r>
              <w:rPr>
                <w:szCs w:val="16"/>
              </w:rPr>
              <w:t>–</w:t>
            </w:r>
          </w:p>
        </w:tc>
        <w:tc>
          <w:tcPr>
            <w:tcW w:w="1275" w:type="dxa"/>
            <w:tcBorders>
              <w:top w:val="single" w:sz="4" w:space="0" w:color="auto"/>
              <w:left w:val="nil"/>
              <w:bottom w:val="single" w:sz="4" w:space="0" w:color="auto"/>
              <w:right w:val="nil"/>
            </w:tcBorders>
            <w:vAlign w:val="bottom"/>
            <w:hideMark/>
          </w:tcPr>
          <w:p w14:paraId="1359CCDE" w14:textId="77777777" w:rsidR="00FE7F8B" w:rsidRDefault="00FE7F8B">
            <w:pPr>
              <w:pStyle w:val="TableTextFinancial"/>
              <w:jc w:val="right"/>
              <w:rPr>
                <w:b/>
              </w:rPr>
            </w:pPr>
            <w:r>
              <w:rPr>
                <w:b/>
              </w:rPr>
              <w:t>191.0</w:t>
            </w:r>
          </w:p>
        </w:tc>
      </w:tr>
      <w:tr w:rsidR="00FE7F8B" w14:paraId="78AEB66A" w14:textId="77777777" w:rsidTr="00FE7F8B">
        <w:tc>
          <w:tcPr>
            <w:tcW w:w="7376" w:type="dxa"/>
            <w:gridSpan w:val="5"/>
            <w:tcBorders>
              <w:top w:val="single" w:sz="4" w:space="0" w:color="auto"/>
              <w:left w:val="nil"/>
              <w:bottom w:val="nil"/>
              <w:right w:val="nil"/>
            </w:tcBorders>
            <w:vAlign w:val="bottom"/>
          </w:tcPr>
          <w:p w14:paraId="02C2727C" w14:textId="77777777" w:rsidR="00FE7F8B" w:rsidRDefault="00FE7F8B">
            <w:pPr>
              <w:pStyle w:val="TableTextFinancial"/>
            </w:pPr>
          </w:p>
        </w:tc>
      </w:tr>
      <w:tr w:rsidR="00FE7F8B" w14:paraId="47133F7A" w14:textId="77777777" w:rsidTr="00FE7F8B">
        <w:tc>
          <w:tcPr>
            <w:tcW w:w="7376" w:type="dxa"/>
            <w:gridSpan w:val="5"/>
            <w:tcBorders>
              <w:top w:val="nil"/>
              <w:left w:val="nil"/>
              <w:bottom w:val="nil"/>
              <w:right w:val="nil"/>
            </w:tcBorders>
            <w:vAlign w:val="bottom"/>
            <w:hideMark/>
          </w:tcPr>
          <w:p w14:paraId="619909A1" w14:textId="77777777" w:rsidR="00FE7F8B" w:rsidRDefault="00FE7F8B">
            <w:pPr>
              <w:pStyle w:val="Tabletextnoindent"/>
            </w:pPr>
            <w:r>
              <w:t>Leasehold improvements at fair value</w:t>
            </w:r>
          </w:p>
        </w:tc>
      </w:tr>
      <w:tr w:rsidR="00FE7F8B" w14:paraId="0CF8D7A2" w14:textId="77777777" w:rsidTr="00B359AF">
        <w:tc>
          <w:tcPr>
            <w:tcW w:w="2699" w:type="dxa"/>
            <w:tcBorders>
              <w:top w:val="nil"/>
              <w:left w:val="nil"/>
              <w:bottom w:val="single" w:sz="4" w:space="0" w:color="auto"/>
              <w:right w:val="nil"/>
            </w:tcBorders>
            <w:vAlign w:val="bottom"/>
            <w:hideMark/>
          </w:tcPr>
          <w:p w14:paraId="48770AEE" w14:textId="77777777" w:rsidR="00FE7F8B" w:rsidRDefault="00FE7F8B">
            <w:pPr>
              <w:pStyle w:val="Tabletextnoindent"/>
              <w:ind w:left="205"/>
            </w:pPr>
            <w:r>
              <w:t>Leasehold improvements</w:t>
            </w:r>
          </w:p>
        </w:tc>
        <w:tc>
          <w:tcPr>
            <w:tcW w:w="1134" w:type="dxa"/>
            <w:tcBorders>
              <w:top w:val="nil"/>
              <w:left w:val="nil"/>
              <w:bottom w:val="single" w:sz="4" w:space="0" w:color="auto"/>
              <w:right w:val="nil"/>
            </w:tcBorders>
            <w:vAlign w:val="bottom"/>
            <w:hideMark/>
          </w:tcPr>
          <w:p w14:paraId="19EB1D9C" w14:textId="77777777" w:rsidR="00FE7F8B" w:rsidRDefault="00FE7F8B">
            <w:pPr>
              <w:pStyle w:val="TableTextFinancial"/>
              <w:jc w:val="right"/>
            </w:pPr>
            <w:r>
              <w:t>0.5</w:t>
            </w:r>
          </w:p>
        </w:tc>
        <w:tc>
          <w:tcPr>
            <w:tcW w:w="1134" w:type="dxa"/>
            <w:tcBorders>
              <w:top w:val="nil"/>
              <w:left w:val="nil"/>
              <w:bottom w:val="single" w:sz="4" w:space="0" w:color="auto"/>
              <w:right w:val="nil"/>
            </w:tcBorders>
            <w:vAlign w:val="bottom"/>
            <w:hideMark/>
          </w:tcPr>
          <w:p w14:paraId="6BDBB8A5" w14:textId="77777777" w:rsidR="00FE7F8B" w:rsidRDefault="00FE7F8B" w:rsidP="00B359AF">
            <w:pPr>
              <w:pStyle w:val="TableTextFinancial"/>
              <w:jc w:val="right"/>
            </w:pPr>
            <w:r>
              <w:rPr>
                <w:szCs w:val="16"/>
              </w:rPr>
              <w:t>–</w:t>
            </w:r>
          </w:p>
        </w:tc>
        <w:tc>
          <w:tcPr>
            <w:tcW w:w="1134" w:type="dxa"/>
            <w:tcBorders>
              <w:top w:val="nil"/>
              <w:left w:val="nil"/>
              <w:bottom w:val="single" w:sz="4" w:space="0" w:color="auto"/>
              <w:right w:val="nil"/>
            </w:tcBorders>
            <w:vAlign w:val="bottom"/>
            <w:hideMark/>
          </w:tcPr>
          <w:p w14:paraId="67477D03" w14:textId="77777777" w:rsidR="00FE7F8B" w:rsidRDefault="00FE7F8B" w:rsidP="00B359AF">
            <w:pPr>
              <w:pStyle w:val="TableTextFinancial"/>
              <w:jc w:val="right"/>
            </w:pPr>
            <w:r>
              <w:rPr>
                <w:szCs w:val="16"/>
              </w:rPr>
              <w:t>–</w:t>
            </w:r>
          </w:p>
        </w:tc>
        <w:tc>
          <w:tcPr>
            <w:tcW w:w="1275" w:type="dxa"/>
            <w:tcBorders>
              <w:top w:val="nil"/>
              <w:left w:val="nil"/>
              <w:bottom w:val="single" w:sz="4" w:space="0" w:color="auto"/>
              <w:right w:val="nil"/>
            </w:tcBorders>
            <w:vAlign w:val="bottom"/>
            <w:hideMark/>
          </w:tcPr>
          <w:p w14:paraId="3C93CBA9" w14:textId="77777777" w:rsidR="00FE7F8B" w:rsidRDefault="00FE7F8B">
            <w:pPr>
              <w:pStyle w:val="TableTextFinancial"/>
              <w:jc w:val="right"/>
            </w:pPr>
            <w:r>
              <w:t>0.5</w:t>
            </w:r>
          </w:p>
        </w:tc>
      </w:tr>
      <w:tr w:rsidR="00FE7F8B" w14:paraId="03F46FA2" w14:textId="77777777" w:rsidTr="00B359AF">
        <w:tc>
          <w:tcPr>
            <w:tcW w:w="2699" w:type="dxa"/>
            <w:tcBorders>
              <w:top w:val="single" w:sz="4" w:space="0" w:color="auto"/>
              <w:left w:val="nil"/>
              <w:bottom w:val="single" w:sz="4" w:space="0" w:color="auto"/>
              <w:right w:val="nil"/>
            </w:tcBorders>
            <w:vAlign w:val="bottom"/>
            <w:hideMark/>
          </w:tcPr>
          <w:p w14:paraId="41750F09" w14:textId="77777777" w:rsidR="00FE7F8B" w:rsidRDefault="00FE7F8B">
            <w:pPr>
              <w:pStyle w:val="Tabletextnoindent"/>
              <w:rPr>
                <w:b/>
              </w:rPr>
            </w:pPr>
            <w:r>
              <w:rPr>
                <w:b/>
              </w:rPr>
              <w:t>Total of leasehold improvements at fair value</w:t>
            </w:r>
          </w:p>
        </w:tc>
        <w:tc>
          <w:tcPr>
            <w:tcW w:w="1134" w:type="dxa"/>
            <w:tcBorders>
              <w:top w:val="single" w:sz="4" w:space="0" w:color="auto"/>
              <w:left w:val="nil"/>
              <w:bottom w:val="single" w:sz="4" w:space="0" w:color="auto"/>
              <w:right w:val="nil"/>
            </w:tcBorders>
            <w:vAlign w:val="bottom"/>
            <w:hideMark/>
          </w:tcPr>
          <w:p w14:paraId="42CE940D" w14:textId="77777777" w:rsidR="00FE7F8B" w:rsidRDefault="00FE7F8B">
            <w:pPr>
              <w:pStyle w:val="TableTextFinancial"/>
              <w:jc w:val="right"/>
              <w:rPr>
                <w:b/>
              </w:rPr>
            </w:pPr>
            <w:r>
              <w:rPr>
                <w:b/>
              </w:rPr>
              <w:t>0.5</w:t>
            </w:r>
          </w:p>
        </w:tc>
        <w:tc>
          <w:tcPr>
            <w:tcW w:w="1134" w:type="dxa"/>
            <w:tcBorders>
              <w:top w:val="single" w:sz="4" w:space="0" w:color="auto"/>
              <w:left w:val="nil"/>
              <w:bottom w:val="single" w:sz="4" w:space="0" w:color="auto"/>
              <w:right w:val="nil"/>
            </w:tcBorders>
            <w:vAlign w:val="bottom"/>
            <w:hideMark/>
          </w:tcPr>
          <w:p w14:paraId="0A129104" w14:textId="77777777" w:rsidR="00FE7F8B" w:rsidRDefault="00FE7F8B" w:rsidP="00B359AF">
            <w:pPr>
              <w:pStyle w:val="TableTextFinancial"/>
              <w:jc w:val="right"/>
              <w:rPr>
                <w:b/>
              </w:rPr>
            </w:pPr>
            <w:r>
              <w:rPr>
                <w:szCs w:val="16"/>
              </w:rPr>
              <w:t>–</w:t>
            </w:r>
          </w:p>
        </w:tc>
        <w:tc>
          <w:tcPr>
            <w:tcW w:w="1134" w:type="dxa"/>
            <w:tcBorders>
              <w:top w:val="single" w:sz="4" w:space="0" w:color="auto"/>
              <w:left w:val="nil"/>
              <w:bottom w:val="single" w:sz="4" w:space="0" w:color="auto"/>
              <w:right w:val="nil"/>
            </w:tcBorders>
            <w:vAlign w:val="bottom"/>
            <w:hideMark/>
          </w:tcPr>
          <w:p w14:paraId="0551F536" w14:textId="77777777" w:rsidR="00FE7F8B" w:rsidRDefault="00FE7F8B" w:rsidP="00B359AF">
            <w:pPr>
              <w:pStyle w:val="TableTextFinancial"/>
              <w:jc w:val="right"/>
              <w:rPr>
                <w:b/>
              </w:rPr>
            </w:pPr>
            <w:r>
              <w:rPr>
                <w:szCs w:val="16"/>
              </w:rPr>
              <w:t>–</w:t>
            </w:r>
          </w:p>
        </w:tc>
        <w:tc>
          <w:tcPr>
            <w:tcW w:w="1275" w:type="dxa"/>
            <w:tcBorders>
              <w:top w:val="single" w:sz="4" w:space="0" w:color="auto"/>
              <w:left w:val="nil"/>
              <w:bottom w:val="single" w:sz="4" w:space="0" w:color="auto"/>
              <w:right w:val="nil"/>
            </w:tcBorders>
            <w:vAlign w:val="bottom"/>
            <w:hideMark/>
          </w:tcPr>
          <w:p w14:paraId="3438D948" w14:textId="77777777" w:rsidR="00FE7F8B" w:rsidRDefault="00FE7F8B">
            <w:pPr>
              <w:pStyle w:val="TableTextFinancial"/>
              <w:jc w:val="right"/>
              <w:rPr>
                <w:b/>
              </w:rPr>
            </w:pPr>
            <w:r>
              <w:rPr>
                <w:b/>
              </w:rPr>
              <w:t>0.5</w:t>
            </w:r>
          </w:p>
        </w:tc>
      </w:tr>
      <w:tr w:rsidR="00FE7F8B" w14:paraId="56FB1BC1" w14:textId="77777777" w:rsidTr="00FE7F8B">
        <w:tc>
          <w:tcPr>
            <w:tcW w:w="7376" w:type="dxa"/>
            <w:gridSpan w:val="5"/>
            <w:tcBorders>
              <w:top w:val="single" w:sz="4" w:space="0" w:color="auto"/>
              <w:left w:val="nil"/>
              <w:bottom w:val="nil"/>
              <w:right w:val="nil"/>
            </w:tcBorders>
            <w:vAlign w:val="bottom"/>
          </w:tcPr>
          <w:p w14:paraId="536B5079" w14:textId="77777777" w:rsidR="00FE7F8B" w:rsidRDefault="00FE7F8B">
            <w:pPr>
              <w:pStyle w:val="TableTextFinancial"/>
            </w:pPr>
          </w:p>
        </w:tc>
      </w:tr>
      <w:tr w:rsidR="00FE7F8B" w14:paraId="027086C3" w14:textId="77777777" w:rsidTr="00FE7F8B">
        <w:tc>
          <w:tcPr>
            <w:tcW w:w="7376" w:type="dxa"/>
            <w:gridSpan w:val="5"/>
            <w:tcBorders>
              <w:top w:val="nil"/>
              <w:left w:val="nil"/>
              <w:bottom w:val="nil"/>
              <w:right w:val="nil"/>
            </w:tcBorders>
            <w:vAlign w:val="bottom"/>
            <w:hideMark/>
          </w:tcPr>
          <w:p w14:paraId="7A64A73B" w14:textId="77777777" w:rsidR="00FE7F8B" w:rsidRDefault="00FE7F8B">
            <w:pPr>
              <w:pStyle w:val="Tabletextnoindent"/>
            </w:pPr>
            <w:r>
              <w:t>Plant and equipment at fair value</w:t>
            </w:r>
          </w:p>
        </w:tc>
      </w:tr>
      <w:tr w:rsidR="00FE7F8B" w14:paraId="0C6936B9" w14:textId="77777777" w:rsidTr="00B359AF">
        <w:tc>
          <w:tcPr>
            <w:tcW w:w="2699" w:type="dxa"/>
            <w:tcBorders>
              <w:top w:val="nil"/>
              <w:left w:val="nil"/>
              <w:bottom w:val="single" w:sz="4" w:space="0" w:color="auto"/>
              <w:right w:val="nil"/>
            </w:tcBorders>
            <w:vAlign w:val="bottom"/>
            <w:hideMark/>
          </w:tcPr>
          <w:p w14:paraId="31EE91ED" w14:textId="77777777" w:rsidR="00FE7F8B" w:rsidRDefault="00FE7F8B">
            <w:pPr>
              <w:pStyle w:val="Tabletextnoindent"/>
              <w:ind w:left="205"/>
            </w:pPr>
            <w:r>
              <w:t>Plant and equipment</w:t>
            </w:r>
          </w:p>
        </w:tc>
        <w:tc>
          <w:tcPr>
            <w:tcW w:w="1134" w:type="dxa"/>
            <w:tcBorders>
              <w:top w:val="nil"/>
              <w:left w:val="nil"/>
              <w:bottom w:val="single" w:sz="4" w:space="0" w:color="auto"/>
              <w:right w:val="nil"/>
            </w:tcBorders>
            <w:vAlign w:val="bottom"/>
            <w:hideMark/>
          </w:tcPr>
          <w:p w14:paraId="2860F596" w14:textId="77777777" w:rsidR="00FE7F8B" w:rsidRDefault="00FE7F8B">
            <w:pPr>
              <w:pStyle w:val="TableTextFinancial"/>
              <w:jc w:val="right"/>
            </w:pPr>
            <w:r>
              <w:t>109.0</w:t>
            </w:r>
          </w:p>
        </w:tc>
        <w:tc>
          <w:tcPr>
            <w:tcW w:w="1134" w:type="dxa"/>
            <w:tcBorders>
              <w:top w:val="nil"/>
              <w:left w:val="nil"/>
              <w:bottom w:val="single" w:sz="4" w:space="0" w:color="auto"/>
              <w:right w:val="nil"/>
            </w:tcBorders>
            <w:vAlign w:val="bottom"/>
            <w:hideMark/>
          </w:tcPr>
          <w:p w14:paraId="2ABA46B9" w14:textId="77777777" w:rsidR="00FE7F8B" w:rsidRDefault="00FE7F8B" w:rsidP="00B359AF">
            <w:pPr>
              <w:pStyle w:val="TableTextFinancial"/>
              <w:jc w:val="right"/>
            </w:pPr>
            <w:r>
              <w:rPr>
                <w:szCs w:val="16"/>
              </w:rPr>
              <w:t>–</w:t>
            </w:r>
          </w:p>
        </w:tc>
        <w:tc>
          <w:tcPr>
            <w:tcW w:w="1134" w:type="dxa"/>
            <w:tcBorders>
              <w:top w:val="nil"/>
              <w:left w:val="nil"/>
              <w:bottom w:val="single" w:sz="4" w:space="0" w:color="auto"/>
              <w:right w:val="nil"/>
            </w:tcBorders>
            <w:vAlign w:val="bottom"/>
            <w:hideMark/>
          </w:tcPr>
          <w:p w14:paraId="4737E8C5" w14:textId="77777777" w:rsidR="00FE7F8B" w:rsidRDefault="00FE7F8B">
            <w:pPr>
              <w:pStyle w:val="TableTextFinancial"/>
              <w:jc w:val="right"/>
            </w:pPr>
            <w:r>
              <w:t>11.1</w:t>
            </w:r>
          </w:p>
        </w:tc>
        <w:tc>
          <w:tcPr>
            <w:tcW w:w="1275" w:type="dxa"/>
            <w:tcBorders>
              <w:top w:val="nil"/>
              <w:left w:val="nil"/>
              <w:bottom w:val="single" w:sz="4" w:space="0" w:color="auto"/>
              <w:right w:val="nil"/>
            </w:tcBorders>
            <w:vAlign w:val="bottom"/>
            <w:hideMark/>
          </w:tcPr>
          <w:p w14:paraId="46E9A4EF" w14:textId="77777777" w:rsidR="00FE7F8B" w:rsidRDefault="00FE7F8B">
            <w:pPr>
              <w:pStyle w:val="TableTextFinancial"/>
              <w:jc w:val="right"/>
            </w:pPr>
            <w:r>
              <w:t>97.8</w:t>
            </w:r>
          </w:p>
        </w:tc>
      </w:tr>
      <w:tr w:rsidR="00FE7F8B" w14:paraId="74BEB679" w14:textId="77777777" w:rsidTr="00B359AF">
        <w:tc>
          <w:tcPr>
            <w:tcW w:w="2699" w:type="dxa"/>
            <w:tcBorders>
              <w:top w:val="single" w:sz="4" w:space="0" w:color="auto"/>
              <w:left w:val="nil"/>
              <w:bottom w:val="single" w:sz="4" w:space="0" w:color="auto"/>
              <w:right w:val="nil"/>
            </w:tcBorders>
            <w:vAlign w:val="bottom"/>
            <w:hideMark/>
          </w:tcPr>
          <w:p w14:paraId="3B651F24" w14:textId="77777777" w:rsidR="00FE7F8B" w:rsidRDefault="00FE7F8B">
            <w:pPr>
              <w:pStyle w:val="Tabletextnoindent"/>
              <w:rPr>
                <w:b/>
              </w:rPr>
            </w:pPr>
            <w:r>
              <w:rPr>
                <w:b/>
              </w:rPr>
              <w:t>Total of plant and equipment at fair value</w:t>
            </w:r>
          </w:p>
        </w:tc>
        <w:tc>
          <w:tcPr>
            <w:tcW w:w="1134" w:type="dxa"/>
            <w:tcBorders>
              <w:top w:val="single" w:sz="4" w:space="0" w:color="auto"/>
              <w:left w:val="nil"/>
              <w:bottom w:val="single" w:sz="4" w:space="0" w:color="auto"/>
              <w:right w:val="nil"/>
            </w:tcBorders>
            <w:vAlign w:val="bottom"/>
            <w:hideMark/>
          </w:tcPr>
          <w:p w14:paraId="316869F1" w14:textId="77777777" w:rsidR="00FE7F8B" w:rsidRDefault="00FE7F8B">
            <w:pPr>
              <w:pStyle w:val="TableTextFinancial"/>
              <w:jc w:val="right"/>
              <w:rPr>
                <w:b/>
              </w:rPr>
            </w:pPr>
            <w:r>
              <w:rPr>
                <w:b/>
              </w:rPr>
              <w:t>109.0</w:t>
            </w:r>
          </w:p>
        </w:tc>
        <w:tc>
          <w:tcPr>
            <w:tcW w:w="1134" w:type="dxa"/>
            <w:tcBorders>
              <w:top w:val="single" w:sz="4" w:space="0" w:color="auto"/>
              <w:left w:val="nil"/>
              <w:bottom w:val="single" w:sz="4" w:space="0" w:color="auto"/>
              <w:right w:val="nil"/>
            </w:tcBorders>
            <w:vAlign w:val="bottom"/>
            <w:hideMark/>
          </w:tcPr>
          <w:p w14:paraId="0DB50F6E" w14:textId="77777777" w:rsidR="00FE7F8B" w:rsidRDefault="00FE7F8B" w:rsidP="00B359AF">
            <w:pPr>
              <w:pStyle w:val="TableTextFinancial"/>
              <w:jc w:val="right"/>
              <w:rPr>
                <w:b/>
              </w:rPr>
            </w:pPr>
            <w:r>
              <w:rPr>
                <w:szCs w:val="16"/>
              </w:rPr>
              <w:t>–</w:t>
            </w:r>
          </w:p>
        </w:tc>
        <w:tc>
          <w:tcPr>
            <w:tcW w:w="1134" w:type="dxa"/>
            <w:tcBorders>
              <w:top w:val="single" w:sz="4" w:space="0" w:color="auto"/>
              <w:left w:val="nil"/>
              <w:bottom w:val="single" w:sz="4" w:space="0" w:color="auto"/>
              <w:right w:val="nil"/>
            </w:tcBorders>
            <w:vAlign w:val="bottom"/>
            <w:hideMark/>
          </w:tcPr>
          <w:p w14:paraId="761DB05F" w14:textId="77777777" w:rsidR="00FE7F8B" w:rsidRDefault="00FE7F8B">
            <w:pPr>
              <w:pStyle w:val="TableTextFinancial"/>
              <w:jc w:val="right"/>
              <w:rPr>
                <w:b/>
              </w:rPr>
            </w:pPr>
            <w:r>
              <w:rPr>
                <w:b/>
              </w:rPr>
              <w:t>11.1</w:t>
            </w:r>
          </w:p>
        </w:tc>
        <w:tc>
          <w:tcPr>
            <w:tcW w:w="1275" w:type="dxa"/>
            <w:tcBorders>
              <w:top w:val="single" w:sz="4" w:space="0" w:color="auto"/>
              <w:left w:val="nil"/>
              <w:bottom w:val="single" w:sz="4" w:space="0" w:color="auto"/>
              <w:right w:val="nil"/>
            </w:tcBorders>
            <w:vAlign w:val="bottom"/>
            <w:hideMark/>
          </w:tcPr>
          <w:p w14:paraId="6C041C4D" w14:textId="77777777" w:rsidR="00FE7F8B" w:rsidRDefault="00FE7F8B">
            <w:pPr>
              <w:pStyle w:val="TableTextFinancial"/>
              <w:jc w:val="right"/>
              <w:rPr>
                <w:b/>
              </w:rPr>
            </w:pPr>
            <w:r>
              <w:rPr>
                <w:b/>
              </w:rPr>
              <w:t>97.8</w:t>
            </w:r>
          </w:p>
        </w:tc>
      </w:tr>
    </w:tbl>
    <w:p w14:paraId="536B2D94" w14:textId="77777777" w:rsidR="00FE7F8B" w:rsidRDefault="00FE7F8B" w:rsidP="00BB1129">
      <w:pPr>
        <w:pStyle w:val="DETFootnoteTextforobjectivestablesOHStable"/>
        <w:spacing w:before="120"/>
        <w:rPr>
          <w:sz w:val="13"/>
        </w:rPr>
      </w:pPr>
      <w:r>
        <w:rPr>
          <w:vertAlign w:val="superscript"/>
        </w:rPr>
        <w:t>1</w:t>
      </w:r>
      <w:r>
        <w:t xml:space="preserve"> Classified in accordance with the fair value hierarchy, see Note 1(b).</w:t>
      </w:r>
    </w:p>
    <w:p w14:paraId="51C056B7" w14:textId="77777777" w:rsidR="00FE7F8B" w:rsidRDefault="00FE7F8B" w:rsidP="00FE7F8B">
      <w:pPr>
        <w:pStyle w:val="ARBody"/>
      </w:pPr>
    </w:p>
    <w:p w14:paraId="5ACB7D0D" w14:textId="77777777" w:rsidR="00FE7F8B" w:rsidRDefault="00FE7F8B" w:rsidP="00FE7F8B">
      <w:pPr>
        <w:pStyle w:val="Captionaftertable"/>
      </w:pPr>
    </w:p>
    <w:p w14:paraId="4B893C01" w14:textId="77777777" w:rsidR="00FE7F8B" w:rsidRDefault="00FE7F8B" w:rsidP="00FE7F8B">
      <w:pPr>
        <w:pStyle w:val="Captionaftertable"/>
      </w:pPr>
    </w:p>
    <w:p w14:paraId="6ACFDBDC" w14:textId="77777777" w:rsidR="00FE7F8B" w:rsidRDefault="00FE7F8B" w:rsidP="00FE7F8B">
      <w:r>
        <w:br w:type="page"/>
      </w:r>
    </w:p>
    <w:p w14:paraId="43327D89" w14:textId="77777777" w:rsidR="00FE7F8B" w:rsidRDefault="00FE7F8B" w:rsidP="00FE7F8B">
      <w:pPr>
        <w:pStyle w:val="Captionaftertable"/>
      </w:pPr>
      <w:r>
        <w:t xml:space="preserve">Table </w:t>
      </w:r>
      <w:fldSimple w:instr=" SEQ Table \* ARABIC ">
        <w:r w:rsidR="00B60957">
          <w:rPr>
            <w:noProof/>
          </w:rPr>
          <w:t>8</w:t>
        </w:r>
      </w:fldSimple>
      <w:r>
        <w:t>—Reconciliation of Level 3 fair value 30 June 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8"/>
        <w:gridCol w:w="855"/>
        <w:gridCol w:w="854"/>
        <w:gridCol w:w="1025"/>
        <w:gridCol w:w="992"/>
        <w:gridCol w:w="1135"/>
        <w:gridCol w:w="1134"/>
      </w:tblGrid>
      <w:tr w:rsidR="00FE7F8B" w14:paraId="1903805D" w14:textId="77777777" w:rsidTr="00882463">
        <w:tc>
          <w:tcPr>
            <w:tcW w:w="934" w:type="pct"/>
            <w:tcBorders>
              <w:top w:val="nil"/>
              <w:left w:val="nil"/>
              <w:bottom w:val="nil"/>
              <w:right w:val="nil"/>
            </w:tcBorders>
            <w:shd w:val="clear" w:color="auto" w:fill="7F7F7F" w:themeFill="text1" w:themeFillTint="80"/>
            <w:vAlign w:val="center"/>
            <w:hideMark/>
          </w:tcPr>
          <w:p w14:paraId="0306B8EE" w14:textId="77777777" w:rsidR="00FE7F8B" w:rsidRDefault="00FE7F8B">
            <w:pPr>
              <w:pStyle w:val="Tablecolumnheading"/>
              <w:jc w:val="center"/>
              <w:rPr>
                <w:lang w:eastAsia="en-AU"/>
              </w:rPr>
            </w:pPr>
            <w:r>
              <w:rPr>
                <w:lang w:eastAsia="en-AU"/>
              </w:rPr>
              <w:t>2015</w:t>
            </w:r>
          </w:p>
        </w:tc>
        <w:tc>
          <w:tcPr>
            <w:tcW w:w="579" w:type="pct"/>
            <w:tcBorders>
              <w:top w:val="nil"/>
              <w:left w:val="nil"/>
              <w:bottom w:val="nil"/>
              <w:right w:val="nil"/>
            </w:tcBorders>
            <w:shd w:val="clear" w:color="auto" w:fill="7F7F7F" w:themeFill="text1" w:themeFillTint="80"/>
            <w:vAlign w:val="center"/>
            <w:hideMark/>
          </w:tcPr>
          <w:p w14:paraId="33F132DE" w14:textId="77777777" w:rsidR="00FE7F8B" w:rsidRDefault="00FE7F8B">
            <w:pPr>
              <w:pStyle w:val="Tablecolumnheading"/>
              <w:jc w:val="center"/>
              <w:rPr>
                <w:sz w:val="16"/>
                <w:lang w:eastAsia="en-AU"/>
              </w:rPr>
            </w:pPr>
            <w:r>
              <w:rPr>
                <w:sz w:val="16"/>
                <w:lang w:eastAsia="en-AU"/>
              </w:rPr>
              <w:t>Land</w:t>
            </w:r>
            <w:r>
              <w:rPr>
                <w:sz w:val="16"/>
                <w:lang w:eastAsia="en-AU"/>
              </w:rPr>
              <w:br/>
              <w:t>$m</w:t>
            </w:r>
          </w:p>
        </w:tc>
        <w:tc>
          <w:tcPr>
            <w:tcW w:w="579" w:type="pct"/>
            <w:tcBorders>
              <w:top w:val="nil"/>
              <w:left w:val="nil"/>
              <w:bottom w:val="nil"/>
              <w:right w:val="nil"/>
            </w:tcBorders>
            <w:shd w:val="clear" w:color="auto" w:fill="7F7F7F" w:themeFill="text1" w:themeFillTint="80"/>
            <w:vAlign w:val="center"/>
            <w:hideMark/>
          </w:tcPr>
          <w:p w14:paraId="47392F2A" w14:textId="77777777" w:rsidR="00FE7F8B" w:rsidRDefault="00FE7F8B">
            <w:pPr>
              <w:pStyle w:val="Tablecolumnheading"/>
              <w:jc w:val="center"/>
              <w:rPr>
                <w:sz w:val="16"/>
                <w:lang w:eastAsia="en-AU"/>
              </w:rPr>
            </w:pPr>
            <w:r>
              <w:rPr>
                <w:sz w:val="16"/>
                <w:lang w:eastAsia="en-AU"/>
              </w:rPr>
              <w:t>Buildings</w:t>
            </w:r>
            <w:r>
              <w:rPr>
                <w:sz w:val="16"/>
                <w:lang w:eastAsia="en-AU"/>
              </w:rPr>
              <w:br/>
              <w:t>$m</w:t>
            </w:r>
          </w:p>
        </w:tc>
        <w:tc>
          <w:tcPr>
            <w:tcW w:w="695" w:type="pct"/>
            <w:tcBorders>
              <w:top w:val="nil"/>
              <w:left w:val="nil"/>
              <w:bottom w:val="nil"/>
              <w:right w:val="nil"/>
            </w:tcBorders>
            <w:shd w:val="clear" w:color="auto" w:fill="7F7F7F" w:themeFill="text1" w:themeFillTint="80"/>
            <w:vAlign w:val="center"/>
            <w:hideMark/>
          </w:tcPr>
          <w:p w14:paraId="77D337CB" w14:textId="77777777" w:rsidR="00FE7F8B" w:rsidRDefault="00FE7F8B">
            <w:pPr>
              <w:pStyle w:val="Tablecolumnheading"/>
              <w:jc w:val="center"/>
              <w:rPr>
                <w:sz w:val="16"/>
                <w:lang w:eastAsia="en-AU"/>
              </w:rPr>
            </w:pPr>
            <w:r>
              <w:rPr>
                <w:sz w:val="16"/>
                <w:lang w:eastAsia="en-AU"/>
              </w:rPr>
              <w:t>Heritage buildings</w:t>
            </w:r>
            <w:r>
              <w:rPr>
                <w:sz w:val="16"/>
                <w:lang w:eastAsia="en-AU"/>
              </w:rPr>
              <w:br/>
              <w:t>$m</w:t>
            </w:r>
          </w:p>
        </w:tc>
        <w:tc>
          <w:tcPr>
            <w:tcW w:w="673" w:type="pct"/>
            <w:tcBorders>
              <w:top w:val="nil"/>
              <w:left w:val="nil"/>
              <w:bottom w:val="nil"/>
              <w:right w:val="nil"/>
            </w:tcBorders>
            <w:shd w:val="clear" w:color="auto" w:fill="7F7F7F" w:themeFill="text1" w:themeFillTint="80"/>
            <w:vAlign w:val="center"/>
            <w:hideMark/>
          </w:tcPr>
          <w:p w14:paraId="7D106945" w14:textId="77777777" w:rsidR="00FE7F8B" w:rsidRDefault="00FE7F8B">
            <w:pPr>
              <w:pStyle w:val="Tablecolumnheading"/>
              <w:jc w:val="center"/>
              <w:rPr>
                <w:sz w:val="16"/>
                <w:lang w:eastAsia="en-AU"/>
              </w:rPr>
            </w:pPr>
            <w:r>
              <w:rPr>
                <w:sz w:val="16"/>
                <w:lang w:eastAsia="en-AU"/>
              </w:rPr>
              <w:t>Leasehold buildings</w:t>
            </w:r>
            <w:r>
              <w:rPr>
                <w:sz w:val="16"/>
                <w:lang w:eastAsia="en-AU"/>
              </w:rPr>
              <w:br/>
              <w:t>$m</w:t>
            </w:r>
          </w:p>
        </w:tc>
        <w:tc>
          <w:tcPr>
            <w:tcW w:w="770" w:type="pct"/>
            <w:tcBorders>
              <w:top w:val="nil"/>
              <w:left w:val="nil"/>
              <w:bottom w:val="nil"/>
              <w:right w:val="nil"/>
            </w:tcBorders>
            <w:shd w:val="clear" w:color="auto" w:fill="7F7F7F" w:themeFill="text1" w:themeFillTint="80"/>
            <w:vAlign w:val="center"/>
            <w:hideMark/>
          </w:tcPr>
          <w:p w14:paraId="79A36616" w14:textId="77777777" w:rsidR="00FE7F8B" w:rsidRDefault="00FE7F8B">
            <w:pPr>
              <w:pStyle w:val="Tablecolumnheading"/>
              <w:jc w:val="center"/>
              <w:rPr>
                <w:sz w:val="16"/>
                <w:lang w:eastAsia="en-AU"/>
              </w:rPr>
            </w:pPr>
            <w:r>
              <w:rPr>
                <w:sz w:val="16"/>
                <w:lang w:eastAsia="en-AU"/>
              </w:rPr>
              <w:t>Leasehold improvements</w:t>
            </w:r>
            <w:r>
              <w:rPr>
                <w:sz w:val="16"/>
                <w:lang w:eastAsia="en-AU"/>
              </w:rPr>
              <w:br/>
              <w:t>$m</w:t>
            </w:r>
          </w:p>
        </w:tc>
        <w:tc>
          <w:tcPr>
            <w:tcW w:w="769" w:type="pct"/>
            <w:tcBorders>
              <w:top w:val="nil"/>
              <w:left w:val="nil"/>
              <w:bottom w:val="nil"/>
              <w:right w:val="nil"/>
            </w:tcBorders>
            <w:shd w:val="clear" w:color="auto" w:fill="7F7F7F" w:themeFill="text1" w:themeFillTint="80"/>
            <w:vAlign w:val="center"/>
            <w:hideMark/>
          </w:tcPr>
          <w:p w14:paraId="0C905B19" w14:textId="77777777" w:rsidR="00FE7F8B" w:rsidRDefault="00FE7F8B">
            <w:pPr>
              <w:pStyle w:val="Tablecolumnheading"/>
              <w:jc w:val="center"/>
              <w:rPr>
                <w:sz w:val="16"/>
                <w:lang w:eastAsia="en-AU"/>
              </w:rPr>
            </w:pPr>
            <w:r>
              <w:rPr>
                <w:sz w:val="16"/>
                <w:lang w:eastAsia="en-AU"/>
              </w:rPr>
              <w:t>Plant and equipment</w:t>
            </w:r>
            <w:r>
              <w:rPr>
                <w:sz w:val="16"/>
                <w:lang w:eastAsia="en-AU"/>
              </w:rPr>
              <w:br/>
              <w:t>$m</w:t>
            </w:r>
          </w:p>
        </w:tc>
      </w:tr>
      <w:tr w:rsidR="00FE7F8B" w14:paraId="51083E3E" w14:textId="77777777" w:rsidTr="00882463">
        <w:tc>
          <w:tcPr>
            <w:tcW w:w="934" w:type="pct"/>
            <w:tcBorders>
              <w:top w:val="nil"/>
              <w:left w:val="nil"/>
              <w:bottom w:val="nil"/>
              <w:right w:val="nil"/>
            </w:tcBorders>
            <w:vAlign w:val="bottom"/>
            <w:hideMark/>
          </w:tcPr>
          <w:p w14:paraId="36601EB1" w14:textId="77777777" w:rsidR="00FE7F8B" w:rsidRDefault="00FE7F8B">
            <w:pPr>
              <w:pStyle w:val="Tabletextnoindent"/>
              <w:rPr>
                <w:b/>
              </w:rPr>
            </w:pPr>
            <w:r>
              <w:rPr>
                <w:b/>
              </w:rPr>
              <w:t>Opening balance</w:t>
            </w:r>
          </w:p>
        </w:tc>
        <w:tc>
          <w:tcPr>
            <w:tcW w:w="579" w:type="pct"/>
            <w:tcBorders>
              <w:top w:val="nil"/>
              <w:left w:val="nil"/>
              <w:bottom w:val="nil"/>
              <w:right w:val="nil"/>
            </w:tcBorders>
            <w:vAlign w:val="bottom"/>
            <w:hideMark/>
          </w:tcPr>
          <w:p w14:paraId="20863AE7" w14:textId="77777777" w:rsidR="00FE7F8B" w:rsidRDefault="00FE7F8B" w:rsidP="00882463">
            <w:pPr>
              <w:pStyle w:val="TableTextFinancial"/>
              <w:jc w:val="right"/>
            </w:pPr>
            <w:r>
              <w:t>7,098.9</w:t>
            </w:r>
          </w:p>
        </w:tc>
        <w:tc>
          <w:tcPr>
            <w:tcW w:w="579" w:type="pct"/>
            <w:tcBorders>
              <w:top w:val="nil"/>
              <w:left w:val="nil"/>
              <w:bottom w:val="nil"/>
              <w:right w:val="nil"/>
            </w:tcBorders>
            <w:vAlign w:val="bottom"/>
            <w:hideMark/>
          </w:tcPr>
          <w:p w14:paraId="588E7826" w14:textId="77777777" w:rsidR="00FE7F8B" w:rsidRDefault="00FE7F8B" w:rsidP="00882463">
            <w:pPr>
              <w:pStyle w:val="TableTextFinancial"/>
              <w:jc w:val="right"/>
            </w:pPr>
            <w:r>
              <w:t>8,309.7</w:t>
            </w:r>
          </w:p>
        </w:tc>
        <w:tc>
          <w:tcPr>
            <w:tcW w:w="695" w:type="pct"/>
            <w:tcBorders>
              <w:top w:val="nil"/>
              <w:left w:val="nil"/>
              <w:bottom w:val="nil"/>
              <w:right w:val="nil"/>
            </w:tcBorders>
            <w:vAlign w:val="bottom"/>
            <w:hideMark/>
          </w:tcPr>
          <w:p w14:paraId="6CA4278A" w14:textId="77777777" w:rsidR="00FE7F8B" w:rsidRDefault="00FE7F8B" w:rsidP="00882463">
            <w:pPr>
              <w:pStyle w:val="TableTextFinancial"/>
              <w:jc w:val="right"/>
            </w:pPr>
            <w:r>
              <w:t>60.6</w:t>
            </w:r>
          </w:p>
        </w:tc>
        <w:tc>
          <w:tcPr>
            <w:tcW w:w="673" w:type="pct"/>
            <w:tcBorders>
              <w:top w:val="nil"/>
              <w:left w:val="nil"/>
              <w:bottom w:val="nil"/>
              <w:right w:val="nil"/>
            </w:tcBorders>
            <w:vAlign w:val="bottom"/>
            <w:hideMark/>
          </w:tcPr>
          <w:p w14:paraId="708DBBE3" w14:textId="77777777" w:rsidR="00FE7F8B" w:rsidRDefault="00FE7F8B" w:rsidP="00882463">
            <w:pPr>
              <w:pStyle w:val="TableTextFinancial"/>
              <w:jc w:val="right"/>
            </w:pPr>
            <w:r>
              <w:t>194.2</w:t>
            </w:r>
          </w:p>
        </w:tc>
        <w:tc>
          <w:tcPr>
            <w:tcW w:w="770" w:type="pct"/>
            <w:tcBorders>
              <w:top w:val="nil"/>
              <w:left w:val="nil"/>
              <w:bottom w:val="nil"/>
              <w:right w:val="nil"/>
            </w:tcBorders>
            <w:vAlign w:val="bottom"/>
            <w:hideMark/>
          </w:tcPr>
          <w:p w14:paraId="086DDCE5" w14:textId="77777777" w:rsidR="00FE7F8B" w:rsidRDefault="00FE7F8B" w:rsidP="00882463">
            <w:pPr>
              <w:pStyle w:val="TableTextFinancial"/>
              <w:jc w:val="right"/>
            </w:pPr>
            <w:r>
              <w:t>0.7</w:t>
            </w:r>
          </w:p>
        </w:tc>
        <w:tc>
          <w:tcPr>
            <w:tcW w:w="769" w:type="pct"/>
            <w:tcBorders>
              <w:top w:val="nil"/>
              <w:left w:val="nil"/>
              <w:bottom w:val="nil"/>
              <w:right w:val="nil"/>
            </w:tcBorders>
            <w:vAlign w:val="bottom"/>
            <w:hideMark/>
          </w:tcPr>
          <w:p w14:paraId="79BFE02E" w14:textId="77777777" w:rsidR="00FE7F8B" w:rsidRDefault="00FE7F8B" w:rsidP="00882463">
            <w:pPr>
              <w:pStyle w:val="TableTextFinancial"/>
              <w:jc w:val="right"/>
            </w:pPr>
            <w:r>
              <w:t>121.1</w:t>
            </w:r>
          </w:p>
        </w:tc>
      </w:tr>
      <w:tr w:rsidR="00FE7F8B" w14:paraId="4791016D" w14:textId="77777777" w:rsidTr="00882463">
        <w:tc>
          <w:tcPr>
            <w:tcW w:w="934" w:type="pct"/>
            <w:tcBorders>
              <w:top w:val="nil"/>
              <w:left w:val="nil"/>
              <w:bottom w:val="nil"/>
              <w:right w:val="nil"/>
            </w:tcBorders>
            <w:vAlign w:val="bottom"/>
            <w:hideMark/>
          </w:tcPr>
          <w:p w14:paraId="4448C257" w14:textId="77777777" w:rsidR="00FE7F8B" w:rsidRDefault="00FE7F8B">
            <w:pPr>
              <w:pStyle w:val="Tabletextnoindent"/>
            </w:pPr>
            <w:r>
              <w:t>Purchases (sales)</w:t>
            </w:r>
          </w:p>
        </w:tc>
        <w:tc>
          <w:tcPr>
            <w:tcW w:w="579" w:type="pct"/>
            <w:tcBorders>
              <w:top w:val="nil"/>
              <w:left w:val="nil"/>
              <w:bottom w:val="nil"/>
              <w:right w:val="nil"/>
            </w:tcBorders>
            <w:vAlign w:val="bottom"/>
            <w:hideMark/>
          </w:tcPr>
          <w:p w14:paraId="36545A13" w14:textId="77777777" w:rsidR="00FE7F8B" w:rsidRDefault="00FE7F8B" w:rsidP="00882463">
            <w:pPr>
              <w:pStyle w:val="TableTextFinancial"/>
              <w:jc w:val="right"/>
            </w:pPr>
            <w:r>
              <w:t>(62.4)</w:t>
            </w:r>
          </w:p>
        </w:tc>
        <w:tc>
          <w:tcPr>
            <w:tcW w:w="579" w:type="pct"/>
            <w:tcBorders>
              <w:top w:val="nil"/>
              <w:left w:val="nil"/>
              <w:bottom w:val="nil"/>
              <w:right w:val="nil"/>
            </w:tcBorders>
            <w:vAlign w:val="bottom"/>
            <w:hideMark/>
          </w:tcPr>
          <w:p w14:paraId="5D1055E7" w14:textId="77777777" w:rsidR="00FE7F8B" w:rsidRDefault="00FE7F8B" w:rsidP="00882463">
            <w:pPr>
              <w:pStyle w:val="TableTextFinancial"/>
              <w:jc w:val="right"/>
            </w:pPr>
            <w:r>
              <w:t>(22.0)</w:t>
            </w:r>
          </w:p>
        </w:tc>
        <w:tc>
          <w:tcPr>
            <w:tcW w:w="695" w:type="pct"/>
            <w:tcBorders>
              <w:top w:val="nil"/>
              <w:left w:val="nil"/>
              <w:bottom w:val="nil"/>
              <w:right w:val="nil"/>
            </w:tcBorders>
            <w:vAlign w:val="bottom"/>
            <w:hideMark/>
          </w:tcPr>
          <w:p w14:paraId="56BC784D" w14:textId="77777777" w:rsidR="00FE7F8B" w:rsidRDefault="00FE7F8B" w:rsidP="00882463">
            <w:pPr>
              <w:pStyle w:val="TableTextFinancial"/>
              <w:jc w:val="right"/>
            </w:pPr>
            <w:r>
              <w:rPr>
                <w:szCs w:val="16"/>
              </w:rPr>
              <w:t>–</w:t>
            </w:r>
          </w:p>
        </w:tc>
        <w:tc>
          <w:tcPr>
            <w:tcW w:w="673" w:type="pct"/>
            <w:tcBorders>
              <w:top w:val="nil"/>
              <w:left w:val="nil"/>
              <w:bottom w:val="nil"/>
              <w:right w:val="nil"/>
            </w:tcBorders>
            <w:vAlign w:val="bottom"/>
            <w:hideMark/>
          </w:tcPr>
          <w:p w14:paraId="176005B4" w14:textId="77777777" w:rsidR="00FE7F8B" w:rsidRDefault="00FE7F8B" w:rsidP="00882463">
            <w:pPr>
              <w:pStyle w:val="TableTextFinancial"/>
              <w:jc w:val="right"/>
            </w:pPr>
            <w:r>
              <w:rPr>
                <w:szCs w:val="16"/>
              </w:rPr>
              <w:t>–</w:t>
            </w:r>
          </w:p>
        </w:tc>
        <w:tc>
          <w:tcPr>
            <w:tcW w:w="770" w:type="pct"/>
            <w:tcBorders>
              <w:top w:val="nil"/>
              <w:left w:val="nil"/>
              <w:bottom w:val="nil"/>
              <w:right w:val="nil"/>
            </w:tcBorders>
            <w:vAlign w:val="bottom"/>
            <w:hideMark/>
          </w:tcPr>
          <w:p w14:paraId="59C79B29" w14:textId="77777777" w:rsidR="00FE7F8B" w:rsidRDefault="00FE7F8B" w:rsidP="00882463">
            <w:pPr>
              <w:pStyle w:val="TableTextFinancial"/>
              <w:jc w:val="right"/>
            </w:pPr>
            <w:r>
              <w:t>0.0</w:t>
            </w:r>
          </w:p>
        </w:tc>
        <w:tc>
          <w:tcPr>
            <w:tcW w:w="769" w:type="pct"/>
            <w:tcBorders>
              <w:top w:val="nil"/>
              <w:left w:val="nil"/>
              <w:bottom w:val="nil"/>
              <w:right w:val="nil"/>
            </w:tcBorders>
            <w:vAlign w:val="bottom"/>
            <w:hideMark/>
          </w:tcPr>
          <w:p w14:paraId="59986CC1" w14:textId="77777777" w:rsidR="00FE7F8B" w:rsidRDefault="00FE7F8B" w:rsidP="00882463">
            <w:pPr>
              <w:pStyle w:val="TableTextFinancial"/>
              <w:jc w:val="right"/>
            </w:pPr>
            <w:r>
              <w:t>24.5</w:t>
            </w:r>
          </w:p>
        </w:tc>
      </w:tr>
      <w:tr w:rsidR="00FE7F8B" w14:paraId="592C964B" w14:textId="77777777" w:rsidTr="00882463">
        <w:tc>
          <w:tcPr>
            <w:tcW w:w="934" w:type="pct"/>
            <w:tcBorders>
              <w:top w:val="nil"/>
              <w:left w:val="nil"/>
              <w:bottom w:val="nil"/>
              <w:right w:val="nil"/>
            </w:tcBorders>
            <w:vAlign w:val="bottom"/>
            <w:hideMark/>
          </w:tcPr>
          <w:p w14:paraId="20F0A038" w14:textId="77777777" w:rsidR="00FE7F8B" w:rsidRDefault="00FE7F8B">
            <w:pPr>
              <w:pStyle w:val="Tabletextnoindent"/>
            </w:pPr>
            <w:r>
              <w:t>Assets previously not recognised</w:t>
            </w:r>
          </w:p>
        </w:tc>
        <w:tc>
          <w:tcPr>
            <w:tcW w:w="579" w:type="pct"/>
            <w:tcBorders>
              <w:top w:val="nil"/>
              <w:left w:val="nil"/>
              <w:bottom w:val="nil"/>
              <w:right w:val="nil"/>
            </w:tcBorders>
            <w:vAlign w:val="bottom"/>
            <w:hideMark/>
          </w:tcPr>
          <w:p w14:paraId="4A3F5438" w14:textId="77777777" w:rsidR="00FE7F8B" w:rsidRDefault="00FE7F8B" w:rsidP="00882463">
            <w:pPr>
              <w:pStyle w:val="TableTextFinancial"/>
              <w:jc w:val="right"/>
            </w:pPr>
            <w:r>
              <w:t>20.8</w:t>
            </w:r>
          </w:p>
        </w:tc>
        <w:tc>
          <w:tcPr>
            <w:tcW w:w="579" w:type="pct"/>
            <w:tcBorders>
              <w:top w:val="nil"/>
              <w:left w:val="nil"/>
              <w:bottom w:val="nil"/>
              <w:right w:val="nil"/>
            </w:tcBorders>
            <w:vAlign w:val="bottom"/>
            <w:hideMark/>
          </w:tcPr>
          <w:p w14:paraId="7A8EB3F1" w14:textId="77777777" w:rsidR="00FE7F8B" w:rsidRDefault="00FE7F8B" w:rsidP="00882463">
            <w:pPr>
              <w:pStyle w:val="TableTextFinancial"/>
              <w:jc w:val="right"/>
            </w:pPr>
            <w:r>
              <w:t>1.1</w:t>
            </w:r>
          </w:p>
        </w:tc>
        <w:tc>
          <w:tcPr>
            <w:tcW w:w="695" w:type="pct"/>
            <w:tcBorders>
              <w:top w:val="nil"/>
              <w:left w:val="nil"/>
              <w:bottom w:val="nil"/>
              <w:right w:val="nil"/>
            </w:tcBorders>
            <w:vAlign w:val="bottom"/>
            <w:hideMark/>
          </w:tcPr>
          <w:p w14:paraId="4F9A2F51" w14:textId="77777777" w:rsidR="00FE7F8B" w:rsidRDefault="00FE7F8B" w:rsidP="00882463">
            <w:pPr>
              <w:pStyle w:val="TableTextFinancial"/>
              <w:jc w:val="right"/>
            </w:pPr>
            <w:r>
              <w:rPr>
                <w:szCs w:val="16"/>
              </w:rPr>
              <w:t>–</w:t>
            </w:r>
          </w:p>
        </w:tc>
        <w:tc>
          <w:tcPr>
            <w:tcW w:w="673" w:type="pct"/>
            <w:tcBorders>
              <w:top w:val="nil"/>
              <w:left w:val="nil"/>
              <w:bottom w:val="nil"/>
              <w:right w:val="nil"/>
            </w:tcBorders>
            <w:vAlign w:val="bottom"/>
            <w:hideMark/>
          </w:tcPr>
          <w:p w14:paraId="69161F8C" w14:textId="77777777" w:rsidR="00FE7F8B" w:rsidRDefault="00FE7F8B" w:rsidP="00882463">
            <w:pPr>
              <w:pStyle w:val="TableTextFinancial"/>
              <w:jc w:val="right"/>
            </w:pPr>
            <w:r>
              <w:rPr>
                <w:szCs w:val="16"/>
              </w:rPr>
              <w:t>–</w:t>
            </w:r>
          </w:p>
        </w:tc>
        <w:tc>
          <w:tcPr>
            <w:tcW w:w="770" w:type="pct"/>
            <w:tcBorders>
              <w:top w:val="nil"/>
              <w:left w:val="nil"/>
              <w:bottom w:val="nil"/>
              <w:right w:val="nil"/>
            </w:tcBorders>
            <w:vAlign w:val="bottom"/>
            <w:hideMark/>
          </w:tcPr>
          <w:p w14:paraId="10C537FF" w14:textId="77777777" w:rsidR="00FE7F8B" w:rsidRDefault="00FE7F8B" w:rsidP="00882463">
            <w:pPr>
              <w:pStyle w:val="TableTextFinancial"/>
              <w:jc w:val="right"/>
            </w:pPr>
            <w:r>
              <w:rPr>
                <w:szCs w:val="16"/>
              </w:rPr>
              <w:t>–</w:t>
            </w:r>
          </w:p>
        </w:tc>
        <w:tc>
          <w:tcPr>
            <w:tcW w:w="769" w:type="pct"/>
            <w:tcBorders>
              <w:top w:val="nil"/>
              <w:left w:val="nil"/>
              <w:bottom w:val="nil"/>
              <w:right w:val="nil"/>
            </w:tcBorders>
            <w:vAlign w:val="bottom"/>
            <w:hideMark/>
          </w:tcPr>
          <w:p w14:paraId="7901E7F5" w14:textId="77777777" w:rsidR="00FE7F8B" w:rsidRDefault="00FE7F8B" w:rsidP="00882463">
            <w:pPr>
              <w:pStyle w:val="TableTextFinancial"/>
              <w:jc w:val="right"/>
            </w:pPr>
            <w:r>
              <w:rPr>
                <w:szCs w:val="16"/>
              </w:rPr>
              <w:t>–</w:t>
            </w:r>
          </w:p>
        </w:tc>
      </w:tr>
      <w:tr w:rsidR="00FE7F8B" w14:paraId="59B985A4" w14:textId="77777777" w:rsidTr="00882463">
        <w:tc>
          <w:tcPr>
            <w:tcW w:w="934" w:type="pct"/>
            <w:tcBorders>
              <w:top w:val="nil"/>
              <w:left w:val="nil"/>
              <w:bottom w:val="nil"/>
              <w:right w:val="nil"/>
            </w:tcBorders>
            <w:vAlign w:val="bottom"/>
            <w:hideMark/>
          </w:tcPr>
          <w:p w14:paraId="1E8E917E" w14:textId="77777777" w:rsidR="00FE7F8B" w:rsidRDefault="00FE7F8B">
            <w:pPr>
              <w:pStyle w:val="Tabletextnoindent"/>
            </w:pPr>
            <w:r>
              <w:t>Transfers to completed assets</w:t>
            </w:r>
          </w:p>
        </w:tc>
        <w:tc>
          <w:tcPr>
            <w:tcW w:w="579" w:type="pct"/>
            <w:tcBorders>
              <w:top w:val="nil"/>
              <w:left w:val="nil"/>
              <w:bottom w:val="nil"/>
              <w:right w:val="nil"/>
            </w:tcBorders>
            <w:vAlign w:val="bottom"/>
            <w:hideMark/>
          </w:tcPr>
          <w:p w14:paraId="5E7044DF" w14:textId="77777777" w:rsidR="00FE7F8B" w:rsidRDefault="00FE7F8B" w:rsidP="00882463">
            <w:pPr>
              <w:pStyle w:val="TableTextFinancial"/>
              <w:jc w:val="right"/>
            </w:pPr>
            <w:r>
              <w:rPr>
                <w:szCs w:val="16"/>
              </w:rPr>
              <w:t>–</w:t>
            </w:r>
          </w:p>
        </w:tc>
        <w:tc>
          <w:tcPr>
            <w:tcW w:w="579" w:type="pct"/>
            <w:tcBorders>
              <w:top w:val="nil"/>
              <w:left w:val="nil"/>
              <w:bottom w:val="nil"/>
              <w:right w:val="nil"/>
            </w:tcBorders>
            <w:vAlign w:val="bottom"/>
            <w:hideMark/>
          </w:tcPr>
          <w:p w14:paraId="140EFE66" w14:textId="77777777" w:rsidR="00FE7F8B" w:rsidRDefault="00FE7F8B" w:rsidP="00882463">
            <w:pPr>
              <w:pStyle w:val="TableTextFinancial"/>
              <w:jc w:val="right"/>
            </w:pPr>
            <w:r>
              <w:t>256.2</w:t>
            </w:r>
          </w:p>
        </w:tc>
        <w:tc>
          <w:tcPr>
            <w:tcW w:w="695" w:type="pct"/>
            <w:tcBorders>
              <w:top w:val="nil"/>
              <w:left w:val="nil"/>
              <w:bottom w:val="nil"/>
              <w:right w:val="nil"/>
            </w:tcBorders>
            <w:vAlign w:val="bottom"/>
            <w:hideMark/>
          </w:tcPr>
          <w:p w14:paraId="1E424B4D" w14:textId="77777777" w:rsidR="00FE7F8B" w:rsidRDefault="00FE7F8B" w:rsidP="00882463">
            <w:pPr>
              <w:pStyle w:val="TableTextFinancial"/>
              <w:jc w:val="right"/>
            </w:pPr>
            <w:r>
              <w:rPr>
                <w:szCs w:val="16"/>
              </w:rPr>
              <w:t>–</w:t>
            </w:r>
          </w:p>
        </w:tc>
        <w:tc>
          <w:tcPr>
            <w:tcW w:w="673" w:type="pct"/>
            <w:tcBorders>
              <w:top w:val="nil"/>
              <w:left w:val="nil"/>
              <w:bottom w:val="nil"/>
              <w:right w:val="nil"/>
            </w:tcBorders>
            <w:vAlign w:val="bottom"/>
            <w:hideMark/>
          </w:tcPr>
          <w:p w14:paraId="704F7DF2" w14:textId="77777777" w:rsidR="00FE7F8B" w:rsidRDefault="00FE7F8B" w:rsidP="00882463">
            <w:pPr>
              <w:pStyle w:val="TableTextFinancial"/>
              <w:jc w:val="right"/>
            </w:pPr>
            <w:r>
              <w:rPr>
                <w:szCs w:val="16"/>
              </w:rPr>
              <w:t>–</w:t>
            </w:r>
          </w:p>
        </w:tc>
        <w:tc>
          <w:tcPr>
            <w:tcW w:w="770" w:type="pct"/>
            <w:tcBorders>
              <w:top w:val="nil"/>
              <w:left w:val="nil"/>
              <w:bottom w:val="nil"/>
              <w:right w:val="nil"/>
            </w:tcBorders>
            <w:vAlign w:val="bottom"/>
            <w:hideMark/>
          </w:tcPr>
          <w:p w14:paraId="349F96DD" w14:textId="77777777" w:rsidR="00FE7F8B" w:rsidRDefault="00FE7F8B" w:rsidP="00882463">
            <w:pPr>
              <w:pStyle w:val="TableTextFinancial"/>
              <w:jc w:val="right"/>
            </w:pPr>
            <w:r>
              <w:rPr>
                <w:szCs w:val="16"/>
              </w:rPr>
              <w:t>–</w:t>
            </w:r>
          </w:p>
        </w:tc>
        <w:tc>
          <w:tcPr>
            <w:tcW w:w="769" w:type="pct"/>
            <w:tcBorders>
              <w:top w:val="nil"/>
              <w:left w:val="nil"/>
              <w:bottom w:val="nil"/>
              <w:right w:val="nil"/>
            </w:tcBorders>
            <w:vAlign w:val="bottom"/>
            <w:hideMark/>
          </w:tcPr>
          <w:p w14:paraId="696B7021" w14:textId="77777777" w:rsidR="00FE7F8B" w:rsidRDefault="00FE7F8B" w:rsidP="00882463">
            <w:pPr>
              <w:pStyle w:val="TableTextFinancial"/>
              <w:jc w:val="right"/>
            </w:pPr>
            <w:r>
              <w:t>1.3</w:t>
            </w:r>
          </w:p>
        </w:tc>
      </w:tr>
      <w:tr w:rsidR="00FE7F8B" w14:paraId="0C6A1C45" w14:textId="77777777" w:rsidTr="00882463">
        <w:tc>
          <w:tcPr>
            <w:tcW w:w="934" w:type="pct"/>
            <w:tcBorders>
              <w:top w:val="nil"/>
              <w:left w:val="nil"/>
              <w:bottom w:val="nil"/>
              <w:right w:val="nil"/>
            </w:tcBorders>
            <w:vAlign w:val="bottom"/>
            <w:hideMark/>
          </w:tcPr>
          <w:p w14:paraId="3D48D4BF" w14:textId="77777777" w:rsidR="00FE7F8B" w:rsidRDefault="00FE7F8B">
            <w:pPr>
              <w:pStyle w:val="Tabletextnoindent"/>
            </w:pPr>
            <w:r>
              <w:t>Transfer (to)/from assets held for sale</w:t>
            </w:r>
          </w:p>
        </w:tc>
        <w:tc>
          <w:tcPr>
            <w:tcW w:w="579" w:type="pct"/>
            <w:tcBorders>
              <w:top w:val="nil"/>
              <w:left w:val="nil"/>
              <w:bottom w:val="nil"/>
              <w:right w:val="nil"/>
            </w:tcBorders>
            <w:vAlign w:val="bottom"/>
            <w:hideMark/>
          </w:tcPr>
          <w:p w14:paraId="2E167A01" w14:textId="77777777" w:rsidR="00FE7F8B" w:rsidRDefault="00FE7F8B" w:rsidP="00882463">
            <w:pPr>
              <w:pStyle w:val="TableTextFinancial"/>
              <w:jc w:val="right"/>
            </w:pPr>
            <w:r>
              <w:t>(17.1)</w:t>
            </w:r>
          </w:p>
        </w:tc>
        <w:tc>
          <w:tcPr>
            <w:tcW w:w="579" w:type="pct"/>
            <w:tcBorders>
              <w:top w:val="nil"/>
              <w:left w:val="nil"/>
              <w:bottom w:val="nil"/>
              <w:right w:val="nil"/>
            </w:tcBorders>
            <w:vAlign w:val="bottom"/>
            <w:hideMark/>
          </w:tcPr>
          <w:p w14:paraId="2F53514E" w14:textId="77777777" w:rsidR="00FE7F8B" w:rsidRDefault="00FE7F8B" w:rsidP="00882463">
            <w:pPr>
              <w:pStyle w:val="TableTextFinancial"/>
              <w:jc w:val="right"/>
            </w:pPr>
            <w:r>
              <w:rPr>
                <w:szCs w:val="16"/>
              </w:rPr>
              <w:t>–</w:t>
            </w:r>
          </w:p>
        </w:tc>
        <w:tc>
          <w:tcPr>
            <w:tcW w:w="695" w:type="pct"/>
            <w:tcBorders>
              <w:top w:val="nil"/>
              <w:left w:val="nil"/>
              <w:bottom w:val="nil"/>
              <w:right w:val="nil"/>
            </w:tcBorders>
            <w:vAlign w:val="bottom"/>
            <w:hideMark/>
          </w:tcPr>
          <w:p w14:paraId="2A62E81E" w14:textId="77777777" w:rsidR="00FE7F8B" w:rsidRDefault="00FE7F8B" w:rsidP="00882463">
            <w:pPr>
              <w:pStyle w:val="TableTextFinancial"/>
              <w:jc w:val="right"/>
            </w:pPr>
            <w:r>
              <w:rPr>
                <w:szCs w:val="16"/>
              </w:rPr>
              <w:t>–</w:t>
            </w:r>
          </w:p>
        </w:tc>
        <w:tc>
          <w:tcPr>
            <w:tcW w:w="673" w:type="pct"/>
            <w:tcBorders>
              <w:top w:val="nil"/>
              <w:left w:val="nil"/>
              <w:bottom w:val="nil"/>
              <w:right w:val="nil"/>
            </w:tcBorders>
            <w:vAlign w:val="bottom"/>
            <w:hideMark/>
          </w:tcPr>
          <w:p w14:paraId="2F6F8504" w14:textId="77777777" w:rsidR="00FE7F8B" w:rsidRDefault="00FE7F8B" w:rsidP="00882463">
            <w:pPr>
              <w:pStyle w:val="TableTextFinancial"/>
              <w:jc w:val="right"/>
            </w:pPr>
            <w:r>
              <w:rPr>
                <w:szCs w:val="16"/>
              </w:rPr>
              <w:t>–</w:t>
            </w:r>
          </w:p>
        </w:tc>
        <w:tc>
          <w:tcPr>
            <w:tcW w:w="770" w:type="pct"/>
            <w:tcBorders>
              <w:top w:val="nil"/>
              <w:left w:val="nil"/>
              <w:bottom w:val="nil"/>
              <w:right w:val="nil"/>
            </w:tcBorders>
            <w:vAlign w:val="bottom"/>
            <w:hideMark/>
          </w:tcPr>
          <w:p w14:paraId="644EB42E" w14:textId="77777777" w:rsidR="00FE7F8B" w:rsidRDefault="00FE7F8B" w:rsidP="00882463">
            <w:pPr>
              <w:pStyle w:val="TableTextFinancial"/>
              <w:jc w:val="right"/>
            </w:pPr>
            <w:r>
              <w:rPr>
                <w:szCs w:val="16"/>
              </w:rPr>
              <w:t>–</w:t>
            </w:r>
          </w:p>
        </w:tc>
        <w:tc>
          <w:tcPr>
            <w:tcW w:w="769" w:type="pct"/>
            <w:tcBorders>
              <w:top w:val="nil"/>
              <w:left w:val="nil"/>
              <w:bottom w:val="nil"/>
              <w:right w:val="nil"/>
            </w:tcBorders>
            <w:vAlign w:val="bottom"/>
            <w:hideMark/>
          </w:tcPr>
          <w:p w14:paraId="3A633EB9" w14:textId="77777777" w:rsidR="00FE7F8B" w:rsidRDefault="00FE7F8B" w:rsidP="00882463">
            <w:pPr>
              <w:pStyle w:val="TableTextFinancial"/>
              <w:jc w:val="right"/>
            </w:pPr>
            <w:r>
              <w:rPr>
                <w:szCs w:val="16"/>
              </w:rPr>
              <w:t>–</w:t>
            </w:r>
          </w:p>
        </w:tc>
      </w:tr>
      <w:tr w:rsidR="00FE7F8B" w14:paraId="02AD49BF" w14:textId="77777777" w:rsidTr="00882463">
        <w:tc>
          <w:tcPr>
            <w:tcW w:w="934" w:type="pct"/>
            <w:tcBorders>
              <w:top w:val="nil"/>
              <w:left w:val="nil"/>
              <w:bottom w:val="nil"/>
              <w:right w:val="nil"/>
            </w:tcBorders>
            <w:vAlign w:val="bottom"/>
            <w:hideMark/>
          </w:tcPr>
          <w:p w14:paraId="5DCB4D78" w14:textId="77777777" w:rsidR="00FE7F8B" w:rsidRDefault="00FE7F8B">
            <w:pPr>
              <w:pStyle w:val="Tabletextnoindent"/>
            </w:pPr>
            <w:r>
              <w:t>Depreciation</w:t>
            </w:r>
          </w:p>
        </w:tc>
        <w:tc>
          <w:tcPr>
            <w:tcW w:w="579" w:type="pct"/>
            <w:tcBorders>
              <w:top w:val="nil"/>
              <w:left w:val="nil"/>
              <w:bottom w:val="nil"/>
              <w:right w:val="nil"/>
            </w:tcBorders>
            <w:vAlign w:val="bottom"/>
            <w:hideMark/>
          </w:tcPr>
          <w:p w14:paraId="5B67DC98" w14:textId="77777777" w:rsidR="00FE7F8B" w:rsidRDefault="00FE7F8B" w:rsidP="00882463">
            <w:pPr>
              <w:pStyle w:val="TableTextFinancial"/>
              <w:jc w:val="right"/>
            </w:pPr>
            <w:r>
              <w:rPr>
                <w:szCs w:val="16"/>
              </w:rPr>
              <w:t>–</w:t>
            </w:r>
          </w:p>
        </w:tc>
        <w:tc>
          <w:tcPr>
            <w:tcW w:w="579" w:type="pct"/>
            <w:tcBorders>
              <w:top w:val="nil"/>
              <w:left w:val="nil"/>
              <w:bottom w:val="nil"/>
              <w:right w:val="nil"/>
            </w:tcBorders>
            <w:vAlign w:val="bottom"/>
            <w:hideMark/>
          </w:tcPr>
          <w:p w14:paraId="3A86918E" w14:textId="77777777" w:rsidR="00FE7F8B" w:rsidRDefault="00FE7F8B" w:rsidP="00882463">
            <w:pPr>
              <w:pStyle w:val="TableTextFinancial"/>
              <w:jc w:val="right"/>
            </w:pPr>
            <w:r>
              <w:t>(238.2)</w:t>
            </w:r>
          </w:p>
        </w:tc>
        <w:tc>
          <w:tcPr>
            <w:tcW w:w="695" w:type="pct"/>
            <w:tcBorders>
              <w:top w:val="nil"/>
              <w:left w:val="nil"/>
              <w:bottom w:val="nil"/>
              <w:right w:val="nil"/>
            </w:tcBorders>
            <w:vAlign w:val="bottom"/>
            <w:hideMark/>
          </w:tcPr>
          <w:p w14:paraId="578AC25C" w14:textId="77777777" w:rsidR="00FE7F8B" w:rsidRDefault="00FE7F8B" w:rsidP="00882463">
            <w:pPr>
              <w:pStyle w:val="TableTextFinancial"/>
              <w:jc w:val="right"/>
            </w:pPr>
            <w:r>
              <w:t>(2.5)</w:t>
            </w:r>
          </w:p>
        </w:tc>
        <w:tc>
          <w:tcPr>
            <w:tcW w:w="673" w:type="pct"/>
            <w:tcBorders>
              <w:top w:val="nil"/>
              <w:left w:val="nil"/>
              <w:bottom w:val="nil"/>
              <w:right w:val="nil"/>
            </w:tcBorders>
            <w:vAlign w:val="bottom"/>
            <w:hideMark/>
          </w:tcPr>
          <w:p w14:paraId="014F3218" w14:textId="77777777" w:rsidR="00FE7F8B" w:rsidRDefault="00FE7F8B" w:rsidP="00882463">
            <w:pPr>
              <w:pStyle w:val="TableTextFinancial"/>
              <w:jc w:val="right"/>
            </w:pPr>
            <w:r>
              <w:t>(3.2)</w:t>
            </w:r>
          </w:p>
        </w:tc>
        <w:tc>
          <w:tcPr>
            <w:tcW w:w="770" w:type="pct"/>
            <w:tcBorders>
              <w:top w:val="nil"/>
              <w:left w:val="nil"/>
              <w:bottom w:val="nil"/>
              <w:right w:val="nil"/>
            </w:tcBorders>
            <w:vAlign w:val="bottom"/>
            <w:hideMark/>
          </w:tcPr>
          <w:p w14:paraId="5641810F" w14:textId="77777777" w:rsidR="00FE7F8B" w:rsidRDefault="00FE7F8B" w:rsidP="00882463">
            <w:pPr>
              <w:pStyle w:val="TableTextFinancial"/>
              <w:jc w:val="right"/>
            </w:pPr>
            <w:r>
              <w:t>(0.2)</w:t>
            </w:r>
          </w:p>
        </w:tc>
        <w:tc>
          <w:tcPr>
            <w:tcW w:w="769" w:type="pct"/>
            <w:tcBorders>
              <w:top w:val="nil"/>
              <w:left w:val="nil"/>
              <w:bottom w:val="nil"/>
              <w:right w:val="nil"/>
            </w:tcBorders>
            <w:vAlign w:val="bottom"/>
            <w:hideMark/>
          </w:tcPr>
          <w:p w14:paraId="2A00FB16" w14:textId="77777777" w:rsidR="00FE7F8B" w:rsidRDefault="00FE7F8B" w:rsidP="00882463">
            <w:pPr>
              <w:pStyle w:val="TableTextFinancial"/>
              <w:jc w:val="right"/>
            </w:pPr>
            <w:r>
              <w:t>(49.1)</w:t>
            </w:r>
          </w:p>
        </w:tc>
      </w:tr>
      <w:tr w:rsidR="00FE7F8B" w14:paraId="629B3894" w14:textId="77777777" w:rsidTr="00882463">
        <w:tc>
          <w:tcPr>
            <w:tcW w:w="934" w:type="pct"/>
            <w:tcBorders>
              <w:top w:val="nil"/>
              <w:left w:val="nil"/>
              <w:bottom w:val="nil"/>
              <w:right w:val="nil"/>
            </w:tcBorders>
            <w:vAlign w:val="bottom"/>
            <w:hideMark/>
          </w:tcPr>
          <w:p w14:paraId="4CF2D431" w14:textId="77777777" w:rsidR="00FE7F8B" w:rsidRDefault="00FE7F8B">
            <w:pPr>
              <w:pStyle w:val="Tabletextnoindent"/>
            </w:pPr>
            <w:r>
              <w:t>Impairment loss</w:t>
            </w:r>
          </w:p>
        </w:tc>
        <w:tc>
          <w:tcPr>
            <w:tcW w:w="579" w:type="pct"/>
            <w:tcBorders>
              <w:top w:val="nil"/>
              <w:left w:val="nil"/>
              <w:bottom w:val="nil"/>
              <w:right w:val="nil"/>
            </w:tcBorders>
            <w:vAlign w:val="bottom"/>
            <w:hideMark/>
          </w:tcPr>
          <w:p w14:paraId="1AC3314D" w14:textId="77777777" w:rsidR="00FE7F8B" w:rsidRDefault="00FE7F8B" w:rsidP="00882463">
            <w:pPr>
              <w:pStyle w:val="TableTextFinancial"/>
              <w:jc w:val="right"/>
            </w:pPr>
            <w:r>
              <w:rPr>
                <w:szCs w:val="16"/>
              </w:rPr>
              <w:t>–</w:t>
            </w:r>
          </w:p>
        </w:tc>
        <w:tc>
          <w:tcPr>
            <w:tcW w:w="579" w:type="pct"/>
            <w:tcBorders>
              <w:top w:val="nil"/>
              <w:left w:val="nil"/>
              <w:bottom w:val="nil"/>
              <w:right w:val="nil"/>
            </w:tcBorders>
            <w:vAlign w:val="bottom"/>
            <w:hideMark/>
          </w:tcPr>
          <w:p w14:paraId="4D4704C1" w14:textId="77777777" w:rsidR="00FE7F8B" w:rsidRDefault="00FE7F8B" w:rsidP="00882463">
            <w:pPr>
              <w:pStyle w:val="TableTextFinancial"/>
              <w:jc w:val="right"/>
            </w:pPr>
            <w:r>
              <w:t>(40.0)</w:t>
            </w:r>
          </w:p>
        </w:tc>
        <w:tc>
          <w:tcPr>
            <w:tcW w:w="695" w:type="pct"/>
            <w:tcBorders>
              <w:top w:val="nil"/>
              <w:left w:val="nil"/>
              <w:bottom w:val="nil"/>
              <w:right w:val="nil"/>
            </w:tcBorders>
            <w:vAlign w:val="bottom"/>
            <w:hideMark/>
          </w:tcPr>
          <w:p w14:paraId="388E3947" w14:textId="77777777" w:rsidR="00FE7F8B" w:rsidRDefault="00FE7F8B" w:rsidP="00882463">
            <w:pPr>
              <w:pStyle w:val="TableTextFinancial"/>
              <w:jc w:val="right"/>
            </w:pPr>
            <w:r>
              <w:rPr>
                <w:szCs w:val="16"/>
              </w:rPr>
              <w:t>–</w:t>
            </w:r>
          </w:p>
        </w:tc>
        <w:tc>
          <w:tcPr>
            <w:tcW w:w="673" w:type="pct"/>
            <w:tcBorders>
              <w:top w:val="nil"/>
              <w:left w:val="nil"/>
              <w:bottom w:val="nil"/>
              <w:right w:val="nil"/>
            </w:tcBorders>
            <w:vAlign w:val="bottom"/>
            <w:hideMark/>
          </w:tcPr>
          <w:p w14:paraId="4338387A" w14:textId="77777777" w:rsidR="00FE7F8B" w:rsidRDefault="00FE7F8B" w:rsidP="00882463">
            <w:pPr>
              <w:pStyle w:val="TableTextFinancial"/>
              <w:jc w:val="right"/>
            </w:pPr>
            <w:r>
              <w:rPr>
                <w:szCs w:val="16"/>
              </w:rPr>
              <w:t>–</w:t>
            </w:r>
          </w:p>
        </w:tc>
        <w:tc>
          <w:tcPr>
            <w:tcW w:w="770" w:type="pct"/>
            <w:tcBorders>
              <w:top w:val="nil"/>
              <w:left w:val="nil"/>
              <w:bottom w:val="nil"/>
              <w:right w:val="nil"/>
            </w:tcBorders>
            <w:vAlign w:val="bottom"/>
            <w:hideMark/>
          </w:tcPr>
          <w:p w14:paraId="5EDB786F" w14:textId="77777777" w:rsidR="00FE7F8B" w:rsidRDefault="00FE7F8B" w:rsidP="00882463">
            <w:pPr>
              <w:pStyle w:val="TableTextFinancial"/>
              <w:jc w:val="right"/>
            </w:pPr>
            <w:r>
              <w:rPr>
                <w:szCs w:val="16"/>
              </w:rPr>
              <w:t>–</w:t>
            </w:r>
          </w:p>
        </w:tc>
        <w:tc>
          <w:tcPr>
            <w:tcW w:w="769" w:type="pct"/>
            <w:tcBorders>
              <w:top w:val="nil"/>
              <w:left w:val="nil"/>
              <w:bottom w:val="nil"/>
              <w:right w:val="nil"/>
            </w:tcBorders>
            <w:vAlign w:val="bottom"/>
            <w:hideMark/>
          </w:tcPr>
          <w:p w14:paraId="24A82B8B" w14:textId="77777777" w:rsidR="00FE7F8B" w:rsidRDefault="00FE7F8B" w:rsidP="00882463">
            <w:pPr>
              <w:pStyle w:val="TableTextFinancial"/>
              <w:jc w:val="right"/>
            </w:pPr>
            <w:r>
              <w:rPr>
                <w:szCs w:val="16"/>
              </w:rPr>
              <w:t>–</w:t>
            </w:r>
          </w:p>
        </w:tc>
      </w:tr>
      <w:tr w:rsidR="00FE7F8B" w14:paraId="71F928E1" w14:textId="77777777" w:rsidTr="00882463">
        <w:tc>
          <w:tcPr>
            <w:tcW w:w="934" w:type="pct"/>
            <w:tcBorders>
              <w:top w:val="nil"/>
              <w:left w:val="nil"/>
              <w:bottom w:val="single" w:sz="4" w:space="0" w:color="auto"/>
              <w:right w:val="nil"/>
            </w:tcBorders>
            <w:vAlign w:val="bottom"/>
            <w:hideMark/>
          </w:tcPr>
          <w:p w14:paraId="77D671BC" w14:textId="77777777" w:rsidR="00FE7F8B" w:rsidRDefault="00FE7F8B">
            <w:pPr>
              <w:pStyle w:val="Tabletextnoindent"/>
            </w:pPr>
            <w:r>
              <w:t>Revaluation</w:t>
            </w:r>
          </w:p>
        </w:tc>
        <w:tc>
          <w:tcPr>
            <w:tcW w:w="579" w:type="pct"/>
            <w:tcBorders>
              <w:top w:val="nil"/>
              <w:left w:val="nil"/>
              <w:bottom w:val="single" w:sz="4" w:space="0" w:color="auto"/>
              <w:right w:val="nil"/>
            </w:tcBorders>
            <w:vAlign w:val="bottom"/>
            <w:hideMark/>
          </w:tcPr>
          <w:p w14:paraId="78D62FAE" w14:textId="77777777" w:rsidR="00FE7F8B" w:rsidRDefault="00FE7F8B" w:rsidP="00882463">
            <w:pPr>
              <w:pStyle w:val="TableTextFinancial"/>
              <w:jc w:val="right"/>
            </w:pPr>
            <w:r>
              <w:t>855.5</w:t>
            </w:r>
          </w:p>
        </w:tc>
        <w:tc>
          <w:tcPr>
            <w:tcW w:w="579" w:type="pct"/>
            <w:tcBorders>
              <w:top w:val="nil"/>
              <w:left w:val="nil"/>
              <w:bottom w:val="single" w:sz="4" w:space="0" w:color="auto"/>
              <w:right w:val="nil"/>
            </w:tcBorders>
            <w:vAlign w:val="bottom"/>
            <w:hideMark/>
          </w:tcPr>
          <w:p w14:paraId="4BF0261D" w14:textId="77777777" w:rsidR="00FE7F8B" w:rsidRDefault="00FE7F8B" w:rsidP="00882463">
            <w:pPr>
              <w:pStyle w:val="TableTextFinancial"/>
              <w:jc w:val="right"/>
            </w:pPr>
            <w:r>
              <w:rPr>
                <w:szCs w:val="16"/>
              </w:rPr>
              <w:t>–</w:t>
            </w:r>
          </w:p>
        </w:tc>
        <w:tc>
          <w:tcPr>
            <w:tcW w:w="695" w:type="pct"/>
            <w:tcBorders>
              <w:top w:val="nil"/>
              <w:left w:val="nil"/>
              <w:bottom w:val="single" w:sz="4" w:space="0" w:color="auto"/>
              <w:right w:val="nil"/>
            </w:tcBorders>
            <w:vAlign w:val="bottom"/>
            <w:hideMark/>
          </w:tcPr>
          <w:p w14:paraId="56F302C5" w14:textId="77777777" w:rsidR="00FE7F8B" w:rsidRDefault="00FE7F8B" w:rsidP="00882463">
            <w:pPr>
              <w:pStyle w:val="TableTextFinancial"/>
              <w:jc w:val="right"/>
            </w:pPr>
            <w:r>
              <w:rPr>
                <w:szCs w:val="16"/>
              </w:rPr>
              <w:t>–</w:t>
            </w:r>
          </w:p>
        </w:tc>
        <w:tc>
          <w:tcPr>
            <w:tcW w:w="673" w:type="pct"/>
            <w:tcBorders>
              <w:top w:val="nil"/>
              <w:left w:val="nil"/>
              <w:bottom w:val="single" w:sz="4" w:space="0" w:color="auto"/>
              <w:right w:val="nil"/>
            </w:tcBorders>
            <w:vAlign w:val="bottom"/>
            <w:hideMark/>
          </w:tcPr>
          <w:p w14:paraId="43BE3069" w14:textId="77777777" w:rsidR="00FE7F8B" w:rsidRDefault="00FE7F8B" w:rsidP="00882463">
            <w:pPr>
              <w:pStyle w:val="TableTextFinancial"/>
              <w:jc w:val="right"/>
            </w:pPr>
            <w:r>
              <w:rPr>
                <w:szCs w:val="16"/>
              </w:rPr>
              <w:t>–</w:t>
            </w:r>
          </w:p>
        </w:tc>
        <w:tc>
          <w:tcPr>
            <w:tcW w:w="770" w:type="pct"/>
            <w:tcBorders>
              <w:top w:val="nil"/>
              <w:left w:val="nil"/>
              <w:bottom w:val="single" w:sz="4" w:space="0" w:color="auto"/>
              <w:right w:val="nil"/>
            </w:tcBorders>
            <w:vAlign w:val="bottom"/>
            <w:hideMark/>
          </w:tcPr>
          <w:p w14:paraId="7253F4BF" w14:textId="77777777" w:rsidR="00FE7F8B" w:rsidRDefault="00FE7F8B" w:rsidP="00882463">
            <w:pPr>
              <w:pStyle w:val="TableTextFinancial"/>
              <w:jc w:val="right"/>
            </w:pPr>
            <w:r>
              <w:rPr>
                <w:szCs w:val="16"/>
              </w:rPr>
              <w:t>–</w:t>
            </w:r>
          </w:p>
        </w:tc>
        <w:tc>
          <w:tcPr>
            <w:tcW w:w="769" w:type="pct"/>
            <w:tcBorders>
              <w:top w:val="nil"/>
              <w:left w:val="nil"/>
              <w:bottom w:val="single" w:sz="4" w:space="0" w:color="auto"/>
              <w:right w:val="nil"/>
            </w:tcBorders>
            <w:vAlign w:val="bottom"/>
            <w:hideMark/>
          </w:tcPr>
          <w:p w14:paraId="19E143F7" w14:textId="77777777" w:rsidR="00FE7F8B" w:rsidRDefault="00FE7F8B" w:rsidP="00882463">
            <w:pPr>
              <w:pStyle w:val="TableTextFinancial"/>
              <w:jc w:val="right"/>
            </w:pPr>
            <w:r>
              <w:rPr>
                <w:szCs w:val="16"/>
              </w:rPr>
              <w:t>–</w:t>
            </w:r>
          </w:p>
        </w:tc>
      </w:tr>
      <w:tr w:rsidR="00FE7F8B" w14:paraId="416E5F7B" w14:textId="77777777" w:rsidTr="00882463">
        <w:tc>
          <w:tcPr>
            <w:tcW w:w="934" w:type="pct"/>
            <w:tcBorders>
              <w:top w:val="single" w:sz="4" w:space="0" w:color="auto"/>
              <w:left w:val="nil"/>
              <w:bottom w:val="single" w:sz="4" w:space="0" w:color="auto"/>
              <w:right w:val="nil"/>
            </w:tcBorders>
            <w:vAlign w:val="bottom"/>
            <w:hideMark/>
          </w:tcPr>
          <w:p w14:paraId="7EA22AE2" w14:textId="77777777" w:rsidR="00FE7F8B" w:rsidRDefault="00FE7F8B">
            <w:pPr>
              <w:pStyle w:val="Tabletextnoindent"/>
              <w:rPr>
                <w:b/>
              </w:rPr>
            </w:pPr>
            <w:r>
              <w:rPr>
                <w:b/>
              </w:rPr>
              <w:t>Closing balance</w:t>
            </w:r>
          </w:p>
        </w:tc>
        <w:tc>
          <w:tcPr>
            <w:tcW w:w="579" w:type="pct"/>
            <w:tcBorders>
              <w:top w:val="single" w:sz="4" w:space="0" w:color="auto"/>
              <w:left w:val="nil"/>
              <w:bottom w:val="single" w:sz="4" w:space="0" w:color="auto"/>
              <w:right w:val="nil"/>
            </w:tcBorders>
            <w:vAlign w:val="bottom"/>
            <w:hideMark/>
          </w:tcPr>
          <w:p w14:paraId="2E5416B7" w14:textId="77777777" w:rsidR="00FE7F8B" w:rsidRDefault="00FE7F8B" w:rsidP="00882463">
            <w:pPr>
              <w:pStyle w:val="TableTextFinancial"/>
              <w:jc w:val="right"/>
              <w:rPr>
                <w:b/>
              </w:rPr>
            </w:pPr>
            <w:r>
              <w:rPr>
                <w:b/>
              </w:rPr>
              <w:t>7,895.7</w:t>
            </w:r>
          </w:p>
        </w:tc>
        <w:tc>
          <w:tcPr>
            <w:tcW w:w="579" w:type="pct"/>
            <w:tcBorders>
              <w:top w:val="single" w:sz="4" w:space="0" w:color="auto"/>
              <w:left w:val="nil"/>
              <w:bottom w:val="single" w:sz="4" w:space="0" w:color="auto"/>
              <w:right w:val="nil"/>
            </w:tcBorders>
            <w:vAlign w:val="bottom"/>
            <w:hideMark/>
          </w:tcPr>
          <w:p w14:paraId="6AF832A2" w14:textId="77777777" w:rsidR="00FE7F8B" w:rsidRDefault="00FE7F8B" w:rsidP="00882463">
            <w:pPr>
              <w:pStyle w:val="TableTextFinancial"/>
              <w:jc w:val="right"/>
              <w:rPr>
                <w:b/>
              </w:rPr>
            </w:pPr>
            <w:r>
              <w:rPr>
                <w:b/>
              </w:rPr>
              <w:t>8,266.8</w:t>
            </w:r>
          </w:p>
        </w:tc>
        <w:tc>
          <w:tcPr>
            <w:tcW w:w="695" w:type="pct"/>
            <w:tcBorders>
              <w:top w:val="single" w:sz="4" w:space="0" w:color="auto"/>
              <w:left w:val="nil"/>
              <w:bottom w:val="single" w:sz="4" w:space="0" w:color="auto"/>
              <w:right w:val="nil"/>
            </w:tcBorders>
            <w:vAlign w:val="bottom"/>
            <w:hideMark/>
          </w:tcPr>
          <w:p w14:paraId="4EBB6DFB" w14:textId="77777777" w:rsidR="00FE7F8B" w:rsidRDefault="00FE7F8B" w:rsidP="00882463">
            <w:pPr>
              <w:pStyle w:val="TableTextFinancial"/>
              <w:jc w:val="right"/>
              <w:rPr>
                <w:b/>
              </w:rPr>
            </w:pPr>
            <w:r>
              <w:rPr>
                <w:b/>
              </w:rPr>
              <w:t>58.1</w:t>
            </w:r>
          </w:p>
        </w:tc>
        <w:tc>
          <w:tcPr>
            <w:tcW w:w="673" w:type="pct"/>
            <w:tcBorders>
              <w:top w:val="single" w:sz="4" w:space="0" w:color="auto"/>
              <w:left w:val="nil"/>
              <w:bottom w:val="single" w:sz="4" w:space="0" w:color="auto"/>
              <w:right w:val="nil"/>
            </w:tcBorders>
            <w:vAlign w:val="bottom"/>
            <w:hideMark/>
          </w:tcPr>
          <w:p w14:paraId="07771D37" w14:textId="77777777" w:rsidR="00FE7F8B" w:rsidRDefault="00FE7F8B" w:rsidP="00882463">
            <w:pPr>
              <w:pStyle w:val="TableTextFinancial"/>
              <w:jc w:val="right"/>
              <w:rPr>
                <w:b/>
              </w:rPr>
            </w:pPr>
            <w:r>
              <w:rPr>
                <w:b/>
              </w:rPr>
              <w:t>191.0</w:t>
            </w:r>
          </w:p>
        </w:tc>
        <w:tc>
          <w:tcPr>
            <w:tcW w:w="770" w:type="pct"/>
            <w:tcBorders>
              <w:top w:val="single" w:sz="4" w:space="0" w:color="auto"/>
              <w:left w:val="nil"/>
              <w:bottom w:val="single" w:sz="4" w:space="0" w:color="auto"/>
              <w:right w:val="nil"/>
            </w:tcBorders>
            <w:vAlign w:val="bottom"/>
            <w:hideMark/>
          </w:tcPr>
          <w:p w14:paraId="7FA87116" w14:textId="77777777" w:rsidR="00FE7F8B" w:rsidRDefault="00FE7F8B" w:rsidP="00882463">
            <w:pPr>
              <w:pStyle w:val="TableTextFinancial"/>
              <w:jc w:val="right"/>
              <w:rPr>
                <w:b/>
              </w:rPr>
            </w:pPr>
            <w:r>
              <w:rPr>
                <w:b/>
              </w:rPr>
              <w:t>0.5</w:t>
            </w:r>
          </w:p>
        </w:tc>
        <w:tc>
          <w:tcPr>
            <w:tcW w:w="769" w:type="pct"/>
            <w:tcBorders>
              <w:top w:val="single" w:sz="4" w:space="0" w:color="auto"/>
              <w:left w:val="nil"/>
              <w:bottom w:val="single" w:sz="4" w:space="0" w:color="auto"/>
              <w:right w:val="nil"/>
            </w:tcBorders>
            <w:vAlign w:val="bottom"/>
            <w:hideMark/>
          </w:tcPr>
          <w:p w14:paraId="7C075C57" w14:textId="77777777" w:rsidR="00FE7F8B" w:rsidRDefault="00FE7F8B" w:rsidP="00882463">
            <w:pPr>
              <w:pStyle w:val="TableTextFinancial"/>
              <w:jc w:val="right"/>
              <w:rPr>
                <w:b/>
              </w:rPr>
            </w:pPr>
            <w:r>
              <w:rPr>
                <w:b/>
              </w:rPr>
              <w:t>97.8</w:t>
            </w:r>
          </w:p>
        </w:tc>
      </w:tr>
    </w:tbl>
    <w:p w14:paraId="4251BE7C" w14:textId="77777777" w:rsidR="00FE7F8B" w:rsidRDefault="00FE7F8B" w:rsidP="00FE7F8B">
      <w:pPr>
        <w:pStyle w:val="Caption"/>
      </w:pPr>
    </w:p>
    <w:p w14:paraId="55057BDA" w14:textId="77777777" w:rsidR="00FE7F8B" w:rsidRDefault="00FE7F8B" w:rsidP="00FE7F8B">
      <w:pPr>
        <w:pStyle w:val="Caption"/>
      </w:pPr>
      <w:r>
        <w:t xml:space="preserve">Table </w:t>
      </w:r>
      <w:fldSimple w:instr=" SEQ Table \* ARABIC ">
        <w:r w:rsidR="00B60957">
          <w:rPr>
            <w:noProof/>
          </w:rPr>
          <w:t>9</w:t>
        </w:r>
      </w:fldSimple>
      <w:r>
        <w:t>—Description of significant unobservable inputs to Level 3 valuations</w:t>
      </w:r>
    </w:p>
    <w:tbl>
      <w:tblPr>
        <w:tblW w:w="5000" w:type="pct"/>
        <w:tblCellMar>
          <w:left w:w="0" w:type="dxa"/>
          <w:right w:w="0" w:type="dxa"/>
        </w:tblCellMar>
        <w:tblLook w:val="04A0" w:firstRow="1" w:lastRow="0" w:firstColumn="1" w:lastColumn="0" w:noHBand="0" w:noVBand="1"/>
      </w:tblPr>
      <w:tblGrid>
        <w:gridCol w:w="1989"/>
        <w:gridCol w:w="2550"/>
        <w:gridCol w:w="2834"/>
      </w:tblGrid>
      <w:tr w:rsidR="00FE7F8B" w14:paraId="7A1E4E56" w14:textId="77777777" w:rsidTr="00FE7F8B">
        <w:tc>
          <w:tcPr>
            <w:tcW w:w="1349" w:type="pct"/>
            <w:shd w:val="clear" w:color="auto" w:fill="7F7F7F" w:themeFill="text1" w:themeFillTint="80"/>
            <w:vAlign w:val="bottom"/>
            <w:hideMark/>
          </w:tcPr>
          <w:p w14:paraId="4E6D4E1C" w14:textId="77777777" w:rsidR="00FE7F8B" w:rsidRDefault="00FE7F8B">
            <w:pPr>
              <w:pStyle w:val="Tablecolumnheading"/>
            </w:pPr>
            <w:r>
              <w:t>2016 and 2015</w:t>
            </w:r>
          </w:p>
        </w:tc>
        <w:tc>
          <w:tcPr>
            <w:tcW w:w="1729" w:type="pct"/>
            <w:shd w:val="clear" w:color="auto" w:fill="7F7F7F" w:themeFill="text1" w:themeFillTint="80"/>
            <w:vAlign w:val="bottom"/>
            <w:hideMark/>
          </w:tcPr>
          <w:p w14:paraId="525A61EF" w14:textId="77777777" w:rsidR="00FE7F8B" w:rsidRDefault="00FE7F8B">
            <w:pPr>
              <w:pStyle w:val="Tablecolumnheading"/>
            </w:pPr>
            <w:r>
              <w:t>Valuation technique</w:t>
            </w:r>
          </w:p>
        </w:tc>
        <w:tc>
          <w:tcPr>
            <w:tcW w:w="1922" w:type="pct"/>
            <w:shd w:val="clear" w:color="auto" w:fill="7F7F7F" w:themeFill="text1" w:themeFillTint="80"/>
            <w:vAlign w:val="bottom"/>
            <w:hideMark/>
          </w:tcPr>
          <w:p w14:paraId="706BFEE3" w14:textId="77777777" w:rsidR="00FE7F8B" w:rsidRDefault="00FE7F8B">
            <w:pPr>
              <w:pStyle w:val="Tablecolumnheading"/>
            </w:pPr>
            <w:r>
              <w:t>Significant unobservable inputs</w:t>
            </w:r>
          </w:p>
        </w:tc>
      </w:tr>
      <w:tr w:rsidR="00FE7F8B" w14:paraId="690C9425" w14:textId="77777777" w:rsidTr="00FE7F8B">
        <w:tc>
          <w:tcPr>
            <w:tcW w:w="1349" w:type="pct"/>
            <w:hideMark/>
          </w:tcPr>
          <w:p w14:paraId="77B02D74" w14:textId="77777777" w:rsidR="00FE7F8B" w:rsidRDefault="00FE7F8B">
            <w:pPr>
              <w:pStyle w:val="Tabletextnoindent"/>
            </w:pPr>
            <w:r>
              <w:t>Land</w:t>
            </w:r>
          </w:p>
        </w:tc>
        <w:tc>
          <w:tcPr>
            <w:tcW w:w="1729" w:type="pct"/>
            <w:hideMark/>
          </w:tcPr>
          <w:p w14:paraId="3CCCB0DA" w14:textId="77777777" w:rsidR="00FE7F8B" w:rsidRDefault="00FE7F8B">
            <w:pPr>
              <w:pStyle w:val="Tabletextnoindent"/>
            </w:pPr>
            <w:r>
              <w:t>Market approach</w:t>
            </w:r>
          </w:p>
        </w:tc>
        <w:tc>
          <w:tcPr>
            <w:tcW w:w="1922" w:type="pct"/>
            <w:hideMark/>
          </w:tcPr>
          <w:p w14:paraId="13A982D3" w14:textId="77777777" w:rsidR="00FE7F8B" w:rsidRDefault="00FE7F8B">
            <w:pPr>
              <w:pStyle w:val="Tabletextnoindent"/>
            </w:pPr>
            <w:r>
              <w:t>Community Service Obligation (CSO)</w:t>
            </w:r>
          </w:p>
        </w:tc>
      </w:tr>
      <w:tr w:rsidR="00FE7F8B" w14:paraId="61CE011F" w14:textId="77777777" w:rsidTr="00FE7F8B">
        <w:tc>
          <w:tcPr>
            <w:tcW w:w="1349" w:type="pct"/>
            <w:shd w:val="clear" w:color="auto" w:fill="F2F2F2" w:themeFill="background1" w:themeFillShade="F2"/>
            <w:hideMark/>
          </w:tcPr>
          <w:p w14:paraId="229C31D3" w14:textId="77777777" w:rsidR="00FE7F8B" w:rsidRDefault="00FE7F8B">
            <w:pPr>
              <w:pStyle w:val="Tabletextnoindent"/>
            </w:pPr>
            <w:r>
              <w:t>Buildings</w:t>
            </w:r>
          </w:p>
        </w:tc>
        <w:tc>
          <w:tcPr>
            <w:tcW w:w="1729" w:type="pct"/>
            <w:shd w:val="clear" w:color="auto" w:fill="F2F2F2" w:themeFill="background1" w:themeFillShade="F2"/>
            <w:hideMark/>
          </w:tcPr>
          <w:p w14:paraId="5D303215" w14:textId="77777777" w:rsidR="00FE7F8B" w:rsidRDefault="00FE7F8B">
            <w:pPr>
              <w:pStyle w:val="Tabletextnoindent"/>
            </w:pPr>
            <w:r>
              <w:t>Depreciation replacement cost</w:t>
            </w:r>
          </w:p>
        </w:tc>
        <w:tc>
          <w:tcPr>
            <w:tcW w:w="1922" w:type="pct"/>
            <w:shd w:val="clear" w:color="auto" w:fill="F2F2F2" w:themeFill="background1" w:themeFillShade="F2"/>
            <w:hideMark/>
          </w:tcPr>
          <w:p w14:paraId="1CFE45F1" w14:textId="77777777" w:rsidR="00FE7F8B" w:rsidRDefault="00FE7F8B">
            <w:pPr>
              <w:pStyle w:val="Tabletextnoindent"/>
            </w:pPr>
            <w:r>
              <w:t>Direct cost per square metre</w:t>
            </w:r>
          </w:p>
        </w:tc>
      </w:tr>
      <w:tr w:rsidR="00FE7F8B" w14:paraId="7A77C98B" w14:textId="77777777" w:rsidTr="00FE7F8B">
        <w:tc>
          <w:tcPr>
            <w:tcW w:w="1349" w:type="pct"/>
            <w:shd w:val="clear" w:color="auto" w:fill="F2F2F2" w:themeFill="background1" w:themeFillShade="F2"/>
          </w:tcPr>
          <w:p w14:paraId="370DE28C" w14:textId="77777777" w:rsidR="00FE7F8B" w:rsidRDefault="00FE7F8B">
            <w:pPr>
              <w:pStyle w:val="Tabletextnoindent"/>
            </w:pPr>
          </w:p>
        </w:tc>
        <w:tc>
          <w:tcPr>
            <w:tcW w:w="1729" w:type="pct"/>
            <w:shd w:val="clear" w:color="auto" w:fill="F2F2F2" w:themeFill="background1" w:themeFillShade="F2"/>
          </w:tcPr>
          <w:p w14:paraId="2AB8D7FF" w14:textId="77777777" w:rsidR="00FE7F8B" w:rsidRDefault="00FE7F8B">
            <w:pPr>
              <w:pStyle w:val="Tabletextnoindent"/>
            </w:pPr>
          </w:p>
        </w:tc>
        <w:tc>
          <w:tcPr>
            <w:tcW w:w="1922" w:type="pct"/>
            <w:shd w:val="clear" w:color="auto" w:fill="F2F2F2" w:themeFill="background1" w:themeFillShade="F2"/>
            <w:hideMark/>
          </w:tcPr>
          <w:p w14:paraId="104321E3" w14:textId="77777777" w:rsidR="00FE7F8B" w:rsidRDefault="00FE7F8B">
            <w:pPr>
              <w:pStyle w:val="Tabletextnoindent"/>
            </w:pPr>
            <w:r>
              <w:t>Useful life of specialised buildings</w:t>
            </w:r>
          </w:p>
        </w:tc>
      </w:tr>
      <w:tr w:rsidR="00FE7F8B" w14:paraId="0189C2D2" w14:textId="77777777" w:rsidTr="00FE7F8B">
        <w:tc>
          <w:tcPr>
            <w:tcW w:w="1349" w:type="pct"/>
            <w:hideMark/>
          </w:tcPr>
          <w:p w14:paraId="607BCFA8" w14:textId="77777777" w:rsidR="00FE7F8B" w:rsidRDefault="00FE7F8B">
            <w:pPr>
              <w:pStyle w:val="Tabletextnoindent"/>
            </w:pPr>
            <w:r>
              <w:t>Heritage buildings</w:t>
            </w:r>
          </w:p>
        </w:tc>
        <w:tc>
          <w:tcPr>
            <w:tcW w:w="1729" w:type="pct"/>
            <w:hideMark/>
          </w:tcPr>
          <w:p w14:paraId="08DA4B1C" w14:textId="77777777" w:rsidR="00FE7F8B" w:rsidRDefault="00FE7F8B">
            <w:pPr>
              <w:pStyle w:val="Tabletextnoindent"/>
            </w:pPr>
            <w:r>
              <w:t>Reproduction cost</w:t>
            </w:r>
          </w:p>
        </w:tc>
        <w:tc>
          <w:tcPr>
            <w:tcW w:w="1922" w:type="pct"/>
            <w:hideMark/>
          </w:tcPr>
          <w:p w14:paraId="398013F0" w14:textId="77777777" w:rsidR="00FE7F8B" w:rsidRDefault="00FE7F8B">
            <w:pPr>
              <w:pStyle w:val="Tabletextnoindent"/>
            </w:pPr>
            <w:r>
              <w:t>Direct cost per square metre</w:t>
            </w:r>
          </w:p>
        </w:tc>
      </w:tr>
      <w:tr w:rsidR="00FE7F8B" w14:paraId="3360BEB3" w14:textId="77777777" w:rsidTr="00FE7F8B">
        <w:tc>
          <w:tcPr>
            <w:tcW w:w="1349" w:type="pct"/>
          </w:tcPr>
          <w:p w14:paraId="1D03A398" w14:textId="77777777" w:rsidR="00FE7F8B" w:rsidRDefault="00FE7F8B">
            <w:pPr>
              <w:pStyle w:val="Tabletextnoindent"/>
            </w:pPr>
          </w:p>
        </w:tc>
        <w:tc>
          <w:tcPr>
            <w:tcW w:w="1729" w:type="pct"/>
          </w:tcPr>
          <w:p w14:paraId="2FA7C5A1" w14:textId="77777777" w:rsidR="00FE7F8B" w:rsidRDefault="00FE7F8B">
            <w:pPr>
              <w:pStyle w:val="Tabletextnoindent"/>
            </w:pPr>
          </w:p>
        </w:tc>
        <w:tc>
          <w:tcPr>
            <w:tcW w:w="1922" w:type="pct"/>
            <w:hideMark/>
          </w:tcPr>
          <w:p w14:paraId="52557470" w14:textId="77777777" w:rsidR="00FE7F8B" w:rsidRDefault="00FE7F8B">
            <w:pPr>
              <w:pStyle w:val="Tabletextnoindent"/>
            </w:pPr>
            <w:r>
              <w:t>Useful life of heritage buildings</w:t>
            </w:r>
          </w:p>
        </w:tc>
      </w:tr>
      <w:tr w:rsidR="00FE7F8B" w14:paraId="4B94F1F4" w14:textId="77777777" w:rsidTr="00FE7F8B">
        <w:tc>
          <w:tcPr>
            <w:tcW w:w="1349" w:type="pct"/>
            <w:shd w:val="clear" w:color="auto" w:fill="F2F2F2" w:themeFill="background1" w:themeFillShade="F2"/>
            <w:hideMark/>
          </w:tcPr>
          <w:p w14:paraId="21809845" w14:textId="77777777" w:rsidR="00FE7F8B" w:rsidRDefault="00FE7F8B">
            <w:pPr>
              <w:pStyle w:val="Tabletextnoindent"/>
            </w:pPr>
            <w:r>
              <w:t>Leasehold buildings</w:t>
            </w:r>
          </w:p>
        </w:tc>
        <w:tc>
          <w:tcPr>
            <w:tcW w:w="1729" w:type="pct"/>
            <w:shd w:val="clear" w:color="auto" w:fill="F2F2F2" w:themeFill="background1" w:themeFillShade="F2"/>
            <w:hideMark/>
          </w:tcPr>
          <w:p w14:paraId="5D5E4E3B" w14:textId="77777777" w:rsidR="00FE7F8B" w:rsidRDefault="00FE7F8B">
            <w:pPr>
              <w:pStyle w:val="Tabletextnoindent"/>
            </w:pPr>
            <w:r>
              <w:t>Depreciation replacement cost</w:t>
            </w:r>
          </w:p>
        </w:tc>
        <w:tc>
          <w:tcPr>
            <w:tcW w:w="1922" w:type="pct"/>
            <w:shd w:val="clear" w:color="auto" w:fill="F2F2F2" w:themeFill="background1" w:themeFillShade="F2"/>
            <w:hideMark/>
          </w:tcPr>
          <w:p w14:paraId="05EC0BFF" w14:textId="77777777" w:rsidR="00FE7F8B" w:rsidRDefault="00FE7F8B">
            <w:pPr>
              <w:pStyle w:val="Tabletextnoindent"/>
            </w:pPr>
            <w:r>
              <w:t>Direct cost per square metre</w:t>
            </w:r>
          </w:p>
        </w:tc>
      </w:tr>
      <w:tr w:rsidR="00FE7F8B" w14:paraId="36F49011" w14:textId="77777777" w:rsidTr="00FE7F8B">
        <w:tc>
          <w:tcPr>
            <w:tcW w:w="1349" w:type="pct"/>
            <w:shd w:val="clear" w:color="auto" w:fill="F2F2F2" w:themeFill="background1" w:themeFillShade="F2"/>
          </w:tcPr>
          <w:p w14:paraId="2C12FFF3" w14:textId="77777777" w:rsidR="00FE7F8B" w:rsidRDefault="00FE7F8B">
            <w:pPr>
              <w:pStyle w:val="Tabletextnoindent"/>
            </w:pPr>
          </w:p>
        </w:tc>
        <w:tc>
          <w:tcPr>
            <w:tcW w:w="1729" w:type="pct"/>
            <w:shd w:val="clear" w:color="auto" w:fill="F2F2F2" w:themeFill="background1" w:themeFillShade="F2"/>
          </w:tcPr>
          <w:p w14:paraId="6FF1CCBD" w14:textId="77777777" w:rsidR="00FE7F8B" w:rsidRDefault="00FE7F8B">
            <w:pPr>
              <w:pStyle w:val="Tabletextnoindent"/>
            </w:pPr>
          </w:p>
        </w:tc>
        <w:tc>
          <w:tcPr>
            <w:tcW w:w="1922" w:type="pct"/>
            <w:shd w:val="clear" w:color="auto" w:fill="F2F2F2" w:themeFill="background1" w:themeFillShade="F2"/>
            <w:hideMark/>
          </w:tcPr>
          <w:p w14:paraId="2A486918" w14:textId="77777777" w:rsidR="00FE7F8B" w:rsidRDefault="00FE7F8B">
            <w:pPr>
              <w:pStyle w:val="Tabletextnoindent"/>
            </w:pPr>
            <w:r>
              <w:t>Useful life of leasehold buildings</w:t>
            </w:r>
          </w:p>
        </w:tc>
      </w:tr>
      <w:tr w:rsidR="00FE7F8B" w14:paraId="718A728B" w14:textId="77777777" w:rsidTr="00FE7F8B">
        <w:tc>
          <w:tcPr>
            <w:tcW w:w="1349" w:type="pct"/>
            <w:hideMark/>
          </w:tcPr>
          <w:p w14:paraId="5F47A78D" w14:textId="77777777" w:rsidR="00FE7F8B" w:rsidRDefault="00FE7F8B">
            <w:pPr>
              <w:pStyle w:val="Tabletextnoindent"/>
            </w:pPr>
            <w:r>
              <w:t>Leasehold improvements</w:t>
            </w:r>
          </w:p>
        </w:tc>
        <w:tc>
          <w:tcPr>
            <w:tcW w:w="1729" w:type="pct"/>
            <w:hideMark/>
          </w:tcPr>
          <w:p w14:paraId="5AF3C215" w14:textId="77777777" w:rsidR="00FE7F8B" w:rsidRDefault="00FE7F8B">
            <w:pPr>
              <w:pStyle w:val="Tabletextnoindent"/>
            </w:pPr>
            <w:r>
              <w:t>Depreciation replacement cost</w:t>
            </w:r>
          </w:p>
        </w:tc>
        <w:tc>
          <w:tcPr>
            <w:tcW w:w="1922" w:type="pct"/>
            <w:hideMark/>
          </w:tcPr>
          <w:p w14:paraId="5469951E" w14:textId="77777777" w:rsidR="00FE7F8B" w:rsidRDefault="00FE7F8B">
            <w:pPr>
              <w:pStyle w:val="Tabletextnoindent"/>
            </w:pPr>
            <w:r>
              <w:t>Direct cost per square metre</w:t>
            </w:r>
          </w:p>
        </w:tc>
      </w:tr>
      <w:tr w:rsidR="00FE7F8B" w14:paraId="37B8CD5B" w14:textId="77777777" w:rsidTr="00FE7F8B">
        <w:tc>
          <w:tcPr>
            <w:tcW w:w="1349" w:type="pct"/>
          </w:tcPr>
          <w:p w14:paraId="675925BF" w14:textId="77777777" w:rsidR="00FE7F8B" w:rsidRDefault="00FE7F8B">
            <w:pPr>
              <w:pStyle w:val="Tabletextnoindent"/>
            </w:pPr>
          </w:p>
        </w:tc>
        <w:tc>
          <w:tcPr>
            <w:tcW w:w="1729" w:type="pct"/>
          </w:tcPr>
          <w:p w14:paraId="6209F5EA" w14:textId="77777777" w:rsidR="00FE7F8B" w:rsidRDefault="00FE7F8B">
            <w:pPr>
              <w:pStyle w:val="Tabletextnoindent"/>
            </w:pPr>
          </w:p>
        </w:tc>
        <w:tc>
          <w:tcPr>
            <w:tcW w:w="1922" w:type="pct"/>
            <w:hideMark/>
          </w:tcPr>
          <w:p w14:paraId="332BF092" w14:textId="77777777" w:rsidR="00FE7F8B" w:rsidRDefault="00FE7F8B">
            <w:pPr>
              <w:pStyle w:val="Tabletextnoindent"/>
            </w:pPr>
            <w:r>
              <w:t>Useful life of leasehold buildings</w:t>
            </w:r>
          </w:p>
        </w:tc>
      </w:tr>
      <w:tr w:rsidR="00FE7F8B" w14:paraId="35E12002" w14:textId="77777777" w:rsidTr="00FE7F8B">
        <w:tc>
          <w:tcPr>
            <w:tcW w:w="1349" w:type="pct"/>
            <w:shd w:val="clear" w:color="auto" w:fill="F2F2F2" w:themeFill="background1" w:themeFillShade="F2"/>
            <w:hideMark/>
          </w:tcPr>
          <w:p w14:paraId="47AAFE5D" w14:textId="77777777" w:rsidR="00FE7F8B" w:rsidRDefault="00FE7F8B">
            <w:pPr>
              <w:pStyle w:val="Tabletextnoindent"/>
            </w:pPr>
            <w:r>
              <w:t>Plant and equipment</w:t>
            </w:r>
          </w:p>
        </w:tc>
        <w:tc>
          <w:tcPr>
            <w:tcW w:w="1729" w:type="pct"/>
            <w:shd w:val="clear" w:color="auto" w:fill="F2F2F2" w:themeFill="background1" w:themeFillShade="F2"/>
            <w:hideMark/>
          </w:tcPr>
          <w:p w14:paraId="05ED1B9E" w14:textId="77777777" w:rsidR="00FE7F8B" w:rsidRDefault="00FE7F8B">
            <w:pPr>
              <w:pStyle w:val="Tabletextnoindent"/>
            </w:pPr>
            <w:r>
              <w:t>Depreciation replacement cost</w:t>
            </w:r>
          </w:p>
        </w:tc>
        <w:tc>
          <w:tcPr>
            <w:tcW w:w="1922" w:type="pct"/>
            <w:shd w:val="clear" w:color="auto" w:fill="F2F2F2" w:themeFill="background1" w:themeFillShade="F2"/>
            <w:hideMark/>
          </w:tcPr>
          <w:p w14:paraId="74492A1A" w14:textId="77777777" w:rsidR="00FE7F8B" w:rsidRDefault="00FE7F8B">
            <w:pPr>
              <w:pStyle w:val="Tabletextnoindent"/>
            </w:pPr>
            <w:r>
              <w:t>Cost per unit</w:t>
            </w:r>
          </w:p>
        </w:tc>
      </w:tr>
      <w:tr w:rsidR="00FE7F8B" w14:paraId="6B0FF7C9" w14:textId="77777777" w:rsidTr="00FE7F8B">
        <w:tc>
          <w:tcPr>
            <w:tcW w:w="1349" w:type="pct"/>
            <w:tcBorders>
              <w:top w:val="nil"/>
              <w:left w:val="nil"/>
              <w:bottom w:val="single" w:sz="4" w:space="0" w:color="auto"/>
              <w:right w:val="nil"/>
            </w:tcBorders>
            <w:shd w:val="clear" w:color="auto" w:fill="F2F2F2" w:themeFill="background1" w:themeFillShade="F2"/>
          </w:tcPr>
          <w:p w14:paraId="1895AA3F" w14:textId="77777777" w:rsidR="00FE7F8B" w:rsidRDefault="00FE7F8B">
            <w:pPr>
              <w:pStyle w:val="Tabletextnoindent"/>
            </w:pPr>
          </w:p>
        </w:tc>
        <w:tc>
          <w:tcPr>
            <w:tcW w:w="1729" w:type="pct"/>
            <w:tcBorders>
              <w:top w:val="nil"/>
              <w:left w:val="nil"/>
              <w:bottom w:val="single" w:sz="4" w:space="0" w:color="auto"/>
              <w:right w:val="nil"/>
            </w:tcBorders>
            <w:shd w:val="clear" w:color="auto" w:fill="F2F2F2" w:themeFill="background1" w:themeFillShade="F2"/>
          </w:tcPr>
          <w:p w14:paraId="40B0EB3C" w14:textId="77777777" w:rsidR="00FE7F8B" w:rsidRDefault="00FE7F8B">
            <w:pPr>
              <w:pStyle w:val="Tabletextnoindent"/>
            </w:pPr>
          </w:p>
        </w:tc>
        <w:tc>
          <w:tcPr>
            <w:tcW w:w="1922" w:type="pct"/>
            <w:tcBorders>
              <w:top w:val="nil"/>
              <w:left w:val="nil"/>
              <w:bottom w:val="single" w:sz="4" w:space="0" w:color="auto"/>
              <w:right w:val="nil"/>
            </w:tcBorders>
            <w:shd w:val="clear" w:color="auto" w:fill="F2F2F2" w:themeFill="background1" w:themeFillShade="F2"/>
            <w:hideMark/>
          </w:tcPr>
          <w:p w14:paraId="5E3D270D" w14:textId="77777777" w:rsidR="00FE7F8B" w:rsidRDefault="00FE7F8B">
            <w:pPr>
              <w:pStyle w:val="Tabletextnoindent"/>
            </w:pPr>
            <w:r>
              <w:t>Useful life of plant and equipment</w:t>
            </w:r>
          </w:p>
        </w:tc>
      </w:tr>
    </w:tbl>
    <w:p w14:paraId="5EA1C098" w14:textId="77777777" w:rsidR="00FE7F8B" w:rsidRDefault="00FE7F8B" w:rsidP="00FE7F8B">
      <w:pPr>
        <w:pStyle w:val="Normalaftertable"/>
      </w:pPr>
      <w:r>
        <w:t>The significant unobservable inputs have remained unchanged from 2015.</w:t>
      </w:r>
    </w:p>
    <w:p w14:paraId="7E667AAE" w14:textId="77777777" w:rsidR="00FE7F8B" w:rsidRDefault="00FE7F8B" w:rsidP="00FE7F8B">
      <w:pPr>
        <w:pStyle w:val="Tabletextnoindent"/>
      </w:pPr>
    </w:p>
    <w:p w14:paraId="3C7D61E4" w14:textId="77777777" w:rsidR="00FE7F8B" w:rsidRDefault="00FE7F8B" w:rsidP="00FE7F8B">
      <w:r>
        <w:br w:type="page"/>
      </w:r>
      <w:bookmarkStart w:id="93" w:name="_Toc399491069"/>
    </w:p>
    <w:p w14:paraId="31214B42" w14:textId="77777777" w:rsidR="00FE7F8B" w:rsidRDefault="00FE7F8B" w:rsidP="00AD641C">
      <w:pPr>
        <w:pStyle w:val="Heading2notes"/>
        <w:numPr>
          <w:ilvl w:val="0"/>
          <w:numId w:val="39"/>
        </w:numPr>
      </w:pPr>
      <w:bookmarkStart w:id="94" w:name="_Toc461176301"/>
      <w:r>
        <w:t>Payables</w:t>
      </w:r>
      <w:bookmarkEnd w:id="93"/>
      <w:bookmarkEnd w:id="94"/>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53"/>
        <w:gridCol w:w="279"/>
        <w:gridCol w:w="993"/>
        <w:gridCol w:w="855"/>
      </w:tblGrid>
      <w:tr w:rsidR="00FE7F8B" w14:paraId="0132678A" w14:textId="77777777" w:rsidTr="00FE7F8B">
        <w:tc>
          <w:tcPr>
            <w:tcW w:w="5529" w:type="dxa"/>
            <w:gridSpan w:val="2"/>
            <w:tcBorders>
              <w:top w:val="nil"/>
              <w:left w:val="nil"/>
              <w:bottom w:val="nil"/>
              <w:right w:val="nil"/>
            </w:tcBorders>
            <w:shd w:val="clear" w:color="auto" w:fill="7F7F7F" w:themeFill="text1" w:themeFillTint="80"/>
            <w:vAlign w:val="center"/>
          </w:tcPr>
          <w:p w14:paraId="6550FE3D"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center"/>
            <w:hideMark/>
          </w:tcPr>
          <w:p w14:paraId="6F364D23" w14:textId="77777777" w:rsidR="00FE7F8B" w:rsidRDefault="00FE7F8B">
            <w:pPr>
              <w:pStyle w:val="Tablecolumnheading"/>
              <w:jc w:val="center"/>
              <w:rPr>
                <w:lang w:eastAsia="en-AU"/>
              </w:rPr>
            </w:pPr>
            <w:r>
              <w:rPr>
                <w:lang w:eastAsia="en-AU"/>
              </w:rPr>
              <w:t>2016</w:t>
            </w:r>
            <w:r>
              <w:rPr>
                <w:lang w:eastAsia="en-AU"/>
              </w:rPr>
              <w:br/>
              <w:t>$m</w:t>
            </w:r>
          </w:p>
        </w:tc>
        <w:tc>
          <w:tcPr>
            <w:tcW w:w="855" w:type="dxa"/>
            <w:tcBorders>
              <w:top w:val="nil"/>
              <w:left w:val="nil"/>
              <w:bottom w:val="nil"/>
              <w:right w:val="nil"/>
            </w:tcBorders>
            <w:shd w:val="clear" w:color="auto" w:fill="7F7F7F" w:themeFill="text1" w:themeFillTint="80"/>
            <w:vAlign w:val="center"/>
            <w:hideMark/>
          </w:tcPr>
          <w:p w14:paraId="113A35E6" w14:textId="77777777" w:rsidR="00FE7F8B" w:rsidRDefault="00FE7F8B">
            <w:pPr>
              <w:pStyle w:val="Tablecolumnheading"/>
              <w:jc w:val="center"/>
              <w:rPr>
                <w:lang w:eastAsia="en-AU"/>
              </w:rPr>
            </w:pPr>
            <w:r>
              <w:rPr>
                <w:lang w:eastAsia="en-AU"/>
              </w:rPr>
              <w:t>2015</w:t>
            </w:r>
            <w:r>
              <w:rPr>
                <w:lang w:eastAsia="en-AU"/>
              </w:rPr>
              <w:br/>
              <w:t>$m</w:t>
            </w:r>
          </w:p>
        </w:tc>
      </w:tr>
      <w:tr w:rsidR="00FE7F8B" w14:paraId="1CFC4D46" w14:textId="77777777" w:rsidTr="00FE7F8B">
        <w:tc>
          <w:tcPr>
            <w:tcW w:w="5250" w:type="dxa"/>
            <w:tcBorders>
              <w:top w:val="nil"/>
              <w:left w:val="nil"/>
              <w:bottom w:val="nil"/>
              <w:right w:val="nil"/>
            </w:tcBorders>
            <w:vAlign w:val="bottom"/>
            <w:hideMark/>
          </w:tcPr>
          <w:p w14:paraId="05BAC857" w14:textId="77777777" w:rsidR="00FE7F8B" w:rsidRDefault="00FE7F8B">
            <w:pPr>
              <w:pStyle w:val="Tabletextnoindent"/>
              <w:rPr>
                <w:b/>
              </w:rPr>
            </w:pPr>
            <w:r>
              <w:rPr>
                <w:b/>
              </w:rPr>
              <w:t>Current payables</w:t>
            </w:r>
          </w:p>
        </w:tc>
        <w:tc>
          <w:tcPr>
            <w:tcW w:w="1271" w:type="dxa"/>
            <w:gridSpan w:val="2"/>
            <w:tcBorders>
              <w:top w:val="nil"/>
              <w:left w:val="nil"/>
              <w:bottom w:val="nil"/>
              <w:right w:val="nil"/>
            </w:tcBorders>
            <w:shd w:val="clear" w:color="auto" w:fill="F2F2F2" w:themeFill="background1" w:themeFillShade="F2"/>
            <w:vAlign w:val="bottom"/>
          </w:tcPr>
          <w:p w14:paraId="69A475B7" w14:textId="77777777" w:rsidR="00FE7F8B" w:rsidRDefault="00FE7F8B">
            <w:pPr>
              <w:pStyle w:val="TableTextFinancial"/>
              <w:jc w:val="right"/>
              <w:rPr>
                <w:b/>
              </w:rPr>
            </w:pPr>
          </w:p>
        </w:tc>
        <w:tc>
          <w:tcPr>
            <w:tcW w:w="855" w:type="dxa"/>
            <w:tcBorders>
              <w:top w:val="nil"/>
              <w:left w:val="nil"/>
              <w:bottom w:val="nil"/>
              <w:right w:val="nil"/>
            </w:tcBorders>
            <w:vAlign w:val="bottom"/>
          </w:tcPr>
          <w:p w14:paraId="6544D716" w14:textId="77777777" w:rsidR="00FE7F8B" w:rsidRDefault="00FE7F8B">
            <w:pPr>
              <w:pStyle w:val="TableTextFinancial"/>
              <w:jc w:val="right"/>
            </w:pPr>
          </w:p>
        </w:tc>
      </w:tr>
      <w:tr w:rsidR="00FE7F8B" w14:paraId="11C696D9" w14:textId="77777777" w:rsidTr="00FE7F8B">
        <w:tc>
          <w:tcPr>
            <w:tcW w:w="5250" w:type="dxa"/>
            <w:tcBorders>
              <w:top w:val="nil"/>
              <w:left w:val="nil"/>
              <w:bottom w:val="nil"/>
              <w:right w:val="nil"/>
            </w:tcBorders>
            <w:vAlign w:val="bottom"/>
            <w:hideMark/>
          </w:tcPr>
          <w:p w14:paraId="162D2796" w14:textId="77777777" w:rsidR="00FE7F8B" w:rsidRDefault="00FE7F8B">
            <w:pPr>
              <w:pStyle w:val="Tabletextnoindent"/>
              <w:rPr>
                <w:b/>
              </w:rPr>
            </w:pPr>
            <w:r>
              <w:rPr>
                <w:b/>
              </w:rPr>
              <w:t>Contractual</w:t>
            </w:r>
          </w:p>
        </w:tc>
        <w:tc>
          <w:tcPr>
            <w:tcW w:w="1271" w:type="dxa"/>
            <w:gridSpan w:val="2"/>
            <w:tcBorders>
              <w:top w:val="nil"/>
              <w:left w:val="nil"/>
              <w:bottom w:val="nil"/>
              <w:right w:val="nil"/>
            </w:tcBorders>
            <w:shd w:val="clear" w:color="auto" w:fill="F2F2F2" w:themeFill="background1" w:themeFillShade="F2"/>
            <w:vAlign w:val="bottom"/>
          </w:tcPr>
          <w:p w14:paraId="5D545EF6" w14:textId="77777777" w:rsidR="00FE7F8B" w:rsidRDefault="00FE7F8B">
            <w:pPr>
              <w:pStyle w:val="TableTextFinancial"/>
              <w:jc w:val="right"/>
              <w:rPr>
                <w:b/>
              </w:rPr>
            </w:pPr>
          </w:p>
        </w:tc>
        <w:tc>
          <w:tcPr>
            <w:tcW w:w="855" w:type="dxa"/>
            <w:tcBorders>
              <w:top w:val="nil"/>
              <w:left w:val="nil"/>
              <w:bottom w:val="nil"/>
              <w:right w:val="nil"/>
            </w:tcBorders>
            <w:vAlign w:val="bottom"/>
          </w:tcPr>
          <w:p w14:paraId="08CBE96C" w14:textId="77777777" w:rsidR="00FE7F8B" w:rsidRDefault="00FE7F8B">
            <w:pPr>
              <w:pStyle w:val="TableTextFinancial"/>
              <w:jc w:val="right"/>
            </w:pPr>
          </w:p>
        </w:tc>
      </w:tr>
      <w:tr w:rsidR="00FE7F8B" w14:paraId="20AD44D3" w14:textId="77777777" w:rsidTr="00FE7F8B">
        <w:tc>
          <w:tcPr>
            <w:tcW w:w="5250" w:type="dxa"/>
            <w:tcBorders>
              <w:top w:val="nil"/>
              <w:left w:val="nil"/>
              <w:bottom w:val="nil"/>
              <w:right w:val="nil"/>
            </w:tcBorders>
            <w:vAlign w:val="bottom"/>
            <w:hideMark/>
          </w:tcPr>
          <w:p w14:paraId="0A95C8AB" w14:textId="77777777" w:rsidR="00FE7F8B" w:rsidRDefault="00FE7F8B">
            <w:pPr>
              <w:pStyle w:val="Tabletextnoindent"/>
            </w:pPr>
            <w:r>
              <w:t>Salaries, wages and on-costs</w:t>
            </w:r>
          </w:p>
        </w:tc>
        <w:tc>
          <w:tcPr>
            <w:tcW w:w="1271" w:type="dxa"/>
            <w:gridSpan w:val="2"/>
            <w:tcBorders>
              <w:top w:val="nil"/>
              <w:left w:val="nil"/>
              <w:bottom w:val="nil"/>
              <w:right w:val="nil"/>
            </w:tcBorders>
            <w:shd w:val="clear" w:color="auto" w:fill="F2F2F2" w:themeFill="background1" w:themeFillShade="F2"/>
            <w:vAlign w:val="bottom"/>
            <w:hideMark/>
          </w:tcPr>
          <w:p w14:paraId="2F4006B0" w14:textId="77777777" w:rsidR="00FE7F8B" w:rsidRDefault="00FE7F8B">
            <w:pPr>
              <w:pStyle w:val="TableTextFinancial"/>
              <w:jc w:val="right"/>
              <w:rPr>
                <w:b/>
              </w:rPr>
            </w:pPr>
            <w:r>
              <w:rPr>
                <w:b/>
              </w:rPr>
              <w:t>97.9</w:t>
            </w:r>
          </w:p>
        </w:tc>
        <w:tc>
          <w:tcPr>
            <w:tcW w:w="855" w:type="dxa"/>
            <w:tcBorders>
              <w:top w:val="nil"/>
              <w:left w:val="nil"/>
              <w:bottom w:val="nil"/>
              <w:right w:val="nil"/>
            </w:tcBorders>
            <w:vAlign w:val="bottom"/>
            <w:hideMark/>
          </w:tcPr>
          <w:p w14:paraId="464D5B1D" w14:textId="77777777" w:rsidR="00FE7F8B" w:rsidRDefault="00FE7F8B">
            <w:pPr>
              <w:pStyle w:val="TableTextFinancial"/>
              <w:jc w:val="right"/>
            </w:pPr>
            <w:r>
              <w:t>66.4</w:t>
            </w:r>
          </w:p>
        </w:tc>
      </w:tr>
      <w:tr w:rsidR="00FE7F8B" w14:paraId="0FFB010D" w14:textId="77777777" w:rsidTr="00FE7F8B">
        <w:tc>
          <w:tcPr>
            <w:tcW w:w="5250" w:type="dxa"/>
            <w:tcBorders>
              <w:top w:val="nil"/>
              <w:left w:val="nil"/>
              <w:bottom w:val="nil"/>
              <w:right w:val="nil"/>
            </w:tcBorders>
            <w:vAlign w:val="bottom"/>
            <w:hideMark/>
          </w:tcPr>
          <w:p w14:paraId="32360B99" w14:textId="77777777" w:rsidR="00FE7F8B" w:rsidRDefault="00FE7F8B">
            <w:pPr>
              <w:pStyle w:val="Tabletextnoindent"/>
            </w:pPr>
            <w:r>
              <w:t>Accrued grants and transfer payments</w:t>
            </w:r>
          </w:p>
        </w:tc>
        <w:tc>
          <w:tcPr>
            <w:tcW w:w="1271" w:type="dxa"/>
            <w:gridSpan w:val="2"/>
            <w:tcBorders>
              <w:top w:val="nil"/>
              <w:left w:val="nil"/>
              <w:bottom w:val="nil"/>
              <w:right w:val="nil"/>
            </w:tcBorders>
            <w:shd w:val="clear" w:color="auto" w:fill="F2F2F2" w:themeFill="background1" w:themeFillShade="F2"/>
            <w:vAlign w:val="bottom"/>
            <w:hideMark/>
          </w:tcPr>
          <w:p w14:paraId="5E67C838" w14:textId="77777777" w:rsidR="00FE7F8B" w:rsidRDefault="00FE7F8B">
            <w:pPr>
              <w:pStyle w:val="TableTextFinancial"/>
              <w:jc w:val="right"/>
              <w:rPr>
                <w:b/>
              </w:rPr>
            </w:pPr>
            <w:r>
              <w:rPr>
                <w:b/>
              </w:rPr>
              <w:t>43.9</w:t>
            </w:r>
          </w:p>
        </w:tc>
        <w:tc>
          <w:tcPr>
            <w:tcW w:w="855" w:type="dxa"/>
            <w:tcBorders>
              <w:top w:val="nil"/>
              <w:left w:val="nil"/>
              <w:bottom w:val="nil"/>
              <w:right w:val="nil"/>
            </w:tcBorders>
            <w:vAlign w:val="bottom"/>
            <w:hideMark/>
          </w:tcPr>
          <w:p w14:paraId="4E78EBCD" w14:textId="77777777" w:rsidR="00FE7F8B" w:rsidRDefault="00FE7F8B">
            <w:pPr>
              <w:pStyle w:val="TableTextFinancial"/>
              <w:jc w:val="right"/>
            </w:pPr>
            <w:r>
              <w:t>38.8</w:t>
            </w:r>
          </w:p>
        </w:tc>
      </w:tr>
      <w:tr w:rsidR="00FE7F8B" w14:paraId="653B2C7F" w14:textId="77777777" w:rsidTr="00FE7F8B">
        <w:tc>
          <w:tcPr>
            <w:tcW w:w="5250" w:type="dxa"/>
            <w:tcBorders>
              <w:top w:val="nil"/>
              <w:left w:val="nil"/>
              <w:bottom w:val="nil"/>
              <w:right w:val="nil"/>
            </w:tcBorders>
            <w:vAlign w:val="bottom"/>
            <w:hideMark/>
          </w:tcPr>
          <w:p w14:paraId="2B640094" w14:textId="77777777" w:rsidR="00FE7F8B" w:rsidRDefault="00FE7F8B">
            <w:pPr>
              <w:pStyle w:val="Tabletextnoindent"/>
            </w:pPr>
            <w:r>
              <w:t>Other accruals</w:t>
            </w:r>
          </w:p>
        </w:tc>
        <w:tc>
          <w:tcPr>
            <w:tcW w:w="1271" w:type="dxa"/>
            <w:gridSpan w:val="2"/>
            <w:tcBorders>
              <w:top w:val="nil"/>
              <w:left w:val="nil"/>
              <w:bottom w:val="nil"/>
              <w:right w:val="nil"/>
            </w:tcBorders>
            <w:shd w:val="clear" w:color="auto" w:fill="F2F2F2" w:themeFill="background1" w:themeFillShade="F2"/>
            <w:vAlign w:val="bottom"/>
            <w:hideMark/>
          </w:tcPr>
          <w:p w14:paraId="3676F1BA" w14:textId="77777777" w:rsidR="00FE7F8B" w:rsidRDefault="00FE7F8B">
            <w:pPr>
              <w:pStyle w:val="TableTextFinancial"/>
              <w:jc w:val="right"/>
              <w:rPr>
                <w:b/>
              </w:rPr>
            </w:pPr>
            <w:r>
              <w:rPr>
                <w:b/>
              </w:rPr>
              <w:t>8.7</w:t>
            </w:r>
          </w:p>
        </w:tc>
        <w:tc>
          <w:tcPr>
            <w:tcW w:w="855" w:type="dxa"/>
            <w:tcBorders>
              <w:top w:val="nil"/>
              <w:left w:val="nil"/>
              <w:bottom w:val="nil"/>
              <w:right w:val="nil"/>
            </w:tcBorders>
            <w:vAlign w:val="bottom"/>
            <w:hideMark/>
          </w:tcPr>
          <w:p w14:paraId="0C243CBF" w14:textId="77777777" w:rsidR="00FE7F8B" w:rsidRDefault="00FE7F8B">
            <w:pPr>
              <w:pStyle w:val="TableTextFinancial"/>
              <w:jc w:val="right"/>
            </w:pPr>
            <w:r>
              <w:t>7.4</w:t>
            </w:r>
          </w:p>
        </w:tc>
      </w:tr>
      <w:tr w:rsidR="00FE7F8B" w14:paraId="477C8948" w14:textId="77777777" w:rsidTr="00FE7F8B">
        <w:tc>
          <w:tcPr>
            <w:tcW w:w="5250" w:type="dxa"/>
            <w:tcBorders>
              <w:top w:val="nil"/>
              <w:left w:val="nil"/>
              <w:bottom w:val="nil"/>
              <w:right w:val="nil"/>
            </w:tcBorders>
            <w:vAlign w:val="bottom"/>
            <w:hideMark/>
          </w:tcPr>
          <w:p w14:paraId="2A26FE6C" w14:textId="77777777" w:rsidR="00FE7F8B" w:rsidRDefault="00FE7F8B">
            <w:pPr>
              <w:pStyle w:val="Tabletextnoindent"/>
            </w:pPr>
            <w:r>
              <w:t>Schools creditors</w:t>
            </w:r>
          </w:p>
        </w:tc>
        <w:tc>
          <w:tcPr>
            <w:tcW w:w="1271" w:type="dxa"/>
            <w:gridSpan w:val="2"/>
            <w:tcBorders>
              <w:top w:val="nil"/>
              <w:left w:val="nil"/>
              <w:bottom w:val="nil"/>
              <w:right w:val="nil"/>
            </w:tcBorders>
            <w:shd w:val="clear" w:color="auto" w:fill="F2F2F2" w:themeFill="background1" w:themeFillShade="F2"/>
            <w:vAlign w:val="bottom"/>
            <w:hideMark/>
          </w:tcPr>
          <w:p w14:paraId="34FB397F" w14:textId="77777777" w:rsidR="00FE7F8B" w:rsidRDefault="00FE7F8B">
            <w:pPr>
              <w:pStyle w:val="TableTextFinancial"/>
              <w:jc w:val="right"/>
              <w:rPr>
                <w:b/>
              </w:rPr>
            </w:pPr>
            <w:r>
              <w:rPr>
                <w:b/>
              </w:rPr>
              <w:t>12.1</w:t>
            </w:r>
          </w:p>
        </w:tc>
        <w:tc>
          <w:tcPr>
            <w:tcW w:w="855" w:type="dxa"/>
            <w:tcBorders>
              <w:top w:val="nil"/>
              <w:left w:val="nil"/>
              <w:bottom w:val="nil"/>
              <w:right w:val="nil"/>
            </w:tcBorders>
            <w:vAlign w:val="bottom"/>
            <w:hideMark/>
          </w:tcPr>
          <w:p w14:paraId="24D982D2" w14:textId="77777777" w:rsidR="00FE7F8B" w:rsidRDefault="00FE7F8B">
            <w:pPr>
              <w:pStyle w:val="TableTextFinancial"/>
              <w:jc w:val="right"/>
            </w:pPr>
            <w:r>
              <w:t>10.8</w:t>
            </w:r>
          </w:p>
        </w:tc>
      </w:tr>
      <w:tr w:rsidR="00FE7F8B" w14:paraId="4A24049E" w14:textId="77777777" w:rsidTr="00FE7F8B">
        <w:tc>
          <w:tcPr>
            <w:tcW w:w="5250" w:type="dxa"/>
            <w:tcBorders>
              <w:top w:val="nil"/>
              <w:left w:val="nil"/>
              <w:bottom w:val="nil"/>
              <w:right w:val="nil"/>
            </w:tcBorders>
            <w:vAlign w:val="bottom"/>
            <w:hideMark/>
          </w:tcPr>
          <w:p w14:paraId="0FAB6494" w14:textId="77777777" w:rsidR="00FE7F8B" w:rsidRDefault="00FE7F8B">
            <w:pPr>
              <w:pStyle w:val="Tabletextnoindent"/>
            </w:pPr>
            <w:r>
              <w:t>Capital expenditure</w:t>
            </w:r>
          </w:p>
        </w:tc>
        <w:tc>
          <w:tcPr>
            <w:tcW w:w="1271" w:type="dxa"/>
            <w:gridSpan w:val="2"/>
            <w:tcBorders>
              <w:top w:val="nil"/>
              <w:left w:val="nil"/>
              <w:bottom w:val="nil"/>
              <w:right w:val="nil"/>
            </w:tcBorders>
            <w:shd w:val="clear" w:color="auto" w:fill="F2F2F2" w:themeFill="background1" w:themeFillShade="F2"/>
            <w:vAlign w:val="bottom"/>
            <w:hideMark/>
          </w:tcPr>
          <w:p w14:paraId="3D3E37F0" w14:textId="77777777" w:rsidR="00FE7F8B" w:rsidRDefault="00FE7F8B">
            <w:pPr>
              <w:pStyle w:val="TableTextFinancial"/>
              <w:jc w:val="right"/>
              <w:rPr>
                <w:b/>
              </w:rPr>
            </w:pPr>
            <w:r>
              <w:rPr>
                <w:b/>
              </w:rPr>
              <w:t>41.0</w:t>
            </w:r>
          </w:p>
        </w:tc>
        <w:tc>
          <w:tcPr>
            <w:tcW w:w="855" w:type="dxa"/>
            <w:tcBorders>
              <w:top w:val="nil"/>
              <w:left w:val="nil"/>
              <w:bottom w:val="nil"/>
              <w:right w:val="nil"/>
            </w:tcBorders>
            <w:vAlign w:val="bottom"/>
            <w:hideMark/>
          </w:tcPr>
          <w:p w14:paraId="16F4D88B" w14:textId="77777777" w:rsidR="00FE7F8B" w:rsidRDefault="00FE7F8B">
            <w:pPr>
              <w:pStyle w:val="TableTextFinancial"/>
              <w:jc w:val="right"/>
            </w:pPr>
            <w:r>
              <w:t>13.0</w:t>
            </w:r>
          </w:p>
        </w:tc>
      </w:tr>
      <w:tr w:rsidR="00FE7F8B" w14:paraId="1249A0DD" w14:textId="77777777" w:rsidTr="00FE7F8B">
        <w:tc>
          <w:tcPr>
            <w:tcW w:w="5250" w:type="dxa"/>
            <w:tcBorders>
              <w:top w:val="nil"/>
              <w:left w:val="nil"/>
              <w:bottom w:val="single" w:sz="4" w:space="0" w:color="auto"/>
              <w:right w:val="nil"/>
            </w:tcBorders>
            <w:vAlign w:val="bottom"/>
            <w:hideMark/>
          </w:tcPr>
          <w:p w14:paraId="62D1FD1C" w14:textId="77777777" w:rsidR="00FE7F8B" w:rsidRDefault="00FE7F8B">
            <w:pPr>
              <w:pStyle w:val="Tabletextnoindent"/>
            </w:pPr>
            <w:r>
              <w:t>Operating expenditure</w:t>
            </w:r>
          </w:p>
        </w:tc>
        <w:tc>
          <w:tcPr>
            <w:tcW w:w="1271" w:type="dxa"/>
            <w:gridSpan w:val="2"/>
            <w:tcBorders>
              <w:top w:val="nil"/>
              <w:left w:val="nil"/>
              <w:bottom w:val="single" w:sz="4" w:space="0" w:color="auto"/>
              <w:right w:val="nil"/>
            </w:tcBorders>
            <w:shd w:val="clear" w:color="auto" w:fill="F2F2F2" w:themeFill="background1" w:themeFillShade="F2"/>
            <w:vAlign w:val="bottom"/>
            <w:hideMark/>
          </w:tcPr>
          <w:p w14:paraId="2CE8019A" w14:textId="77777777" w:rsidR="00FE7F8B" w:rsidRDefault="00FE7F8B">
            <w:pPr>
              <w:pStyle w:val="TableTextFinancial"/>
              <w:jc w:val="right"/>
              <w:rPr>
                <w:b/>
              </w:rPr>
            </w:pPr>
            <w:r>
              <w:rPr>
                <w:b/>
              </w:rPr>
              <w:t>190.1</w:t>
            </w:r>
          </w:p>
        </w:tc>
        <w:tc>
          <w:tcPr>
            <w:tcW w:w="855" w:type="dxa"/>
            <w:tcBorders>
              <w:top w:val="nil"/>
              <w:left w:val="nil"/>
              <w:bottom w:val="single" w:sz="4" w:space="0" w:color="auto"/>
              <w:right w:val="nil"/>
            </w:tcBorders>
            <w:vAlign w:val="bottom"/>
            <w:hideMark/>
          </w:tcPr>
          <w:p w14:paraId="5B923009" w14:textId="77777777" w:rsidR="00FE7F8B" w:rsidRDefault="00FE7F8B">
            <w:pPr>
              <w:pStyle w:val="TableTextFinancial"/>
              <w:jc w:val="right"/>
            </w:pPr>
            <w:r>
              <w:t>159.6</w:t>
            </w:r>
          </w:p>
        </w:tc>
      </w:tr>
      <w:tr w:rsidR="00FE7F8B" w14:paraId="79B97F7C" w14:textId="77777777" w:rsidTr="00FE7F8B">
        <w:tc>
          <w:tcPr>
            <w:tcW w:w="5250" w:type="dxa"/>
            <w:tcBorders>
              <w:top w:val="single" w:sz="4" w:space="0" w:color="auto"/>
              <w:left w:val="nil"/>
              <w:bottom w:val="single" w:sz="4" w:space="0" w:color="auto"/>
              <w:right w:val="nil"/>
            </w:tcBorders>
            <w:vAlign w:val="bottom"/>
            <w:hideMark/>
          </w:tcPr>
          <w:p w14:paraId="2DACFEBA" w14:textId="77777777" w:rsidR="00FE7F8B" w:rsidRDefault="00FE7F8B">
            <w:pPr>
              <w:pStyle w:val="Tabletextnoindent"/>
              <w:rPr>
                <w:b/>
              </w:rPr>
            </w:pPr>
            <w:r>
              <w:rPr>
                <w:b/>
              </w:rPr>
              <w:t>Total</w:t>
            </w:r>
          </w:p>
        </w:tc>
        <w:tc>
          <w:tcPr>
            <w:tcW w:w="1271" w:type="dxa"/>
            <w:gridSpan w:val="2"/>
            <w:tcBorders>
              <w:top w:val="single" w:sz="4" w:space="0" w:color="auto"/>
              <w:left w:val="nil"/>
              <w:bottom w:val="single" w:sz="4" w:space="0" w:color="auto"/>
              <w:right w:val="nil"/>
            </w:tcBorders>
            <w:shd w:val="clear" w:color="auto" w:fill="F2F2F2" w:themeFill="background1" w:themeFillShade="F2"/>
            <w:vAlign w:val="bottom"/>
            <w:hideMark/>
          </w:tcPr>
          <w:p w14:paraId="60B4E123" w14:textId="77777777" w:rsidR="00FE7F8B" w:rsidRDefault="00FE7F8B">
            <w:pPr>
              <w:pStyle w:val="TableTextFinancial"/>
              <w:jc w:val="right"/>
              <w:rPr>
                <w:b/>
              </w:rPr>
            </w:pPr>
            <w:r>
              <w:rPr>
                <w:b/>
              </w:rPr>
              <w:t>393.8</w:t>
            </w:r>
          </w:p>
        </w:tc>
        <w:tc>
          <w:tcPr>
            <w:tcW w:w="855" w:type="dxa"/>
            <w:tcBorders>
              <w:top w:val="single" w:sz="4" w:space="0" w:color="auto"/>
              <w:left w:val="nil"/>
              <w:bottom w:val="single" w:sz="4" w:space="0" w:color="auto"/>
              <w:right w:val="nil"/>
            </w:tcBorders>
            <w:vAlign w:val="bottom"/>
            <w:hideMark/>
          </w:tcPr>
          <w:p w14:paraId="162DE511" w14:textId="77777777" w:rsidR="00FE7F8B" w:rsidRDefault="00FE7F8B">
            <w:pPr>
              <w:pStyle w:val="TableTextFinancial"/>
              <w:jc w:val="right"/>
            </w:pPr>
            <w:r>
              <w:t>296.1</w:t>
            </w:r>
          </w:p>
        </w:tc>
      </w:tr>
      <w:tr w:rsidR="00FE7F8B" w14:paraId="4DD30B19" w14:textId="77777777" w:rsidTr="00FE7F8B">
        <w:tc>
          <w:tcPr>
            <w:tcW w:w="5250" w:type="dxa"/>
            <w:tcBorders>
              <w:top w:val="nil"/>
              <w:left w:val="nil"/>
              <w:bottom w:val="nil"/>
              <w:right w:val="nil"/>
            </w:tcBorders>
            <w:vAlign w:val="bottom"/>
          </w:tcPr>
          <w:p w14:paraId="5C5CAEBB" w14:textId="77777777" w:rsidR="00FE7F8B" w:rsidRDefault="00FE7F8B">
            <w:pPr>
              <w:pStyle w:val="Tabletextnoindent"/>
              <w:rPr>
                <w:b/>
              </w:rPr>
            </w:pPr>
          </w:p>
        </w:tc>
        <w:tc>
          <w:tcPr>
            <w:tcW w:w="1271" w:type="dxa"/>
            <w:gridSpan w:val="2"/>
            <w:tcBorders>
              <w:top w:val="nil"/>
              <w:left w:val="nil"/>
              <w:bottom w:val="nil"/>
              <w:right w:val="nil"/>
            </w:tcBorders>
            <w:shd w:val="clear" w:color="auto" w:fill="F2F2F2" w:themeFill="background1" w:themeFillShade="F2"/>
            <w:vAlign w:val="bottom"/>
          </w:tcPr>
          <w:p w14:paraId="6AA83158" w14:textId="77777777" w:rsidR="00FE7F8B" w:rsidRDefault="00FE7F8B">
            <w:pPr>
              <w:pStyle w:val="TableTextFinancial"/>
              <w:jc w:val="right"/>
              <w:rPr>
                <w:b/>
              </w:rPr>
            </w:pPr>
          </w:p>
        </w:tc>
        <w:tc>
          <w:tcPr>
            <w:tcW w:w="855" w:type="dxa"/>
            <w:tcBorders>
              <w:top w:val="nil"/>
              <w:left w:val="nil"/>
              <w:bottom w:val="nil"/>
              <w:right w:val="nil"/>
            </w:tcBorders>
            <w:vAlign w:val="bottom"/>
          </w:tcPr>
          <w:p w14:paraId="5179EF02" w14:textId="77777777" w:rsidR="00FE7F8B" w:rsidRDefault="00FE7F8B">
            <w:pPr>
              <w:pStyle w:val="TableTextFinancial"/>
              <w:jc w:val="right"/>
            </w:pPr>
          </w:p>
        </w:tc>
      </w:tr>
      <w:tr w:rsidR="00FE7F8B" w14:paraId="2DA0416C" w14:textId="77777777" w:rsidTr="00FE7F8B">
        <w:tc>
          <w:tcPr>
            <w:tcW w:w="5250" w:type="dxa"/>
            <w:tcBorders>
              <w:top w:val="nil"/>
              <w:left w:val="nil"/>
              <w:bottom w:val="nil"/>
              <w:right w:val="nil"/>
            </w:tcBorders>
            <w:vAlign w:val="bottom"/>
            <w:hideMark/>
          </w:tcPr>
          <w:p w14:paraId="345DA316" w14:textId="77777777" w:rsidR="00FE7F8B" w:rsidRDefault="00FE7F8B">
            <w:pPr>
              <w:pStyle w:val="Tabletextnoindent"/>
              <w:rPr>
                <w:b/>
              </w:rPr>
            </w:pPr>
            <w:r>
              <w:rPr>
                <w:b/>
              </w:rPr>
              <w:t>Statutory</w:t>
            </w:r>
          </w:p>
        </w:tc>
        <w:tc>
          <w:tcPr>
            <w:tcW w:w="1271" w:type="dxa"/>
            <w:gridSpan w:val="2"/>
            <w:tcBorders>
              <w:top w:val="nil"/>
              <w:left w:val="nil"/>
              <w:bottom w:val="nil"/>
              <w:right w:val="nil"/>
            </w:tcBorders>
            <w:shd w:val="clear" w:color="auto" w:fill="F2F2F2" w:themeFill="background1" w:themeFillShade="F2"/>
            <w:vAlign w:val="bottom"/>
          </w:tcPr>
          <w:p w14:paraId="07465724" w14:textId="77777777" w:rsidR="00FE7F8B" w:rsidRDefault="00FE7F8B">
            <w:pPr>
              <w:pStyle w:val="TableTextFinancial"/>
              <w:jc w:val="right"/>
              <w:rPr>
                <w:b/>
              </w:rPr>
            </w:pPr>
          </w:p>
        </w:tc>
        <w:tc>
          <w:tcPr>
            <w:tcW w:w="855" w:type="dxa"/>
            <w:tcBorders>
              <w:top w:val="nil"/>
              <w:left w:val="nil"/>
              <w:bottom w:val="nil"/>
              <w:right w:val="nil"/>
            </w:tcBorders>
            <w:vAlign w:val="bottom"/>
          </w:tcPr>
          <w:p w14:paraId="3089B2E1" w14:textId="77777777" w:rsidR="00FE7F8B" w:rsidRDefault="00FE7F8B">
            <w:pPr>
              <w:pStyle w:val="TableTextFinancial"/>
              <w:jc w:val="right"/>
            </w:pPr>
          </w:p>
        </w:tc>
      </w:tr>
      <w:tr w:rsidR="00FE7F8B" w14:paraId="79A1FD2D" w14:textId="77777777" w:rsidTr="00FE7F8B">
        <w:tc>
          <w:tcPr>
            <w:tcW w:w="5250" w:type="dxa"/>
            <w:tcBorders>
              <w:top w:val="nil"/>
              <w:left w:val="nil"/>
              <w:bottom w:val="nil"/>
              <w:right w:val="nil"/>
            </w:tcBorders>
            <w:vAlign w:val="bottom"/>
            <w:hideMark/>
          </w:tcPr>
          <w:p w14:paraId="77FAA459" w14:textId="77777777" w:rsidR="00FE7F8B" w:rsidRDefault="00FE7F8B">
            <w:pPr>
              <w:pStyle w:val="Tabletextnoindent"/>
            </w:pPr>
            <w:r>
              <w:t>Taxes payable</w:t>
            </w:r>
          </w:p>
        </w:tc>
        <w:tc>
          <w:tcPr>
            <w:tcW w:w="1271" w:type="dxa"/>
            <w:gridSpan w:val="2"/>
            <w:tcBorders>
              <w:top w:val="nil"/>
              <w:left w:val="nil"/>
              <w:bottom w:val="nil"/>
              <w:right w:val="nil"/>
            </w:tcBorders>
            <w:shd w:val="clear" w:color="auto" w:fill="F2F2F2" w:themeFill="background1" w:themeFillShade="F2"/>
            <w:vAlign w:val="bottom"/>
            <w:hideMark/>
          </w:tcPr>
          <w:p w14:paraId="657FDB8C" w14:textId="77777777" w:rsidR="00FE7F8B" w:rsidRDefault="00FE7F8B">
            <w:pPr>
              <w:pStyle w:val="TableTextFinancial"/>
              <w:jc w:val="right"/>
              <w:rPr>
                <w:b/>
              </w:rPr>
            </w:pPr>
            <w:r>
              <w:rPr>
                <w:b/>
              </w:rPr>
              <w:t>23.7</w:t>
            </w:r>
          </w:p>
        </w:tc>
        <w:tc>
          <w:tcPr>
            <w:tcW w:w="855" w:type="dxa"/>
            <w:tcBorders>
              <w:top w:val="nil"/>
              <w:left w:val="nil"/>
              <w:bottom w:val="nil"/>
              <w:right w:val="nil"/>
            </w:tcBorders>
            <w:vAlign w:val="bottom"/>
            <w:hideMark/>
          </w:tcPr>
          <w:p w14:paraId="75167561" w14:textId="77777777" w:rsidR="00FE7F8B" w:rsidRDefault="00FE7F8B">
            <w:pPr>
              <w:pStyle w:val="TableTextFinancial"/>
              <w:jc w:val="right"/>
            </w:pPr>
            <w:r>
              <w:t>23.9</w:t>
            </w:r>
          </w:p>
        </w:tc>
      </w:tr>
      <w:tr w:rsidR="00FE7F8B" w14:paraId="1E1C6DF0" w14:textId="77777777" w:rsidTr="00FE7F8B">
        <w:tc>
          <w:tcPr>
            <w:tcW w:w="5250" w:type="dxa"/>
            <w:tcBorders>
              <w:top w:val="nil"/>
              <w:left w:val="nil"/>
              <w:bottom w:val="single" w:sz="4" w:space="0" w:color="auto"/>
              <w:right w:val="nil"/>
            </w:tcBorders>
            <w:vAlign w:val="bottom"/>
            <w:hideMark/>
          </w:tcPr>
          <w:p w14:paraId="567A99C3" w14:textId="77777777" w:rsidR="00FE7F8B" w:rsidRDefault="00FE7F8B">
            <w:pPr>
              <w:pStyle w:val="Tabletextnoindent"/>
            </w:pPr>
            <w:r>
              <w:t>Advance payable to Public Account</w:t>
            </w:r>
          </w:p>
        </w:tc>
        <w:tc>
          <w:tcPr>
            <w:tcW w:w="1271" w:type="dxa"/>
            <w:gridSpan w:val="2"/>
            <w:tcBorders>
              <w:top w:val="nil"/>
              <w:left w:val="nil"/>
              <w:bottom w:val="single" w:sz="4" w:space="0" w:color="auto"/>
              <w:right w:val="nil"/>
            </w:tcBorders>
            <w:shd w:val="clear" w:color="auto" w:fill="F2F2F2" w:themeFill="background1" w:themeFillShade="F2"/>
            <w:vAlign w:val="bottom"/>
            <w:hideMark/>
          </w:tcPr>
          <w:p w14:paraId="3869B5C4" w14:textId="77777777" w:rsidR="00FE7F8B" w:rsidRDefault="00FE7F8B">
            <w:pPr>
              <w:pStyle w:val="TableTextFinancial"/>
              <w:jc w:val="right"/>
              <w:rPr>
                <w:b/>
              </w:rPr>
            </w:pPr>
            <w:r>
              <w:rPr>
                <w:b/>
              </w:rPr>
              <w:t>43.9</w:t>
            </w:r>
          </w:p>
        </w:tc>
        <w:tc>
          <w:tcPr>
            <w:tcW w:w="855" w:type="dxa"/>
            <w:tcBorders>
              <w:top w:val="nil"/>
              <w:left w:val="nil"/>
              <w:bottom w:val="single" w:sz="4" w:space="0" w:color="auto"/>
              <w:right w:val="nil"/>
            </w:tcBorders>
            <w:vAlign w:val="bottom"/>
            <w:hideMark/>
          </w:tcPr>
          <w:p w14:paraId="4A6EF792" w14:textId="77777777" w:rsidR="00FE7F8B" w:rsidRDefault="00FE7F8B">
            <w:pPr>
              <w:pStyle w:val="TableTextFinancial"/>
              <w:jc w:val="right"/>
            </w:pPr>
            <w:r>
              <w:t>22.4</w:t>
            </w:r>
          </w:p>
        </w:tc>
      </w:tr>
      <w:tr w:rsidR="00FE7F8B" w14:paraId="2F04E547" w14:textId="77777777" w:rsidTr="00FE7F8B">
        <w:tc>
          <w:tcPr>
            <w:tcW w:w="5250" w:type="dxa"/>
            <w:tcBorders>
              <w:top w:val="single" w:sz="4" w:space="0" w:color="auto"/>
              <w:left w:val="nil"/>
              <w:bottom w:val="single" w:sz="4" w:space="0" w:color="auto"/>
              <w:right w:val="nil"/>
            </w:tcBorders>
            <w:vAlign w:val="bottom"/>
            <w:hideMark/>
          </w:tcPr>
          <w:p w14:paraId="43B2581E" w14:textId="77777777" w:rsidR="00FE7F8B" w:rsidRDefault="00FE7F8B">
            <w:pPr>
              <w:pStyle w:val="Tabletextnoindent"/>
              <w:rPr>
                <w:b/>
              </w:rPr>
            </w:pPr>
            <w:r>
              <w:rPr>
                <w:b/>
              </w:rPr>
              <w:t>Total</w:t>
            </w:r>
          </w:p>
        </w:tc>
        <w:tc>
          <w:tcPr>
            <w:tcW w:w="1271" w:type="dxa"/>
            <w:gridSpan w:val="2"/>
            <w:tcBorders>
              <w:top w:val="single" w:sz="4" w:space="0" w:color="auto"/>
              <w:left w:val="nil"/>
              <w:bottom w:val="single" w:sz="4" w:space="0" w:color="auto"/>
              <w:right w:val="nil"/>
            </w:tcBorders>
            <w:shd w:val="clear" w:color="auto" w:fill="F2F2F2" w:themeFill="background1" w:themeFillShade="F2"/>
            <w:vAlign w:val="bottom"/>
            <w:hideMark/>
          </w:tcPr>
          <w:p w14:paraId="2BEB5F20" w14:textId="77777777" w:rsidR="00FE7F8B" w:rsidRDefault="00FE7F8B">
            <w:pPr>
              <w:pStyle w:val="TableTextFinancial"/>
              <w:jc w:val="right"/>
              <w:rPr>
                <w:b/>
              </w:rPr>
            </w:pPr>
            <w:r>
              <w:rPr>
                <w:b/>
              </w:rPr>
              <w:t>67.6</w:t>
            </w:r>
          </w:p>
        </w:tc>
        <w:tc>
          <w:tcPr>
            <w:tcW w:w="855" w:type="dxa"/>
            <w:tcBorders>
              <w:top w:val="single" w:sz="4" w:space="0" w:color="auto"/>
              <w:left w:val="nil"/>
              <w:bottom w:val="single" w:sz="4" w:space="0" w:color="auto"/>
              <w:right w:val="nil"/>
            </w:tcBorders>
            <w:vAlign w:val="bottom"/>
            <w:hideMark/>
          </w:tcPr>
          <w:p w14:paraId="7FAD1B7F" w14:textId="77777777" w:rsidR="00FE7F8B" w:rsidRDefault="00FE7F8B">
            <w:pPr>
              <w:pStyle w:val="TableTextFinancial"/>
              <w:jc w:val="right"/>
            </w:pPr>
            <w:r>
              <w:t>46.3</w:t>
            </w:r>
          </w:p>
        </w:tc>
      </w:tr>
      <w:tr w:rsidR="00FE7F8B" w14:paraId="0874E891" w14:textId="77777777" w:rsidTr="00FE7F8B">
        <w:tc>
          <w:tcPr>
            <w:tcW w:w="5250" w:type="dxa"/>
            <w:tcBorders>
              <w:top w:val="single" w:sz="4" w:space="0" w:color="auto"/>
              <w:left w:val="nil"/>
              <w:bottom w:val="single" w:sz="4" w:space="0" w:color="auto"/>
              <w:right w:val="nil"/>
            </w:tcBorders>
            <w:vAlign w:val="bottom"/>
            <w:hideMark/>
          </w:tcPr>
          <w:p w14:paraId="69DC9E4C" w14:textId="77777777" w:rsidR="00FE7F8B" w:rsidRDefault="00FE7F8B">
            <w:pPr>
              <w:pStyle w:val="Tabletextnoindent"/>
              <w:rPr>
                <w:b/>
              </w:rPr>
            </w:pPr>
            <w:r>
              <w:rPr>
                <w:b/>
              </w:rPr>
              <w:t>Total current payables</w:t>
            </w:r>
          </w:p>
        </w:tc>
        <w:tc>
          <w:tcPr>
            <w:tcW w:w="1271" w:type="dxa"/>
            <w:gridSpan w:val="2"/>
            <w:tcBorders>
              <w:top w:val="single" w:sz="4" w:space="0" w:color="auto"/>
              <w:left w:val="nil"/>
              <w:bottom w:val="single" w:sz="4" w:space="0" w:color="auto"/>
              <w:right w:val="nil"/>
            </w:tcBorders>
            <w:shd w:val="clear" w:color="auto" w:fill="F2F2F2" w:themeFill="background1" w:themeFillShade="F2"/>
            <w:vAlign w:val="bottom"/>
            <w:hideMark/>
          </w:tcPr>
          <w:p w14:paraId="4FB1AAB7" w14:textId="77777777" w:rsidR="00FE7F8B" w:rsidRDefault="00FE7F8B">
            <w:pPr>
              <w:pStyle w:val="TableTextFinancial"/>
              <w:jc w:val="right"/>
              <w:rPr>
                <w:b/>
              </w:rPr>
            </w:pPr>
            <w:r>
              <w:rPr>
                <w:b/>
              </w:rPr>
              <w:t>461.4</w:t>
            </w:r>
          </w:p>
        </w:tc>
        <w:tc>
          <w:tcPr>
            <w:tcW w:w="855" w:type="dxa"/>
            <w:tcBorders>
              <w:top w:val="single" w:sz="4" w:space="0" w:color="auto"/>
              <w:left w:val="nil"/>
              <w:bottom w:val="single" w:sz="4" w:space="0" w:color="auto"/>
              <w:right w:val="nil"/>
            </w:tcBorders>
            <w:vAlign w:val="bottom"/>
            <w:hideMark/>
          </w:tcPr>
          <w:p w14:paraId="6DEF17E7" w14:textId="77777777" w:rsidR="00FE7F8B" w:rsidRDefault="00FE7F8B">
            <w:pPr>
              <w:pStyle w:val="TableTextFinancial"/>
              <w:jc w:val="right"/>
            </w:pPr>
            <w:r>
              <w:t>342.4</w:t>
            </w:r>
          </w:p>
        </w:tc>
      </w:tr>
      <w:tr w:rsidR="00FE7F8B" w14:paraId="012DDDDE" w14:textId="77777777" w:rsidTr="00FE7F8B">
        <w:tc>
          <w:tcPr>
            <w:tcW w:w="5250" w:type="dxa"/>
            <w:tcBorders>
              <w:top w:val="single" w:sz="4" w:space="0" w:color="auto"/>
              <w:left w:val="nil"/>
              <w:bottom w:val="single" w:sz="4" w:space="0" w:color="auto"/>
              <w:right w:val="nil"/>
            </w:tcBorders>
            <w:vAlign w:val="bottom"/>
            <w:hideMark/>
          </w:tcPr>
          <w:p w14:paraId="080AA8AB" w14:textId="77777777" w:rsidR="00FE7F8B" w:rsidRDefault="00FE7F8B">
            <w:pPr>
              <w:pStyle w:val="Tabletextnoindent"/>
              <w:rPr>
                <w:b/>
              </w:rPr>
            </w:pPr>
            <w:r>
              <w:rPr>
                <w:b/>
              </w:rPr>
              <w:t>Total payables</w:t>
            </w:r>
          </w:p>
        </w:tc>
        <w:tc>
          <w:tcPr>
            <w:tcW w:w="1271" w:type="dxa"/>
            <w:gridSpan w:val="2"/>
            <w:tcBorders>
              <w:top w:val="single" w:sz="4" w:space="0" w:color="auto"/>
              <w:left w:val="nil"/>
              <w:bottom w:val="single" w:sz="4" w:space="0" w:color="auto"/>
              <w:right w:val="nil"/>
            </w:tcBorders>
            <w:shd w:val="clear" w:color="auto" w:fill="F2F2F2" w:themeFill="background1" w:themeFillShade="F2"/>
            <w:vAlign w:val="bottom"/>
            <w:hideMark/>
          </w:tcPr>
          <w:p w14:paraId="1BF55F1F" w14:textId="77777777" w:rsidR="00FE7F8B" w:rsidRDefault="00FE7F8B">
            <w:pPr>
              <w:pStyle w:val="TableTextFinancial"/>
              <w:jc w:val="right"/>
              <w:rPr>
                <w:b/>
              </w:rPr>
            </w:pPr>
            <w:r>
              <w:rPr>
                <w:b/>
              </w:rPr>
              <w:t>461.4</w:t>
            </w:r>
          </w:p>
        </w:tc>
        <w:tc>
          <w:tcPr>
            <w:tcW w:w="855" w:type="dxa"/>
            <w:tcBorders>
              <w:top w:val="single" w:sz="4" w:space="0" w:color="auto"/>
              <w:left w:val="nil"/>
              <w:bottom w:val="single" w:sz="4" w:space="0" w:color="auto"/>
              <w:right w:val="nil"/>
            </w:tcBorders>
            <w:vAlign w:val="bottom"/>
            <w:hideMark/>
          </w:tcPr>
          <w:p w14:paraId="2F4EE82D" w14:textId="77777777" w:rsidR="00FE7F8B" w:rsidRDefault="00FE7F8B">
            <w:pPr>
              <w:pStyle w:val="TableTextFinancial"/>
              <w:jc w:val="right"/>
            </w:pPr>
            <w:r>
              <w:t>342.4</w:t>
            </w:r>
          </w:p>
        </w:tc>
      </w:tr>
    </w:tbl>
    <w:p w14:paraId="57A5471E" w14:textId="77777777" w:rsidR="00FE7F8B" w:rsidRDefault="00FE7F8B" w:rsidP="00AD641C">
      <w:pPr>
        <w:pStyle w:val="Heading3notesnumbered"/>
        <w:numPr>
          <w:ilvl w:val="0"/>
          <w:numId w:val="50"/>
        </w:numPr>
      </w:pPr>
      <w:r>
        <w:t>Maturity analysis of contractual payables</w:t>
      </w:r>
    </w:p>
    <w:p w14:paraId="7AA62FF3" w14:textId="77777777" w:rsidR="00FE7F8B" w:rsidRDefault="00FE7F8B" w:rsidP="00FE7F8B">
      <w:r>
        <w:t xml:space="preserve">See </w:t>
      </w:r>
      <w:r>
        <w:fldChar w:fldCharType="begin"/>
      </w:r>
      <w:r>
        <w:instrText xml:space="preserve"> REF _Ref399510206 \h </w:instrText>
      </w:r>
      <w:r>
        <w:fldChar w:fldCharType="separate"/>
      </w:r>
      <w:r w:rsidR="00B60957">
        <w:t xml:space="preserve">Table </w:t>
      </w:r>
      <w:r>
        <w:fldChar w:fldCharType="end"/>
      </w:r>
      <w:r>
        <w:t xml:space="preserve">12 in </w:t>
      </w:r>
      <w:r>
        <w:fldChar w:fldCharType="begin"/>
      </w:r>
      <w:r>
        <w:instrText xml:space="preserve"> REF _Ref399497911 \r \h </w:instrText>
      </w:r>
      <w:r>
        <w:fldChar w:fldCharType="separate"/>
      </w:r>
      <w:r w:rsidR="00B60957">
        <w:t>Note 17</w:t>
      </w:r>
      <w:r>
        <w:fldChar w:fldCharType="end"/>
      </w:r>
      <w:r>
        <w:t xml:space="preserve"> for the ageing analysis of contractual payables.</w:t>
      </w:r>
    </w:p>
    <w:p w14:paraId="548A71B7" w14:textId="77777777" w:rsidR="00FE7F8B" w:rsidRDefault="00FE7F8B" w:rsidP="00AD641C">
      <w:pPr>
        <w:pStyle w:val="Heading3notesnumbered"/>
        <w:numPr>
          <w:ilvl w:val="0"/>
          <w:numId w:val="50"/>
        </w:numPr>
      </w:pPr>
      <w:r>
        <w:t>Nature and extent of risk arising from contractual payables</w:t>
      </w:r>
    </w:p>
    <w:p w14:paraId="5E395DCF" w14:textId="77777777" w:rsidR="00FE7F8B" w:rsidRDefault="00FE7F8B" w:rsidP="00FE7F8B">
      <w:r>
        <w:t xml:space="preserve">See </w:t>
      </w:r>
      <w:r>
        <w:fldChar w:fldCharType="begin"/>
      </w:r>
      <w:r>
        <w:instrText xml:space="preserve"> REF _Ref399497927 \r \h </w:instrText>
      </w:r>
      <w:r>
        <w:fldChar w:fldCharType="separate"/>
      </w:r>
      <w:r w:rsidR="00B60957">
        <w:t>Note 17</w:t>
      </w:r>
      <w:r>
        <w:fldChar w:fldCharType="end"/>
      </w:r>
      <w:r>
        <w:t xml:space="preserve"> for the nature and extent of financial risk arising from contractual payables.</w:t>
      </w:r>
    </w:p>
    <w:p w14:paraId="59D0B05B" w14:textId="77777777" w:rsidR="00FE7F8B" w:rsidRDefault="00FE7F8B" w:rsidP="00FE7F8B">
      <w:r>
        <w:br w:type="page"/>
      </w:r>
    </w:p>
    <w:p w14:paraId="360A6AF3" w14:textId="77777777" w:rsidR="00FE7F8B" w:rsidRDefault="00FE7F8B" w:rsidP="00AD641C">
      <w:pPr>
        <w:pStyle w:val="Heading2notes"/>
        <w:numPr>
          <w:ilvl w:val="0"/>
          <w:numId w:val="39"/>
        </w:numPr>
      </w:pPr>
      <w:bookmarkStart w:id="95" w:name="_Toc461176302"/>
      <w:bookmarkStart w:id="96" w:name="_Ref399498134"/>
      <w:bookmarkStart w:id="97" w:name="_Toc399491070"/>
      <w:r>
        <w:t>Borrowings</w:t>
      </w:r>
      <w:bookmarkEnd w:id="95"/>
      <w:bookmarkEnd w:id="96"/>
      <w:bookmarkEnd w:id="97"/>
    </w:p>
    <w:p w14:paraId="48B5C897" w14:textId="77777777" w:rsidR="00FE7F8B" w:rsidRDefault="00FE7F8B" w:rsidP="00FE7F8B">
      <w:pPr>
        <w:pStyle w:val="ARFootnote"/>
      </w:pPr>
      <w:r>
        <w:t xml:space="preserve"> </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10"/>
        <w:gridCol w:w="1135"/>
        <w:gridCol w:w="1135"/>
      </w:tblGrid>
      <w:tr w:rsidR="00FE7F8B" w14:paraId="1CECEDD5" w14:textId="77777777" w:rsidTr="00FE7F8B">
        <w:tc>
          <w:tcPr>
            <w:tcW w:w="5108" w:type="dxa"/>
            <w:tcBorders>
              <w:top w:val="nil"/>
              <w:left w:val="nil"/>
              <w:bottom w:val="nil"/>
              <w:right w:val="nil"/>
            </w:tcBorders>
            <w:shd w:val="clear" w:color="auto" w:fill="7F7F7F" w:themeFill="text1" w:themeFillTint="80"/>
            <w:vAlign w:val="bottom"/>
          </w:tcPr>
          <w:p w14:paraId="00DD1A4F" w14:textId="77777777" w:rsidR="00FE7F8B" w:rsidRDefault="00FE7F8B">
            <w:pPr>
              <w:pStyle w:val="Tablecolumnheading"/>
              <w:jc w:val="center"/>
            </w:pPr>
          </w:p>
        </w:tc>
        <w:tc>
          <w:tcPr>
            <w:tcW w:w="1134" w:type="dxa"/>
            <w:tcBorders>
              <w:top w:val="nil"/>
              <w:left w:val="nil"/>
              <w:bottom w:val="nil"/>
              <w:right w:val="nil"/>
            </w:tcBorders>
            <w:shd w:val="clear" w:color="auto" w:fill="7F7F7F" w:themeFill="text1" w:themeFillTint="80"/>
            <w:vAlign w:val="bottom"/>
            <w:hideMark/>
          </w:tcPr>
          <w:p w14:paraId="3D46E6D2" w14:textId="77777777" w:rsidR="00FE7F8B" w:rsidRDefault="00FE7F8B">
            <w:pPr>
              <w:pStyle w:val="Tablecolumnheading"/>
              <w:jc w:val="center"/>
            </w:pPr>
            <w:r>
              <w:rPr>
                <w:lang w:eastAsia="en-AU"/>
              </w:rPr>
              <w:t>2016</w:t>
            </w:r>
            <w:r>
              <w:rPr>
                <w:lang w:eastAsia="en-AU"/>
              </w:rPr>
              <w:br/>
              <w:t>$m</w:t>
            </w:r>
          </w:p>
        </w:tc>
        <w:tc>
          <w:tcPr>
            <w:tcW w:w="1134" w:type="dxa"/>
            <w:tcBorders>
              <w:top w:val="nil"/>
              <w:left w:val="nil"/>
              <w:bottom w:val="nil"/>
              <w:right w:val="nil"/>
            </w:tcBorders>
            <w:shd w:val="clear" w:color="auto" w:fill="7F7F7F" w:themeFill="text1" w:themeFillTint="80"/>
            <w:vAlign w:val="bottom"/>
            <w:hideMark/>
          </w:tcPr>
          <w:p w14:paraId="6411E0E0" w14:textId="77777777" w:rsidR="00FE7F8B" w:rsidRDefault="00FE7F8B">
            <w:pPr>
              <w:pStyle w:val="Tablecolumnheading"/>
              <w:jc w:val="center"/>
            </w:pPr>
            <w:r>
              <w:rPr>
                <w:lang w:eastAsia="en-AU"/>
              </w:rPr>
              <w:t>2015</w:t>
            </w:r>
            <w:r>
              <w:rPr>
                <w:lang w:eastAsia="en-AU"/>
              </w:rPr>
              <w:br/>
              <w:t>$m</w:t>
            </w:r>
          </w:p>
        </w:tc>
      </w:tr>
      <w:tr w:rsidR="00FE7F8B" w14:paraId="240E0414" w14:textId="77777777" w:rsidTr="00FE7F8B">
        <w:tc>
          <w:tcPr>
            <w:tcW w:w="5108" w:type="dxa"/>
            <w:tcBorders>
              <w:top w:val="nil"/>
              <w:left w:val="nil"/>
              <w:bottom w:val="nil"/>
              <w:right w:val="nil"/>
            </w:tcBorders>
            <w:vAlign w:val="bottom"/>
            <w:hideMark/>
          </w:tcPr>
          <w:p w14:paraId="486CD2E7" w14:textId="77777777" w:rsidR="00FE7F8B" w:rsidRDefault="00FE7F8B">
            <w:pPr>
              <w:pStyle w:val="TableTextFinancial"/>
              <w:rPr>
                <w:b/>
              </w:rPr>
            </w:pPr>
            <w:r>
              <w:rPr>
                <w:b/>
              </w:rPr>
              <w:t>Current borrowings</w:t>
            </w:r>
          </w:p>
        </w:tc>
        <w:tc>
          <w:tcPr>
            <w:tcW w:w="1134" w:type="dxa"/>
            <w:tcBorders>
              <w:top w:val="nil"/>
              <w:left w:val="nil"/>
              <w:bottom w:val="nil"/>
              <w:right w:val="nil"/>
            </w:tcBorders>
            <w:shd w:val="clear" w:color="auto" w:fill="F2F2F2" w:themeFill="background1" w:themeFillShade="F2"/>
            <w:vAlign w:val="bottom"/>
          </w:tcPr>
          <w:p w14:paraId="11E3CF8C" w14:textId="77777777" w:rsidR="00FE7F8B" w:rsidRDefault="00FE7F8B">
            <w:pPr>
              <w:pStyle w:val="TableTextFinancial"/>
              <w:jc w:val="right"/>
              <w:rPr>
                <w:b/>
              </w:rPr>
            </w:pPr>
          </w:p>
        </w:tc>
        <w:tc>
          <w:tcPr>
            <w:tcW w:w="1134" w:type="dxa"/>
            <w:tcBorders>
              <w:top w:val="nil"/>
              <w:left w:val="nil"/>
              <w:bottom w:val="nil"/>
              <w:right w:val="nil"/>
            </w:tcBorders>
            <w:vAlign w:val="bottom"/>
          </w:tcPr>
          <w:p w14:paraId="6B9DE95A" w14:textId="77777777" w:rsidR="00FE7F8B" w:rsidRDefault="00FE7F8B">
            <w:pPr>
              <w:pStyle w:val="TableTextFinancial"/>
              <w:jc w:val="right"/>
            </w:pPr>
          </w:p>
        </w:tc>
      </w:tr>
      <w:tr w:rsidR="00FE7F8B" w14:paraId="347F00E4" w14:textId="77777777" w:rsidTr="00FE7F8B">
        <w:tc>
          <w:tcPr>
            <w:tcW w:w="5108" w:type="dxa"/>
            <w:tcBorders>
              <w:top w:val="nil"/>
              <w:left w:val="nil"/>
              <w:bottom w:val="nil"/>
              <w:right w:val="nil"/>
            </w:tcBorders>
            <w:vAlign w:val="bottom"/>
            <w:hideMark/>
          </w:tcPr>
          <w:p w14:paraId="48BF39C6" w14:textId="77777777" w:rsidR="00FE7F8B" w:rsidRDefault="00FE7F8B">
            <w:pPr>
              <w:pStyle w:val="TableTextFinancial"/>
              <w:rPr>
                <w:b/>
              </w:rPr>
            </w:pPr>
            <w:r>
              <w:rPr>
                <w:b/>
              </w:rPr>
              <w:t>Finance lease liabilities</w:t>
            </w:r>
            <w:r>
              <w:rPr>
                <w:b/>
                <w:vertAlign w:val="superscript"/>
              </w:rPr>
              <w:t>1</w:t>
            </w:r>
          </w:p>
        </w:tc>
        <w:tc>
          <w:tcPr>
            <w:tcW w:w="1134" w:type="dxa"/>
            <w:tcBorders>
              <w:top w:val="nil"/>
              <w:left w:val="nil"/>
              <w:bottom w:val="nil"/>
              <w:right w:val="nil"/>
            </w:tcBorders>
            <w:shd w:val="clear" w:color="auto" w:fill="F2F2F2" w:themeFill="background1" w:themeFillShade="F2"/>
            <w:vAlign w:val="bottom"/>
          </w:tcPr>
          <w:p w14:paraId="6B1837D8" w14:textId="77777777" w:rsidR="00FE7F8B" w:rsidRDefault="00FE7F8B">
            <w:pPr>
              <w:pStyle w:val="TableTextFinancial"/>
              <w:jc w:val="right"/>
              <w:rPr>
                <w:b/>
              </w:rPr>
            </w:pPr>
          </w:p>
        </w:tc>
        <w:tc>
          <w:tcPr>
            <w:tcW w:w="1134" w:type="dxa"/>
            <w:tcBorders>
              <w:top w:val="nil"/>
              <w:left w:val="nil"/>
              <w:bottom w:val="nil"/>
              <w:right w:val="nil"/>
            </w:tcBorders>
            <w:vAlign w:val="bottom"/>
          </w:tcPr>
          <w:p w14:paraId="1B234E49" w14:textId="77777777" w:rsidR="00FE7F8B" w:rsidRDefault="00FE7F8B">
            <w:pPr>
              <w:pStyle w:val="TableTextFinancial"/>
              <w:jc w:val="right"/>
            </w:pPr>
          </w:p>
        </w:tc>
      </w:tr>
      <w:tr w:rsidR="00FE7F8B" w14:paraId="1BC166D5" w14:textId="77777777" w:rsidTr="00FE7F8B">
        <w:tc>
          <w:tcPr>
            <w:tcW w:w="5108" w:type="dxa"/>
            <w:tcBorders>
              <w:top w:val="nil"/>
              <w:left w:val="nil"/>
              <w:bottom w:val="nil"/>
              <w:right w:val="nil"/>
            </w:tcBorders>
            <w:vAlign w:val="bottom"/>
            <w:hideMark/>
          </w:tcPr>
          <w:p w14:paraId="0751F16A" w14:textId="77777777" w:rsidR="00FE7F8B" w:rsidRDefault="00FE7F8B" w:rsidP="005222FF">
            <w:pPr>
              <w:pStyle w:val="TableTextFinancial"/>
              <w:ind w:left="720"/>
            </w:pPr>
            <w:r>
              <w:t>PPP related finance lease liabilities</w:t>
            </w:r>
          </w:p>
        </w:tc>
        <w:tc>
          <w:tcPr>
            <w:tcW w:w="1134" w:type="dxa"/>
            <w:tcBorders>
              <w:top w:val="nil"/>
              <w:left w:val="nil"/>
              <w:bottom w:val="nil"/>
              <w:right w:val="nil"/>
            </w:tcBorders>
            <w:shd w:val="clear" w:color="auto" w:fill="F2F2F2" w:themeFill="background1" w:themeFillShade="F2"/>
            <w:vAlign w:val="bottom"/>
            <w:hideMark/>
          </w:tcPr>
          <w:p w14:paraId="6DA72707" w14:textId="77777777" w:rsidR="00FE7F8B" w:rsidRDefault="00FE7F8B">
            <w:pPr>
              <w:pStyle w:val="TableTextFinancial"/>
              <w:jc w:val="right"/>
              <w:rPr>
                <w:b/>
              </w:rPr>
            </w:pPr>
            <w:r>
              <w:rPr>
                <w:b/>
              </w:rPr>
              <w:t>15.2</w:t>
            </w:r>
          </w:p>
        </w:tc>
        <w:tc>
          <w:tcPr>
            <w:tcW w:w="1134" w:type="dxa"/>
            <w:tcBorders>
              <w:top w:val="nil"/>
              <w:left w:val="nil"/>
              <w:bottom w:val="nil"/>
              <w:right w:val="nil"/>
            </w:tcBorders>
            <w:vAlign w:val="bottom"/>
            <w:hideMark/>
          </w:tcPr>
          <w:p w14:paraId="4091283C" w14:textId="77777777" w:rsidR="00FE7F8B" w:rsidRDefault="00FE7F8B">
            <w:pPr>
              <w:pStyle w:val="TableTextFinancial"/>
              <w:jc w:val="right"/>
            </w:pPr>
            <w:r>
              <w:t>15.2</w:t>
            </w:r>
          </w:p>
        </w:tc>
      </w:tr>
      <w:tr w:rsidR="00FE7F8B" w14:paraId="20DEBB33" w14:textId="77777777" w:rsidTr="00FE7F8B">
        <w:tc>
          <w:tcPr>
            <w:tcW w:w="5108" w:type="dxa"/>
            <w:tcBorders>
              <w:top w:val="nil"/>
              <w:left w:val="nil"/>
              <w:bottom w:val="nil"/>
              <w:right w:val="nil"/>
            </w:tcBorders>
            <w:vAlign w:val="bottom"/>
            <w:hideMark/>
          </w:tcPr>
          <w:p w14:paraId="6592B578" w14:textId="77777777" w:rsidR="00FE7F8B" w:rsidRDefault="00FE7F8B" w:rsidP="005222FF">
            <w:pPr>
              <w:pStyle w:val="TableTextFinancial"/>
              <w:ind w:left="720"/>
            </w:pPr>
            <w:r>
              <w:t xml:space="preserve">Motor vehicles related finance lease liabilities </w:t>
            </w:r>
          </w:p>
        </w:tc>
        <w:tc>
          <w:tcPr>
            <w:tcW w:w="1134" w:type="dxa"/>
            <w:tcBorders>
              <w:top w:val="nil"/>
              <w:left w:val="nil"/>
              <w:bottom w:val="nil"/>
              <w:right w:val="nil"/>
            </w:tcBorders>
            <w:shd w:val="clear" w:color="auto" w:fill="F2F2F2" w:themeFill="background1" w:themeFillShade="F2"/>
            <w:vAlign w:val="bottom"/>
            <w:hideMark/>
          </w:tcPr>
          <w:p w14:paraId="4848B05C" w14:textId="77777777" w:rsidR="00FE7F8B" w:rsidRDefault="00FE7F8B">
            <w:pPr>
              <w:pStyle w:val="TableTextFinancial"/>
              <w:jc w:val="right"/>
              <w:rPr>
                <w:b/>
              </w:rPr>
            </w:pPr>
            <w:r>
              <w:rPr>
                <w:b/>
              </w:rPr>
              <w:t>4.0</w:t>
            </w:r>
          </w:p>
        </w:tc>
        <w:tc>
          <w:tcPr>
            <w:tcW w:w="1134" w:type="dxa"/>
            <w:tcBorders>
              <w:top w:val="nil"/>
              <w:left w:val="nil"/>
              <w:bottom w:val="nil"/>
              <w:right w:val="nil"/>
            </w:tcBorders>
            <w:vAlign w:val="bottom"/>
            <w:hideMark/>
          </w:tcPr>
          <w:p w14:paraId="27A28540" w14:textId="77777777" w:rsidR="00FE7F8B" w:rsidRDefault="00FE7F8B">
            <w:pPr>
              <w:pStyle w:val="TableTextFinancial"/>
              <w:jc w:val="right"/>
            </w:pPr>
            <w:r>
              <w:t>3.7</w:t>
            </w:r>
          </w:p>
        </w:tc>
      </w:tr>
      <w:tr w:rsidR="00FE7F8B" w14:paraId="2ADA9E87" w14:textId="77777777" w:rsidTr="00FE7F8B">
        <w:tc>
          <w:tcPr>
            <w:tcW w:w="5108" w:type="dxa"/>
            <w:tcBorders>
              <w:top w:val="nil"/>
              <w:left w:val="nil"/>
              <w:bottom w:val="nil"/>
              <w:right w:val="nil"/>
            </w:tcBorders>
            <w:vAlign w:val="bottom"/>
            <w:hideMark/>
          </w:tcPr>
          <w:p w14:paraId="1BC049EE" w14:textId="77777777" w:rsidR="00FE7F8B" w:rsidRDefault="00FE7F8B">
            <w:pPr>
              <w:pStyle w:val="TableTextFinancial"/>
            </w:pPr>
            <w:r>
              <w:t>Advance from Public Account</w:t>
            </w:r>
            <w:r>
              <w:rPr>
                <w:vertAlign w:val="superscript"/>
              </w:rPr>
              <w:t>2</w:t>
            </w:r>
            <w:r>
              <w:t xml:space="preserve"> </w:t>
            </w:r>
          </w:p>
        </w:tc>
        <w:tc>
          <w:tcPr>
            <w:tcW w:w="1134" w:type="dxa"/>
            <w:tcBorders>
              <w:top w:val="nil"/>
              <w:left w:val="nil"/>
              <w:bottom w:val="nil"/>
              <w:right w:val="nil"/>
            </w:tcBorders>
            <w:shd w:val="clear" w:color="auto" w:fill="F2F2F2" w:themeFill="background1" w:themeFillShade="F2"/>
            <w:vAlign w:val="bottom"/>
            <w:hideMark/>
          </w:tcPr>
          <w:p w14:paraId="3AE0DDFE" w14:textId="77777777" w:rsidR="00FE7F8B" w:rsidRDefault="00FE7F8B">
            <w:pPr>
              <w:pStyle w:val="TableTextFinancial"/>
              <w:jc w:val="right"/>
              <w:rPr>
                <w:b/>
              </w:rPr>
            </w:pPr>
            <w:r>
              <w:rPr>
                <w:b/>
              </w:rPr>
              <w:t>7.4</w:t>
            </w:r>
          </w:p>
        </w:tc>
        <w:tc>
          <w:tcPr>
            <w:tcW w:w="1134" w:type="dxa"/>
            <w:tcBorders>
              <w:top w:val="nil"/>
              <w:left w:val="nil"/>
              <w:bottom w:val="nil"/>
              <w:right w:val="nil"/>
            </w:tcBorders>
            <w:vAlign w:val="bottom"/>
            <w:hideMark/>
          </w:tcPr>
          <w:p w14:paraId="5FB12B65" w14:textId="77777777" w:rsidR="00FE7F8B" w:rsidRDefault="00FE7F8B">
            <w:pPr>
              <w:pStyle w:val="TableTextFinancial"/>
              <w:jc w:val="right"/>
            </w:pPr>
            <w:r>
              <w:t>14.4</w:t>
            </w:r>
          </w:p>
        </w:tc>
      </w:tr>
      <w:tr w:rsidR="00FE7F8B" w14:paraId="0F82A77E" w14:textId="77777777" w:rsidTr="00FE7F8B">
        <w:tc>
          <w:tcPr>
            <w:tcW w:w="5108" w:type="dxa"/>
            <w:tcBorders>
              <w:top w:val="nil"/>
              <w:left w:val="nil"/>
              <w:bottom w:val="single" w:sz="4" w:space="0" w:color="auto"/>
              <w:right w:val="nil"/>
            </w:tcBorders>
            <w:vAlign w:val="bottom"/>
            <w:hideMark/>
          </w:tcPr>
          <w:p w14:paraId="20007CE8" w14:textId="77777777" w:rsidR="00FE7F8B" w:rsidRDefault="00FE7F8B">
            <w:pPr>
              <w:pStyle w:val="TableTextFinancial"/>
            </w:pPr>
            <w:r>
              <w:t>Other current</w:t>
            </w:r>
            <w:r>
              <w:rPr>
                <w:vertAlign w:val="superscript"/>
              </w:rPr>
              <w:t>3</w:t>
            </w:r>
          </w:p>
        </w:tc>
        <w:tc>
          <w:tcPr>
            <w:tcW w:w="1134" w:type="dxa"/>
            <w:tcBorders>
              <w:top w:val="nil"/>
              <w:left w:val="nil"/>
              <w:bottom w:val="single" w:sz="4" w:space="0" w:color="auto"/>
              <w:right w:val="nil"/>
            </w:tcBorders>
            <w:shd w:val="clear" w:color="auto" w:fill="F2F2F2" w:themeFill="background1" w:themeFillShade="F2"/>
            <w:vAlign w:val="bottom"/>
            <w:hideMark/>
          </w:tcPr>
          <w:p w14:paraId="4DC49E48" w14:textId="77777777" w:rsidR="00FE7F8B" w:rsidRDefault="00FE7F8B">
            <w:pPr>
              <w:pStyle w:val="TableTextFinancial"/>
              <w:jc w:val="right"/>
              <w:rPr>
                <w:b/>
              </w:rPr>
            </w:pPr>
            <w:r>
              <w:rPr>
                <w:b/>
              </w:rPr>
              <w:t>1.6</w:t>
            </w:r>
          </w:p>
        </w:tc>
        <w:tc>
          <w:tcPr>
            <w:tcW w:w="1134" w:type="dxa"/>
            <w:tcBorders>
              <w:top w:val="nil"/>
              <w:left w:val="nil"/>
              <w:bottom w:val="single" w:sz="4" w:space="0" w:color="auto"/>
              <w:right w:val="nil"/>
            </w:tcBorders>
            <w:vAlign w:val="bottom"/>
            <w:hideMark/>
          </w:tcPr>
          <w:p w14:paraId="0AF90D5F" w14:textId="77777777" w:rsidR="00FE7F8B" w:rsidRDefault="00FE7F8B">
            <w:pPr>
              <w:pStyle w:val="TableTextFinancial"/>
              <w:jc w:val="right"/>
            </w:pPr>
            <w:r>
              <w:t>-</w:t>
            </w:r>
          </w:p>
        </w:tc>
      </w:tr>
      <w:tr w:rsidR="00FE7F8B" w14:paraId="2D8D3CDF" w14:textId="77777777" w:rsidTr="00FE7F8B">
        <w:tc>
          <w:tcPr>
            <w:tcW w:w="5108" w:type="dxa"/>
            <w:tcBorders>
              <w:top w:val="single" w:sz="4" w:space="0" w:color="auto"/>
              <w:left w:val="nil"/>
              <w:bottom w:val="single" w:sz="4" w:space="0" w:color="auto"/>
              <w:right w:val="nil"/>
            </w:tcBorders>
            <w:vAlign w:val="bottom"/>
            <w:hideMark/>
          </w:tcPr>
          <w:p w14:paraId="2260462C" w14:textId="77777777" w:rsidR="00FE7F8B" w:rsidRDefault="00FE7F8B">
            <w:pPr>
              <w:pStyle w:val="TableTextFinancial"/>
              <w:rPr>
                <w:b/>
              </w:rPr>
            </w:pPr>
            <w:r>
              <w:rPr>
                <w:b/>
              </w:rPr>
              <w:t>Total current borrowings</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6270BEB4" w14:textId="77777777" w:rsidR="00FE7F8B" w:rsidRDefault="00FE7F8B">
            <w:pPr>
              <w:pStyle w:val="TableTextFinancial"/>
              <w:jc w:val="right"/>
              <w:rPr>
                <w:b/>
              </w:rPr>
            </w:pPr>
            <w:r>
              <w:rPr>
                <w:b/>
              </w:rPr>
              <w:t>28.2</w:t>
            </w:r>
          </w:p>
        </w:tc>
        <w:tc>
          <w:tcPr>
            <w:tcW w:w="1134" w:type="dxa"/>
            <w:tcBorders>
              <w:top w:val="single" w:sz="4" w:space="0" w:color="auto"/>
              <w:left w:val="nil"/>
              <w:bottom w:val="single" w:sz="4" w:space="0" w:color="auto"/>
              <w:right w:val="nil"/>
            </w:tcBorders>
            <w:vAlign w:val="bottom"/>
            <w:hideMark/>
          </w:tcPr>
          <w:p w14:paraId="1A50EC7D" w14:textId="77777777" w:rsidR="00FE7F8B" w:rsidRDefault="00FE7F8B">
            <w:pPr>
              <w:pStyle w:val="TableTextFinancial"/>
              <w:jc w:val="right"/>
            </w:pPr>
            <w:r>
              <w:t>33.3</w:t>
            </w:r>
          </w:p>
        </w:tc>
      </w:tr>
      <w:tr w:rsidR="00FE7F8B" w14:paraId="697F8F94" w14:textId="77777777" w:rsidTr="00FE7F8B">
        <w:tc>
          <w:tcPr>
            <w:tcW w:w="5108" w:type="dxa"/>
            <w:tcBorders>
              <w:top w:val="nil"/>
              <w:left w:val="nil"/>
              <w:bottom w:val="nil"/>
              <w:right w:val="nil"/>
            </w:tcBorders>
            <w:vAlign w:val="bottom"/>
            <w:hideMark/>
          </w:tcPr>
          <w:p w14:paraId="1E64F91A" w14:textId="77777777" w:rsidR="00FE7F8B" w:rsidRDefault="00FE7F8B">
            <w:pPr>
              <w:pStyle w:val="TableTextFinancial"/>
              <w:rPr>
                <w:b/>
              </w:rPr>
            </w:pPr>
            <w:r>
              <w:rPr>
                <w:b/>
              </w:rPr>
              <w:t>Non-current borrowings</w:t>
            </w:r>
          </w:p>
        </w:tc>
        <w:tc>
          <w:tcPr>
            <w:tcW w:w="1134" w:type="dxa"/>
            <w:tcBorders>
              <w:top w:val="nil"/>
              <w:left w:val="nil"/>
              <w:bottom w:val="nil"/>
              <w:right w:val="nil"/>
            </w:tcBorders>
            <w:shd w:val="clear" w:color="auto" w:fill="F2F2F2" w:themeFill="background1" w:themeFillShade="F2"/>
            <w:vAlign w:val="bottom"/>
          </w:tcPr>
          <w:p w14:paraId="22B515DE" w14:textId="77777777" w:rsidR="00FE7F8B" w:rsidRDefault="00FE7F8B">
            <w:pPr>
              <w:pStyle w:val="TableTextFinancial"/>
              <w:jc w:val="right"/>
              <w:rPr>
                <w:b/>
              </w:rPr>
            </w:pPr>
          </w:p>
        </w:tc>
        <w:tc>
          <w:tcPr>
            <w:tcW w:w="1134" w:type="dxa"/>
            <w:tcBorders>
              <w:top w:val="nil"/>
              <w:left w:val="nil"/>
              <w:bottom w:val="nil"/>
              <w:right w:val="nil"/>
            </w:tcBorders>
            <w:vAlign w:val="bottom"/>
          </w:tcPr>
          <w:p w14:paraId="18149AB3" w14:textId="77777777" w:rsidR="00FE7F8B" w:rsidRDefault="00FE7F8B">
            <w:pPr>
              <w:pStyle w:val="TableTextFinancial"/>
              <w:jc w:val="right"/>
            </w:pPr>
          </w:p>
        </w:tc>
      </w:tr>
      <w:tr w:rsidR="00FE7F8B" w14:paraId="6D04B4AA" w14:textId="77777777" w:rsidTr="00FE7F8B">
        <w:tc>
          <w:tcPr>
            <w:tcW w:w="5108" w:type="dxa"/>
            <w:tcBorders>
              <w:top w:val="nil"/>
              <w:left w:val="nil"/>
              <w:bottom w:val="nil"/>
              <w:right w:val="nil"/>
            </w:tcBorders>
            <w:vAlign w:val="bottom"/>
            <w:hideMark/>
          </w:tcPr>
          <w:p w14:paraId="5DB416B4" w14:textId="77777777" w:rsidR="00FE7F8B" w:rsidRDefault="00FE7F8B">
            <w:pPr>
              <w:pStyle w:val="TableTextFinancial"/>
              <w:rPr>
                <w:b/>
              </w:rPr>
            </w:pPr>
            <w:r>
              <w:rPr>
                <w:b/>
              </w:rPr>
              <w:t>Finance lease liabilities</w:t>
            </w:r>
          </w:p>
        </w:tc>
        <w:tc>
          <w:tcPr>
            <w:tcW w:w="1134" w:type="dxa"/>
            <w:tcBorders>
              <w:top w:val="nil"/>
              <w:left w:val="nil"/>
              <w:bottom w:val="nil"/>
              <w:right w:val="nil"/>
            </w:tcBorders>
            <w:shd w:val="clear" w:color="auto" w:fill="F2F2F2" w:themeFill="background1" w:themeFillShade="F2"/>
            <w:vAlign w:val="bottom"/>
          </w:tcPr>
          <w:p w14:paraId="60D7CD7B" w14:textId="77777777" w:rsidR="00FE7F8B" w:rsidRDefault="00FE7F8B">
            <w:pPr>
              <w:pStyle w:val="TableTextFinancial"/>
              <w:jc w:val="right"/>
              <w:rPr>
                <w:b/>
              </w:rPr>
            </w:pPr>
          </w:p>
        </w:tc>
        <w:tc>
          <w:tcPr>
            <w:tcW w:w="1134" w:type="dxa"/>
            <w:tcBorders>
              <w:top w:val="nil"/>
              <w:left w:val="nil"/>
              <w:bottom w:val="nil"/>
              <w:right w:val="nil"/>
            </w:tcBorders>
            <w:vAlign w:val="bottom"/>
          </w:tcPr>
          <w:p w14:paraId="51F2DC92" w14:textId="77777777" w:rsidR="00FE7F8B" w:rsidRDefault="00FE7F8B">
            <w:pPr>
              <w:pStyle w:val="TableTextFinancial"/>
              <w:jc w:val="right"/>
            </w:pPr>
          </w:p>
        </w:tc>
      </w:tr>
      <w:tr w:rsidR="00FE7F8B" w14:paraId="050CB312" w14:textId="77777777" w:rsidTr="00FE7F8B">
        <w:tc>
          <w:tcPr>
            <w:tcW w:w="5108" w:type="dxa"/>
            <w:tcBorders>
              <w:top w:val="nil"/>
              <w:left w:val="nil"/>
              <w:bottom w:val="nil"/>
              <w:right w:val="nil"/>
            </w:tcBorders>
            <w:vAlign w:val="bottom"/>
            <w:hideMark/>
          </w:tcPr>
          <w:p w14:paraId="6893BF9D" w14:textId="77777777" w:rsidR="00FE7F8B" w:rsidRDefault="00FE7F8B" w:rsidP="005222FF">
            <w:pPr>
              <w:pStyle w:val="TableTextFinancial"/>
              <w:ind w:left="720"/>
            </w:pPr>
            <w:r>
              <w:t>PPP related finance lease liabilities</w:t>
            </w:r>
          </w:p>
        </w:tc>
        <w:tc>
          <w:tcPr>
            <w:tcW w:w="1134" w:type="dxa"/>
            <w:tcBorders>
              <w:top w:val="nil"/>
              <w:left w:val="nil"/>
              <w:bottom w:val="nil"/>
              <w:right w:val="nil"/>
            </w:tcBorders>
            <w:shd w:val="clear" w:color="auto" w:fill="F2F2F2" w:themeFill="background1" w:themeFillShade="F2"/>
            <w:vAlign w:val="bottom"/>
            <w:hideMark/>
          </w:tcPr>
          <w:p w14:paraId="072ACC92" w14:textId="77777777" w:rsidR="00FE7F8B" w:rsidRDefault="00FE7F8B">
            <w:pPr>
              <w:pStyle w:val="TableTextFinancial"/>
              <w:jc w:val="right"/>
              <w:rPr>
                <w:b/>
              </w:rPr>
            </w:pPr>
            <w:r>
              <w:rPr>
                <w:b/>
              </w:rPr>
              <w:t>160.1</w:t>
            </w:r>
          </w:p>
        </w:tc>
        <w:tc>
          <w:tcPr>
            <w:tcW w:w="1134" w:type="dxa"/>
            <w:tcBorders>
              <w:top w:val="nil"/>
              <w:left w:val="nil"/>
              <w:bottom w:val="nil"/>
              <w:right w:val="nil"/>
            </w:tcBorders>
            <w:vAlign w:val="bottom"/>
            <w:hideMark/>
          </w:tcPr>
          <w:p w14:paraId="0FF6AB0C" w14:textId="77777777" w:rsidR="00FE7F8B" w:rsidRDefault="00FE7F8B">
            <w:pPr>
              <w:pStyle w:val="TableTextFinancial"/>
              <w:jc w:val="right"/>
            </w:pPr>
            <w:r>
              <w:t>164.5</w:t>
            </w:r>
          </w:p>
        </w:tc>
      </w:tr>
      <w:tr w:rsidR="00FE7F8B" w14:paraId="26ED3B0A" w14:textId="77777777" w:rsidTr="00FE7F8B">
        <w:tc>
          <w:tcPr>
            <w:tcW w:w="5108" w:type="dxa"/>
            <w:tcBorders>
              <w:top w:val="nil"/>
              <w:left w:val="nil"/>
              <w:bottom w:val="nil"/>
              <w:right w:val="nil"/>
            </w:tcBorders>
            <w:vAlign w:val="bottom"/>
            <w:hideMark/>
          </w:tcPr>
          <w:p w14:paraId="533E667F" w14:textId="77777777" w:rsidR="00FE7F8B" w:rsidRDefault="00FE7F8B" w:rsidP="005222FF">
            <w:pPr>
              <w:pStyle w:val="TableTextFinancial"/>
              <w:ind w:left="720"/>
            </w:pPr>
            <w:r>
              <w:t>Motor vehicles related finance lease liabilities</w:t>
            </w:r>
          </w:p>
        </w:tc>
        <w:tc>
          <w:tcPr>
            <w:tcW w:w="1134" w:type="dxa"/>
            <w:tcBorders>
              <w:top w:val="nil"/>
              <w:left w:val="nil"/>
              <w:bottom w:val="nil"/>
              <w:right w:val="nil"/>
            </w:tcBorders>
            <w:shd w:val="clear" w:color="auto" w:fill="F2F2F2" w:themeFill="background1" w:themeFillShade="F2"/>
            <w:vAlign w:val="bottom"/>
            <w:hideMark/>
          </w:tcPr>
          <w:p w14:paraId="1BEEEF61" w14:textId="77777777" w:rsidR="00FE7F8B" w:rsidRDefault="00FE7F8B">
            <w:pPr>
              <w:pStyle w:val="TableTextFinancial"/>
              <w:jc w:val="right"/>
              <w:rPr>
                <w:b/>
              </w:rPr>
            </w:pPr>
            <w:r>
              <w:rPr>
                <w:b/>
              </w:rPr>
              <w:t>4.6</w:t>
            </w:r>
          </w:p>
        </w:tc>
        <w:tc>
          <w:tcPr>
            <w:tcW w:w="1134" w:type="dxa"/>
            <w:tcBorders>
              <w:top w:val="nil"/>
              <w:left w:val="nil"/>
              <w:bottom w:val="nil"/>
              <w:right w:val="nil"/>
            </w:tcBorders>
            <w:vAlign w:val="bottom"/>
            <w:hideMark/>
          </w:tcPr>
          <w:p w14:paraId="38621C87" w14:textId="77777777" w:rsidR="00FE7F8B" w:rsidRDefault="00FE7F8B">
            <w:pPr>
              <w:pStyle w:val="TableTextFinancial"/>
              <w:jc w:val="right"/>
            </w:pPr>
            <w:r>
              <w:t>4.2</w:t>
            </w:r>
          </w:p>
        </w:tc>
      </w:tr>
      <w:tr w:rsidR="00FE7F8B" w14:paraId="1562764C" w14:textId="77777777" w:rsidTr="00FE7F8B">
        <w:tc>
          <w:tcPr>
            <w:tcW w:w="5108" w:type="dxa"/>
            <w:tcBorders>
              <w:top w:val="nil"/>
              <w:left w:val="nil"/>
              <w:bottom w:val="nil"/>
              <w:right w:val="nil"/>
            </w:tcBorders>
            <w:vAlign w:val="bottom"/>
            <w:hideMark/>
          </w:tcPr>
          <w:p w14:paraId="75FEB9DC" w14:textId="77777777" w:rsidR="00FE7F8B" w:rsidRDefault="00FE7F8B">
            <w:pPr>
              <w:pStyle w:val="TableTextFinancial"/>
            </w:pPr>
            <w:r>
              <w:t>Advance from Public Account</w:t>
            </w:r>
            <w:r>
              <w:rPr>
                <w:vertAlign w:val="superscript"/>
              </w:rPr>
              <w:t>2</w:t>
            </w:r>
            <w:r>
              <w:t xml:space="preserve"> </w:t>
            </w:r>
          </w:p>
        </w:tc>
        <w:tc>
          <w:tcPr>
            <w:tcW w:w="1134" w:type="dxa"/>
            <w:tcBorders>
              <w:top w:val="nil"/>
              <w:left w:val="nil"/>
              <w:bottom w:val="nil"/>
              <w:right w:val="nil"/>
            </w:tcBorders>
            <w:shd w:val="clear" w:color="auto" w:fill="F2F2F2" w:themeFill="background1" w:themeFillShade="F2"/>
            <w:vAlign w:val="bottom"/>
            <w:hideMark/>
          </w:tcPr>
          <w:p w14:paraId="482D14D9" w14:textId="77777777" w:rsidR="00FE7F8B" w:rsidRDefault="00FE7F8B">
            <w:pPr>
              <w:pStyle w:val="TableTextFinancial"/>
              <w:jc w:val="right"/>
              <w:rPr>
                <w:b/>
              </w:rPr>
            </w:pPr>
            <w:r>
              <w:rPr>
                <w:b/>
              </w:rPr>
              <w:t>48.3</w:t>
            </w:r>
          </w:p>
        </w:tc>
        <w:tc>
          <w:tcPr>
            <w:tcW w:w="1134" w:type="dxa"/>
            <w:tcBorders>
              <w:top w:val="nil"/>
              <w:left w:val="nil"/>
              <w:bottom w:val="nil"/>
              <w:right w:val="nil"/>
            </w:tcBorders>
            <w:vAlign w:val="bottom"/>
            <w:hideMark/>
          </w:tcPr>
          <w:p w14:paraId="0485A047" w14:textId="77777777" w:rsidR="00FE7F8B" w:rsidRDefault="00FE7F8B">
            <w:pPr>
              <w:pStyle w:val="TableTextFinancial"/>
              <w:jc w:val="right"/>
            </w:pPr>
            <w:r>
              <w:t>41.7</w:t>
            </w:r>
          </w:p>
        </w:tc>
      </w:tr>
      <w:tr w:rsidR="00FE7F8B" w14:paraId="60A9813B" w14:textId="77777777" w:rsidTr="00FE7F8B">
        <w:tc>
          <w:tcPr>
            <w:tcW w:w="5108" w:type="dxa"/>
            <w:tcBorders>
              <w:top w:val="nil"/>
              <w:left w:val="nil"/>
              <w:bottom w:val="single" w:sz="4" w:space="0" w:color="auto"/>
              <w:right w:val="nil"/>
            </w:tcBorders>
            <w:vAlign w:val="bottom"/>
            <w:hideMark/>
          </w:tcPr>
          <w:p w14:paraId="7D61056B" w14:textId="77777777" w:rsidR="00FE7F8B" w:rsidRDefault="00FE7F8B">
            <w:pPr>
              <w:pStyle w:val="TableTextFinancial"/>
            </w:pPr>
            <w:r>
              <w:t>Other non-current</w:t>
            </w:r>
            <w:r>
              <w:rPr>
                <w:vertAlign w:val="superscript"/>
              </w:rPr>
              <w:t>3</w:t>
            </w:r>
            <w:r>
              <w:t xml:space="preserve"> </w:t>
            </w:r>
          </w:p>
        </w:tc>
        <w:tc>
          <w:tcPr>
            <w:tcW w:w="1134" w:type="dxa"/>
            <w:tcBorders>
              <w:top w:val="nil"/>
              <w:left w:val="nil"/>
              <w:bottom w:val="single" w:sz="4" w:space="0" w:color="auto"/>
              <w:right w:val="nil"/>
            </w:tcBorders>
            <w:shd w:val="clear" w:color="auto" w:fill="F2F2F2" w:themeFill="background1" w:themeFillShade="F2"/>
            <w:vAlign w:val="bottom"/>
            <w:hideMark/>
          </w:tcPr>
          <w:p w14:paraId="0E19C279" w14:textId="77777777" w:rsidR="00FE7F8B" w:rsidRDefault="00FE7F8B">
            <w:pPr>
              <w:pStyle w:val="TableTextFinancial"/>
              <w:jc w:val="right"/>
              <w:rPr>
                <w:b/>
              </w:rPr>
            </w:pPr>
            <w:r>
              <w:rPr>
                <w:b/>
              </w:rPr>
              <w:t>8.4</w:t>
            </w:r>
          </w:p>
        </w:tc>
        <w:tc>
          <w:tcPr>
            <w:tcW w:w="1134" w:type="dxa"/>
            <w:tcBorders>
              <w:top w:val="nil"/>
              <w:left w:val="nil"/>
              <w:bottom w:val="single" w:sz="4" w:space="0" w:color="auto"/>
              <w:right w:val="nil"/>
            </w:tcBorders>
            <w:vAlign w:val="bottom"/>
            <w:hideMark/>
          </w:tcPr>
          <w:p w14:paraId="0D466551" w14:textId="77777777" w:rsidR="00FE7F8B" w:rsidRDefault="00FE7F8B">
            <w:pPr>
              <w:pStyle w:val="TableTextFinancial"/>
              <w:jc w:val="right"/>
            </w:pPr>
            <w:r>
              <w:t>11.5</w:t>
            </w:r>
          </w:p>
        </w:tc>
      </w:tr>
      <w:tr w:rsidR="00FE7F8B" w14:paraId="0ADF5387" w14:textId="77777777" w:rsidTr="00FE7F8B">
        <w:tc>
          <w:tcPr>
            <w:tcW w:w="5108" w:type="dxa"/>
            <w:tcBorders>
              <w:top w:val="single" w:sz="4" w:space="0" w:color="auto"/>
              <w:left w:val="nil"/>
              <w:bottom w:val="single" w:sz="4" w:space="0" w:color="auto"/>
              <w:right w:val="nil"/>
            </w:tcBorders>
            <w:vAlign w:val="bottom"/>
            <w:hideMark/>
          </w:tcPr>
          <w:p w14:paraId="61CFA619" w14:textId="77777777" w:rsidR="00FE7F8B" w:rsidRDefault="00FE7F8B">
            <w:pPr>
              <w:pStyle w:val="TableTextFinancial"/>
              <w:rPr>
                <w:b/>
              </w:rPr>
            </w:pPr>
            <w:r>
              <w:rPr>
                <w:b/>
              </w:rPr>
              <w:t>Total non-current borrowings</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7623FBF9" w14:textId="77777777" w:rsidR="00FE7F8B" w:rsidRDefault="00FE7F8B">
            <w:pPr>
              <w:pStyle w:val="TableTextFinancial"/>
              <w:jc w:val="right"/>
              <w:rPr>
                <w:b/>
              </w:rPr>
            </w:pPr>
            <w:r>
              <w:rPr>
                <w:b/>
              </w:rPr>
              <w:t>221.4</w:t>
            </w:r>
          </w:p>
        </w:tc>
        <w:tc>
          <w:tcPr>
            <w:tcW w:w="1134" w:type="dxa"/>
            <w:tcBorders>
              <w:top w:val="single" w:sz="4" w:space="0" w:color="auto"/>
              <w:left w:val="nil"/>
              <w:bottom w:val="single" w:sz="4" w:space="0" w:color="auto"/>
              <w:right w:val="nil"/>
            </w:tcBorders>
            <w:vAlign w:val="bottom"/>
            <w:hideMark/>
          </w:tcPr>
          <w:p w14:paraId="5D867910" w14:textId="77777777" w:rsidR="00FE7F8B" w:rsidRDefault="00FE7F8B">
            <w:pPr>
              <w:pStyle w:val="TableTextFinancial"/>
              <w:jc w:val="right"/>
            </w:pPr>
            <w:r>
              <w:t>221.8</w:t>
            </w:r>
          </w:p>
        </w:tc>
      </w:tr>
      <w:tr w:rsidR="00FE7F8B" w14:paraId="09F81811" w14:textId="77777777" w:rsidTr="00FE7F8B">
        <w:tc>
          <w:tcPr>
            <w:tcW w:w="5108" w:type="dxa"/>
            <w:tcBorders>
              <w:top w:val="single" w:sz="4" w:space="0" w:color="auto"/>
              <w:left w:val="nil"/>
              <w:bottom w:val="single" w:sz="4" w:space="0" w:color="auto"/>
              <w:right w:val="nil"/>
            </w:tcBorders>
            <w:vAlign w:val="bottom"/>
            <w:hideMark/>
          </w:tcPr>
          <w:p w14:paraId="3494070F" w14:textId="77777777" w:rsidR="00FE7F8B" w:rsidRDefault="00FE7F8B">
            <w:pPr>
              <w:pStyle w:val="TableTextFinancial"/>
              <w:rPr>
                <w:b/>
              </w:rPr>
            </w:pPr>
            <w:r>
              <w:rPr>
                <w:b/>
              </w:rPr>
              <w:t>Total Borrowings</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2DDF99F3" w14:textId="77777777" w:rsidR="00FE7F8B" w:rsidRDefault="00FE7F8B">
            <w:pPr>
              <w:pStyle w:val="TableTextFinancial"/>
              <w:jc w:val="right"/>
              <w:rPr>
                <w:b/>
              </w:rPr>
            </w:pPr>
            <w:r>
              <w:rPr>
                <w:b/>
              </w:rPr>
              <w:t>249.6</w:t>
            </w:r>
          </w:p>
        </w:tc>
        <w:tc>
          <w:tcPr>
            <w:tcW w:w="1134" w:type="dxa"/>
            <w:tcBorders>
              <w:top w:val="single" w:sz="4" w:space="0" w:color="auto"/>
              <w:left w:val="nil"/>
              <w:bottom w:val="single" w:sz="4" w:space="0" w:color="auto"/>
              <w:right w:val="nil"/>
            </w:tcBorders>
            <w:vAlign w:val="bottom"/>
            <w:hideMark/>
          </w:tcPr>
          <w:p w14:paraId="7621CE66" w14:textId="77777777" w:rsidR="00FE7F8B" w:rsidRDefault="00FE7F8B">
            <w:pPr>
              <w:pStyle w:val="TableTextFinancial"/>
              <w:jc w:val="right"/>
            </w:pPr>
            <w:r>
              <w:t>255.1</w:t>
            </w:r>
          </w:p>
        </w:tc>
      </w:tr>
    </w:tbl>
    <w:p w14:paraId="0DC00524" w14:textId="77777777" w:rsidR="00FE7F8B" w:rsidRDefault="00FE7F8B" w:rsidP="00BB1129">
      <w:pPr>
        <w:pStyle w:val="DETFootnoteTextforobjectivestablesOHStable"/>
        <w:spacing w:before="120"/>
        <w:rPr>
          <w:rFonts w:ascii="Times New Roman" w:hAnsi="Times New Roman"/>
          <w:sz w:val="24"/>
          <w:szCs w:val="24"/>
        </w:rPr>
      </w:pPr>
      <w:r>
        <w:rPr>
          <w:sz w:val="14"/>
          <w:szCs w:val="14"/>
        </w:rPr>
        <w:t>1</w:t>
      </w:r>
      <w:r>
        <w:rPr>
          <w:szCs w:val="14"/>
        </w:rPr>
        <w:t xml:space="preserve"> </w:t>
      </w:r>
      <w:r>
        <w:t xml:space="preserve">Secured by the assets leased. Finance leases are effectively secured as the rights to the leased assets revert to the lessor in the event of default. Refer to Note 18 Leases for further information on finance lease liabilities. </w:t>
      </w:r>
    </w:p>
    <w:p w14:paraId="1A91FC10" w14:textId="77777777" w:rsidR="00FE7F8B" w:rsidRDefault="00FE7F8B" w:rsidP="00BB1129">
      <w:pPr>
        <w:pStyle w:val="DETFootnoteTextforobjectivestablesOHStable"/>
        <w:rPr>
          <w:rFonts w:ascii="Times New Roman" w:hAnsi="Times New Roman"/>
          <w:sz w:val="24"/>
          <w:szCs w:val="24"/>
        </w:rPr>
      </w:pPr>
      <w:r>
        <w:rPr>
          <w:sz w:val="14"/>
          <w:szCs w:val="14"/>
        </w:rPr>
        <w:t>2</w:t>
      </w:r>
      <w:r>
        <w:t xml:space="preserve"> These are unsecured loans which bear no interest. The terms of the loans are generally agreed by the Treasurer at the time the advance was provided. </w:t>
      </w:r>
    </w:p>
    <w:p w14:paraId="6D7FBE50" w14:textId="77777777" w:rsidR="00FE7F8B" w:rsidRDefault="00FE7F8B" w:rsidP="00BB1129">
      <w:pPr>
        <w:pStyle w:val="DETFootnoteTextforobjectivestablesOHStable"/>
        <w:rPr>
          <w:rFonts w:ascii="Times New Roman" w:hAnsi="Times New Roman"/>
          <w:sz w:val="24"/>
          <w:szCs w:val="24"/>
        </w:rPr>
      </w:pPr>
      <w:r>
        <w:rPr>
          <w:sz w:val="14"/>
          <w:szCs w:val="14"/>
        </w:rPr>
        <w:t>3</w:t>
      </w:r>
      <w:r>
        <w:t xml:space="preserve"> Other borrowings are made up of co-operative loans. Due to limitation of available information, the split between current and non-current other borrowings was not available in 2015. </w:t>
      </w:r>
    </w:p>
    <w:p w14:paraId="58B4EE5C" w14:textId="77777777" w:rsidR="00FE7F8B" w:rsidRDefault="00FE7F8B" w:rsidP="00AD641C">
      <w:pPr>
        <w:pStyle w:val="Heading3notesnumbered"/>
        <w:numPr>
          <w:ilvl w:val="0"/>
          <w:numId w:val="51"/>
        </w:numPr>
      </w:pPr>
      <w:r>
        <w:t>Maturity analysis of borrowings</w:t>
      </w:r>
    </w:p>
    <w:p w14:paraId="30291D75" w14:textId="77777777" w:rsidR="00FE7F8B" w:rsidRDefault="00FE7F8B" w:rsidP="00FE7F8B">
      <w:r>
        <w:t xml:space="preserve">See </w:t>
      </w:r>
      <w:r>
        <w:fldChar w:fldCharType="begin"/>
      </w:r>
      <w:r>
        <w:instrText xml:space="preserve"> REF _Ref399510206 \h </w:instrText>
      </w:r>
      <w:r>
        <w:fldChar w:fldCharType="separate"/>
      </w:r>
      <w:r w:rsidR="00B60957">
        <w:t xml:space="preserve">Table </w:t>
      </w:r>
      <w:r>
        <w:fldChar w:fldCharType="end"/>
      </w:r>
      <w:r>
        <w:t xml:space="preserve">12 in </w:t>
      </w:r>
      <w:r>
        <w:fldChar w:fldCharType="begin"/>
      </w:r>
      <w:r>
        <w:instrText xml:space="preserve"> REF _Ref399497947 \r \h </w:instrText>
      </w:r>
      <w:r>
        <w:fldChar w:fldCharType="separate"/>
      </w:r>
      <w:r w:rsidR="00B60957">
        <w:t>Note 17</w:t>
      </w:r>
      <w:r>
        <w:fldChar w:fldCharType="end"/>
      </w:r>
      <w:r>
        <w:t xml:space="preserve"> for the ageing analysis of borrowings.</w:t>
      </w:r>
    </w:p>
    <w:p w14:paraId="345BE9C5" w14:textId="77777777" w:rsidR="00FE7F8B" w:rsidRDefault="00FE7F8B" w:rsidP="00AD641C">
      <w:pPr>
        <w:pStyle w:val="Heading3notesnumbered"/>
        <w:numPr>
          <w:ilvl w:val="0"/>
          <w:numId w:val="51"/>
        </w:numPr>
      </w:pPr>
      <w:r>
        <w:t>Nature and extent of risk arising from borrowings</w:t>
      </w:r>
    </w:p>
    <w:p w14:paraId="4524035B" w14:textId="77777777" w:rsidR="00FE7F8B" w:rsidRDefault="00FE7F8B" w:rsidP="00FE7F8B">
      <w:r>
        <w:t xml:space="preserve">See </w:t>
      </w:r>
      <w:r>
        <w:fldChar w:fldCharType="begin"/>
      </w:r>
      <w:r>
        <w:instrText xml:space="preserve"> REF _Ref399497957 \r \h </w:instrText>
      </w:r>
      <w:r>
        <w:fldChar w:fldCharType="separate"/>
      </w:r>
      <w:r w:rsidR="00B60957">
        <w:t>Note 17</w:t>
      </w:r>
      <w:r>
        <w:fldChar w:fldCharType="end"/>
      </w:r>
      <w:r>
        <w:t xml:space="preserve"> for the nature and extent of risks arising from borrowings.</w:t>
      </w:r>
    </w:p>
    <w:p w14:paraId="11A19D44" w14:textId="77777777" w:rsidR="00FE7F8B" w:rsidRDefault="00FE7F8B" w:rsidP="00AD641C">
      <w:pPr>
        <w:pStyle w:val="Heading3notesnumbered"/>
        <w:numPr>
          <w:ilvl w:val="0"/>
          <w:numId w:val="51"/>
        </w:numPr>
      </w:pPr>
      <w:r>
        <w:t>Defaults and breaches</w:t>
      </w:r>
    </w:p>
    <w:p w14:paraId="001B0011" w14:textId="77777777" w:rsidR="00FE7F8B" w:rsidRDefault="00FE7F8B" w:rsidP="00FE7F8B">
      <w:r>
        <w:t>During the current and prior year, there were no defaults and breaches of any of the loans.</w:t>
      </w:r>
    </w:p>
    <w:p w14:paraId="26DE2ECB" w14:textId="77777777" w:rsidR="00FE7F8B" w:rsidRDefault="00FE7F8B" w:rsidP="00FE7F8B">
      <w:pPr>
        <w:spacing w:after="0" w:line="240" w:lineRule="auto"/>
        <w:sectPr w:rsidR="00FE7F8B">
          <w:footnotePr>
            <w:numRestart w:val="eachPage"/>
          </w:footnotePr>
          <w:pgSz w:w="11909" w:h="16834"/>
          <w:pgMar w:top="1814" w:right="1701" w:bottom="1418" w:left="2835" w:header="992" w:footer="454" w:gutter="0"/>
          <w:cols w:space="720"/>
        </w:sectPr>
      </w:pPr>
    </w:p>
    <w:p w14:paraId="34B5F871" w14:textId="77777777" w:rsidR="00FE7F8B" w:rsidRDefault="00FE7F8B" w:rsidP="00AD641C">
      <w:pPr>
        <w:pStyle w:val="Heading2notes"/>
        <w:numPr>
          <w:ilvl w:val="0"/>
          <w:numId w:val="39"/>
        </w:numPr>
      </w:pPr>
      <w:bookmarkStart w:id="98" w:name="_Toc461176303"/>
      <w:bookmarkStart w:id="99" w:name="_Toc399491071"/>
      <w:r>
        <w:t>Provisions</w:t>
      </w:r>
      <w:bookmarkEnd w:id="98"/>
      <w:bookmarkEnd w:id="99"/>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0"/>
        <w:gridCol w:w="850"/>
        <w:gridCol w:w="1135"/>
        <w:gridCol w:w="1135"/>
      </w:tblGrid>
      <w:tr w:rsidR="00FE7F8B" w14:paraId="7C6693A5" w14:textId="77777777" w:rsidTr="00FE7F8B">
        <w:tc>
          <w:tcPr>
            <w:tcW w:w="4258" w:type="dxa"/>
            <w:tcBorders>
              <w:top w:val="nil"/>
              <w:left w:val="nil"/>
              <w:bottom w:val="nil"/>
              <w:right w:val="nil"/>
            </w:tcBorders>
            <w:shd w:val="clear" w:color="auto" w:fill="7F7F7F" w:themeFill="text1" w:themeFillTint="80"/>
            <w:vAlign w:val="center"/>
          </w:tcPr>
          <w:p w14:paraId="4408CEFB" w14:textId="77777777" w:rsidR="00FE7F8B" w:rsidRDefault="00FE7F8B">
            <w:pPr>
              <w:pStyle w:val="Tablecolumnheading"/>
              <w:jc w:val="center"/>
              <w:rPr>
                <w:lang w:eastAsia="en-AU"/>
              </w:rPr>
            </w:pPr>
          </w:p>
        </w:tc>
        <w:tc>
          <w:tcPr>
            <w:tcW w:w="850" w:type="dxa"/>
            <w:tcBorders>
              <w:top w:val="nil"/>
              <w:left w:val="nil"/>
              <w:bottom w:val="nil"/>
              <w:right w:val="nil"/>
            </w:tcBorders>
            <w:shd w:val="clear" w:color="auto" w:fill="7F7F7F" w:themeFill="text1" w:themeFillTint="80"/>
            <w:vAlign w:val="center"/>
            <w:hideMark/>
          </w:tcPr>
          <w:p w14:paraId="20F95B69" w14:textId="77777777" w:rsidR="00FE7F8B" w:rsidRDefault="00FE7F8B">
            <w:pPr>
              <w:pStyle w:val="Tablecolumnheading"/>
              <w:jc w:val="center"/>
              <w:rPr>
                <w:lang w:eastAsia="en-AU"/>
              </w:rPr>
            </w:pPr>
            <w:r>
              <w:rPr>
                <w:lang w:eastAsia="en-AU"/>
              </w:rPr>
              <w:t>Note</w:t>
            </w:r>
          </w:p>
        </w:tc>
        <w:tc>
          <w:tcPr>
            <w:tcW w:w="1134" w:type="dxa"/>
            <w:tcBorders>
              <w:top w:val="nil"/>
              <w:left w:val="nil"/>
              <w:bottom w:val="nil"/>
              <w:right w:val="nil"/>
            </w:tcBorders>
            <w:shd w:val="clear" w:color="auto" w:fill="7F7F7F" w:themeFill="text1" w:themeFillTint="80"/>
            <w:vAlign w:val="center"/>
            <w:hideMark/>
          </w:tcPr>
          <w:p w14:paraId="19349806" w14:textId="77777777" w:rsidR="00FE7F8B" w:rsidRDefault="00FE7F8B">
            <w:pPr>
              <w:pStyle w:val="Tablecolumnheading"/>
              <w:jc w:val="center"/>
              <w:rPr>
                <w:lang w:eastAsia="en-AU"/>
              </w:rPr>
            </w:pPr>
            <w:r>
              <w:rPr>
                <w:lang w:eastAsia="en-AU"/>
              </w:rPr>
              <w:t>2016</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11B8DF98" w14:textId="77777777" w:rsidR="00FE7F8B" w:rsidRDefault="00FE7F8B">
            <w:pPr>
              <w:pStyle w:val="Tablecolumnheading"/>
              <w:jc w:val="center"/>
              <w:rPr>
                <w:lang w:eastAsia="en-AU"/>
              </w:rPr>
            </w:pPr>
            <w:r>
              <w:rPr>
                <w:lang w:eastAsia="en-AU"/>
              </w:rPr>
              <w:t>2015</w:t>
            </w:r>
            <w:r>
              <w:rPr>
                <w:lang w:eastAsia="en-AU"/>
              </w:rPr>
              <w:br/>
              <w:t>$m</w:t>
            </w:r>
          </w:p>
        </w:tc>
      </w:tr>
      <w:tr w:rsidR="00FE7F8B" w14:paraId="257ED9AC" w14:textId="77777777" w:rsidTr="00FE7F8B">
        <w:tc>
          <w:tcPr>
            <w:tcW w:w="7376" w:type="dxa"/>
            <w:gridSpan w:val="4"/>
            <w:tcBorders>
              <w:top w:val="nil"/>
              <w:left w:val="nil"/>
              <w:bottom w:val="nil"/>
              <w:right w:val="nil"/>
            </w:tcBorders>
            <w:vAlign w:val="bottom"/>
            <w:hideMark/>
          </w:tcPr>
          <w:p w14:paraId="063B2173" w14:textId="77777777" w:rsidR="00FE7F8B" w:rsidRDefault="00FE7F8B">
            <w:pPr>
              <w:pStyle w:val="Tabletextnoindent"/>
              <w:rPr>
                <w:b/>
              </w:rPr>
            </w:pPr>
            <w:r>
              <w:rPr>
                <w:b/>
              </w:rPr>
              <w:t>Current provisions</w:t>
            </w:r>
          </w:p>
        </w:tc>
      </w:tr>
      <w:tr w:rsidR="00FE7F8B" w14:paraId="3B799862" w14:textId="77777777" w:rsidTr="00FE7F8B">
        <w:tc>
          <w:tcPr>
            <w:tcW w:w="4258" w:type="dxa"/>
            <w:tcBorders>
              <w:top w:val="nil"/>
              <w:left w:val="nil"/>
              <w:bottom w:val="nil"/>
              <w:right w:val="nil"/>
            </w:tcBorders>
            <w:vAlign w:val="bottom"/>
            <w:hideMark/>
          </w:tcPr>
          <w:p w14:paraId="0E716B5C" w14:textId="77777777" w:rsidR="00FE7F8B" w:rsidRDefault="00FE7F8B">
            <w:pPr>
              <w:pStyle w:val="Tabletextnoindent"/>
              <w:rPr>
                <w:b/>
              </w:rPr>
            </w:pPr>
            <w:r>
              <w:rPr>
                <w:b/>
              </w:rPr>
              <w:t>Employee benefits</w:t>
            </w:r>
            <w:r>
              <w:rPr>
                <w:rStyle w:val="FootnoteReference"/>
              </w:rPr>
              <w:t>1</w:t>
            </w:r>
            <w:r>
              <w:rPr>
                <w:b/>
              </w:rPr>
              <w:t>—annual leave</w:t>
            </w:r>
          </w:p>
        </w:tc>
        <w:tc>
          <w:tcPr>
            <w:tcW w:w="850" w:type="dxa"/>
            <w:tcBorders>
              <w:top w:val="nil"/>
              <w:left w:val="nil"/>
              <w:bottom w:val="nil"/>
              <w:right w:val="nil"/>
            </w:tcBorders>
            <w:vAlign w:val="bottom"/>
          </w:tcPr>
          <w:p w14:paraId="30307407" w14:textId="77777777" w:rsidR="00FE7F8B" w:rsidRDefault="00FE7F8B">
            <w:pPr>
              <w:pStyle w:val="TableTextFinancial"/>
              <w:jc w:val="center"/>
            </w:pPr>
          </w:p>
        </w:tc>
        <w:tc>
          <w:tcPr>
            <w:tcW w:w="1134" w:type="dxa"/>
            <w:tcBorders>
              <w:top w:val="nil"/>
              <w:left w:val="nil"/>
              <w:bottom w:val="nil"/>
              <w:right w:val="nil"/>
            </w:tcBorders>
            <w:vAlign w:val="bottom"/>
          </w:tcPr>
          <w:p w14:paraId="4DDFEE95" w14:textId="77777777" w:rsidR="00FE7F8B" w:rsidRDefault="00FE7F8B">
            <w:pPr>
              <w:pStyle w:val="TableTextFinancial"/>
              <w:jc w:val="right"/>
            </w:pPr>
          </w:p>
        </w:tc>
        <w:tc>
          <w:tcPr>
            <w:tcW w:w="1134" w:type="dxa"/>
            <w:tcBorders>
              <w:top w:val="nil"/>
              <w:left w:val="nil"/>
              <w:bottom w:val="nil"/>
              <w:right w:val="nil"/>
            </w:tcBorders>
            <w:vAlign w:val="bottom"/>
          </w:tcPr>
          <w:p w14:paraId="22D0B341" w14:textId="77777777" w:rsidR="00FE7F8B" w:rsidRDefault="00FE7F8B">
            <w:pPr>
              <w:pStyle w:val="TableTextFinancial"/>
              <w:jc w:val="right"/>
            </w:pPr>
          </w:p>
        </w:tc>
      </w:tr>
      <w:tr w:rsidR="00FE7F8B" w14:paraId="7BCDAAF9" w14:textId="77777777" w:rsidTr="00FE7F8B">
        <w:tc>
          <w:tcPr>
            <w:tcW w:w="4258" w:type="dxa"/>
            <w:tcBorders>
              <w:top w:val="nil"/>
              <w:left w:val="nil"/>
              <w:bottom w:val="nil"/>
              <w:right w:val="nil"/>
            </w:tcBorders>
            <w:vAlign w:val="bottom"/>
            <w:hideMark/>
          </w:tcPr>
          <w:p w14:paraId="42D7C44A" w14:textId="77777777" w:rsidR="00FE7F8B" w:rsidRDefault="00FE7F8B">
            <w:pPr>
              <w:pStyle w:val="Tabletextnoindent"/>
            </w:pPr>
            <w:r>
              <w:t>Unconditional and expected to be settled within 12 months</w:t>
            </w:r>
          </w:p>
        </w:tc>
        <w:tc>
          <w:tcPr>
            <w:tcW w:w="850" w:type="dxa"/>
            <w:tcBorders>
              <w:top w:val="nil"/>
              <w:left w:val="nil"/>
              <w:bottom w:val="nil"/>
              <w:right w:val="nil"/>
            </w:tcBorders>
            <w:vAlign w:val="bottom"/>
          </w:tcPr>
          <w:p w14:paraId="6A9218CE"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01CE9372" w14:textId="77777777" w:rsidR="00FE7F8B" w:rsidRDefault="00FE7F8B">
            <w:pPr>
              <w:pStyle w:val="TableTextFinancial"/>
              <w:jc w:val="right"/>
              <w:rPr>
                <w:b/>
              </w:rPr>
            </w:pPr>
            <w:r>
              <w:rPr>
                <w:b/>
              </w:rPr>
              <w:t>77.7</w:t>
            </w:r>
          </w:p>
        </w:tc>
        <w:tc>
          <w:tcPr>
            <w:tcW w:w="1134" w:type="dxa"/>
            <w:tcBorders>
              <w:top w:val="nil"/>
              <w:left w:val="nil"/>
              <w:bottom w:val="nil"/>
              <w:right w:val="nil"/>
            </w:tcBorders>
            <w:vAlign w:val="bottom"/>
            <w:hideMark/>
          </w:tcPr>
          <w:p w14:paraId="6CFB3283" w14:textId="77777777" w:rsidR="00FE7F8B" w:rsidRDefault="00FE7F8B">
            <w:pPr>
              <w:pStyle w:val="TableTextFinancial"/>
              <w:jc w:val="right"/>
            </w:pPr>
            <w:r>
              <w:t>75.6</w:t>
            </w:r>
          </w:p>
        </w:tc>
      </w:tr>
      <w:tr w:rsidR="00FE7F8B" w14:paraId="42BCD167" w14:textId="77777777" w:rsidTr="00FE7F8B">
        <w:tc>
          <w:tcPr>
            <w:tcW w:w="4258" w:type="dxa"/>
            <w:tcBorders>
              <w:top w:val="nil"/>
              <w:left w:val="nil"/>
              <w:bottom w:val="nil"/>
              <w:right w:val="nil"/>
            </w:tcBorders>
            <w:vAlign w:val="bottom"/>
            <w:hideMark/>
          </w:tcPr>
          <w:p w14:paraId="1C250C11" w14:textId="77777777" w:rsidR="00FE7F8B" w:rsidRDefault="00FE7F8B">
            <w:pPr>
              <w:pStyle w:val="Tabletextnoindent"/>
            </w:pPr>
            <w:r>
              <w:t>Unconditional and expected to be settled after 12 months</w:t>
            </w:r>
          </w:p>
        </w:tc>
        <w:tc>
          <w:tcPr>
            <w:tcW w:w="850" w:type="dxa"/>
            <w:tcBorders>
              <w:top w:val="nil"/>
              <w:left w:val="nil"/>
              <w:bottom w:val="nil"/>
              <w:right w:val="nil"/>
            </w:tcBorders>
            <w:vAlign w:val="bottom"/>
          </w:tcPr>
          <w:p w14:paraId="544CBA85"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1E9C720F" w14:textId="77777777" w:rsidR="00FE7F8B" w:rsidRDefault="00FE7F8B">
            <w:pPr>
              <w:pStyle w:val="TableTextFinancial"/>
              <w:jc w:val="right"/>
              <w:rPr>
                <w:b/>
              </w:rPr>
            </w:pPr>
            <w:r>
              <w:rPr>
                <w:b/>
              </w:rPr>
              <w:t>10.1</w:t>
            </w:r>
          </w:p>
        </w:tc>
        <w:tc>
          <w:tcPr>
            <w:tcW w:w="1134" w:type="dxa"/>
            <w:tcBorders>
              <w:top w:val="nil"/>
              <w:left w:val="nil"/>
              <w:bottom w:val="nil"/>
              <w:right w:val="nil"/>
            </w:tcBorders>
            <w:vAlign w:val="bottom"/>
            <w:hideMark/>
          </w:tcPr>
          <w:p w14:paraId="72D078F2" w14:textId="77777777" w:rsidR="00FE7F8B" w:rsidRDefault="00FE7F8B">
            <w:pPr>
              <w:pStyle w:val="TableTextFinancial"/>
              <w:jc w:val="right"/>
            </w:pPr>
            <w:r>
              <w:t>9.7</w:t>
            </w:r>
          </w:p>
        </w:tc>
      </w:tr>
      <w:tr w:rsidR="00FE7F8B" w14:paraId="211E6529" w14:textId="77777777" w:rsidTr="00FE7F8B">
        <w:tc>
          <w:tcPr>
            <w:tcW w:w="4258" w:type="dxa"/>
            <w:tcBorders>
              <w:top w:val="nil"/>
              <w:left w:val="nil"/>
              <w:bottom w:val="nil"/>
              <w:right w:val="nil"/>
            </w:tcBorders>
            <w:vAlign w:val="bottom"/>
            <w:hideMark/>
          </w:tcPr>
          <w:p w14:paraId="60BA2F10" w14:textId="77777777" w:rsidR="00FE7F8B" w:rsidRDefault="00FE7F8B">
            <w:pPr>
              <w:pStyle w:val="Tabletextnoindent"/>
              <w:rPr>
                <w:b/>
              </w:rPr>
            </w:pPr>
            <w:r>
              <w:rPr>
                <w:b/>
              </w:rPr>
              <w:t>Employee benefits</w:t>
            </w:r>
            <w:r>
              <w:rPr>
                <w:rStyle w:val="FootnoteReference"/>
              </w:rPr>
              <w:t>1</w:t>
            </w:r>
            <w:r>
              <w:rPr>
                <w:b/>
              </w:rPr>
              <w:t>—long service leave</w:t>
            </w:r>
          </w:p>
        </w:tc>
        <w:tc>
          <w:tcPr>
            <w:tcW w:w="850" w:type="dxa"/>
            <w:tcBorders>
              <w:top w:val="nil"/>
              <w:left w:val="nil"/>
              <w:bottom w:val="nil"/>
              <w:right w:val="nil"/>
            </w:tcBorders>
            <w:vAlign w:val="bottom"/>
          </w:tcPr>
          <w:p w14:paraId="61AC6010"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tcPr>
          <w:p w14:paraId="2CEE2B31" w14:textId="77777777" w:rsidR="00FE7F8B" w:rsidRDefault="00FE7F8B">
            <w:pPr>
              <w:pStyle w:val="TableTextFinancial"/>
              <w:jc w:val="right"/>
              <w:rPr>
                <w:b/>
              </w:rPr>
            </w:pPr>
          </w:p>
        </w:tc>
        <w:tc>
          <w:tcPr>
            <w:tcW w:w="1134" w:type="dxa"/>
            <w:tcBorders>
              <w:top w:val="nil"/>
              <w:left w:val="nil"/>
              <w:bottom w:val="nil"/>
              <w:right w:val="nil"/>
            </w:tcBorders>
            <w:vAlign w:val="bottom"/>
          </w:tcPr>
          <w:p w14:paraId="47FBC76C" w14:textId="77777777" w:rsidR="00FE7F8B" w:rsidRDefault="00FE7F8B">
            <w:pPr>
              <w:pStyle w:val="TableTextFinancial"/>
              <w:jc w:val="right"/>
            </w:pPr>
          </w:p>
        </w:tc>
      </w:tr>
      <w:tr w:rsidR="00FE7F8B" w14:paraId="3F2B5543" w14:textId="77777777" w:rsidTr="00FE7F8B">
        <w:tc>
          <w:tcPr>
            <w:tcW w:w="4258" w:type="dxa"/>
            <w:tcBorders>
              <w:top w:val="nil"/>
              <w:left w:val="nil"/>
              <w:bottom w:val="nil"/>
              <w:right w:val="nil"/>
            </w:tcBorders>
            <w:vAlign w:val="bottom"/>
            <w:hideMark/>
          </w:tcPr>
          <w:p w14:paraId="261B9117" w14:textId="77777777" w:rsidR="00FE7F8B" w:rsidRDefault="00FE7F8B">
            <w:pPr>
              <w:pStyle w:val="Tabletextnoindent"/>
            </w:pPr>
            <w:r>
              <w:t>Unconditional and expected to be settled within 12 months</w:t>
            </w:r>
          </w:p>
        </w:tc>
        <w:tc>
          <w:tcPr>
            <w:tcW w:w="850" w:type="dxa"/>
            <w:tcBorders>
              <w:top w:val="nil"/>
              <w:left w:val="nil"/>
              <w:bottom w:val="nil"/>
              <w:right w:val="nil"/>
            </w:tcBorders>
            <w:vAlign w:val="bottom"/>
          </w:tcPr>
          <w:p w14:paraId="0A99E5DE"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4D142634" w14:textId="77777777" w:rsidR="00FE7F8B" w:rsidRDefault="00FE7F8B">
            <w:pPr>
              <w:pStyle w:val="TableTextFinancial"/>
              <w:jc w:val="right"/>
              <w:rPr>
                <w:b/>
              </w:rPr>
            </w:pPr>
            <w:r>
              <w:rPr>
                <w:b/>
              </w:rPr>
              <w:t>141.6</w:t>
            </w:r>
          </w:p>
        </w:tc>
        <w:tc>
          <w:tcPr>
            <w:tcW w:w="1134" w:type="dxa"/>
            <w:tcBorders>
              <w:top w:val="nil"/>
              <w:left w:val="nil"/>
              <w:bottom w:val="nil"/>
              <w:right w:val="nil"/>
            </w:tcBorders>
            <w:vAlign w:val="bottom"/>
            <w:hideMark/>
          </w:tcPr>
          <w:p w14:paraId="190A6758" w14:textId="77777777" w:rsidR="00FE7F8B" w:rsidRDefault="00FE7F8B">
            <w:pPr>
              <w:pStyle w:val="TableTextFinancial"/>
              <w:jc w:val="right"/>
            </w:pPr>
            <w:r>
              <w:t>125.1</w:t>
            </w:r>
          </w:p>
        </w:tc>
      </w:tr>
      <w:tr w:rsidR="00FE7F8B" w14:paraId="25E51508" w14:textId="77777777" w:rsidTr="00FE7F8B">
        <w:tc>
          <w:tcPr>
            <w:tcW w:w="4258" w:type="dxa"/>
            <w:tcBorders>
              <w:top w:val="nil"/>
              <w:left w:val="nil"/>
              <w:bottom w:val="nil"/>
              <w:right w:val="nil"/>
            </w:tcBorders>
            <w:vAlign w:val="bottom"/>
            <w:hideMark/>
          </w:tcPr>
          <w:p w14:paraId="7C72D150" w14:textId="77777777" w:rsidR="00FE7F8B" w:rsidRDefault="00FE7F8B">
            <w:pPr>
              <w:pStyle w:val="Tabletextnoindent"/>
            </w:pPr>
            <w:r>
              <w:t>Unconditional and expected to be settled after 12 months</w:t>
            </w:r>
          </w:p>
        </w:tc>
        <w:tc>
          <w:tcPr>
            <w:tcW w:w="850" w:type="dxa"/>
            <w:tcBorders>
              <w:top w:val="nil"/>
              <w:left w:val="nil"/>
              <w:bottom w:val="nil"/>
              <w:right w:val="nil"/>
            </w:tcBorders>
            <w:vAlign w:val="bottom"/>
          </w:tcPr>
          <w:p w14:paraId="5BD4F26E"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13655648" w14:textId="77777777" w:rsidR="00FE7F8B" w:rsidRDefault="00FE7F8B">
            <w:pPr>
              <w:pStyle w:val="TableTextFinancial"/>
              <w:jc w:val="right"/>
              <w:rPr>
                <w:b/>
              </w:rPr>
            </w:pPr>
            <w:r>
              <w:rPr>
                <w:b/>
              </w:rPr>
              <w:t>809.6</w:t>
            </w:r>
          </w:p>
        </w:tc>
        <w:tc>
          <w:tcPr>
            <w:tcW w:w="1134" w:type="dxa"/>
            <w:tcBorders>
              <w:top w:val="nil"/>
              <w:left w:val="nil"/>
              <w:bottom w:val="nil"/>
              <w:right w:val="nil"/>
            </w:tcBorders>
            <w:vAlign w:val="bottom"/>
            <w:hideMark/>
          </w:tcPr>
          <w:p w14:paraId="31ABC659" w14:textId="77777777" w:rsidR="00FE7F8B" w:rsidRDefault="00FE7F8B">
            <w:pPr>
              <w:pStyle w:val="TableTextFinancial"/>
              <w:jc w:val="right"/>
            </w:pPr>
            <w:r>
              <w:t>761.7</w:t>
            </w:r>
          </w:p>
        </w:tc>
      </w:tr>
      <w:tr w:rsidR="00FE7F8B" w14:paraId="61CD513A" w14:textId="77777777" w:rsidTr="00FE7F8B">
        <w:tc>
          <w:tcPr>
            <w:tcW w:w="4258" w:type="dxa"/>
            <w:tcBorders>
              <w:top w:val="nil"/>
              <w:left w:val="nil"/>
              <w:bottom w:val="nil"/>
              <w:right w:val="nil"/>
            </w:tcBorders>
            <w:vAlign w:val="bottom"/>
            <w:hideMark/>
          </w:tcPr>
          <w:p w14:paraId="60649F6F" w14:textId="77777777" w:rsidR="00FE7F8B" w:rsidRDefault="00FE7F8B">
            <w:pPr>
              <w:pStyle w:val="Tabletextnoindent"/>
              <w:rPr>
                <w:b/>
              </w:rPr>
            </w:pPr>
            <w:r>
              <w:rPr>
                <w:b/>
              </w:rPr>
              <w:t>Employee benefits</w:t>
            </w:r>
            <w:r>
              <w:rPr>
                <w:rStyle w:val="FootnoteReference"/>
              </w:rPr>
              <w:t>1</w:t>
            </w:r>
            <w:r>
              <w:rPr>
                <w:b/>
              </w:rPr>
              <w:t>—other</w:t>
            </w:r>
          </w:p>
        </w:tc>
        <w:tc>
          <w:tcPr>
            <w:tcW w:w="850" w:type="dxa"/>
            <w:tcBorders>
              <w:top w:val="nil"/>
              <w:left w:val="nil"/>
              <w:bottom w:val="nil"/>
              <w:right w:val="nil"/>
            </w:tcBorders>
            <w:vAlign w:val="bottom"/>
          </w:tcPr>
          <w:p w14:paraId="0F4542C3"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tcPr>
          <w:p w14:paraId="6F1EF9B8" w14:textId="77777777" w:rsidR="00FE7F8B" w:rsidRDefault="00FE7F8B">
            <w:pPr>
              <w:pStyle w:val="TableTextFinancial"/>
              <w:jc w:val="right"/>
              <w:rPr>
                <w:b/>
              </w:rPr>
            </w:pPr>
          </w:p>
        </w:tc>
        <w:tc>
          <w:tcPr>
            <w:tcW w:w="1134" w:type="dxa"/>
            <w:tcBorders>
              <w:top w:val="nil"/>
              <w:left w:val="nil"/>
              <w:bottom w:val="nil"/>
              <w:right w:val="nil"/>
            </w:tcBorders>
            <w:vAlign w:val="bottom"/>
          </w:tcPr>
          <w:p w14:paraId="125F019B" w14:textId="77777777" w:rsidR="00FE7F8B" w:rsidRDefault="00FE7F8B">
            <w:pPr>
              <w:pStyle w:val="TableTextFinancial"/>
              <w:jc w:val="right"/>
            </w:pPr>
          </w:p>
        </w:tc>
      </w:tr>
      <w:tr w:rsidR="00FE7F8B" w14:paraId="5B5406C8" w14:textId="77777777" w:rsidTr="00FE7F8B">
        <w:tc>
          <w:tcPr>
            <w:tcW w:w="4258" w:type="dxa"/>
            <w:tcBorders>
              <w:top w:val="nil"/>
              <w:left w:val="nil"/>
              <w:bottom w:val="single" w:sz="4" w:space="0" w:color="auto"/>
              <w:right w:val="nil"/>
            </w:tcBorders>
            <w:vAlign w:val="bottom"/>
            <w:hideMark/>
          </w:tcPr>
          <w:p w14:paraId="1CB20792" w14:textId="77777777" w:rsidR="00FE7F8B" w:rsidRDefault="00FE7F8B">
            <w:pPr>
              <w:pStyle w:val="Tabletextnoindent"/>
            </w:pPr>
            <w:r>
              <w:t>Unconditional and expected to be settled within 12 months</w:t>
            </w:r>
          </w:p>
        </w:tc>
        <w:tc>
          <w:tcPr>
            <w:tcW w:w="850" w:type="dxa"/>
            <w:tcBorders>
              <w:top w:val="nil"/>
              <w:left w:val="nil"/>
              <w:bottom w:val="single" w:sz="4" w:space="0" w:color="auto"/>
              <w:right w:val="nil"/>
            </w:tcBorders>
            <w:vAlign w:val="bottom"/>
          </w:tcPr>
          <w:p w14:paraId="74D93C49" w14:textId="77777777" w:rsidR="00FE7F8B" w:rsidRDefault="00FE7F8B">
            <w:pPr>
              <w:pStyle w:val="TableTextFinancial"/>
              <w:jc w:val="center"/>
            </w:pPr>
          </w:p>
        </w:tc>
        <w:tc>
          <w:tcPr>
            <w:tcW w:w="1134" w:type="dxa"/>
            <w:tcBorders>
              <w:top w:val="nil"/>
              <w:left w:val="nil"/>
              <w:bottom w:val="single" w:sz="4" w:space="0" w:color="auto"/>
              <w:right w:val="nil"/>
            </w:tcBorders>
            <w:shd w:val="clear" w:color="auto" w:fill="F2F2F2" w:themeFill="background1" w:themeFillShade="F2"/>
            <w:vAlign w:val="bottom"/>
            <w:hideMark/>
          </w:tcPr>
          <w:p w14:paraId="4CEAAAF7" w14:textId="77777777" w:rsidR="00FE7F8B" w:rsidRDefault="00FE7F8B">
            <w:pPr>
              <w:pStyle w:val="TableTextFinancial"/>
              <w:jc w:val="right"/>
              <w:rPr>
                <w:b/>
              </w:rPr>
            </w:pPr>
            <w:r>
              <w:rPr>
                <w:b/>
              </w:rPr>
              <w:t>3.3</w:t>
            </w:r>
          </w:p>
        </w:tc>
        <w:tc>
          <w:tcPr>
            <w:tcW w:w="1134" w:type="dxa"/>
            <w:tcBorders>
              <w:top w:val="nil"/>
              <w:left w:val="nil"/>
              <w:bottom w:val="single" w:sz="4" w:space="0" w:color="auto"/>
              <w:right w:val="nil"/>
            </w:tcBorders>
            <w:vAlign w:val="bottom"/>
            <w:hideMark/>
          </w:tcPr>
          <w:p w14:paraId="61AD95AD" w14:textId="77777777" w:rsidR="00FE7F8B" w:rsidRDefault="00FE7F8B">
            <w:pPr>
              <w:pStyle w:val="TableTextFinancial"/>
              <w:jc w:val="right"/>
            </w:pPr>
            <w:r>
              <w:t>2.5</w:t>
            </w:r>
          </w:p>
        </w:tc>
      </w:tr>
      <w:tr w:rsidR="00FE7F8B" w14:paraId="0F95291E" w14:textId="77777777" w:rsidTr="00FE7F8B">
        <w:tc>
          <w:tcPr>
            <w:tcW w:w="4258" w:type="dxa"/>
            <w:tcBorders>
              <w:top w:val="single" w:sz="4" w:space="0" w:color="auto"/>
              <w:left w:val="nil"/>
              <w:bottom w:val="single" w:sz="4" w:space="0" w:color="auto"/>
              <w:right w:val="nil"/>
            </w:tcBorders>
            <w:vAlign w:val="bottom"/>
            <w:hideMark/>
          </w:tcPr>
          <w:p w14:paraId="419506F0" w14:textId="77777777" w:rsidR="00FE7F8B" w:rsidRDefault="00FE7F8B">
            <w:pPr>
              <w:pStyle w:val="Tabletextnoindent"/>
              <w:rPr>
                <w:b/>
              </w:rPr>
            </w:pPr>
            <w:r>
              <w:rPr>
                <w:b/>
              </w:rPr>
              <w:t>Total</w:t>
            </w:r>
          </w:p>
        </w:tc>
        <w:tc>
          <w:tcPr>
            <w:tcW w:w="850" w:type="dxa"/>
            <w:tcBorders>
              <w:top w:val="single" w:sz="4" w:space="0" w:color="auto"/>
              <w:left w:val="nil"/>
              <w:bottom w:val="single" w:sz="4" w:space="0" w:color="auto"/>
              <w:right w:val="nil"/>
            </w:tcBorders>
            <w:vAlign w:val="bottom"/>
            <w:hideMark/>
          </w:tcPr>
          <w:p w14:paraId="0D380EB1" w14:textId="77777777" w:rsidR="00FE7F8B" w:rsidRDefault="00FE7F8B">
            <w:pPr>
              <w:pStyle w:val="TableTextFinancial"/>
              <w:jc w:val="center"/>
            </w:pPr>
            <w:r>
              <w:t>14(a)</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3A984630" w14:textId="77777777" w:rsidR="00FE7F8B" w:rsidRDefault="00FE7F8B">
            <w:pPr>
              <w:pStyle w:val="TableTextFinancial"/>
              <w:jc w:val="right"/>
              <w:rPr>
                <w:b/>
              </w:rPr>
            </w:pPr>
            <w:r>
              <w:rPr>
                <w:b/>
              </w:rPr>
              <w:t>1,042.2</w:t>
            </w:r>
          </w:p>
        </w:tc>
        <w:tc>
          <w:tcPr>
            <w:tcW w:w="1134" w:type="dxa"/>
            <w:tcBorders>
              <w:top w:val="single" w:sz="4" w:space="0" w:color="auto"/>
              <w:left w:val="nil"/>
              <w:bottom w:val="single" w:sz="4" w:space="0" w:color="auto"/>
              <w:right w:val="nil"/>
            </w:tcBorders>
            <w:vAlign w:val="bottom"/>
            <w:hideMark/>
          </w:tcPr>
          <w:p w14:paraId="7EC96784" w14:textId="77777777" w:rsidR="00FE7F8B" w:rsidRDefault="00FE7F8B">
            <w:pPr>
              <w:pStyle w:val="TableTextFinancial"/>
              <w:jc w:val="right"/>
            </w:pPr>
            <w:r>
              <w:t>974.6</w:t>
            </w:r>
          </w:p>
        </w:tc>
      </w:tr>
      <w:tr w:rsidR="00FE7F8B" w14:paraId="6A5A62E3" w14:textId="77777777" w:rsidTr="00FE7F8B">
        <w:tc>
          <w:tcPr>
            <w:tcW w:w="4258" w:type="dxa"/>
            <w:tcBorders>
              <w:top w:val="single" w:sz="4" w:space="0" w:color="auto"/>
              <w:left w:val="nil"/>
              <w:bottom w:val="nil"/>
              <w:right w:val="nil"/>
            </w:tcBorders>
            <w:vAlign w:val="bottom"/>
            <w:hideMark/>
          </w:tcPr>
          <w:p w14:paraId="6857289B" w14:textId="77777777" w:rsidR="00FE7F8B" w:rsidRDefault="00FE7F8B">
            <w:pPr>
              <w:pStyle w:val="Tabletextnoindent"/>
              <w:rPr>
                <w:b/>
              </w:rPr>
            </w:pPr>
            <w:r>
              <w:rPr>
                <w:b/>
              </w:rPr>
              <w:t>Provisions related to employee benefit on-costs</w:t>
            </w:r>
          </w:p>
        </w:tc>
        <w:tc>
          <w:tcPr>
            <w:tcW w:w="850" w:type="dxa"/>
            <w:tcBorders>
              <w:top w:val="single" w:sz="4" w:space="0" w:color="auto"/>
              <w:left w:val="nil"/>
              <w:bottom w:val="nil"/>
              <w:right w:val="nil"/>
            </w:tcBorders>
            <w:vAlign w:val="bottom"/>
          </w:tcPr>
          <w:p w14:paraId="72BDB1CD" w14:textId="77777777" w:rsidR="00FE7F8B" w:rsidRDefault="00FE7F8B">
            <w:pPr>
              <w:pStyle w:val="TableTextFinancial"/>
              <w:jc w:val="center"/>
            </w:pPr>
          </w:p>
        </w:tc>
        <w:tc>
          <w:tcPr>
            <w:tcW w:w="1134" w:type="dxa"/>
            <w:tcBorders>
              <w:top w:val="single" w:sz="4" w:space="0" w:color="auto"/>
              <w:left w:val="nil"/>
              <w:bottom w:val="nil"/>
              <w:right w:val="nil"/>
            </w:tcBorders>
            <w:shd w:val="clear" w:color="auto" w:fill="F2F2F2" w:themeFill="background1" w:themeFillShade="F2"/>
            <w:vAlign w:val="bottom"/>
          </w:tcPr>
          <w:p w14:paraId="725AEA19" w14:textId="77777777" w:rsidR="00FE7F8B" w:rsidRDefault="00FE7F8B">
            <w:pPr>
              <w:pStyle w:val="TableTextFinancial"/>
              <w:jc w:val="right"/>
              <w:rPr>
                <w:b/>
              </w:rPr>
            </w:pPr>
          </w:p>
        </w:tc>
        <w:tc>
          <w:tcPr>
            <w:tcW w:w="1134" w:type="dxa"/>
            <w:tcBorders>
              <w:top w:val="single" w:sz="4" w:space="0" w:color="auto"/>
              <w:left w:val="nil"/>
              <w:bottom w:val="nil"/>
              <w:right w:val="nil"/>
            </w:tcBorders>
            <w:vAlign w:val="bottom"/>
          </w:tcPr>
          <w:p w14:paraId="24D3BF30" w14:textId="77777777" w:rsidR="00FE7F8B" w:rsidRDefault="00FE7F8B">
            <w:pPr>
              <w:pStyle w:val="TableTextFinancial"/>
              <w:jc w:val="right"/>
            </w:pPr>
          </w:p>
        </w:tc>
      </w:tr>
      <w:tr w:rsidR="00FE7F8B" w14:paraId="3A9A76F5" w14:textId="77777777" w:rsidTr="00FE7F8B">
        <w:tc>
          <w:tcPr>
            <w:tcW w:w="4258" w:type="dxa"/>
            <w:tcBorders>
              <w:top w:val="nil"/>
              <w:left w:val="nil"/>
              <w:bottom w:val="nil"/>
              <w:right w:val="nil"/>
            </w:tcBorders>
            <w:vAlign w:val="bottom"/>
            <w:hideMark/>
          </w:tcPr>
          <w:p w14:paraId="28907F20" w14:textId="77777777" w:rsidR="00FE7F8B" w:rsidRDefault="00FE7F8B">
            <w:pPr>
              <w:pStyle w:val="Tabletextnoindent"/>
            </w:pPr>
            <w:r>
              <w:t>Unconditional and expected to be settled within 12 months</w:t>
            </w:r>
          </w:p>
        </w:tc>
        <w:tc>
          <w:tcPr>
            <w:tcW w:w="850" w:type="dxa"/>
            <w:tcBorders>
              <w:top w:val="nil"/>
              <w:left w:val="nil"/>
              <w:bottom w:val="nil"/>
              <w:right w:val="nil"/>
            </w:tcBorders>
            <w:vAlign w:val="bottom"/>
          </w:tcPr>
          <w:p w14:paraId="4A69AE3D"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534E3C2A" w14:textId="77777777" w:rsidR="00FE7F8B" w:rsidRDefault="00FE7F8B">
            <w:pPr>
              <w:pStyle w:val="TableTextFinancial"/>
              <w:jc w:val="right"/>
              <w:rPr>
                <w:b/>
              </w:rPr>
            </w:pPr>
            <w:r>
              <w:rPr>
                <w:b/>
              </w:rPr>
              <w:t>33.4</w:t>
            </w:r>
          </w:p>
        </w:tc>
        <w:tc>
          <w:tcPr>
            <w:tcW w:w="1134" w:type="dxa"/>
            <w:tcBorders>
              <w:top w:val="nil"/>
              <w:left w:val="nil"/>
              <w:bottom w:val="nil"/>
              <w:right w:val="nil"/>
            </w:tcBorders>
            <w:vAlign w:val="bottom"/>
            <w:hideMark/>
          </w:tcPr>
          <w:p w14:paraId="7B670792" w14:textId="77777777" w:rsidR="00FE7F8B" w:rsidRDefault="00FE7F8B">
            <w:pPr>
              <w:pStyle w:val="TableTextFinancial"/>
              <w:jc w:val="right"/>
            </w:pPr>
            <w:r>
              <w:t>33.2</w:t>
            </w:r>
          </w:p>
        </w:tc>
      </w:tr>
      <w:tr w:rsidR="00FE7F8B" w14:paraId="5457A0B5" w14:textId="77777777" w:rsidTr="00FE7F8B">
        <w:tc>
          <w:tcPr>
            <w:tcW w:w="4258" w:type="dxa"/>
            <w:tcBorders>
              <w:top w:val="nil"/>
              <w:left w:val="nil"/>
              <w:bottom w:val="single" w:sz="4" w:space="0" w:color="auto"/>
              <w:right w:val="nil"/>
            </w:tcBorders>
            <w:vAlign w:val="bottom"/>
            <w:hideMark/>
          </w:tcPr>
          <w:p w14:paraId="52D265DA" w14:textId="77777777" w:rsidR="00FE7F8B" w:rsidRDefault="00FE7F8B">
            <w:pPr>
              <w:pStyle w:val="Tabletextnoindent"/>
            </w:pPr>
            <w:r>
              <w:t>Unconditional and expected to be settled after 12 months</w:t>
            </w:r>
          </w:p>
        </w:tc>
        <w:tc>
          <w:tcPr>
            <w:tcW w:w="850" w:type="dxa"/>
            <w:tcBorders>
              <w:top w:val="nil"/>
              <w:left w:val="nil"/>
              <w:bottom w:val="single" w:sz="4" w:space="0" w:color="auto"/>
              <w:right w:val="nil"/>
            </w:tcBorders>
            <w:vAlign w:val="bottom"/>
          </w:tcPr>
          <w:p w14:paraId="6C9A35A8" w14:textId="77777777" w:rsidR="00FE7F8B" w:rsidRDefault="00FE7F8B">
            <w:pPr>
              <w:pStyle w:val="TableTextFinancial"/>
              <w:jc w:val="center"/>
            </w:pPr>
          </w:p>
        </w:tc>
        <w:tc>
          <w:tcPr>
            <w:tcW w:w="1134" w:type="dxa"/>
            <w:tcBorders>
              <w:top w:val="nil"/>
              <w:left w:val="nil"/>
              <w:bottom w:val="single" w:sz="4" w:space="0" w:color="auto"/>
              <w:right w:val="nil"/>
            </w:tcBorders>
            <w:shd w:val="clear" w:color="auto" w:fill="F2F2F2" w:themeFill="background1" w:themeFillShade="F2"/>
            <w:vAlign w:val="bottom"/>
            <w:hideMark/>
          </w:tcPr>
          <w:p w14:paraId="73096996" w14:textId="77777777" w:rsidR="00FE7F8B" w:rsidRDefault="00FE7F8B">
            <w:pPr>
              <w:pStyle w:val="TableTextFinancial"/>
              <w:jc w:val="right"/>
              <w:rPr>
                <w:b/>
              </w:rPr>
            </w:pPr>
            <w:r>
              <w:rPr>
                <w:b/>
              </w:rPr>
              <w:t>134.4</w:t>
            </w:r>
          </w:p>
        </w:tc>
        <w:tc>
          <w:tcPr>
            <w:tcW w:w="1134" w:type="dxa"/>
            <w:tcBorders>
              <w:top w:val="nil"/>
              <w:left w:val="nil"/>
              <w:bottom w:val="single" w:sz="4" w:space="0" w:color="auto"/>
              <w:right w:val="nil"/>
            </w:tcBorders>
            <w:vAlign w:val="bottom"/>
            <w:hideMark/>
          </w:tcPr>
          <w:p w14:paraId="4B248D90" w14:textId="77777777" w:rsidR="00FE7F8B" w:rsidRDefault="00FE7F8B">
            <w:pPr>
              <w:pStyle w:val="TableTextFinancial"/>
              <w:jc w:val="right"/>
            </w:pPr>
            <w:r>
              <w:t>132.5</w:t>
            </w:r>
          </w:p>
        </w:tc>
      </w:tr>
      <w:tr w:rsidR="00FE7F8B" w14:paraId="0269DE3C" w14:textId="77777777" w:rsidTr="00FE7F8B">
        <w:tc>
          <w:tcPr>
            <w:tcW w:w="4258" w:type="dxa"/>
            <w:tcBorders>
              <w:top w:val="single" w:sz="4" w:space="0" w:color="auto"/>
              <w:left w:val="nil"/>
              <w:bottom w:val="single" w:sz="4" w:space="0" w:color="auto"/>
              <w:right w:val="nil"/>
            </w:tcBorders>
            <w:vAlign w:val="bottom"/>
            <w:hideMark/>
          </w:tcPr>
          <w:p w14:paraId="40BD1FF6" w14:textId="77777777" w:rsidR="00FE7F8B" w:rsidRDefault="00FE7F8B">
            <w:pPr>
              <w:pStyle w:val="Tabletextnoindent"/>
              <w:rPr>
                <w:b/>
              </w:rPr>
            </w:pPr>
            <w:r>
              <w:rPr>
                <w:b/>
              </w:rPr>
              <w:t>Total</w:t>
            </w:r>
          </w:p>
        </w:tc>
        <w:tc>
          <w:tcPr>
            <w:tcW w:w="850" w:type="dxa"/>
            <w:tcBorders>
              <w:top w:val="single" w:sz="4" w:space="0" w:color="auto"/>
              <w:left w:val="nil"/>
              <w:bottom w:val="single" w:sz="4" w:space="0" w:color="auto"/>
              <w:right w:val="nil"/>
            </w:tcBorders>
            <w:vAlign w:val="bottom"/>
            <w:hideMark/>
          </w:tcPr>
          <w:p w14:paraId="328002E6" w14:textId="77777777" w:rsidR="00FE7F8B" w:rsidRDefault="00FE7F8B">
            <w:pPr>
              <w:pStyle w:val="TableTextFinancial"/>
              <w:jc w:val="center"/>
            </w:pPr>
            <w:r>
              <w:t>14(a)</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73FC05EC" w14:textId="77777777" w:rsidR="00FE7F8B" w:rsidRDefault="00FE7F8B">
            <w:pPr>
              <w:pStyle w:val="TableTextFinancial"/>
              <w:jc w:val="right"/>
              <w:rPr>
                <w:b/>
              </w:rPr>
            </w:pPr>
            <w:r>
              <w:rPr>
                <w:b/>
              </w:rPr>
              <w:t>167.8</w:t>
            </w:r>
          </w:p>
        </w:tc>
        <w:tc>
          <w:tcPr>
            <w:tcW w:w="1134" w:type="dxa"/>
            <w:tcBorders>
              <w:top w:val="single" w:sz="4" w:space="0" w:color="auto"/>
              <w:left w:val="nil"/>
              <w:bottom w:val="single" w:sz="4" w:space="0" w:color="auto"/>
              <w:right w:val="nil"/>
            </w:tcBorders>
            <w:vAlign w:val="bottom"/>
            <w:hideMark/>
          </w:tcPr>
          <w:p w14:paraId="267C1CCE" w14:textId="77777777" w:rsidR="00FE7F8B" w:rsidRDefault="00FE7F8B">
            <w:pPr>
              <w:pStyle w:val="TableTextFinancial"/>
              <w:jc w:val="right"/>
            </w:pPr>
            <w:r>
              <w:t>165.6</w:t>
            </w:r>
          </w:p>
        </w:tc>
      </w:tr>
      <w:tr w:rsidR="00FE7F8B" w14:paraId="240037A6" w14:textId="77777777" w:rsidTr="00FE7F8B">
        <w:tc>
          <w:tcPr>
            <w:tcW w:w="4258" w:type="dxa"/>
            <w:tcBorders>
              <w:top w:val="nil"/>
              <w:left w:val="nil"/>
              <w:bottom w:val="nil"/>
              <w:right w:val="nil"/>
            </w:tcBorders>
            <w:vAlign w:val="bottom"/>
          </w:tcPr>
          <w:p w14:paraId="327F5DA5" w14:textId="77777777" w:rsidR="00FE7F8B" w:rsidRDefault="00FE7F8B">
            <w:pPr>
              <w:pStyle w:val="Tabletextnoindent"/>
            </w:pPr>
          </w:p>
        </w:tc>
        <w:tc>
          <w:tcPr>
            <w:tcW w:w="850" w:type="dxa"/>
            <w:tcBorders>
              <w:top w:val="nil"/>
              <w:left w:val="nil"/>
              <w:bottom w:val="nil"/>
              <w:right w:val="nil"/>
            </w:tcBorders>
            <w:vAlign w:val="bottom"/>
          </w:tcPr>
          <w:p w14:paraId="5B383F1C"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tcPr>
          <w:p w14:paraId="17DA008C" w14:textId="77777777" w:rsidR="00FE7F8B" w:rsidRDefault="00FE7F8B">
            <w:pPr>
              <w:pStyle w:val="TableTextFinancial"/>
              <w:jc w:val="right"/>
              <w:rPr>
                <w:b/>
              </w:rPr>
            </w:pPr>
          </w:p>
        </w:tc>
        <w:tc>
          <w:tcPr>
            <w:tcW w:w="1134" w:type="dxa"/>
            <w:tcBorders>
              <w:top w:val="nil"/>
              <w:left w:val="nil"/>
              <w:bottom w:val="nil"/>
              <w:right w:val="nil"/>
            </w:tcBorders>
            <w:vAlign w:val="bottom"/>
          </w:tcPr>
          <w:p w14:paraId="2153B980" w14:textId="77777777" w:rsidR="00FE7F8B" w:rsidRDefault="00FE7F8B">
            <w:pPr>
              <w:pStyle w:val="TableTextFinancial"/>
              <w:jc w:val="right"/>
            </w:pPr>
          </w:p>
        </w:tc>
      </w:tr>
      <w:tr w:rsidR="00FE7F8B" w14:paraId="2866D120" w14:textId="77777777" w:rsidTr="00FE7F8B">
        <w:tc>
          <w:tcPr>
            <w:tcW w:w="4258" w:type="dxa"/>
            <w:tcBorders>
              <w:top w:val="nil"/>
              <w:left w:val="nil"/>
              <w:bottom w:val="nil"/>
              <w:right w:val="nil"/>
            </w:tcBorders>
            <w:vAlign w:val="bottom"/>
            <w:hideMark/>
          </w:tcPr>
          <w:p w14:paraId="37638E1B" w14:textId="77777777" w:rsidR="00FE7F8B" w:rsidRDefault="00FE7F8B">
            <w:pPr>
              <w:pStyle w:val="Tabletextnoindent"/>
            </w:pPr>
            <w:r>
              <w:t>Make good</w:t>
            </w:r>
            <w:r>
              <w:rPr>
                <w:rStyle w:val="FootnoteReference"/>
              </w:rPr>
              <w:t>2</w:t>
            </w:r>
            <w:r>
              <w:t xml:space="preserve"> </w:t>
            </w:r>
          </w:p>
        </w:tc>
        <w:tc>
          <w:tcPr>
            <w:tcW w:w="850" w:type="dxa"/>
            <w:tcBorders>
              <w:top w:val="nil"/>
              <w:left w:val="nil"/>
              <w:bottom w:val="nil"/>
              <w:right w:val="nil"/>
            </w:tcBorders>
            <w:vAlign w:val="bottom"/>
            <w:hideMark/>
          </w:tcPr>
          <w:p w14:paraId="014F817F" w14:textId="77777777" w:rsidR="00FE7F8B" w:rsidRDefault="00FE7F8B">
            <w:pPr>
              <w:pStyle w:val="TableTextFinancial"/>
              <w:jc w:val="center"/>
            </w:pPr>
            <w:r>
              <w:t>14(b)</w:t>
            </w:r>
          </w:p>
        </w:tc>
        <w:tc>
          <w:tcPr>
            <w:tcW w:w="1134" w:type="dxa"/>
            <w:tcBorders>
              <w:top w:val="nil"/>
              <w:left w:val="nil"/>
              <w:bottom w:val="nil"/>
              <w:right w:val="nil"/>
            </w:tcBorders>
            <w:shd w:val="clear" w:color="auto" w:fill="F2F2F2" w:themeFill="background1" w:themeFillShade="F2"/>
            <w:vAlign w:val="bottom"/>
            <w:hideMark/>
          </w:tcPr>
          <w:p w14:paraId="622796E3" w14:textId="77777777" w:rsidR="00FE7F8B" w:rsidRDefault="00FE7F8B">
            <w:pPr>
              <w:pStyle w:val="TableTextFinancial"/>
              <w:jc w:val="right"/>
              <w:rPr>
                <w:b/>
              </w:rPr>
            </w:pPr>
            <w:r>
              <w:rPr>
                <w:b/>
              </w:rPr>
              <w:t>0.3</w:t>
            </w:r>
          </w:p>
        </w:tc>
        <w:tc>
          <w:tcPr>
            <w:tcW w:w="1134" w:type="dxa"/>
            <w:tcBorders>
              <w:top w:val="nil"/>
              <w:left w:val="nil"/>
              <w:bottom w:val="nil"/>
              <w:right w:val="nil"/>
            </w:tcBorders>
            <w:vAlign w:val="bottom"/>
            <w:hideMark/>
          </w:tcPr>
          <w:p w14:paraId="23D473AF" w14:textId="77777777" w:rsidR="00FE7F8B" w:rsidRDefault="00FE7F8B">
            <w:pPr>
              <w:pStyle w:val="TableTextFinancial"/>
              <w:jc w:val="right"/>
            </w:pPr>
            <w:r>
              <w:t>0.2</w:t>
            </w:r>
          </w:p>
        </w:tc>
      </w:tr>
      <w:tr w:rsidR="00FE7F8B" w14:paraId="197D98BE" w14:textId="77777777" w:rsidTr="00FE7F8B">
        <w:tc>
          <w:tcPr>
            <w:tcW w:w="4258" w:type="dxa"/>
            <w:tcBorders>
              <w:top w:val="nil"/>
              <w:left w:val="nil"/>
              <w:bottom w:val="single" w:sz="4" w:space="0" w:color="auto"/>
              <w:right w:val="nil"/>
            </w:tcBorders>
            <w:vAlign w:val="bottom"/>
            <w:hideMark/>
          </w:tcPr>
          <w:p w14:paraId="0B717638" w14:textId="77777777" w:rsidR="00FE7F8B" w:rsidRDefault="00FE7F8B">
            <w:pPr>
              <w:pStyle w:val="Tabletextnoindent"/>
            </w:pPr>
            <w:r>
              <w:t>Sabbatical leave</w:t>
            </w:r>
          </w:p>
        </w:tc>
        <w:tc>
          <w:tcPr>
            <w:tcW w:w="850" w:type="dxa"/>
            <w:tcBorders>
              <w:top w:val="nil"/>
              <w:left w:val="nil"/>
              <w:bottom w:val="single" w:sz="4" w:space="0" w:color="auto"/>
              <w:right w:val="nil"/>
            </w:tcBorders>
            <w:vAlign w:val="bottom"/>
            <w:hideMark/>
          </w:tcPr>
          <w:p w14:paraId="1AD101A9" w14:textId="77777777" w:rsidR="00FE7F8B" w:rsidRDefault="00FE7F8B">
            <w:pPr>
              <w:pStyle w:val="TableTextFinancial"/>
              <w:jc w:val="center"/>
            </w:pPr>
            <w:r>
              <w:t>14(b)</w:t>
            </w:r>
          </w:p>
        </w:tc>
        <w:tc>
          <w:tcPr>
            <w:tcW w:w="1134" w:type="dxa"/>
            <w:tcBorders>
              <w:top w:val="nil"/>
              <w:left w:val="nil"/>
              <w:bottom w:val="single" w:sz="4" w:space="0" w:color="auto"/>
              <w:right w:val="nil"/>
            </w:tcBorders>
            <w:shd w:val="clear" w:color="auto" w:fill="F2F2F2" w:themeFill="background1" w:themeFillShade="F2"/>
            <w:vAlign w:val="bottom"/>
            <w:hideMark/>
          </w:tcPr>
          <w:p w14:paraId="5F397687" w14:textId="77777777" w:rsidR="00FE7F8B" w:rsidRDefault="00FE7F8B">
            <w:pPr>
              <w:pStyle w:val="TableTextFinancial"/>
              <w:jc w:val="right"/>
              <w:rPr>
                <w:b/>
              </w:rPr>
            </w:pPr>
            <w:r>
              <w:rPr>
                <w:b/>
              </w:rPr>
              <w:t>0.9</w:t>
            </w:r>
          </w:p>
        </w:tc>
        <w:tc>
          <w:tcPr>
            <w:tcW w:w="1134" w:type="dxa"/>
            <w:tcBorders>
              <w:top w:val="nil"/>
              <w:left w:val="nil"/>
              <w:bottom w:val="single" w:sz="4" w:space="0" w:color="auto"/>
              <w:right w:val="nil"/>
            </w:tcBorders>
            <w:vAlign w:val="bottom"/>
            <w:hideMark/>
          </w:tcPr>
          <w:p w14:paraId="3A84F37B" w14:textId="77777777" w:rsidR="00FE7F8B" w:rsidRDefault="00FE7F8B">
            <w:pPr>
              <w:pStyle w:val="TableTextFinancial"/>
              <w:jc w:val="right"/>
            </w:pPr>
            <w:r>
              <w:t>1.5</w:t>
            </w:r>
          </w:p>
        </w:tc>
      </w:tr>
      <w:tr w:rsidR="00FE7F8B" w14:paraId="0BA8D9DA" w14:textId="77777777" w:rsidTr="00FE7F8B">
        <w:tc>
          <w:tcPr>
            <w:tcW w:w="4258" w:type="dxa"/>
            <w:tcBorders>
              <w:top w:val="single" w:sz="4" w:space="0" w:color="auto"/>
              <w:left w:val="nil"/>
              <w:bottom w:val="single" w:sz="4" w:space="0" w:color="auto"/>
              <w:right w:val="nil"/>
            </w:tcBorders>
            <w:vAlign w:val="bottom"/>
            <w:hideMark/>
          </w:tcPr>
          <w:p w14:paraId="02596973" w14:textId="77777777" w:rsidR="00FE7F8B" w:rsidRDefault="00FE7F8B">
            <w:pPr>
              <w:pStyle w:val="Tabletextnoindent"/>
              <w:rPr>
                <w:b/>
              </w:rPr>
            </w:pPr>
            <w:r>
              <w:rPr>
                <w:b/>
              </w:rPr>
              <w:t>Total current provisions</w:t>
            </w:r>
          </w:p>
        </w:tc>
        <w:tc>
          <w:tcPr>
            <w:tcW w:w="850" w:type="dxa"/>
            <w:tcBorders>
              <w:top w:val="single" w:sz="4" w:space="0" w:color="auto"/>
              <w:left w:val="nil"/>
              <w:bottom w:val="single" w:sz="4" w:space="0" w:color="auto"/>
              <w:right w:val="nil"/>
            </w:tcBorders>
            <w:vAlign w:val="bottom"/>
          </w:tcPr>
          <w:p w14:paraId="3B2F0BA3"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16DE422A" w14:textId="77777777" w:rsidR="00FE7F8B" w:rsidRDefault="00FE7F8B">
            <w:pPr>
              <w:pStyle w:val="TableTextFinancial"/>
              <w:jc w:val="right"/>
              <w:rPr>
                <w:b/>
              </w:rPr>
            </w:pPr>
            <w:r>
              <w:rPr>
                <w:b/>
              </w:rPr>
              <w:t>1,211.3</w:t>
            </w:r>
          </w:p>
        </w:tc>
        <w:tc>
          <w:tcPr>
            <w:tcW w:w="1134" w:type="dxa"/>
            <w:tcBorders>
              <w:top w:val="single" w:sz="4" w:space="0" w:color="auto"/>
              <w:left w:val="nil"/>
              <w:bottom w:val="single" w:sz="4" w:space="0" w:color="auto"/>
              <w:right w:val="nil"/>
            </w:tcBorders>
            <w:vAlign w:val="bottom"/>
            <w:hideMark/>
          </w:tcPr>
          <w:p w14:paraId="679CF67C" w14:textId="77777777" w:rsidR="00FE7F8B" w:rsidRDefault="00FE7F8B">
            <w:pPr>
              <w:pStyle w:val="TableTextFinancial"/>
              <w:jc w:val="right"/>
            </w:pPr>
            <w:r>
              <w:t>1,142.0</w:t>
            </w:r>
          </w:p>
        </w:tc>
      </w:tr>
      <w:tr w:rsidR="00FE7F8B" w14:paraId="71806DD7" w14:textId="77777777" w:rsidTr="00FE7F8B">
        <w:tc>
          <w:tcPr>
            <w:tcW w:w="4258" w:type="dxa"/>
            <w:tcBorders>
              <w:top w:val="single" w:sz="4" w:space="0" w:color="auto"/>
              <w:left w:val="nil"/>
              <w:bottom w:val="nil"/>
              <w:right w:val="nil"/>
            </w:tcBorders>
            <w:vAlign w:val="bottom"/>
            <w:hideMark/>
          </w:tcPr>
          <w:p w14:paraId="67BA3BC3" w14:textId="77777777" w:rsidR="00FE7F8B" w:rsidRDefault="00FE7F8B">
            <w:pPr>
              <w:pStyle w:val="Tabletextnoindent"/>
              <w:rPr>
                <w:b/>
              </w:rPr>
            </w:pPr>
            <w:r>
              <w:rPr>
                <w:b/>
              </w:rPr>
              <w:t>Non-current Provisions</w:t>
            </w:r>
          </w:p>
        </w:tc>
        <w:tc>
          <w:tcPr>
            <w:tcW w:w="850" w:type="dxa"/>
            <w:tcBorders>
              <w:top w:val="single" w:sz="4" w:space="0" w:color="auto"/>
              <w:left w:val="nil"/>
              <w:bottom w:val="nil"/>
              <w:right w:val="nil"/>
            </w:tcBorders>
            <w:vAlign w:val="bottom"/>
          </w:tcPr>
          <w:p w14:paraId="6E939130" w14:textId="77777777" w:rsidR="00FE7F8B" w:rsidRDefault="00FE7F8B">
            <w:pPr>
              <w:pStyle w:val="TableTextFinancial"/>
              <w:jc w:val="center"/>
            </w:pPr>
          </w:p>
        </w:tc>
        <w:tc>
          <w:tcPr>
            <w:tcW w:w="1134" w:type="dxa"/>
            <w:tcBorders>
              <w:top w:val="single" w:sz="4" w:space="0" w:color="auto"/>
              <w:left w:val="nil"/>
              <w:bottom w:val="nil"/>
              <w:right w:val="nil"/>
            </w:tcBorders>
            <w:shd w:val="clear" w:color="auto" w:fill="F2F2F2" w:themeFill="background1" w:themeFillShade="F2"/>
            <w:vAlign w:val="bottom"/>
          </w:tcPr>
          <w:p w14:paraId="2E35C71D" w14:textId="77777777" w:rsidR="00FE7F8B" w:rsidRDefault="00FE7F8B">
            <w:pPr>
              <w:pStyle w:val="TableTextFinancial"/>
              <w:jc w:val="right"/>
              <w:rPr>
                <w:b/>
              </w:rPr>
            </w:pPr>
          </w:p>
        </w:tc>
        <w:tc>
          <w:tcPr>
            <w:tcW w:w="1134" w:type="dxa"/>
            <w:tcBorders>
              <w:top w:val="single" w:sz="4" w:space="0" w:color="auto"/>
              <w:left w:val="nil"/>
              <w:bottom w:val="nil"/>
              <w:right w:val="nil"/>
            </w:tcBorders>
            <w:vAlign w:val="bottom"/>
          </w:tcPr>
          <w:p w14:paraId="602473EE" w14:textId="77777777" w:rsidR="00FE7F8B" w:rsidRDefault="00FE7F8B">
            <w:pPr>
              <w:pStyle w:val="TableTextFinancial"/>
              <w:jc w:val="right"/>
            </w:pPr>
          </w:p>
        </w:tc>
      </w:tr>
      <w:tr w:rsidR="00FE7F8B" w14:paraId="473CC31A" w14:textId="77777777" w:rsidTr="00FE7F8B">
        <w:tc>
          <w:tcPr>
            <w:tcW w:w="4258" w:type="dxa"/>
            <w:tcBorders>
              <w:top w:val="nil"/>
              <w:left w:val="nil"/>
              <w:bottom w:val="nil"/>
              <w:right w:val="nil"/>
            </w:tcBorders>
            <w:vAlign w:val="bottom"/>
            <w:hideMark/>
          </w:tcPr>
          <w:p w14:paraId="6702BF06" w14:textId="77777777" w:rsidR="00FE7F8B" w:rsidRDefault="00FE7F8B">
            <w:pPr>
              <w:pStyle w:val="Tabletextnoindent"/>
            </w:pPr>
            <w:r>
              <w:t>Employee benefits</w:t>
            </w:r>
            <w:r>
              <w:rPr>
                <w:rStyle w:val="FootnoteReference"/>
              </w:rPr>
              <w:t>1</w:t>
            </w:r>
          </w:p>
        </w:tc>
        <w:tc>
          <w:tcPr>
            <w:tcW w:w="850" w:type="dxa"/>
            <w:tcBorders>
              <w:top w:val="nil"/>
              <w:left w:val="nil"/>
              <w:bottom w:val="nil"/>
              <w:right w:val="nil"/>
            </w:tcBorders>
            <w:vAlign w:val="bottom"/>
            <w:hideMark/>
          </w:tcPr>
          <w:p w14:paraId="6F673500" w14:textId="77777777" w:rsidR="00FE7F8B" w:rsidRDefault="00FE7F8B">
            <w:pPr>
              <w:pStyle w:val="TableTextFinancial"/>
              <w:jc w:val="center"/>
            </w:pPr>
            <w:r>
              <w:t>14(a)</w:t>
            </w:r>
          </w:p>
        </w:tc>
        <w:tc>
          <w:tcPr>
            <w:tcW w:w="1134" w:type="dxa"/>
            <w:tcBorders>
              <w:top w:val="nil"/>
              <w:left w:val="nil"/>
              <w:bottom w:val="nil"/>
              <w:right w:val="nil"/>
            </w:tcBorders>
            <w:shd w:val="clear" w:color="auto" w:fill="F2F2F2" w:themeFill="background1" w:themeFillShade="F2"/>
            <w:vAlign w:val="bottom"/>
            <w:hideMark/>
          </w:tcPr>
          <w:p w14:paraId="65692973" w14:textId="77777777" w:rsidR="00FE7F8B" w:rsidRDefault="00FE7F8B">
            <w:pPr>
              <w:pStyle w:val="TableTextFinancial"/>
              <w:jc w:val="right"/>
              <w:rPr>
                <w:b/>
              </w:rPr>
            </w:pPr>
            <w:r>
              <w:rPr>
                <w:b/>
              </w:rPr>
              <w:t>183.4</w:t>
            </w:r>
          </w:p>
        </w:tc>
        <w:tc>
          <w:tcPr>
            <w:tcW w:w="1134" w:type="dxa"/>
            <w:tcBorders>
              <w:top w:val="nil"/>
              <w:left w:val="nil"/>
              <w:bottom w:val="nil"/>
              <w:right w:val="nil"/>
            </w:tcBorders>
            <w:vAlign w:val="bottom"/>
            <w:hideMark/>
          </w:tcPr>
          <w:p w14:paraId="0E6802B6" w14:textId="77777777" w:rsidR="00FE7F8B" w:rsidRDefault="00FE7F8B">
            <w:pPr>
              <w:pStyle w:val="TableTextFinancial"/>
              <w:jc w:val="right"/>
            </w:pPr>
            <w:r>
              <w:t>163.0</w:t>
            </w:r>
          </w:p>
        </w:tc>
      </w:tr>
      <w:tr w:rsidR="00FE7F8B" w14:paraId="1A29BEA6" w14:textId="77777777" w:rsidTr="00FE7F8B">
        <w:tc>
          <w:tcPr>
            <w:tcW w:w="4258" w:type="dxa"/>
            <w:tcBorders>
              <w:top w:val="nil"/>
              <w:left w:val="nil"/>
              <w:bottom w:val="nil"/>
              <w:right w:val="nil"/>
            </w:tcBorders>
            <w:vAlign w:val="bottom"/>
            <w:hideMark/>
          </w:tcPr>
          <w:p w14:paraId="0115A520" w14:textId="77777777" w:rsidR="00FE7F8B" w:rsidRDefault="00FE7F8B">
            <w:pPr>
              <w:pStyle w:val="Tabletextnoindent"/>
            </w:pPr>
            <w:r>
              <w:t>Employee benefit on-costs</w:t>
            </w:r>
          </w:p>
        </w:tc>
        <w:tc>
          <w:tcPr>
            <w:tcW w:w="850" w:type="dxa"/>
            <w:tcBorders>
              <w:top w:val="nil"/>
              <w:left w:val="nil"/>
              <w:bottom w:val="nil"/>
              <w:right w:val="nil"/>
            </w:tcBorders>
            <w:vAlign w:val="bottom"/>
            <w:hideMark/>
          </w:tcPr>
          <w:p w14:paraId="366C6696" w14:textId="77777777" w:rsidR="00FE7F8B" w:rsidRDefault="00FE7F8B">
            <w:pPr>
              <w:pStyle w:val="TableTextFinancial"/>
              <w:jc w:val="center"/>
            </w:pPr>
            <w:r>
              <w:t>14(a)</w:t>
            </w:r>
          </w:p>
        </w:tc>
        <w:tc>
          <w:tcPr>
            <w:tcW w:w="1134" w:type="dxa"/>
            <w:tcBorders>
              <w:top w:val="nil"/>
              <w:left w:val="nil"/>
              <w:bottom w:val="nil"/>
              <w:right w:val="nil"/>
            </w:tcBorders>
            <w:shd w:val="clear" w:color="auto" w:fill="F2F2F2" w:themeFill="background1" w:themeFillShade="F2"/>
            <w:vAlign w:val="bottom"/>
            <w:hideMark/>
          </w:tcPr>
          <w:p w14:paraId="77A8578A" w14:textId="77777777" w:rsidR="00FE7F8B" w:rsidRDefault="00FE7F8B">
            <w:pPr>
              <w:pStyle w:val="TableTextFinancial"/>
              <w:jc w:val="right"/>
              <w:rPr>
                <w:b/>
              </w:rPr>
            </w:pPr>
            <w:r>
              <w:rPr>
                <w:b/>
              </w:rPr>
              <w:t>30.1</w:t>
            </w:r>
          </w:p>
        </w:tc>
        <w:tc>
          <w:tcPr>
            <w:tcW w:w="1134" w:type="dxa"/>
            <w:tcBorders>
              <w:top w:val="nil"/>
              <w:left w:val="nil"/>
              <w:bottom w:val="nil"/>
              <w:right w:val="nil"/>
            </w:tcBorders>
            <w:vAlign w:val="bottom"/>
            <w:hideMark/>
          </w:tcPr>
          <w:p w14:paraId="103346A4" w14:textId="77777777" w:rsidR="00FE7F8B" w:rsidRDefault="00FE7F8B">
            <w:pPr>
              <w:pStyle w:val="TableTextFinancial"/>
              <w:jc w:val="right"/>
            </w:pPr>
            <w:r>
              <w:t>27.1</w:t>
            </w:r>
          </w:p>
        </w:tc>
      </w:tr>
      <w:tr w:rsidR="00FE7F8B" w14:paraId="07944F12" w14:textId="77777777" w:rsidTr="00FE7F8B">
        <w:tc>
          <w:tcPr>
            <w:tcW w:w="4258" w:type="dxa"/>
            <w:tcBorders>
              <w:top w:val="nil"/>
              <w:left w:val="nil"/>
              <w:bottom w:val="single" w:sz="4" w:space="0" w:color="auto"/>
              <w:right w:val="nil"/>
            </w:tcBorders>
            <w:vAlign w:val="bottom"/>
            <w:hideMark/>
          </w:tcPr>
          <w:p w14:paraId="4E839B34" w14:textId="77777777" w:rsidR="00FE7F8B" w:rsidRDefault="00FE7F8B">
            <w:pPr>
              <w:pStyle w:val="Tabletextnoindent"/>
            </w:pPr>
            <w:r>
              <w:t>Make good</w:t>
            </w:r>
            <w:r>
              <w:rPr>
                <w:rStyle w:val="FootnoteReference"/>
              </w:rPr>
              <w:t>2</w:t>
            </w:r>
            <w:r>
              <w:t xml:space="preserve"> </w:t>
            </w:r>
          </w:p>
        </w:tc>
        <w:tc>
          <w:tcPr>
            <w:tcW w:w="850" w:type="dxa"/>
            <w:tcBorders>
              <w:top w:val="nil"/>
              <w:left w:val="nil"/>
              <w:bottom w:val="single" w:sz="4" w:space="0" w:color="auto"/>
              <w:right w:val="nil"/>
            </w:tcBorders>
            <w:vAlign w:val="bottom"/>
            <w:hideMark/>
          </w:tcPr>
          <w:p w14:paraId="29E5FCDF" w14:textId="77777777" w:rsidR="00FE7F8B" w:rsidRDefault="00FE7F8B">
            <w:pPr>
              <w:pStyle w:val="TableTextFinancial"/>
              <w:jc w:val="center"/>
            </w:pPr>
            <w:r>
              <w:t>14(b)</w:t>
            </w:r>
          </w:p>
        </w:tc>
        <w:tc>
          <w:tcPr>
            <w:tcW w:w="1134" w:type="dxa"/>
            <w:tcBorders>
              <w:top w:val="nil"/>
              <w:left w:val="nil"/>
              <w:bottom w:val="single" w:sz="4" w:space="0" w:color="auto"/>
              <w:right w:val="nil"/>
            </w:tcBorders>
            <w:shd w:val="clear" w:color="auto" w:fill="F2F2F2" w:themeFill="background1" w:themeFillShade="F2"/>
            <w:vAlign w:val="bottom"/>
            <w:hideMark/>
          </w:tcPr>
          <w:p w14:paraId="7722CED3" w14:textId="77777777" w:rsidR="00FE7F8B" w:rsidRDefault="00FE7F8B">
            <w:pPr>
              <w:pStyle w:val="TableTextFinancial"/>
              <w:jc w:val="right"/>
              <w:rPr>
                <w:b/>
              </w:rPr>
            </w:pPr>
            <w:r>
              <w:rPr>
                <w:b/>
              </w:rPr>
              <w:t>0.3</w:t>
            </w:r>
          </w:p>
        </w:tc>
        <w:tc>
          <w:tcPr>
            <w:tcW w:w="1134" w:type="dxa"/>
            <w:tcBorders>
              <w:top w:val="nil"/>
              <w:left w:val="nil"/>
              <w:bottom w:val="single" w:sz="4" w:space="0" w:color="auto"/>
              <w:right w:val="nil"/>
            </w:tcBorders>
            <w:vAlign w:val="bottom"/>
            <w:hideMark/>
          </w:tcPr>
          <w:p w14:paraId="0D65705D" w14:textId="77777777" w:rsidR="00FE7F8B" w:rsidRDefault="00FE7F8B">
            <w:pPr>
              <w:pStyle w:val="TableTextFinancial"/>
              <w:jc w:val="right"/>
            </w:pPr>
            <w:r>
              <w:t>0.3</w:t>
            </w:r>
          </w:p>
        </w:tc>
      </w:tr>
      <w:tr w:rsidR="00FE7F8B" w14:paraId="12FD9B46" w14:textId="77777777" w:rsidTr="00FE7F8B">
        <w:tc>
          <w:tcPr>
            <w:tcW w:w="4258" w:type="dxa"/>
            <w:tcBorders>
              <w:top w:val="single" w:sz="4" w:space="0" w:color="auto"/>
              <w:left w:val="nil"/>
              <w:bottom w:val="single" w:sz="4" w:space="0" w:color="auto"/>
              <w:right w:val="nil"/>
            </w:tcBorders>
            <w:vAlign w:val="bottom"/>
            <w:hideMark/>
          </w:tcPr>
          <w:p w14:paraId="5FAA0A41" w14:textId="77777777" w:rsidR="00FE7F8B" w:rsidRDefault="00FE7F8B">
            <w:pPr>
              <w:pStyle w:val="Tabletextnoindent"/>
              <w:rPr>
                <w:b/>
              </w:rPr>
            </w:pPr>
            <w:r>
              <w:rPr>
                <w:b/>
              </w:rPr>
              <w:t>Total non-current provisions</w:t>
            </w:r>
          </w:p>
        </w:tc>
        <w:tc>
          <w:tcPr>
            <w:tcW w:w="850" w:type="dxa"/>
            <w:tcBorders>
              <w:top w:val="single" w:sz="4" w:space="0" w:color="auto"/>
              <w:left w:val="nil"/>
              <w:bottom w:val="single" w:sz="4" w:space="0" w:color="auto"/>
              <w:right w:val="nil"/>
            </w:tcBorders>
            <w:vAlign w:val="bottom"/>
          </w:tcPr>
          <w:p w14:paraId="1958399B"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68A6A88D" w14:textId="77777777" w:rsidR="00FE7F8B" w:rsidRDefault="00FE7F8B">
            <w:pPr>
              <w:pStyle w:val="TableTextFinancial"/>
              <w:jc w:val="right"/>
              <w:rPr>
                <w:b/>
              </w:rPr>
            </w:pPr>
            <w:r>
              <w:rPr>
                <w:b/>
              </w:rPr>
              <w:t>213.8</w:t>
            </w:r>
          </w:p>
        </w:tc>
        <w:tc>
          <w:tcPr>
            <w:tcW w:w="1134" w:type="dxa"/>
            <w:tcBorders>
              <w:top w:val="single" w:sz="4" w:space="0" w:color="auto"/>
              <w:left w:val="nil"/>
              <w:bottom w:val="single" w:sz="4" w:space="0" w:color="auto"/>
              <w:right w:val="nil"/>
            </w:tcBorders>
            <w:vAlign w:val="bottom"/>
            <w:hideMark/>
          </w:tcPr>
          <w:p w14:paraId="5C9D20BB" w14:textId="77777777" w:rsidR="00FE7F8B" w:rsidRDefault="00FE7F8B">
            <w:pPr>
              <w:pStyle w:val="TableTextFinancial"/>
              <w:jc w:val="right"/>
            </w:pPr>
            <w:r>
              <w:t>190.4</w:t>
            </w:r>
          </w:p>
        </w:tc>
      </w:tr>
      <w:tr w:rsidR="00FE7F8B" w14:paraId="050E91FA" w14:textId="77777777" w:rsidTr="00FE7F8B">
        <w:tc>
          <w:tcPr>
            <w:tcW w:w="4258" w:type="dxa"/>
            <w:tcBorders>
              <w:top w:val="single" w:sz="4" w:space="0" w:color="auto"/>
              <w:left w:val="nil"/>
              <w:bottom w:val="single" w:sz="4" w:space="0" w:color="auto"/>
              <w:right w:val="nil"/>
            </w:tcBorders>
            <w:vAlign w:val="bottom"/>
            <w:hideMark/>
          </w:tcPr>
          <w:p w14:paraId="263A9124" w14:textId="77777777" w:rsidR="00FE7F8B" w:rsidRDefault="00FE7F8B">
            <w:pPr>
              <w:pStyle w:val="Tabletextnoindent"/>
              <w:rPr>
                <w:b/>
              </w:rPr>
            </w:pPr>
            <w:r>
              <w:rPr>
                <w:b/>
              </w:rPr>
              <w:t>Total Provisions</w:t>
            </w:r>
          </w:p>
        </w:tc>
        <w:tc>
          <w:tcPr>
            <w:tcW w:w="850" w:type="dxa"/>
            <w:tcBorders>
              <w:top w:val="single" w:sz="4" w:space="0" w:color="auto"/>
              <w:left w:val="nil"/>
              <w:bottom w:val="single" w:sz="4" w:space="0" w:color="auto"/>
              <w:right w:val="nil"/>
            </w:tcBorders>
            <w:vAlign w:val="bottom"/>
          </w:tcPr>
          <w:p w14:paraId="2FDEDB36"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138C64E3" w14:textId="77777777" w:rsidR="00FE7F8B" w:rsidRDefault="00FE7F8B">
            <w:pPr>
              <w:pStyle w:val="TableTextFinancial"/>
              <w:jc w:val="right"/>
              <w:rPr>
                <w:b/>
              </w:rPr>
            </w:pPr>
            <w:r>
              <w:rPr>
                <w:b/>
              </w:rPr>
              <w:t>1,425.1</w:t>
            </w:r>
          </w:p>
        </w:tc>
        <w:tc>
          <w:tcPr>
            <w:tcW w:w="1134" w:type="dxa"/>
            <w:tcBorders>
              <w:top w:val="single" w:sz="4" w:space="0" w:color="auto"/>
              <w:left w:val="nil"/>
              <w:bottom w:val="single" w:sz="4" w:space="0" w:color="auto"/>
              <w:right w:val="nil"/>
            </w:tcBorders>
            <w:vAlign w:val="bottom"/>
            <w:hideMark/>
          </w:tcPr>
          <w:p w14:paraId="0C0709C5" w14:textId="77777777" w:rsidR="00FE7F8B" w:rsidRDefault="00FE7F8B">
            <w:pPr>
              <w:pStyle w:val="TableTextFinancial"/>
              <w:jc w:val="right"/>
            </w:pPr>
            <w:r>
              <w:t>1,332.4</w:t>
            </w:r>
          </w:p>
        </w:tc>
      </w:tr>
    </w:tbl>
    <w:p w14:paraId="1B02DB45" w14:textId="77777777" w:rsidR="00FE7F8B" w:rsidRDefault="00FE7F8B" w:rsidP="00BB1129">
      <w:pPr>
        <w:pStyle w:val="DETFootnoteTextforobjectivestablesOHStable"/>
        <w:spacing w:before="120"/>
        <w:rPr>
          <w:rFonts w:ascii="Times New Roman" w:hAnsi="Times New Roman"/>
          <w:sz w:val="24"/>
          <w:szCs w:val="24"/>
        </w:rPr>
      </w:pPr>
      <w:r>
        <w:rPr>
          <w:sz w:val="14"/>
          <w:szCs w:val="14"/>
        </w:rPr>
        <w:t>1</w:t>
      </w:r>
      <w:r>
        <w:t xml:space="preserve"> Provisions for employee benefits consist of amounts for annual leave, long service leave and other employee benefits accrued by employees, not including on-costs.</w:t>
      </w:r>
    </w:p>
    <w:p w14:paraId="57A2A96D" w14:textId="77777777" w:rsidR="00FE7F8B" w:rsidRDefault="00FE7F8B" w:rsidP="00BB1129">
      <w:pPr>
        <w:pStyle w:val="DETFootnoteTextforobjectivestablesOHStable"/>
        <w:rPr>
          <w:sz w:val="13"/>
        </w:rPr>
      </w:pPr>
      <w:r>
        <w:rPr>
          <w:sz w:val="14"/>
          <w:szCs w:val="14"/>
        </w:rPr>
        <w:t>2</w:t>
      </w:r>
      <w:r>
        <w:t xml:space="preserve"> In accordance with the lease agreements over the property facilities, the Department must remove any leasehold improvements from the leased buildings and restore the premises to its original condition at the end of the lease term.</w:t>
      </w:r>
    </w:p>
    <w:p w14:paraId="164A9FC1" w14:textId="77777777" w:rsidR="00FE7F8B" w:rsidRDefault="00FE7F8B" w:rsidP="00FE7F8B">
      <w:pPr>
        <w:spacing w:after="200" w:line="276" w:lineRule="auto"/>
        <w:rPr>
          <w:rFonts w:eastAsia="Calibri"/>
          <w:color w:val="auto"/>
          <w:sz w:val="14"/>
          <w:szCs w:val="20"/>
          <w:vertAlign w:val="superscript"/>
        </w:rPr>
      </w:pPr>
      <w:r>
        <w:br w:type="page"/>
      </w:r>
    </w:p>
    <w:p w14:paraId="47DF6AD5" w14:textId="77777777" w:rsidR="00FE7F8B" w:rsidRDefault="00FE7F8B" w:rsidP="00FA24FA">
      <w:pPr>
        <w:pStyle w:val="Heading4"/>
      </w:pPr>
      <w:r>
        <w:t>(a) Employee benefits and related on-costs</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0"/>
        <w:gridCol w:w="850"/>
        <w:gridCol w:w="1135"/>
        <w:gridCol w:w="1135"/>
      </w:tblGrid>
      <w:tr w:rsidR="00FE7F8B" w14:paraId="6923DE81" w14:textId="77777777" w:rsidTr="00FE7F8B">
        <w:tc>
          <w:tcPr>
            <w:tcW w:w="4258" w:type="dxa"/>
            <w:tcBorders>
              <w:top w:val="nil"/>
              <w:left w:val="nil"/>
              <w:bottom w:val="nil"/>
              <w:right w:val="nil"/>
            </w:tcBorders>
            <w:shd w:val="clear" w:color="auto" w:fill="7F7F7F" w:themeFill="text1" w:themeFillTint="80"/>
            <w:vAlign w:val="center"/>
          </w:tcPr>
          <w:p w14:paraId="61123E4D" w14:textId="77777777" w:rsidR="00FE7F8B" w:rsidRDefault="00FE7F8B">
            <w:pPr>
              <w:pStyle w:val="Tablecolumnheading"/>
              <w:jc w:val="center"/>
              <w:rPr>
                <w:lang w:eastAsia="en-AU"/>
              </w:rPr>
            </w:pPr>
          </w:p>
        </w:tc>
        <w:tc>
          <w:tcPr>
            <w:tcW w:w="850" w:type="dxa"/>
            <w:tcBorders>
              <w:top w:val="nil"/>
              <w:left w:val="nil"/>
              <w:bottom w:val="nil"/>
              <w:right w:val="nil"/>
            </w:tcBorders>
            <w:shd w:val="clear" w:color="auto" w:fill="7F7F7F" w:themeFill="text1" w:themeFillTint="80"/>
            <w:vAlign w:val="center"/>
            <w:hideMark/>
          </w:tcPr>
          <w:p w14:paraId="13ECF069" w14:textId="77777777" w:rsidR="00FE7F8B" w:rsidRDefault="00FE7F8B">
            <w:pPr>
              <w:pStyle w:val="Tablecolumnheading"/>
              <w:jc w:val="center"/>
              <w:rPr>
                <w:lang w:eastAsia="en-AU"/>
              </w:rPr>
            </w:pPr>
            <w:r>
              <w:rPr>
                <w:lang w:eastAsia="en-AU"/>
              </w:rPr>
              <w:t>Note</w:t>
            </w:r>
          </w:p>
        </w:tc>
        <w:tc>
          <w:tcPr>
            <w:tcW w:w="1134" w:type="dxa"/>
            <w:tcBorders>
              <w:top w:val="nil"/>
              <w:left w:val="nil"/>
              <w:bottom w:val="nil"/>
              <w:right w:val="nil"/>
            </w:tcBorders>
            <w:shd w:val="clear" w:color="auto" w:fill="7F7F7F" w:themeFill="text1" w:themeFillTint="80"/>
            <w:vAlign w:val="center"/>
            <w:hideMark/>
          </w:tcPr>
          <w:p w14:paraId="03CF96DC" w14:textId="77777777" w:rsidR="00FE7F8B" w:rsidRDefault="00FE7F8B">
            <w:pPr>
              <w:pStyle w:val="Tablecolumnheading"/>
              <w:jc w:val="center"/>
              <w:rPr>
                <w:lang w:eastAsia="en-AU"/>
              </w:rPr>
            </w:pPr>
            <w:r>
              <w:rPr>
                <w:lang w:eastAsia="en-AU"/>
              </w:rPr>
              <w:t>2016</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4DDB1790" w14:textId="77777777" w:rsidR="00FE7F8B" w:rsidRDefault="00FE7F8B">
            <w:pPr>
              <w:pStyle w:val="Tablecolumnheading"/>
              <w:jc w:val="center"/>
              <w:rPr>
                <w:lang w:eastAsia="en-AU"/>
              </w:rPr>
            </w:pPr>
            <w:r>
              <w:rPr>
                <w:lang w:eastAsia="en-AU"/>
              </w:rPr>
              <w:t>2015</w:t>
            </w:r>
            <w:r>
              <w:rPr>
                <w:lang w:eastAsia="en-AU"/>
              </w:rPr>
              <w:br/>
              <w:t>$m</w:t>
            </w:r>
          </w:p>
        </w:tc>
      </w:tr>
      <w:tr w:rsidR="00FE7F8B" w14:paraId="34904E72" w14:textId="77777777" w:rsidTr="00FE7F8B">
        <w:tc>
          <w:tcPr>
            <w:tcW w:w="4258" w:type="dxa"/>
            <w:tcBorders>
              <w:top w:val="nil"/>
              <w:left w:val="nil"/>
              <w:bottom w:val="nil"/>
              <w:right w:val="nil"/>
            </w:tcBorders>
            <w:vAlign w:val="bottom"/>
            <w:hideMark/>
          </w:tcPr>
          <w:p w14:paraId="201BE9FC" w14:textId="77777777" w:rsidR="00FE7F8B" w:rsidRDefault="00FE7F8B">
            <w:pPr>
              <w:pStyle w:val="Tabletextnoindent"/>
            </w:pPr>
            <w:r>
              <w:rPr>
                <w:b/>
              </w:rPr>
              <w:t>Current employee benefits</w:t>
            </w:r>
          </w:p>
        </w:tc>
        <w:tc>
          <w:tcPr>
            <w:tcW w:w="850" w:type="dxa"/>
            <w:tcBorders>
              <w:top w:val="nil"/>
              <w:left w:val="nil"/>
              <w:bottom w:val="nil"/>
              <w:right w:val="nil"/>
            </w:tcBorders>
            <w:vAlign w:val="bottom"/>
          </w:tcPr>
          <w:p w14:paraId="69EC2A55"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tcPr>
          <w:p w14:paraId="2420EB27" w14:textId="77777777" w:rsidR="00FE7F8B" w:rsidRDefault="00FE7F8B">
            <w:pPr>
              <w:pStyle w:val="TableTextFinancial"/>
              <w:jc w:val="right"/>
              <w:rPr>
                <w:b/>
              </w:rPr>
            </w:pPr>
          </w:p>
        </w:tc>
        <w:tc>
          <w:tcPr>
            <w:tcW w:w="1134" w:type="dxa"/>
            <w:tcBorders>
              <w:top w:val="nil"/>
              <w:left w:val="nil"/>
              <w:bottom w:val="nil"/>
              <w:right w:val="nil"/>
            </w:tcBorders>
            <w:vAlign w:val="bottom"/>
          </w:tcPr>
          <w:p w14:paraId="1DE9FCB4" w14:textId="77777777" w:rsidR="00FE7F8B" w:rsidRDefault="00FE7F8B">
            <w:pPr>
              <w:pStyle w:val="TableTextFinancial"/>
              <w:jc w:val="right"/>
            </w:pPr>
          </w:p>
        </w:tc>
      </w:tr>
      <w:tr w:rsidR="00FE7F8B" w14:paraId="6892E795" w14:textId="77777777" w:rsidTr="00FE7F8B">
        <w:tc>
          <w:tcPr>
            <w:tcW w:w="4258" w:type="dxa"/>
            <w:tcBorders>
              <w:top w:val="nil"/>
              <w:left w:val="nil"/>
              <w:bottom w:val="nil"/>
              <w:right w:val="nil"/>
            </w:tcBorders>
            <w:vAlign w:val="bottom"/>
            <w:hideMark/>
          </w:tcPr>
          <w:p w14:paraId="1F1E4914" w14:textId="77777777" w:rsidR="00FE7F8B" w:rsidRDefault="00FE7F8B">
            <w:pPr>
              <w:pStyle w:val="Tabletextnoindent"/>
            </w:pPr>
            <w:r>
              <w:t>Annual leave entitlements</w:t>
            </w:r>
          </w:p>
        </w:tc>
        <w:tc>
          <w:tcPr>
            <w:tcW w:w="850" w:type="dxa"/>
            <w:tcBorders>
              <w:top w:val="nil"/>
              <w:left w:val="nil"/>
              <w:bottom w:val="nil"/>
              <w:right w:val="nil"/>
            </w:tcBorders>
            <w:vAlign w:val="bottom"/>
          </w:tcPr>
          <w:p w14:paraId="67E639B0"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06400256" w14:textId="77777777" w:rsidR="00FE7F8B" w:rsidRDefault="00FE7F8B">
            <w:pPr>
              <w:pStyle w:val="TableTextFinancial"/>
              <w:jc w:val="right"/>
              <w:rPr>
                <w:b/>
              </w:rPr>
            </w:pPr>
            <w:r>
              <w:rPr>
                <w:b/>
              </w:rPr>
              <w:t>87.8</w:t>
            </w:r>
          </w:p>
        </w:tc>
        <w:tc>
          <w:tcPr>
            <w:tcW w:w="1134" w:type="dxa"/>
            <w:tcBorders>
              <w:top w:val="nil"/>
              <w:left w:val="nil"/>
              <w:bottom w:val="nil"/>
              <w:right w:val="nil"/>
            </w:tcBorders>
            <w:vAlign w:val="bottom"/>
            <w:hideMark/>
          </w:tcPr>
          <w:p w14:paraId="60A65836" w14:textId="77777777" w:rsidR="00FE7F8B" w:rsidRDefault="00FE7F8B">
            <w:pPr>
              <w:pStyle w:val="TableTextFinancial"/>
              <w:jc w:val="right"/>
            </w:pPr>
            <w:r>
              <w:t>85.3</w:t>
            </w:r>
          </w:p>
        </w:tc>
      </w:tr>
      <w:tr w:rsidR="00FE7F8B" w14:paraId="615979A9" w14:textId="77777777" w:rsidTr="00FE7F8B">
        <w:tc>
          <w:tcPr>
            <w:tcW w:w="4258" w:type="dxa"/>
            <w:tcBorders>
              <w:top w:val="nil"/>
              <w:left w:val="nil"/>
              <w:bottom w:val="nil"/>
              <w:right w:val="nil"/>
            </w:tcBorders>
            <w:vAlign w:val="bottom"/>
            <w:hideMark/>
          </w:tcPr>
          <w:p w14:paraId="66CB2268" w14:textId="77777777" w:rsidR="00FE7F8B" w:rsidRDefault="00FE7F8B">
            <w:pPr>
              <w:pStyle w:val="Tabletextnoindent"/>
            </w:pPr>
            <w:r>
              <w:t>Long service leave entitlements</w:t>
            </w:r>
          </w:p>
        </w:tc>
        <w:tc>
          <w:tcPr>
            <w:tcW w:w="850" w:type="dxa"/>
            <w:tcBorders>
              <w:top w:val="nil"/>
              <w:left w:val="nil"/>
              <w:bottom w:val="nil"/>
              <w:right w:val="nil"/>
            </w:tcBorders>
            <w:vAlign w:val="bottom"/>
          </w:tcPr>
          <w:p w14:paraId="19F3E379"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3C6A5DD1" w14:textId="77777777" w:rsidR="00FE7F8B" w:rsidRDefault="00FE7F8B">
            <w:pPr>
              <w:pStyle w:val="TableTextFinancial"/>
              <w:jc w:val="right"/>
              <w:rPr>
                <w:b/>
              </w:rPr>
            </w:pPr>
            <w:r>
              <w:rPr>
                <w:b/>
              </w:rPr>
              <w:t>951.2</w:t>
            </w:r>
          </w:p>
        </w:tc>
        <w:tc>
          <w:tcPr>
            <w:tcW w:w="1134" w:type="dxa"/>
            <w:tcBorders>
              <w:top w:val="nil"/>
              <w:left w:val="nil"/>
              <w:bottom w:val="nil"/>
              <w:right w:val="nil"/>
            </w:tcBorders>
            <w:vAlign w:val="bottom"/>
            <w:hideMark/>
          </w:tcPr>
          <w:p w14:paraId="579DF1FE" w14:textId="77777777" w:rsidR="00FE7F8B" w:rsidRDefault="00FE7F8B">
            <w:pPr>
              <w:pStyle w:val="TableTextFinancial"/>
              <w:jc w:val="right"/>
            </w:pPr>
            <w:r>
              <w:t>886.8</w:t>
            </w:r>
          </w:p>
        </w:tc>
      </w:tr>
      <w:tr w:rsidR="00FE7F8B" w14:paraId="20F369AC" w14:textId="77777777" w:rsidTr="00FE7F8B">
        <w:tc>
          <w:tcPr>
            <w:tcW w:w="4258" w:type="dxa"/>
            <w:tcBorders>
              <w:top w:val="nil"/>
              <w:left w:val="nil"/>
              <w:bottom w:val="single" w:sz="4" w:space="0" w:color="auto"/>
              <w:right w:val="nil"/>
            </w:tcBorders>
            <w:vAlign w:val="bottom"/>
            <w:hideMark/>
          </w:tcPr>
          <w:p w14:paraId="409D20CF" w14:textId="77777777" w:rsidR="00FE7F8B" w:rsidRDefault="00FE7F8B">
            <w:pPr>
              <w:pStyle w:val="Tabletextnoindent"/>
            </w:pPr>
            <w:r>
              <w:t>Other</w:t>
            </w:r>
          </w:p>
        </w:tc>
        <w:tc>
          <w:tcPr>
            <w:tcW w:w="850" w:type="dxa"/>
            <w:tcBorders>
              <w:top w:val="nil"/>
              <w:left w:val="nil"/>
              <w:bottom w:val="single" w:sz="4" w:space="0" w:color="auto"/>
              <w:right w:val="nil"/>
            </w:tcBorders>
            <w:vAlign w:val="bottom"/>
          </w:tcPr>
          <w:p w14:paraId="67008BED" w14:textId="77777777" w:rsidR="00FE7F8B" w:rsidRDefault="00FE7F8B">
            <w:pPr>
              <w:pStyle w:val="TableTextFinancial"/>
              <w:jc w:val="center"/>
            </w:pPr>
          </w:p>
        </w:tc>
        <w:tc>
          <w:tcPr>
            <w:tcW w:w="1134" w:type="dxa"/>
            <w:tcBorders>
              <w:top w:val="nil"/>
              <w:left w:val="nil"/>
              <w:bottom w:val="single" w:sz="4" w:space="0" w:color="auto"/>
              <w:right w:val="nil"/>
            </w:tcBorders>
            <w:shd w:val="clear" w:color="auto" w:fill="F2F2F2" w:themeFill="background1" w:themeFillShade="F2"/>
            <w:vAlign w:val="bottom"/>
            <w:hideMark/>
          </w:tcPr>
          <w:p w14:paraId="1B04DE10" w14:textId="77777777" w:rsidR="00FE7F8B" w:rsidRDefault="00FE7F8B">
            <w:pPr>
              <w:pStyle w:val="TableTextFinancial"/>
              <w:jc w:val="right"/>
              <w:rPr>
                <w:b/>
              </w:rPr>
            </w:pPr>
            <w:r>
              <w:rPr>
                <w:b/>
              </w:rPr>
              <w:t>3.3</w:t>
            </w:r>
          </w:p>
        </w:tc>
        <w:tc>
          <w:tcPr>
            <w:tcW w:w="1134" w:type="dxa"/>
            <w:tcBorders>
              <w:top w:val="nil"/>
              <w:left w:val="nil"/>
              <w:bottom w:val="single" w:sz="4" w:space="0" w:color="auto"/>
              <w:right w:val="nil"/>
            </w:tcBorders>
            <w:vAlign w:val="bottom"/>
            <w:hideMark/>
          </w:tcPr>
          <w:p w14:paraId="24C7D2EC" w14:textId="77777777" w:rsidR="00FE7F8B" w:rsidRDefault="00FE7F8B">
            <w:pPr>
              <w:pStyle w:val="TableTextFinancial"/>
              <w:jc w:val="right"/>
            </w:pPr>
            <w:r>
              <w:t>2.5</w:t>
            </w:r>
          </w:p>
        </w:tc>
      </w:tr>
      <w:tr w:rsidR="00FE7F8B" w14:paraId="5F6F7EF0" w14:textId="77777777" w:rsidTr="00FE7F8B">
        <w:tc>
          <w:tcPr>
            <w:tcW w:w="4258" w:type="dxa"/>
            <w:tcBorders>
              <w:top w:val="single" w:sz="4" w:space="0" w:color="auto"/>
              <w:left w:val="nil"/>
              <w:bottom w:val="single" w:sz="4" w:space="0" w:color="auto"/>
              <w:right w:val="nil"/>
            </w:tcBorders>
            <w:vAlign w:val="bottom"/>
            <w:hideMark/>
          </w:tcPr>
          <w:p w14:paraId="3529BF55" w14:textId="77777777" w:rsidR="00FE7F8B" w:rsidRDefault="00FE7F8B">
            <w:pPr>
              <w:pStyle w:val="Tabletextnoindent"/>
              <w:rPr>
                <w:b/>
              </w:rPr>
            </w:pPr>
            <w:r>
              <w:rPr>
                <w:b/>
              </w:rPr>
              <w:t>Total</w:t>
            </w:r>
          </w:p>
        </w:tc>
        <w:tc>
          <w:tcPr>
            <w:tcW w:w="850" w:type="dxa"/>
            <w:tcBorders>
              <w:top w:val="single" w:sz="4" w:space="0" w:color="auto"/>
              <w:left w:val="nil"/>
              <w:bottom w:val="single" w:sz="4" w:space="0" w:color="auto"/>
              <w:right w:val="nil"/>
            </w:tcBorders>
            <w:vAlign w:val="bottom"/>
          </w:tcPr>
          <w:p w14:paraId="1D9DDD2C"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4C3AAACA" w14:textId="77777777" w:rsidR="00FE7F8B" w:rsidRDefault="00FE7F8B">
            <w:pPr>
              <w:pStyle w:val="TableTextFinancial"/>
              <w:jc w:val="right"/>
              <w:rPr>
                <w:b/>
              </w:rPr>
            </w:pPr>
            <w:r>
              <w:rPr>
                <w:b/>
              </w:rPr>
              <w:t>1,042.2</w:t>
            </w:r>
          </w:p>
        </w:tc>
        <w:tc>
          <w:tcPr>
            <w:tcW w:w="1134" w:type="dxa"/>
            <w:tcBorders>
              <w:top w:val="single" w:sz="4" w:space="0" w:color="auto"/>
              <w:left w:val="nil"/>
              <w:bottom w:val="single" w:sz="4" w:space="0" w:color="auto"/>
              <w:right w:val="nil"/>
            </w:tcBorders>
            <w:vAlign w:val="bottom"/>
            <w:hideMark/>
          </w:tcPr>
          <w:p w14:paraId="01B6DE01" w14:textId="77777777" w:rsidR="00FE7F8B" w:rsidRDefault="00FE7F8B">
            <w:pPr>
              <w:pStyle w:val="TableTextFinancial"/>
              <w:jc w:val="right"/>
            </w:pPr>
            <w:r>
              <w:t>974.6</w:t>
            </w:r>
          </w:p>
        </w:tc>
      </w:tr>
      <w:tr w:rsidR="00FE7F8B" w14:paraId="24551E4B" w14:textId="77777777" w:rsidTr="00FE7F8B">
        <w:tc>
          <w:tcPr>
            <w:tcW w:w="4258" w:type="dxa"/>
            <w:tcBorders>
              <w:top w:val="single" w:sz="4" w:space="0" w:color="auto"/>
              <w:left w:val="nil"/>
              <w:bottom w:val="nil"/>
              <w:right w:val="nil"/>
            </w:tcBorders>
            <w:vAlign w:val="bottom"/>
            <w:hideMark/>
          </w:tcPr>
          <w:p w14:paraId="5365AE55" w14:textId="77777777" w:rsidR="00FE7F8B" w:rsidRDefault="00FE7F8B">
            <w:pPr>
              <w:pStyle w:val="Tabletextnoindent"/>
              <w:rPr>
                <w:b/>
              </w:rPr>
            </w:pPr>
            <w:r>
              <w:rPr>
                <w:b/>
              </w:rPr>
              <w:t>Non-current employee benefits</w:t>
            </w:r>
          </w:p>
        </w:tc>
        <w:tc>
          <w:tcPr>
            <w:tcW w:w="850" w:type="dxa"/>
            <w:tcBorders>
              <w:top w:val="single" w:sz="4" w:space="0" w:color="auto"/>
              <w:left w:val="nil"/>
              <w:bottom w:val="nil"/>
              <w:right w:val="nil"/>
            </w:tcBorders>
            <w:vAlign w:val="bottom"/>
          </w:tcPr>
          <w:p w14:paraId="7EDDC7FE" w14:textId="77777777" w:rsidR="00FE7F8B" w:rsidRDefault="00FE7F8B">
            <w:pPr>
              <w:pStyle w:val="TableTextFinancial"/>
              <w:jc w:val="center"/>
            </w:pPr>
          </w:p>
        </w:tc>
        <w:tc>
          <w:tcPr>
            <w:tcW w:w="1134" w:type="dxa"/>
            <w:tcBorders>
              <w:top w:val="single" w:sz="4" w:space="0" w:color="auto"/>
              <w:left w:val="nil"/>
              <w:bottom w:val="nil"/>
              <w:right w:val="nil"/>
            </w:tcBorders>
            <w:shd w:val="clear" w:color="auto" w:fill="F2F2F2" w:themeFill="background1" w:themeFillShade="F2"/>
            <w:vAlign w:val="bottom"/>
          </w:tcPr>
          <w:p w14:paraId="1D4E68AA" w14:textId="77777777" w:rsidR="00FE7F8B" w:rsidRDefault="00FE7F8B">
            <w:pPr>
              <w:pStyle w:val="TableTextFinancial"/>
              <w:jc w:val="right"/>
              <w:rPr>
                <w:b/>
              </w:rPr>
            </w:pPr>
          </w:p>
        </w:tc>
        <w:tc>
          <w:tcPr>
            <w:tcW w:w="1134" w:type="dxa"/>
            <w:tcBorders>
              <w:top w:val="single" w:sz="4" w:space="0" w:color="auto"/>
              <w:left w:val="nil"/>
              <w:bottom w:val="nil"/>
              <w:right w:val="nil"/>
            </w:tcBorders>
            <w:vAlign w:val="bottom"/>
          </w:tcPr>
          <w:p w14:paraId="6412124E" w14:textId="77777777" w:rsidR="00FE7F8B" w:rsidRDefault="00FE7F8B">
            <w:pPr>
              <w:pStyle w:val="TableTextFinancial"/>
              <w:jc w:val="right"/>
            </w:pPr>
          </w:p>
        </w:tc>
      </w:tr>
      <w:tr w:rsidR="00FE7F8B" w14:paraId="4C73F72F" w14:textId="77777777" w:rsidTr="00FE7F8B">
        <w:tc>
          <w:tcPr>
            <w:tcW w:w="4258" w:type="dxa"/>
            <w:tcBorders>
              <w:top w:val="nil"/>
              <w:left w:val="nil"/>
              <w:bottom w:val="single" w:sz="4" w:space="0" w:color="auto"/>
              <w:right w:val="nil"/>
            </w:tcBorders>
            <w:vAlign w:val="bottom"/>
            <w:hideMark/>
          </w:tcPr>
          <w:p w14:paraId="7077E28F" w14:textId="77777777" w:rsidR="00FE7F8B" w:rsidRDefault="00FE7F8B">
            <w:pPr>
              <w:pStyle w:val="Tabletextnoindent"/>
            </w:pPr>
            <w:r>
              <w:t>Long service leave entitlements</w:t>
            </w:r>
          </w:p>
        </w:tc>
        <w:tc>
          <w:tcPr>
            <w:tcW w:w="850" w:type="dxa"/>
            <w:tcBorders>
              <w:top w:val="nil"/>
              <w:left w:val="nil"/>
              <w:bottom w:val="single" w:sz="4" w:space="0" w:color="auto"/>
              <w:right w:val="nil"/>
            </w:tcBorders>
            <w:vAlign w:val="bottom"/>
          </w:tcPr>
          <w:p w14:paraId="423B7472" w14:textId="77777777" w:rsidR="00FE7F8B" w:rsidRDefault="00FE7F8B">
            <w:pPr>
              <w:pStyle w:val="TableTextFinancial"/>
              <w:jc w:val="center"/>
            </w:pPr>
          </w:p>
        </w:tc>
        <w:tc>
          <w:tcPr>
            <w:tcW w:w="1134" w:type="dxa"/>
            <w:tcBorders>
              <w:top w:val="nil"/>
              <w:left w:val="nil"/>
              <w:bottom w:val="single" w:sz="4" w:space="0" w:color="auto"/>
              <w:right w:val="nil"/>
            </w:tcBorders>
            <w:shd w:val="clear" w:color="auto" w:fill="F2F2F2" w:themeFill="background1" w:themeFillShade="F2"/>
            <w:vAlign w:val="bottom"/>
            <w:hideMark/>
          </w:tcPr>
          <w:p w14:paraId="7DEF13D9" w14:textId="77777777" w:rsidR="00FE7F8B" w:rsidRDefault="00FE7F8B">
            <w:pPr>
              <w:pStyle w:val="TableTextFinancial"/>
              <w:jc w:val="right"/>
              <w:rPr>
                <w:b/>
              </w:rPr>
            </w:pPr>
            <w:r>
              <w:rPr>
                <w:b/>
              </w:rPr>
              <w:t>183.4</w:t>
            </w:r>
          </w:p>
        </w:tc>
        <w:tc>
          <w:tcPr>
            <w:tcW w:w="1134" w:type="dxa"/>
            <w:tcBorders>
              <w:top w:val="nil"/>
              <w:left w:val="nil"/>
              <w:bottom w:val="single" w:sz="4" w:space="0" w:color="auto"/>
              <w:right w:val="nil"/>
            </w:tcBorders>
            <w:vAlign w:val="bottom"/>
            <w:hideMark/>
          </w:tcPr>
          <w:p w14:paraId="57D97540" w14:textId="77777777" w:rsidR="00FE7F8B" w:rsidRDefault="00FE7F8B">
            <w:pPr>
              <w:pStyle w:val="TableTextFinancial"/>
              <w:jc w:val="right"/>
            </w:pPr>
            <w:r>
              <w:t>163.0</w:t>
            </w:r>
          </w:p>
        </w:tc>
      </w:tr>
      <w:tr w:rsidR="00FE7F8B" w14:paraId="6847BDEF" w14:textId="77777777" w:rsidTr="00FE7F8B">
        <w:tc>
          <w:tcPr>
            <w:tcW w:w="4258" w:type="dxa"/>
            <w:tcBorders>
              <w:top w:val="single" w:sz="4" w:space="0" w:color="auto"/>
              <w:left w:val="nil"/>
              <w:bottom w:val="single" w:sz="4" w:space="0" w:color="auto"/>
              <w:right w:val="nil"/>
            </w:tcBorders>
            <w:vAlign w:val="bottom"/>
            <w:hideMark/>
          </w:tcPr>
          <w:p w14:paraId="17DEA53C" w14:textId="77777777" w:rsidR="00FE7F8B" w:rsidRDefault="00FE7F8B">
            <w:pPr>
              <w:pStyle w:val="Tabletextnoindent"/>
              <w:rPr>
                <w:b/>
              </w:rPr>
            </w:pPr>
            <w:r>
              <w:rPr>
                <w:b/>
              </w:rPr>
              <w:t>Total employee benefits</w:t>
            </w:r>
          </w:p>
        </w:tc>
        <w:tc>
          <w:tcPr>
            <w:tcW w:w="850" w:type="dxa"/>
            <w:tcBorders>
              <w:top w:val="single" w:sz="4" w:space="0" w:color="auto"/>
              <w:left w:val="nil"/>
              <w:bottom w:val="single" w:sz="4" w:space="0" w:color="auto"/>
              <w:right w:val="nil"/>
            </w:tcBorders>
            <w:vAlign w:val="bottom"/>
          </w:tcPr>
          <w:p w14:paraId="5375BC7F"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66CD3BD6" w14:textId="77777777" w:rsidR="00FE7F8B" w:rsidRDefault="00FE7F8B">
            <w:pPr>
              <w:pStyle w:val="TableTextFinancial"/>
              <w:jc w:val="right"/>
              <w:rPr>
                <w:b/>
              </w:rPr>
            </w:pPr>
            <w:r>
              <w:rPr>
                <w:b/>
              </w:rPr>
              <w:t>1,225.7</w:t>
            </w:r>
          </w:p>
        </w:tc>
        <w:tc>
          <w:tcPr>
            <w:tcW w:w="1134" w:type="dxa"/>
            <w:tcBorders>
              <w:top w:val="single" w:sz="4" w:space="0" w:color="auto"/>
              <w:left w:val="nil"/>
              <w:bottom w:val="single" w:sz="4" w:space="0" w:color="auto"/>
              <w:right w:val="nil"/>
            </w:tcBorders>
            <w:vAlign w:val="bottom"/>
            <w:hideMark/>
          </w:tcPr>
          <w:p w14:paraId="6A7D6991" w14:textId="77777777" w:rsidR="00FE7F8B" w:rsidRDefault="00FE7F8B">
            <w:pPr>
              <w:pStyle w:val="TableTextFinancial"/>
              <w:jc w:val="right"/>
            </w:pPr>
            <w:r>
              <w:t>1,137.6</w:t>
            </w:r>
          </w:p>
        </w:tc>
      </w:tr>
      <w:tr w:rsidR="00FE7F8B" w14:paraId="5F490FB0" w14:textId="77777777" w:rsidTr="00FE7F8B">
        <w:tc>
          <w:tcPr>
            <w:tcW w:w="4258" w:type="dxa"/>
            <w:tcBorders>
              <w:top w:val="single" w:sz="4" w:space="0" w:color="auto"/>
              <w:left w:val="nil"/>
              <w:bottom w:val="nil"/>
              <w:right w:val="nil"/>
            </w:tcBorders>
            <w:vAlign w:val="bottom"/>
            <w:hideMark/>
          </w:tcPr>
          <w:p w14:paraId="234E66FF" w14:textId="77777777" w:rsidR="00FE7F8B" w:rsidRDefault="00FE7F8B">
            <w:pPr>
              <w:pStyle w:val="Tabletextnoindent"/>
              <w:rPr>
                <w:b/>
              </w:rPr>
            </w:pPr>
            <w:r>
              <w:rPr>
                <w:b/>
              </w:rPr>
              <w:t>On-costs</w:t>
            </w:r>
          </w:p>
        </w:tc>
        <w:tc>
          <w:tcPr>
            <w:tcW w:w="850" w:type="dxa"/>
            <w:tcBorders>
              <w:top w:val="single" w:sz="4" w:space="0" w:color="auto"/>
              <w:left w:val="nil"/>
              <w:bottom w:val="nil"/>
              <w:right w:val="nil"/>
            </w:tcBorders>
            <w:vAlign w:val="bottom"/>
          </w:tcPr>
          <w:p w14:paraId="11D21111" w14:textId="77777777" w:rsidR="00FE7F8B" w:rsidRDefault="00FE7F8B">
            <w:pPr>
              <w:pStyle w:val="TableTextFinancial"/>
              <w:jc w:val="center"/>
            </w:pPr>
          </w:p>
        </w:tc>
        <w:tc>
          <w:tcPr>
            <w:tcW w:w="1134" w:type="dxa"/>
            <w:tcBorders>
              <w:top w:val="single" w:sz="4" w:space="0" w:color="auto"/>
              <w:left w:val="nil"/>
              <w:bottom w:val="nil"/>
              <w:right w:val="nil"/>
            </w:tcBorders>
            <w:shd w:val="clear" w:color="auto" w:fill="F2F2F2" w:themeFill="background1" w:themeFillShade="F2"/>
            <w:vAlign w:val="bottom"/>
          </w:tcPr>
          <w:p w14:paraId="42E57724" w14:textId="77777777" w:rsidR="00FE7F8B" w:rsidRDefault="00FE7F8B">
            <w:pPr>
              <w:pStyle w:val="TableTextFinancial"/>
              <w:jc w:val="right"/>
              <w:rPr>
                <w:b/>
              </w:rPr>
            </w:pPr>
          </w:p>
        </w:tc>
        <w:tc>
          <w:tcPr>
            <w:tcW w:w="1134" w:type="dxa"/>
            <w:tcBorders>
              <w:top w:val="single" w:sz="4" w:space="0" w:color="auto"/>
              <w:left w:val="nil"/>
              <w:bottom w:val="nil"/>
              <w:right w:val="nil"/>
            </w:tcBorders>
            <w:vAlign w:val="bottom"/>
          </w:tcPr>
          <w:p w14:paraId="7818823B" w14:textId="77777777" w:rsidR="00FE7F8B" w:rsidRDefault="00FE7F8B">
            <w:pPr>
              <w:pStyle w:val="TableTextFinancial"/>
              <w:jc w:val="right"/>
            </w:pPr>
          </w:p>
        </w:tc>
      </w:tr>
      <w:tr w:rsidR="00FE7F8B" w14:paraId="48FD08B5" w14:textId="77777777" w:rsidTr="00FE7F8B">
        <w:tc>
          <w:tcPr>
            <w:tcW w:w="4258" w:type="dxa"/>
            <w:tcBorders>
              <w:top w:val="nil"/>
              <w:left w:val="nil"/>
              <w:bottom w:val="nil"/>
              <w:right w:val="nil"/>
            </w:tcBorders>
            <w:vAlign w:val="bottom"/>
            <w:hideMark/>
          </w:tcPr>
          <w:p w14:paraId="10EBAF54" w14:textId="77777777" w:rsidR="00FE7F8B" w:rsidRDefault="00FE7F8B">
            <w:pPr>
              <w:pStyle w:val="Tabletextnoindent"/>
            </w:pPr>
            <w:r>
              <w:t>Current on-costs</w:t>
            </w:r>
          </w:p>
        </w:tc>
        <w:tc>
          <w:tcPr>
            <w:tcW w:w="850" w:type="dxa"/>
            <w:tcBorders>
              <w:top w:val="nil"/>
              <w:left w:val="nil"/>
              <w:bottom w:val="nil"/>
              <w:right w:val="nil"/>
            </w:tcBorders>
            <w:vAlign w:val="bottom"/>
          </w:tcPr>
          <w:p w14:paraId="3CB1DB91"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hideMark/>
          </w:tcPr>
          <w:p w14:paraId="0E413068" w14:textId="77777777" w:rsidR="00FE7F8B" w:rsidRDefault="00FE7F8B">
            <w:pPr>
              <w:pStyle w:val="TableTextFinancial"/>
              <w:jc w:val="right"/>
              <w:rPr>
                <w:b/>
              </w:rPr>
            </w:pPr>
            <w:r>
              <w:rPr>
                <w:b/>
              </w:rPr>
              <w:t>167.8</w:t>
            </w:r>
          </w:p>
        </w:tc>
        <w:tc>
          <w:tcPr>
            <w:tcW w:w="1134" w:type="dxa"/>
            <w:tcBorders>
              <w:top w:val="nil"/>
              <w:left w:val="nil"/>
              <w:bottom w:val="nil"/>
              <w:right w:val="nil"/>
            </w:tcBorders>
            <w:vAlign w:val="bottom"/>
            <w:hideMark/>
          </w:tcPr>
          <w:p w14:paraId="75EABA61" w14:textId="77777777" w:rsidR="00FE7F8B" w:rsidRDefault="00FE7F8B">
            <w:pPr>
              <w:pStyle w:val="TableTextFinancial"/>
              <w:jc w:val="right"/>
            </w:pPr>
            <w:r>
              <w:t>165.6</w:t>
            </w:r>
          </w:p>
        </w:tc>
      </w:tr>
      <w:tr w:rsidR="00FE7F8B" w14:paraId="7A69B93F" w14:textId="77777777" w:rsidTr="00FE7F8B">
        <w:tc>
          <w:tcPr>
            <w:tcW w:w="4258" w:type="dxa"/>
            <w:tcBorders>
              <w:top w:val="nil"/>
              <w:left w:val="nil"/>
              <w:bottom w:val="single" w:sz="4" w:space="0" w:color="auto"/>
              <w:right w:val="nil"/>
            </w:tcBorders>
            <w:vAlign w:val="bottom"/>
            <w:hideMark/>
          </w:tcPr>
          <w:p w14:paraId="2E43F021" w14:textId="77777777" w:rsidR="00FE7F8B" w:rsidRDefault="00FE7F8B">
            <w:pPr>
              <w:pStyle w:val="Tabletextnoindent"/>
            </w:pPr>
            <w:r>
              <w:t>Non-current on-costs</w:t>
            </w:r>
          </w:p>
        </w:tc>
        <w:tc>
          <w:tcPr>
            <w:tcW w:w="850" w:type="dxa"/>
            <w:tcBorders>
              <w:top w:val="nil"/>
              <w:left w:val="nil"/>
              <w:bottom w:val="single" w:sz="4" w:space="0" w:color="auto"/>
              <w:right w:val="nil"/>
            </w:tcBorders>
            <w:vAlign w:val="bottom"/>
          </w:tcPr>
          <w:p w14:paraId="7F5FFCCC" w14:textId="77777777" w:rsidR="00FE7F8B" w:rsidRDefault="00FE7F8B">
            <w:pPr>
              <w:pStyle w:val="TableTextFinancial"/>
              <w:jc w:val="center"/>
            </w:pPr>
          </w:p>
        </w:tc>
        <w:tc>
          <w:tcPr>
            <w:tcW w:w="1134" w:type="dxa"/>
            <w:tcBorders>
              <w:top w:val="nil"/>
              <w:left w:val="nil"/>
              <w:bottom w:val="single" w:sz="4" w:space="0" w:color="auto"/>
              <w:right w:val="nil"/>
            </w:tcBorders>
            <w:shd w:val="clear" w:color="auto" w:fill="F2F2F2" w:themeFill="background1" w:themeFillShade="F2"/>
            <w:vAlign w:val="bottom"/>
            <w:hideMark/>
          </w:tcPr>
          <w:p w14:paraId="20722402" w14:textId="77777777" w:rsidR="00FE7F8B" w:rsidRDefault="00FE7F8B">
            <w:pPr>
              <w:pStyle w:val="TableTextFinancial"/>
              <w:jc w:val="right"/>
              <w:rPr>
                <w:b/>
              </w:rPr>
            </w:pPr>
            <w:r>
              <w:rPr>
                <w:b/>
              </w:rPr>
              <w:t>30.1</w:t>
            </w:r>
          </w:p>
        </w:tc>
        <w:tc>
          <w:tcPr>
            <w:tcW w:w="1134" w:type="dxa"/>
            <w:tcBorders>
              <w:top w:val="nil"/>
              <w:left w:val="nil"/>
              <w:bottom w:val="single" w:sz="4" w:space="0" w:color="auto"/>
              <w:right w:val="nil"/>
            </w:tcBorders>
            <w:vAlign w:val="bottom"/>
            <w:hideMark/>
          </w:tcPr>
          <w:p w14:paraId="55DC2AFB" w14:textId="77777777" w:rsidR="00FE7F8B" w:rsidRDefault="00FE7F8B">
            <w:pPr>
              <w:pStyle w:val="TableTextFinancial"/>
              <w:jc w:val="right"/>
            </w:pPr>
            <w:r>
              <w:t>27.1</w:t>
            </w:r>
          </w:p>
        </w:tc>
      </w:tr>
      <w:tr w:rsidR="00FE7F8B" w14:paraId="79AFC07A" w14:textId="77777777" w:rsidTr="00FE7F8B">
        <w:tc>
          <w:tcPr>
            <w:tcW w:w="4258" w:type="dxa"/>
            <w:tcBorders>
              <w:top w:val="single" w:sz="4" w:space="0" w:color="auto"/>
              <w:left w:val="nil"/>
              <w:bottom w:val="single" w:sz="4" w:space="0" w:color="auto"/>
              <w:right w:val="nil"/>
            </w:tcBorders>
            <w:vAlign w:val="bottom"/>
            <w:hideMark/>
          </w:tcPr>
          <w:p w14:paraId="44F48C77" w14:textId="77777777" w:rsidR="00FE7F8B" w:rsidRDefault="00FE7F8B">
            <w:pPr>
              <w:pStyle w:val="Tabletextnoindent"/>
              <w:rPr>
                <w:b/>
              </w:rPr>
            </w:pPr>
            <w:r>
              <w:rPr>
                <w:b/>
              </w:rPr>
              <w:t>Total on-costs</w:t>
            </w:r>
          </w:p>
        </w:tc>
        <w:tc>
          <w:tcPr>
            <w:tcW w:w="850" w:type="dxa"/>
            <w:tcBorders>
              <w:top w:val="single" w:sz="4" w:space="0" w:color="auto"/>
              <w:left w:val="nil"/>
              <w:bottom w:val="single" w:sz="4" w:space="0" w:color="auto"/>
              <w:right w:val="nil"/>
            </w:tcBorders>
            <w:vAlign w:val="bottom"/>
            <w:hideMark/>
          </w:tcPr>
          <w:p w14:paraId="74BD7E54" w14:textId="77777777" w:rsidR="00FE7F8B" w:rsidRDefault="00FE7F8B">
            <w:pPr>
              <w:pStyle w:val="TableTextFinancial"/>
              <w:jc w:val="center"/>
            </w:pPr>
            <w:r>
              <w:t>14(b)</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24A45933" w14:textId="77777777" w:rsidR="00FE7F8B" w:rsidRDefault="00FE7F8B">
            <w:pPr>
              <w:pStyle w:val="TableTextFinancial"/>
              <w:jc w:val="right"/>
              <w:rPr>
                <w:b/>
              </w:rPr>
            </w:pPr>
            <w:r>
              <w:rPr>
                <w:b/>
              </w:rPr>
              <w:t>197.9</w:t>
            </w:r>
          </w:p>
        </w:tc>
        <w:tc>
          <w:tcPr>
            <w:tcW w:w="1134" w:type="dxa"/>
            <w:tcBorders>
              <w:top w:val="single" w:sz="4" w:space="0" w:color="auto"/>
              <w:left w:val="nil"/>
              <w:bottom w:val="single" w:sz="4" w:space="0" w:color="auto"/>
              <w:right w:val="nil"/>
            </w:tcBorders>
            <w:vAlign w:val="bottom"/>
            <w:hideMark/>
          </w:tcPr>
          <w:p w14:paraId="4FFEB698" w14:textId="77777777" w:rsidR="00FE7F8B" w:rsidRDefault="00FE7F8B">
            <w:pPr>
              <w:pStyle w:val="TableTextFinancial"/>
              <w:jc w:val="right"/>
            </w:pPr>
            <w:r>
              <w:t>192.8</w:t>
            </w:r>
          </w:p>
        </w:tc>
      </w:tr>
      <w:tr w:rsidR="00FE7F8B" w14:paraId="23742165" w14:textId="77777777" w:rsidTr="00FE7F8B">
        <w:tc>
          <w:tcPr>
            <w:tcW w:w="4258" w:type="dxa"/>
            <w:tcBorders>
              <w:top w:val="single" w:sz="4" w:space="0" w:color="auto"/>
              <w:left w:val="nil"/>
              <w:bottom w:val="single" w:sz="4" w:space="0" w:color="auto"/>
              <w:right w:val="nil"/>
            </w:tcBorders>
            <w:vAlign w:val="bottom"/>
            <w:hideMark/>
          </w:tcPr>
          <w:p w14:paraId="667811A9" w14:textId="77777777" w:rsidR="00FE7F8B" w:rsidRDefault="00FE7F8B">
            <w:pPr>
              <w:pStyle w:val="Tabletextnoindent"/>
              <w:rPr>
                <w:b/>
              </w:rPr>
            </w:pPr>
            <w:r>
              <w:rPr>
                <w:b/>
              </w:rPr>
              <w:t>Total employee benefits and related on-costs</w:t>
            </w:r>
          </w:p>
        </w:tc>
        <w:tc>
          <w:tcPr>
            <w:tcW w:w="850" w:type="dxa"/>
            <w:tcBorders>
              <w:top w:val="single" w:sz="4" w:space="0" w:color="auto"/>
              <w:left w:val="nil"/>
              <w:bottom w:val="single" w:sz="4" w:space="0" w:color="auto"/>
              <w:right w:val="nil"/>
            </w:tcBorders>
            <w:vAlign w:val="bottom"/>
          </w:tcPr>
          <w:p w14:paraId="274A7EA7"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6FE9829D" w14:textId="77777777" w:rsidR="00FE7F8B" w:rsidRDefault="00FE7F8B">
            <w:pPr>
              <w:pStyle w:val="TableTextFinancial"/>
              <w:jc w:val="right"/>
              <w:rPr>
                <w:b/>
              </w:rPr>
            </w:pPr>
            <w:r>
              <w:rPr>
                <w:b/>
              </w:rPr>
              <w:t>1,423.6</w:t>
            </w:r>
          </w:p>
        </w:tc>
        <w:tc>
          <w:tcPr>
            <w:tcW w:w="1134" w:type="dxa"/>
            <w:tcBorders>
              <w:top w:val="single" w:sz="4" w:space="0" w:color="auto"/>
              <w:left w:val="nil"/>
              <w:bottom w:val="single" w:sz="4" w:space="0" w:color="auto"/>
              <w:right w:val="nil"/>
            </w:tcBorders>
            <w:vAlign w:val="bottom"/>
            <w:hideMark/>
          </w:tcPr>
          <w:p w14:paraId="6C44B8D8" w14:textId="77777777" w:rsidR="00FE7F8B" w:rsidRDefault="00FE7F8B">
            <w:pPr>
              <w:pStyle w:val="TableTextFinancial"/>
              <w:jc w:val="right"/>
            </w:pPr>
            <w:r>
              <w:t>1,330.4</w:t>
            </w:r>
          </w:p>
        </w:tc>
      </w:tr>
    </w:tbl>
    <w:p w14:paraId="3931DAF6" w14:textId="77777777" w:rsidR="00FE7F8B" w:rsidRDefault="00FE7F8B" w:rsidP="00FE7F8B">
      <w:pPr>
        <w:pStyle w:val="ARBody"/>
      </w:pPr>
    </w:p>
    <w:p w14:paraId="48A9DCD8" w14:textId="77777777" w:rsidR="00FE7F8B" w:rsidRDefault="00FE7F8B" w:rsidP="00FA24FA">
      <w:pPr>
        <w:pStyle w:val="Heading4"/>
      </w:pPr>
      <w:r>
        <w:t>(b) Movements in provisions</w:t>
      </w:r>
    </w:p>
    <w:p w14:paraId="378A1D44" w14:textId="77777777" w:rsidR="00FE7F8B" w:rsidRDefault="00FE7F8B" w:rsidP="00FE7F8B">
      <w:pPr>
        <w:pStyle w:val="ARBody"/>
        <w:rPr>
          <w:rFonts w:ascii="Arial" w:hAnsi="Arial" w:cs="Arial"/>
          <w:szCs w:val="18"/>
        </w:rPr>
      </w:pPr>
      <w:r>
        <w:rPr>
          <w:rFonts w:ascii="Arial" w:hAnsi="Arial" w:cs="Arial"/>
          <w:szCs w:val="18"/>
        </w:rPr>
        <w:t>Movements in each class of provision during the financial year, other than employee benefits, are set out below:</w:t>
      </w:r>
    </w:p>
    <w:tbl>
      <w:tblPr>
        <w:tblpPr w:leftFromText="180" w:rightFromText="180" w:bottomFromText="200" w:vertAnchor="text" w:horzAnchor="margin" w:tblpY="136"/>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2"/>
        <w:gridCol w:w="1133"/>
        <w:gridCol w:w="851"/>
        <w:gridCol w:w="1134"/>
        <w:gridCol w:w="992"/>
      </w:tblGrid>
      <w:tr w:rsidR="00FE7F8B" w14:paraId="753D3570" w14:textId="77777777" w:rsidTr="00FE7F8B">
        <w:tc>
          <w:tcPr>
            <w:tcW w:w="2212" w:type="pct"/>
            <w:tcBorders>
              <w:top w:val="nil"/>
              <w:left w:val="nil"/>
              <w:bottom w:val="nil"/>
              <w:right w:val="nil"/>
            </w:tcBorders>
            <w:shd w:val="clear" w:color="auto" w:fill="7F7F7F" w:themeFill="text1" w:themeFillTint="80"/>
            <w:vAlign w:val="bottom"/>
            <w:hideMark/>
          </w:tcPr>
          <w:p w14:paraId="48918887" w14:textId="77777777" w:rsidR="00FE7F8B" w:rsidRDefault="00FE7F8B">
            <w:pPr>
              <w:pStyle w:val="Tablecolumnheading"/>
              <w:jc w:val="center"/>
              <w:rPr>
                <w:lang w:eastAsia="en-AU"/>
              </w:rPr>
            </w:pPr>
            <w:r>
              <w:rPr>
                <w:lang w:eastAsia="en-AU"/>
              </w:rPr>
              <w:t>2016</w:t>
            </w:r>
          </w:p>
        </w:tc>
        <w:tc>
          <w:tcPr>
            <w:tcW w:w="768" w:type="pct"/>
            <w:tcBorders>
              <w:top w:val="nil"/>
              <w:left w:val="nil"/>
              <w:bottom w:val="nil"/>
              <w:right w:val="nil"/>
            </w:tcBorders>
            <w:shd w:val="clear" w:color="auto" w:fill="7F7F7F" w:themeFill="text1" w:themeFillTint="80"/>
            <w:vAlign w:val="bottom"/>
            <w:hideMark/>
          </w:tcPr>
          <w:p w14:paraId="122F802F" w14:textId="77777777" w:rsidR="00FE7F8B" w:rsidRDefault="00FE7F8B">
            <w:pPr>
              <w:pStyle w:val="Tablecolumnheading"/>
              <w:jc w:val="center"/>
              <w:rPr>
                <w:lang w:eastAsia="en-AU"/>
              </w:rPr>
            </w:pPr>
            <w:r>
              <w:rPr>
                <w:lang w:eastAsia="en-AU"/>
              </w:rPr>
              <w:t>On-costs</w:t>
            </w:r>
            <w:r>
              <w:rPr>
                <w:lang w:eastAsia="en-AU"/>
              </w:rPr>
              <w:br/>
              <w:t>$m</w:t>
            </w:r>
          </w:p>
        </w:tc>
        <w:tc>
          <w:tcPr>
            <w:tcW w:w="577" w:type="pct"/>
            <w:tcBorders>
              <w:top w:val="nil"/>
              <w:left w:val="nil"/>
              <w:bottom w:val="nil"/>
              <w:right w:val="nil"/>
            </w:tcBorders>
            <w:shd w:val="clear" w:color="auto" w:fill="7F7F7F" w:themeFill="text1" w:themeFillTint="80"/>
            <w:vAlign w:val="bottom"/>
            <w:hideMark/>
          </w:tcPr>
          <w:p w14:paraId="43553615" w14:textId="77777777" w:rsidR="00FE7F8B" w:rsidRDefault="00FE7F8B">
            <w:pPr>
              <w:pStyle w:val="Tablecolumnheading"/>
              <w:jc w:val="center"/>
              <w:rPr>
                <w:lang w:eastAsia="en-AU"/>
              </w:rPr>
            </w:pPr>
            <w:r>
              <w:rPr>
                <w:lang w:eastAsia="en-AU"/>
              </w:rPr>
              <w:t>Make good</w:t>
            </w:r>
            <w:r>
              <w:rPr>
                <w:lang w:eastAsia="en-AU"/>
              </w:rPr>
              <w:br/>
              <w:t>$m</w:t>
            </w:r>
          </w:p>
        </w:tc>
        <w:tc>
          <w:tcPr>
            <w:tcW w:w="769" w:type="pct"/>
            <w:tcBorders>
              <w:top w:val="nil"/>
              <w:left w:val="nil"/>
              <w:bottom w:val="nil"/>
              <w:right w:val="nil"/>
            </w:tcBorders>
            <w:shd w:val="clear" w:color="auto" w:fill="7F7F7F" w:themeFill="text1" w:themeFillTint="80"/>
            <w:vAlign w:val="bottom"/>
            <w:hideMark/>
          </w:tcPr>
          <w:p w14:paraId="3708A782" w14:textId="77777777" w:rsidR="00FE7F8B" w:rsidRDefault="00FE7F8B">
            <w:pPr>
              <w:pStyle w:val="Tablecolumnheading"/>
              <w:jc w:val="center"/>
              <w:rPr>
                <w:lang w:eastAsia="en-AU"/>
              </w:rPr>
            </w:pPr>
            <w:r>
              <w:rPr>
                <w:lang w:eastAsia="en-AU"/>
              </w:rPr>
              <w:t>Sabbatical leave</w:t>
            </w:r>
            <w:r>
              <w:rPr>
                <w:lang w:eastAsia="en-AU"/>
              </w:rPr>
              <w:br/>
              <w:t>$m</w:t>
            </w:r>
          </w:p>
        </w:tc>
        <w:tc>
          <w:tcPr>
            <w:tcW w:w="673" w:type="pct"/>
            <w:tcBorders>
              <w:top w:val="nil"/>
              <w:left w:val="nil"/>
              <w:bottom w:val="nil"/>
              <w:right w:val="nil"/>
            </w:tcBorders>
            <w:shd w:val="clear" w:color="auto" w:fill="7F7F7F" w:themeFill="text1" w:themeFillTint="80"/>
            <w:vAlign w:val="bottom"/>
            <w:hideMark/>
          </w:tcPr>
          <w:p w14:paraId="620F04EF" w14:textId="77777777" w:rsidR="00FE7F8B" w:rsidRDefault="00FE7F8B">
            <w:pPr>
              <w:pStyle w:val="Tablecolumnheading"/>
              <w:jc w:val="center"/>
              <w:rPr>
                <w:lang w:eastAsia="en-AU"/>
              </w:rPr>
            </w:pPr>
            <w:r>
              <w:rPr>
                <w:lang w:eastAsia="en-AU"/>
              </w:rPr>
              <w:t>Total</w:t>
            </w:r>
            <w:r>
              <w:rPr>
                <w:lang w:eastAsia="en-AU"/>
              </w:rPr>
              <w:br/>
              <w:t>$m</w:t>
            </w:r>
          </w:p>
        </w:tc>
      </w:tr>
      <w:tr w:rsidR="00FE7F8B" w14:paraId="63ED048A" w14:textId="77777777" w:rsidTr="00FE7F8B">
        <w:tc>
          <w:tcPr>
            <w:tcW w:w="2212" w:type="pct"/>
            <w:tcBorders>
              <w:top w:val="nil"/>
              <w:left w:val="nil"/>
              <w:bottom w:val="nil"/>
              <w:right w:val="nil"/>
            </w:tcBorders>
            <w:vAlign w:val="bottom"/>
            <w:hideMark/>
          </w:tcPr>
          <w:p w14:paraId="48380A1D" w14:textId="77777777" w:rsidR="00FE7F8B" w:rsidRDefault="00FE7F8B">
            <w:pPr>
              <w:pStyle w:val="Tabletextnoindent"/>
            </w:pPr>
            <w:r>
              <w:t xml:space="preserve">Opening balance </w:t>
            </w:r>
          </w:p>
        </w:tc>
        <w:tc>
          <w:tcPr>
            <w:tcW w:w="768" w:type="pct"/>
            <w:tcBorders>
              <w:top w:val="nil"/>
              <w:left w:val="nil"/>
              <w:bottom w:val="nil"/>
              <w:right w:val="nil"/>
            </w:tcBorders>
            <w:vAlign w:val="bottom"/>
            <w:hideMark/>
          </w:tcPr>
          <w:p w14:paraId="28E8E143" w14:textId="77777777" w:rsidR="00FE7F8B" w:rsidRDefault="00FE7F8B">
            <w:pPr>
              <w:pStyle w:val="TableTextFinancial"/>
              <w:jc w:val="right"/>
            </w:pPr>
            <w:r>
              <w:t>192.8</w:t>
            </w:r>
          </w:p>
        </w:tc>
        <w:tc>
          <w:tcPr>
            <w:tcW w:w="577" w:type="pct"/>
            <w:tcBorders>
              <w:top w:val="nil"/>
              <w:left w:val="nil"/>
              <w:bottom w:val="nil"/>
              <w:right w:val="nil"/>
            </w:tcBorders>
            <w:vAlign w:val="bottom"/>
            <w:hideMark/>
          </w:tcPr>
          <w:p w14:paraId="0916A24E" w14:textId="77777777" w:rsidR="00FE7F8B" w:rsidRDefault="00FE7F8B">
            <w:pPr>
              <w:pStyle w:val="TableTextFinancial"/>
              <w:jc w:val="right"/>
            </w:pPr>
            <w:r>
              <w:t>0.5</w:t>
            </w:r>
          </w:p>
        </w:tc>
        <w:tc>
          <w:tcPr>
            <w:tcW w:w="769" w:type="pct"/>
            <w:tcBorders>
              <w:top w:val="nil"/>
              <w:left w:val="nil"/>
              <w:bottom w:val="nil"/>
              <w:right w:val="nil"/>
            </w:tcBorders>
            <w:vAlign w:val="bottom"/>
            <w:hideMark/>
          </w:tcPr>
          <w:p w14:paraId="445D5171" w14:textId="77777777" w:rsidR="00FE7F8B" w:rsidRDefault="00FE7F8B">
            <w:pPr>
              <w:pStyle w:val="TableTextFinancial"/>
              <w:jc w:val="right"/>
            </w:pPr>
            <w:r>
              <w:t>1.5</w:t>
            </w:r>
          </w:p>
        </w:tc>
        <w:tc>
          <w:tcPr>
            <w:tcW w:w="673" w:type="pct"/>
            <w:tcBorders>
              <w:top w:val="nil"/>
              <w:left w:val="nil"/>
              <w:bottom w:val="nil"/>
              <w:right w:val="nil"/>
            </w:tcBorders>
            <w:vAlign w:val="bottom"/>
            <w:hideMark/>
          </w:tcPr>
          <w:p w14:paraId="4B0A445A" w14:textId="77777777" w:rsidR="00FE7F8B" w:rsidRDefault="00FE7F8B">
            <w:pPr>
              <w:pStyle w:val="TableTextFinancial"/>
              <w:jc w:val="right"/>
              <w:rPr>
                <w:b/>
              </w:rPr>
            </w:pPr>
            <w:r>
              <w:rPr>
                <w:b/>
              </w:rPr>
              <w:t>194.8</w:t>
            </w:r>
          </w:p>
        </w:tc>
      </w:tr>
      <w:tr w:rsidR="00FE7F8B" w14:paraId="3539536B" w14:textId="77777777" w:rsidTr="00FE7F8B">
        <w:tc>
          <w:tcPr>
            <w:tcW w:w="2212" w:type="pct"/>
            <w:tcBorders>
              <w:top w:val="nil"/>
              <w:left w:val="nil"/>
              <w:bottom w:val="nil"/>
              <w:right w:val="nil"/>
            </w:tcBorders>
            <w:vAlign w:val="bottom"/>
            <w:hideMark/>
          </w:tcPr>
          <w:p w14:paraId="16D405CA" w14:textId="77777777" w:rsidR="00FE7F8B" w:rsidRDefault="00FE7F8B">
            <w:pPr>
              <w:pStyle w:val="Tabletextnoindent"/>
            </w:pPr>
            <w:r>
              <w:t>Additional provisions recognised</w:t>
            </w:r>
          </w:p>
        </w:tc>
        <w:tc>
          <w:tcPr>
            <w:tcW w:w="768" w:type="pct"/>
            <w:tcBorders>
              <w:top w:val="nil"/>
              <w:left w:val="nil"/>
              <w:bottom w:val="nil"/>
              <w:right w:val="nil"/>
            </w:tcBorders>
            <w:vAlign w:val="bottom"/>
            <w:hideMark/>
          </w:tcPr>
          <w:p w14:paraId="5EEEE030" w14:textId="77777777" w:rsidR="00FE7F8B" w:rsidRDefault="00FE7F8B">
            <w:pPr>
              <w:pStyle w:val="TableTextFinancial"/>
              <w:jc w:val="right"/>
            </w:pPr>
            <w:r>
              <w:t>35.7</w:t>
            </w:r>
          </w:p>
        </w:tc>
        <w:tc>
          <w:tcPr>
            <w:tcW w:w="577" w:type="pct"/>
            <w:tcBorders>
              <w:top w:val="nil"/>
              <w:left w:val="nil"/>
              <w:bottom w:val="nil"/>
              <w:right w:val="nil"/>
            </w:tcBorders>
            <w:vAlign w:val="bottom"/>
            <w:hideMark/>
          </w:tcPr>
          <w:p w14:paraId="0D1B680F" w14:textId="77777777" w:rsidR="00FE7F8B" w:rsidRDefault="00FE7F8B">
            <w:pPr>
              <w:pStyle w:val="TableTextFinancial"/>
              <w:jc w:val="right"/>
            </w:pPr>
            <w:r>
              <w:t>-</w:t>
            </w:r>
          </w:p>
        </w:tc>
        <w:tc>
          <w:tcPr>
            <w:tcW w:w="769" w:type="pct"/>
            <w:tcBorders>
              <w:top w:val="nil"/>
              <w:left w:val="nil"/>
              <w:bottom w:val="nil"/>
              <w:right w:val="nil"/>
            </w:tcBorders>
            <w:vAlign w:val="bottom"/>
            <w:hideMark/>
          </w:tcPr>
          <w:p w14:paraId="6F73BA06" w14:textId="77777777" w:rsidR="00FE7F8B" w:rsidRDefault="00FE7F8B">
            <w:pPr>
              <w:pStyle w:val="TableTextFinancial"/>
              <w:jc w:val="right"/>
            </w:pPr>
            <w:r>
              <w:t>(0.6)</w:t>
            </w:r>
          </w:p>
        </w:tc>
        <w:tc>
          <w:tcPr>
            <w:tcW w:w="673" w:type="pct"/>
            <w:tcBorders>
              <w:top w:val="nil"/>
              <w:left w:val="nil"/>
              <w:bottom w:val="nil"/>
              <w:right w:val="nil"/>
            </w:tcBorders>
            <w:vAlign w:val="bottom"/>
            <w:hideMark/>
          </w:tcPr>
          <w:p w14:paraId="45B46952" w14:textId="77777777" w:rsidR="00FE7F8B" w:rsidRDefault="00FE7F8B">
            <w:pPr>
              <w:pStyle w:val="TableTextFinancial"/>
              <w:jc w:val="right"/>
              <w:rPr>
                <w:b/>
              </w:rPr>
            </w:pPr>
            <w:r>
              <w:rPr>
                <w:b/>
              </w:rPr>
              <w:t>35.1</w:t>
            </w:r>
          </w:p>
        </w:tc>
      </w:tr>
      <w:tr w:rsidR="00FE7F8B" w14:paraId="300B566A" w14:textId="77777777" w:rsidTr="00FE7F8B">
        <w:tc>
          <w:tcPr>
            <w:tcW w:w="2212" w:type="pct"/>
            <w:tcBorders>
              <w:top w:val="nil"/>
              <w:left w:val="nil"/>
              <w:bottom w:val="nil"/>
              <w:right w:val="nil"/>
            </w:tcBorders>
            <w:vAlign w:val="bottom"/>
            <w:hideMark/>
          </w:tcPr>
          <w:p w14:paraId="73420789" w14:textId="77777777" w:rsidR="00FE7F8B" w:rsidRDefault="00FE7F8B">
            <w:pPr>
              <w:pStyle w:val="Tabletextnoindent"/>
            </w:pPr>
            <w:r>
              <w:t>Reductions arising from payments/other sacrifices of future economic benefits</w:t>
            </w:r>
          </w:p>
        </w:tc>
        <w:tc>
          <w:tcPr>
            <w:tcW w:w="768" w:type="pct"/>
            <w:tcBorders>
              <w:top w:val="nil"/>
              <w:left w:val="nil"/>
              <w:bottom w:val="nil"/>
              <w:right w:val="nil"/>
            </w:tcBorders>
            <w:vAlign w:val="bottom"/>
            <w:hideMark/>
          </w:tcPr>
          <w:p w14:paraId="4728008A" w14:textId="77777777" w:rsidR="00FE7F8B" w:rsidRDefault="00FE7F8B">
            <w:pPr>
              <w:pStyle w:val="TableTextFinancial"/>
              <w:jc w:val="right"/>
            </w:pPr>
            <w:r>
              <w:t>(39.3)</w:t>
            </w:r>
          </w:p>
        </w:tc>
        <w:tc>
          <w:tcPr>
            <w:tcW w:w="577" w:type="pct"/>
            <w:tcBorders>
              <w:top w:val="nil"/>
              <w:left w:val="nil"/>
              <w:bottom w:val="nil"/>
              <w:right w:val="nil"/>
            </w:tcBorders>
            <w:vAlign w:val="bottom"/>
            <w:hideMark/>
          </w:tcPr>
          <w:p w14:paraId="64A98C04" w14:textId="77777777" w:rsidR="00FE7F8B" w:rsidRDefault="00FE7F8B">
            <w:pPr>
              <w:pStyle w:val="TableTextFinancial"/>
              <w:jc w:val="right"/>
            </w:pPr>
            <w:r>
              <w:t>-</w:t>
            </w:r>
          </w:p>
        </w:tc>
        <w:tc>
          <w:tcPr>
            <w:tcW w:w="769" w:type="pct"/>
            <w:tcBorders>
              <w:top w:val="nil"/>
              <w:left w:val="nil"/>
              <w:bottom w:val="nil"/>
              <w:right w:val="nil"/>
            </w:tcBorders>
            <w:vAlign w:val="bottom"/>
            <w:hideMark/>
          </w:tcPr>
          <w:p w14:paraId="576D6625" w14:textId="77777777" w:rsidR="00FE7F8B" w:rsidRDefault="00FE7F8B">
            <w:pPr>
              <w:pStyle w:val="TableTextFinancial"/>
              <w:jc w:val="right"/>
            </w:pPr>
            <w:r>
              <w:t>-</w:t>
            </w:r>
          </w:p>
        </w:tc>
        <w:tc>
          <w:tcPr>
            <w:tcW w:w="673" w:type="pct"/>
            <w:tcBorders>
              <w:top w:val="nil"/>
              <w:left w:val="nil"/>
              <w:bottom w:val="nil"/>
              <w:right w:val="nil"/>
            </w:tcBorders>
            <w:vAlign w:val="bottom"/>
            <w:hideMark/>
          </w:tcPr>
          <w:p w14:paraId="1AF47A7A" w14:textId="77777777" w:rsidR="00FE7F8B" w:rsidRDefault="00FE7F8B">
            <w:pPr>
              <w:pStyle w:val="TableTextFinancial"/>
              <w:jc w:val="right"/>
              <w:rPr>
                <w:b/>
              </w:rPr>
            </w:pPr>
            <w:r>
              <w:rPr>
                <w:b/>
              </w:rPr>
              <w:t>(39.3)</w:t>
            </w:r>
          </w:p>
        </w:tc>
      </w:tr>
      <w:tr w:rsidR="00FE7F8B" w14:paraId="3FB81CD2" w14:textId="77777777" w:rsidTr="00FE7F8B">
        <w:tc>
          <w:tcPr>
            <w:tcW w:w="2212" w:type="pct"/>
            <w:tcBorders>
              <w:top w:val="nil"/>
              <w:left w:val="nil"/>
              <w:bottom w:val="nil"/>
              <w:right w:val="nil"/>
            </w:tcBorders>
            <w:vAlign w:val="bottom"/>
            <w:hideMark/>
          </w:tcPr>
          <w:p w14:paraId="3DFEEDE9" w14:textId="77777777" w:rsidR="00FE7F8B" w:rsidRDefault="00FE7F8B">
            <w:pPr>
              <w:pStyle w:val="Tabletextnoindent"/>
            </w:pPr>
            <w:r>
              <w:t xml:space="preserve">Reductions resulting from re-measurement </w:t>
            </w:r>
          </w:p>
        </w:tc>
        <w:tc>
          <w:tcPr>
            <w:tcW w:w="768" w:type="pct"/>
            <w:tcBorders>
              <w:top w:val="nil"/>
              <w:left w:val="nil"/>
              <w:bottom w:val="nil"/>
              <w:right w:val="nil"/>
            </w:tcBorders>
            <w:vAlign w:val="bottom"/>
            <w:hideMark/>
          </w:tcPr>
          <w:p w14:paraId="77F9CF78" w14:textId="77777777" w:rsidR="00FE7F8B" w:rsidRDefault="00FE7F8B">
            <w:pPr>
              <w:pStyle w:val="TableTextFinancial"/>
              <w:jc w:val="right"/>
            </w:pPr>
            <w:r>
              <w:t>(3.9)</w:t>
            </w:r>
          </w:p>
        </w:tc>
        <w:tc>
          <w:tcPr>
            <w:tcW w:w="577" w:type="pct"/>
            <w:tcBorders>
              <w:top w:val="nil"/>
              <w:left w:val="nil"/>
              <w:bottom w:val="nil"/>
              <w:right w:val="nil"/>
            </w:tcBorders>
            <w:vAlign w:val="bottom"/>
            <w:hideMark/>
          </w:tcPr>
          <w:p w14:paraId="459927E7" w14:textId="77777777" w:rsidR="00FE7F8B" w:rsidRDefault="00FE7F8B">
            <w:pPr>
              <w:pStyle w:val="TableTextFinancial"/>
              <w:jc w:val="right"/>
            </w:pPr>
            <w:r>
              <w:t>0.1</w:t>
            </w:r>
          </w:p>
        </w:tc>
        <w:tc>
          <w:tcPr>
            <w:tcW w:w="769" w:type="pct"/>
            <w:tcBorders>
              <w:top w:val="nil"/>
              <w:left w:val="nil"/>
              <w:bottom w:val="nil"/>
              <w:right w:val="nil"/>
            </w:tcBorders>
            <w:vAlign w:val="bottom"/>
            <w:hideMark/>
          </w:tcPr>
          <w:p w14:paraId="1F9CA5C2" w14:textId="77777777" w:rsidR="00FE7F8B" w:rsidRDefault="00FE7F8B">
            <w:pPr>
              <w:pStyle w:val="TableTextFinancial"/>
              <w:jc w:val="right"/>
            </w:pPr>
            <w:r>
              <w:t>-</w:t>
            </w:r>
          </w:p>
        </w:tc>
        <w:tc>
          <w:tcPr>
            <w:tcW w:w="673" w:type="pct"/>
            <w:tcBorders>
              <w:top w:val="nil"/>
              <w:left w:val="nil"/>
              <w:bottom w:val="nil"/>
              <w:right w:val="nil"/>
            </w:tcBorders>
            <w:vAlign w:val="bottom"/>
            <w:hideMark/>
          </w:tcPr>
          <w:p w14:paraId="578FB8F9" w14:textId="77777777" w:rsidR="00FE7F8B" w:rsidRDefault="00FE7F8B">
            <w:pPr>
              <w:pStyle w:val="TableTextFinancial"/>
              <w:jc w:val="right"/>
              <w:rPr>
                <w:b/>
              </w:rPr>
            </w:pPr>
            <w:r>
              <w:rPr>
                <w:b/>
              </w:rPr>
              <w:t>(3.8)</w:t>
            </w:r>
          </w:p>
        </w:tc>
      </w:tr>
      <w:tr w:rsidR="00FE7F8B" w14:paraId="5AD6B858" w14:textId="77777777" w:rsidTr="00FE7F8B">
        <w:tc>
          <w:tcPr>
            <w:tcW w:w="2212" w:type="pct"/>
            <w:tcBorders>
              <w:top w:val="nil"/>
              <w:left w:val="nil"/>
              <w:bottom w:val="single" w:sz="4" w:space="0" w:color="auto"/>
              <w:right w:val="nil"/>
            </w:tcBorders>
            <w:vAlign w:val="bottom"/>
            <w:hideMark/>
          </w:tcPr>
          <w:p w14:paraId="15368181" w14:textId="77777777" w:rsidR="00FE7F8B" w:rsidRDefault="00FE7F8B">
            <w:pPr>
              <w:pStyle w:val="Tabletextnoindent"/>
            </w:pPr>
            <w:r>
              <w:t>Unwind of discount and effect of changes in the discount rate</w:t>
            </w:r>
          </w:p>
        </w:tc>
        <w:tc>
          <w:tcPr>
            <w:tcW w:w="768" w:type="pct"/>
            <w:tcBorders>
              <w:top w:val="nil"/>
              <w:left w:val="nil"/>
              <w:bottom w:val="single" w:sz="4" w:space="0" w:color="auto"/>
              <w:right w:val="nil"/>
            </w:tcBorders>
            <w:vAlign w:val="bottom"/>
            <w:hideMark/>
          </w:tcPr>
          <w:p w14:paraId="6712E3D7" w14:textId="77777777" w:rsidR="00FE7F8B" w:rsidRDefault="00FE7F8B">
            <w:pPr>
              <w:pStyle w:val="TableTextFinancial"/>
              <w:jc w:val="right"/>
            </w:pPr>
            <w:r>
              <w:t>12.6</w:t>
            </w:r>
          </w:p>
        </w:tc>
        <w:tc>
          <w:tcPr>
            <w:tcW w:w="577" w:type="pct"/>
            <w:tcBorders>
              <w:top w:val="nil"/>
              <w:left w:val="nil"/>
              <w:bottom w:val="single" w:sz="4" w:space="0" w:color="auto"/>
              <w:right w:val="nil"/>
            </w:tcBorders>
            <w:vAlign w:val="bottom"/>
            <w:hideMark/>
          </w:tcPr>
          <w:p w14:paraId="5ABB8EDD" w14:textId="77777777" w:rsidR="00FE7F8B" w:rsidRDefault="00FE7F8B">
            <w:pPr>
              <w:pStyle w:val="TableTextFinancial"/>
              <w:jc w:val="right"/>
            </w:pPr>
            <w:r>
              <w:t>-</w:t>
            </w:r>
          </w:p>
        </w:tc>
        <w:tc>
          <w:tcPr>
            <w:tcW w:w="769" w:type="pct"/>
            <w:tcBorders>
              <w:top w:val="nil"/>
              <w:left w:val="nil"/>
              <w:bottom w:val="single" w:sz="4" w:space="0" w:color="auto"/>
              <w:right w:val="nil"/>
            </w:tcBorders>
            <w:vAlign w:val="bottom"/>
            <w:hideMark/>
          </w:tcPr>
          <w:p w14:paraId="6864935E" w14:textId="77777777" w:rsidR="00FE7F8B" w:rsidRDefault="00FE7F8B">
            <w:pPr>
              <w:pStyle w:val="TableTextFinancial"/>
              <w:jc w:val="right"/>
            </w:pPr>
            <w:r>
              <w:t>-</w:t>
            </w:r>
          </w:p>
        </w:tc>
        <w:tc>
          <w:tcPr>
            <w:tcW w:w="673" w:type="pct"/>
            <w:tcBorders>
              <w:top w:val="nil"/>
              <w:left w:val="nil"/>
              <w:bottom w:val="single" w:sz="4" w:space="0" w:color="auto"/>
              <w:right w:val="nil"/>
            </w:tcBorders>
            <w:vAlign w:val="bottom"/>
            <w:hideMark/>
          </w:tcPr>
          <w:p w14:paraId="75766A3E" w14:textId="77777777" w:rsidR="00FE7F8B" w:rsidRDefault="00FE7F8B">
            <w:pPr>
              <w:pStyle w:val="TableTextFinancial"/>
              <w:jc w:val="right"/>
              <w:rPr>
                <w:b/>
              </w:rPr>
            </w:pPr>
            <w:r>
              <w:rPr>
                <w:b/>
              </w:rPr>
              <w:t>12.6</w:t>
            </w:r>
          </w:p>
        </w:tc>
      </w:tr>
      <w:tr w:rsidR="00FE7F8B" w14:paraId="1CFF499A" w14:textId="77777777" w:rsidTr="00FE7F8B">
        <w:tc>
          <w:tcPr>
            <w:tcW w:w="2212" w:type="pct"/>
            <w:tcBorders>
              <w:top w:val="single" w:sz="4" w:space="0" w:color="auto"/>
              <w:left w:val="nil"/>
              <w:bottom w:val="single" w:sz="4" w:space="0" w:color="auto"/>
              <w:right w:val="nil"/>
            </w:tcBorders>
            <w:vAlign w:val="bottom"/>
            <w:hideMark/>
          </w:tcPr>
          <w:p w14:paraId="7A6AF07E" w14:textId="77777777" w:rsidR="00FE7F8B" w:rsidRDefault="00FE7F8B">
            <w:pPr>
              <w:pStyle w:val="Tabletextnoindent"/>
              <w:rPr>
                <w:b/>
              </w:rPr>
            </w:pPr>
            <w:r>
              <w:rPr>
                <w:b/>
              </w:rPr>
              <w:t>Closing balance</w:t>
            </w:r>
          </w:p>
        </w:tc>
        <w:tc>
          <w:tcPr>
            <w:tcW w:w="768" w:type="pct"/>
            <w:tcBorders>
              <w:top w:val="single" w:sz="4" w:space="0" w:color="auto"/>
              <w:left w:val="nil"/>
              <w:bottom w:val="single" w:sz="4" w:space="0" w:color="auto"/>
              <w:right w:val="nil"/>
            </w:tcBorders>
            <w:vAlign w:val="bottom"/>
            <w:hideMark/>
          </w:tcPr>
          <w:p w14:paraId="7398FA85" w14:textId="77777777" w:rsidR="00FE7F8B" w:rsidRDefault="00FE7F8B">
            <w:pPr>
              <w:pStyle w:val="TableTextFinancial"/>
              <w:jc w:val="right"/>
            </w:pPr>
            <w:r>
              <w:t>197.9</w:t>
            </w:r>
          </w:p>
        </w:tc>
        <w:tc>
          <w:tcPr>
            <w:tcW w:w="577" w:type="pct"/>
            <w:tcBorders>
              <w:top w:val="single" w:sz="4" w:space="0" w:color="auto"/>
              <w:left w:val="nil"/>
              <w:bottom w:val="single" w:sz="4" w:space="0" w:color="auto"/>
              <w:right w:val="nil"/>
            </w:tcBorders>
            <w:vAlign w:val="bottom"/>
            <w:hideMark/>
          </w:tcPr>
          <w:p w14:paraId="4ECFBE1F" w14:textId="77777777" w:rsidR="00FE7F8B" w:rsidRDefault="00FE7F8B">
            <w:pPr>
              <w:pStyle w:val="TableTextFinancial"/>
              <w:jc w:val="right"/>
            </w:pPr>
            <w:r>
              <w:t>0.6</w:t>
            </w:r>
          </w:p>
        </w:tc>
        <w:tc>
          <w:tcPr>
            <w:tcW w:w="769" w:type="pct"/>
            <w:tcBorders>
              <w:top w:val="single" w:sz="4" w:space="0" w:color="auto"/>
              <w:left w:val="nil"/>
              <w:bottom w:val="single" w:sz="4" w:space="0" w:color="auto"/>
              <w:right w:val="nil"/>
            </w:tcBorders>
            <w:vAlign w:val="bottom"/>
            <w:hideMark/>
          </w:tcPr>
          <w:p w14:paraId="12BD8434" w14:textId="77777777" w:rsidR="00FE7F8B" w:rsidRDefault="00FE7F8B">
            <w:pPr>
              <w:pStyle w:val="TableTextFinancial"/>
              <w:jc w:val="right"/>
            </w:pPr>
            <w:r>
              <w:t>0.9</w:t>
            </w:r>
          </w:p>
        </w:tc>
        <w:tc>
          <w:tcPr>
            <w:tcW w:w="673" w:type="pct"/>
            <w:tcBorders>
              <w:top w:val="single" w:sz="4" w:space="0" w:color="auto"/>
              <w:left w:val="nil"/>
              <w:bottom w:val="single" w:sz="4" w:space="0" w:color="auto"/>
              <w:right w:val="nil"/>
            </w:tcBorders>
            <w:vAlign w:val="bottom"/>
            <w:hideMark/>
          </w:tcPr>
          <w:p w14:paraId="0B8589AC" w14:textId="77777777" w:rsidR="00FE7F8B" w:rsidRDefault="00FE7F8B">
            <w:pPr>
              <w:pStyle w:val="TableTextFinancial"/>
              <w:jc w:val="right"/>
              <w:rPr>
                <w:b/>
              </w:rPr>
            </w:pPr>
            <w:r>
              <w:rPr>
                <w:b/>
              </w:rPr>
              <w:t>199.4</w:t>
            </w:r>
          </w:p>
        </w:tc>
      </w:tr>
    </w:tbl>
    <w:p w14:paraId="08B762AE" w14:textId="77777777" w:rsidR="00FE7F8B" w:rsidRDefault="00FE7F8B" w:rsidP="00FE7F8B">
      <w:pPr>
        <w:pStyle w:val="ARBody"/>
        <w:rPr>
          <w:rFonts w:ascii="Arial" w:hAnsi="Arial" w:cs="Arial"/>
          <w:szCs w:val="18"/>
        </w:rPr>
      </w:pPr>
    </w:p>
    <w:p w14:paraId="7E51567E" w14:textId="77777777" w:rsidR="00FE7F8B" w:rsidRDefault="00FE7F8B" w:rsidP="00FE7F8B">
      <w:pPr>
        <w:spacing w:after="0" w:line="276" w:lineRule="auto"/>
        <w:rPr>
          <w:rFonts w:eastAsiaTheme="minorHAnsi" w:cs="Arial"/>
          <w:snapToGrid w:val="0"/>
          <w:color w:val="auto"/>
          <w:sz w:val="18"/>
          <w:szCs w:val="18"/>
          <w:bdr w:val="none" w:sz="0" w:space="0" w:color="auto" w:frame="1"/>
        </w:rPr>
        <w:sectPr w:rsidR="00FE7F8B">
          <w:footnotePr>
            <w:numRestart w:val="eachPage"/>
          </w:footnotePr>
          <w:pgSz w:w="11909" w:h="16834"/>
          <w:pgMar w:top="1814" w:right="1701" w:bottom="1418" w:left="2835" w:header="992" w:footer="454" w:gutter="0"/>
          <w:cols w:space="720"/>
        </w:sectPr>
      </w:pPr>
    </w:p>
    <w:p w14:paraId="11702333" w14:textId="77777777" w:rsidR="00FE7F8B" w:rsidRDefault="00FE7F8B" w:rsidP="00AD641C">
      <w:pPr>
        <w:pStyle w:val="Heading2notes"/>
        <w:numPr>
          <w:ilvl w:val="0"/>
          <w:numId w:val="39"/>
        </w:numPr>
      </w:pPr>
      <w:bookmarkStart w:id="100" w:name="_Toc461176304"/>
      <w:bookmarkStart w:id="101" w:name="_Toc399491072"/>
      <w:bookmarkStart w:id="102" w:name="Superannuation"/>
      <w:r>
        <w:t>Superannuation</w:t>
      </w:r>
      <w:bookmarkEnd w:id="100"/>
      <w:bookmarkEnd w:id="101"/>
    </w:p>
    <w:bookmarkEnd w:id="102"/>
    <w:p w14:paraId="16032615" w14:textId="77777777" w:rsidR="00FE7F8B" w:rsidRDefault="00FE7F8B" w:rsidP="00FE7F8B">
      <w:r>
        <w:t>Employees of the Department are entitled to receive superannuation benefits and the Department contributes to both defined benefit and defined contribution plans. The defined benefit plans provide benefits based on years of service and final average salary.</w:t>
      </w:r>
    </w:p>
    <w:p w14:paraId="11D8C335" w14:textId="77777777" w:rsidR="00FE7F8B" w:rsidRDefault="00FE7F8B" w:rsidP="00FE7F8B">
      <w:r>
        <w:t>The Department does not recognise any defined benefit liability in respect of the plans because the entity has no legal or constructive obligation to pay future benefits relating to its employees; its only obligation is to pay superannuation contributions as they fall due. The Department of Treasury and Finance discloses the State’s defined benefit liabilities in its disclosure for administered items.</w:t>
      </w:r>
    </w:p>
    <w:p w14:paraId="43C577FC" w14:textId="77777777" w:rsidR="00FE7F8B" w:rsidRDefault="00FE7F8B" w:rsidP="00FE7F8B">
      <w:r>
        <w:t>However, superannuation contributions paid or payable for the reporting period are included as part of employee benefits in the comprehensive operating statement of the Department.</w:t>
      </w:r>
    </w:p>
    <w:p w14:paraId="0998CD13" w14:textId="77777777" w:rsidR="00FE7F8B" w:rsidRDefault="00FE7F8B" w:rsidP="00FE7F8B">
      <w:r>
        <w:t>The basis for contributions is determined by the various schemes. The name, details and amounts expensed in relation to the major employee superannuation funds and contributions made by the Department are as follows:</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2"/>
        <w:gridCol w:w="1134"/>
        <w:gridCol w:w="1134"/>
      </w:tblGrid>
      <w:tr w:rsidR="00FE7F8B" w14:paraId="122DC3CF" w14:textId="77777777" w:rsidTr="00FE7F8B">
        <w:tc>
          <w:tcPr>
            <w:tcW w:w="4962" w:type="dxa"/>
            <w:tcBorders>
              <w:top w:val="nil"/>
              <w:left w:val="nil"/>
              <w:bottom w:val="nil"/>
              <w:right w:val="nil"/>
            </w:tcBorders>
            <w:shd w:val="clear" w:color="auto" w:fill="7F7F7F" w:themeFill="text1" w:themeFillTint="80"/>
            <w:vAlign w:val="center"/>
            <w:hideMark/>
          </w:tcPr>
          <w:p w14:paraId="4600132A" w14:textId="77777777" w:rsidR="00FE7F8B" w:rsidRDefault="00FE7F8B">
            <w:pPr>
              <w:pStyle w:val="Tablecolumnheading"/>
              <w:jc w:val="center"/>
              <w:rPr>
                <w:lang w:eastAsia="en-AU"/>
              </w:rPr>
            </w:pPr>
            <w:r>
              <w:rPr>
                <w:lang w:eastAsia="en-AU"/>
              </w:rPr>
              <w:t>Funds</w:t>
            </w:r>
          </w:p>
        </w:tc>
        <w:tc>
          <w:tcPr>
            <w:tcW w:w="1134" w:type="dxa"/>
            <w:tcBorders>
              <w:top w:val="nil"/>
              <w:left w:val="nil"/>
              <w:bottom w:val="nil"/>
              <w:right w:val="nil"/>
            </w:tcBorders>
            <w:shd w:val="clear" w:color="auto" w:fill="7F7F7F" w:themeFill="text1" w:themeFillTint="80"/>
            <w:vAlign w:val="center"/>
            <w:hideMark/>
          </w:tcPr>
          <w:p w14:paraId="0BEC141E" w14:textId="77777777" w:rsidR="00FE7F8B" w:rsidRDefault="00FE7F8B">
            <w:pPr>
              <w:pStyle w:val="Tablecolumnheading"/>
              <w:jc w:val="center"/>
              <w:rPr>
                <w:lang w:eastAsia="en-AU"/>
              </w:rPr>
            </w:pPr>
            <w:r>
              <w:rPr>
                <w:lang w:eastAsia="en-AU"/>
              </w:rPr>
              <w:t>Paid contributions for the year 2016</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7ACC7EEA" w14:textId="77777777" w:rsidR="00FE7F8B" w:rsidRDefault="00FE7F8B">
            <w:pPr>
              <w:pStyle w:val="Tablecolumnheading"/>
              <w:jc w:val="center"/>
              <w:rPr>
                <w:lang w:eastAsia="en-AU"/>
              </w:rPr>
            </w:pPr>
            <w:r>
              <w:rPr>
                <w:lang w:eastAsia="en-AU"/>
              </w:rPr>
              <w:t>Paid contributions for the year 2015</w:t>
            </w:r>
            <w:r>
              <w:rPr>
                <w:lang w:eastAsia="en-AU"/>
              </w:rPr>
              <w:br/>
              <w:t>$m</w:t>
            </w:r>
          </w:p>
        </w:tc>
      </w:tr>
      <w:tr w:rsidR="00FE7F8B" w14:paraId="465DE2B7" w14:textId="77777777" w:rsidTr="00FE7F8B">
        <w:tc>
          <w:tcPr>
            <w:tcW w:w="4962" w:type="dxa"/>
            <w:tcBorders>
              <w:top w:val="nil"/>
              <w:left w:val="nil"/>
              <w:bottom w:val="nil"/>
              <w:right w:val="nil"/>
            </w:tcBorders>
            <w:vAlign w:val="bottom"/>
            <w:hideMark/>
          </w:tcPr>
          <w:p w14:paraId="00BD85CA" w14:textId="77777777" w:rsidR="00FE7F8B" w:rsidRDefault="00FE7F8B">
            <w:pPr>
              <w:pStyle w:val="Tabletextnoindent"/>
              <w:spacing w:after="40"/>
            </w:pPr>
            <w:r>
              <w:rPr>
                <w:b/>
              </w:rPr>
              <w:t>Defined benefit plans</w:t>
            </w:r>
          </w:p>
        </w:tc>
        <w:tc>
          <w:tcPr>
            <w:tcW w:w="1134" w:type="dxa"/>
            <w:tcBorders>
              <w:top w:val="nil"/>
              <w:left w:val="nil"/>
              <w:bottom w:val="nil"/>
              <w:right w:val="nil"/>
            </w:tcBorders>
            <w:shd w:val="clear" w:color="auto" w:fill="F2F2F2" w:themeFill="background1" w:themeFillShade="F2"/>
            <w:vAlign w:val="bottom"/>
          </w:tcPr>
          <w:p w14:paraId="01C24298" w14:textId="77777777" w:rsidR="00FE7F8B" w:rsidRDefault="00FE7F8B">
            <w:pPr>
              <w:pStyle w:val="TableTextFinancial"/>
              <w:jc w:val="center"/>
              <w:rPr>
                <w:b/>
              </w:rPr>
            </w:pPr>
          </w:p>
        </w:tc>
        <w:tc>
          <w:tcPr>
            <w:tcW w:w="1134" w:type="dxa"/>
            <w:tcBorders>
              <w:top w:val="nil"/>
              <w:left w:val="nil"/>
              <w:bottom w:val="nil"/>
              <w:right w:val="nil"/>
            </w:tcBorders>
            <w:vAlign w:val="bottom"/>
          </w:tcPr>
          <w:p w14:paraId="14817B24" w14:textId="77777777" w:rsidR="00FE7F8B" w:rsidRDefault="00FE7F8B">
            <w:pPr>
              <w:pStyle w:val="TableTextFinancial"/>
              <w:jc w:val="center"/>
            </w:pPr>
          </w:p>
        </w:tc>
      </w:tr>
      <w:tr w:rsidR="00FE7F8B" w14:paraId="0E07EFB2" w14:textId="77777777" w:rsidTr="00FE7F8B">
        <w:tc>
          <w:tcPr>
            <w:tcW w:w="4962" w:type="dxa"/>
            <w:tcBorders>
              <w:top w:val="nil"/>
              <w:left w:val="nil"/>
              <w:bottom w:val="nil"/>
              <w:right w:val="nil"/>
            </w:tcBorders>
            <w:vAlign w:val="bottom"/>
            <w:hideMark/>
          </w:tcPr>
          <w:p w14:paraId="1ACF4E60" w14:textId="77777777" w:rsidR="00FE7F8B" w:rsidRDefault="00FE7F8B">
            <w:pPr>
              <w:pStyle w:val="Tabletextnoindent"/>
              <w:spacing w:after="40"/>
            </w:pPr>
            <w:r>
              <w:t>State Superannuation Schemes</w:t>
            </w:r>
          </w:p>
        </w:tc>
        <w:tc>
          <w:tcPr>
            <w:tcW w:w="1134" w:type="dxa"/>
            <w:tcBorders>
              <w:top w:val="nil"/>
              <w:left w:val="nil"/>
              <w:bottom w:val="nil"/>
              <w:right w:val="nil"/>
            </w:tcBorders>
            <w:shd w:val="clear" w:color="auto" w:fill="F2F2F2" w:themeFill="background1" w:themeFillShade="F2"/>
            <w:vAlign w:val="bottom"/>
            <w:hideMark/>
          </w:tcPr>
          <w:p w14:paraId="1DFE8A66" w14:textId="77777777" w:rsidR="00FE7F8B" w:rsidRDefault="00FE7F8B" w:rsidP="00313E75">
            <w:pPr>
              <w:pStyle w:val="TableTextFinancial"/>
              <w:jc w:val="right"/>
              <w:rPr>
                <w:b/>
              </w:rPr>
            </w:pPr>
            <w:r>
              <w:rPr>
                <w:b/>
              </w:rPr>
              <w:t>98.8</w:t>
            </w:r>
          </w:p>
        </w:tc>
        <w:tc>
          <w:tcPr>
            <w:tcW w:w="1134" w:type="dxa"/>
            <w:tcBorders>
              <w:top w:val="nil"/>
              <w:left w:val="nil"/>
              <w:bottom w:val="nil"/>
              <w:right w:val="nil"/>
            </w:tcBorders>
            <w:vAlign w:val="bottom"/>
            <w:hideMark/>
          </w:tcPr>
          <w:p w14:paraId="49103682" w14:textId="77777777" w:rsidR="00FE7F8B" w:rsidRDefault="00FE7F8B" w:rsidP="00313E75">
            <w:pPr>
              <w:pStyle w:val="TableTextFinancial"/>
              <w:jc w:val="right"/>
            </w:pPr>
            <w:r>
              <w:t>103.1</w:t>
            </w:r>
          </w:p>
        </w:tc>
      </w:tr>
      <w:tr w:rsidR="00FE7F8B" w14:paraId="1FF7BAF9" w14:textId="77777777" w:rsidTr="00FE7F8B">
        <w:tc>
          <w:tcPr>
            <w:tcW w:w="4962" w:type="dxa"/>
            <w:tcBorders>
              <w:top w:val="nil"/>
              <w:left w:val="nil"/>
              <w:bottom w:val="nil"/>
              <w:right w:val="nil"/>
            </w:tcBorders>
            <w:vAlign w:val="bottom"/>
            <w:hideMark/>
          </w:tcPr>
          <w:p w14:paraId="61834AAA" w14:textId="77777777" w:rsidR="00FE7F8B" w:rsidRDefault="00FE7F8B">
            <w:pPr>
              <w:pStyle w:val="Tabletextnoindent"/>
              <w:spacing w:after="40"/>
            </w:pPr>
            <w:r>
              <w:t>Other—State Employees Retirement Benefits Scheme</w:t>
            </w:r>
          </w:p>
        </w:tc>
        <w:tc>
          <w:tcPr>
            <w:tcW w:w="1134" w:type="dxa"/>
            <w:tcBorders>
              <w:top w:val="nil"/>
              <w:left w:val="nil"/>
              <w:bottom w:val="nil"/>
              <w:right w:val="nil"/>
            </w:tcBorders>
            <w:shd w:val="clear" w:color="auto" w:fill="F2F2F2" w:themeFill="background1" w:themeFillShade="F2"/>
            <w:vAlign w:val="bottom"/>
            <w:hideMark/>
          </w:tcPr>
          <w:p w14:paraId="04D45525" w14:textId="77777777" w:rsidR="00FE7F8B" w:rsidRDefault="00FE7F8B" w:rsidP="00313E75">
            <w:pPr>
              <w:pStyle w:val="TableTextFinancial"/>
              <w:jc w:val="right"/>
              <w:rPr>
                <w:b/>
              </w:rPr>
            </w:pPr>
            <w:r>
              <w:rPr>
                <w:b/>
              </w:rPr>
              <w:t>2.3</w:t>
            </w:r>
          </w:p>
        </w:tc>
        <w:tc>
          <w:tcPr>
            <w:tcW w:w="1134" w:type="dxa"/>
            <w:tcBorders>
              <w:top w:val="nil"/>
              <w:left w:val="nil"/>
              <w:bottom w:val="nil"/>
              <w:right w:val="nil"/>
            </w:tcBorders>
            <w:vAlign w:val="bottom"/>
            <w:hideMark/>
          </w:tcPr>
          <w:p w14:paraId="60D329CE" w14:textId="77777777" w:rsidR="00FE7F8B" w:rsidRDefault="00FE7F8B" w:rsidP="00313E75">
            <w:pPr>
              <w:pStyle w:val="TableTextFinancial"/>
              <w:jc w:val="right"/>
            </w:pPr>
            <w:r>
              <w:t>2.5</w:t>
            </w:r>
          </w:p>
        </w:tc>
      </w:tr>
      <w:tr w:rsidR="00FE7F8B" w14:paraId="3DB59537" w14:textId="77777777" w:rsidTr="00FE7F8B">
        <w:tc>
          <w:tcPr>
            <w:tcW w:w="4962" w:type="dxa"/>
            <w:tcBorders>
              <w:top w:val="nil"/>
              <w:left w:val="nil"/>
              <w:bottom w:val="nil"/>
              <w:right w:val="nil"/>
            </w:tcBorders>
            <w:vAlign w:val="bottom"/>
            <w:hideMark/>
          </w:tcPr>
          <w:p w14:paraId="7DCCB4F3" w14:textId="77777777" w:rsidR="00FE7F8B" w:rsidRDefault="00FE7F8B">
            <w:pPr>
              <w:pStyle w:val="Tabletextnoindent"/>
              <w:rPr>
                <w:b/>
              </w:rPr>
            </w:pPr>
            <w:r>
              <w:rPr>
                <w:b/>
              </w:rPr>
              <w:t>Defined contribution plans</w:t>
            </w:r>
          </w:p>
        </w:tc>
        <w:tc>
          <w:tcPr>
            <w:tcW w:w="1134" w:type="dxa"/>
            <w:tcBorders>
              <w:top w:val="nil"/>
              <w:left w:val="nil"/>
              <w:bottom w:val="nil"/>
              <w:right w:val="nil"/>
            </w:tcBorders>
            <w:shd w:val="clear" w:color="auto" w:fill="F2F2F2" w:themeFill="background1" w:themeFillShade="F2"/>
            <w:vAlign w:val="bottom"/>
          </w:tcPr>
          <w:p w14:paraId="3146CDF5" w14:textId="77777777" w:rsidR="00FE7F8B" w:rsidRDefault="00FE7F8B" w:rsidP="00313E75">
            <w:pPr>
              <w:pStyle w:val="TableTextFinancial"/>
              <w:jc w:val="right"/>
              <w:rPr>
                <w:b/>
              </w:rPr>
            </w:pPr>
          </w:p>
        </w:tc>
        <w:tc>
          <w:tcPr>
            <w:tcW w:w="1134" w:type="dxa"/>
            <w:tcBorders>
              <w:top w:val="nil"/>
              <w:left w:val="nil"/>
              <w:bottom w:val="nil"/>
              <w:right w:val="nil"/>
            </w:tcBorders>
            <w:vAlign w:val="bottom"/>
          </w:tcPr>
          <w:p w14:paraId="0457F744" w14:textId="77777777" w:rsidR="00FE7F8B" w:rsidRDefault="00FE7F8B" w:rsidP="00313E75">
            <w:pPr>
              <w:pStyle w:val="TableTextFinancial"/>
              <w:jc w:val="right"/>
            </w:pPr>
          </w:p>
        </w:tc>
      </w:tr>
      <w:tr w:rsidR="00FE7F8B" w14:paraId="6FD6E12C" w14:textId="77777777" w:rsidTr="00FE7F8B">
        <w:tc>
          <w:tcPr>
            <w:tcW w:w="4962" w:type="dxa"/>
            <w:tcBorders>
              <w:top w:val="nil"/>
              <w:left w:val="nil"/>
              <w:bottom w:val="nil"/>
              <w:right w:val="nil"/>
            </w:tcBorders>
            <w:vAlign w:val="bottom"/>
            <w:hideMark/>
          </w:tcPr>
          <w:p w14:paraId="7A2A2A94" w14:textId="77777777" w:rsidR="00FE7F8B" w:rsidRDefault="00FE7F8B">
            <w:pPr>
              <w:pStyle w:val="Tabletextnoindent"/>
              <w:spacing w:after="40"/>
            </w:pPr>
            <w:r>
              <w:t>Vic Super</w:t>
            </w:r>
          </w:p>
        </w:tc>
        <w:tc>
          <w:tcPr>
            <w:tcW w:w="1134" w:type="dxa"/>
            <w:tcBorders>
              <w:top w:val="nil"/>
              <w:left w:val="nil"/>
              <w:bottom w:val="nil"/>
              <w:right w:val="nil"/>
            </w:tcBorders>
            <w:shd w:val="clear" w:color="auto" w:fill="F2F2F2" w:themeFill="background1" w:themeFillShade="F2"/>
            <w:vAlign w:val="bottom"/>
            <w:hideMark/>
          </w:tcPr>
          <w:p w14:paraId="3EB07A89" w14:textId="77777777" w:rsidR="00FE7F8B" w:rsidRDefault="00FE7F8B" w:rsidP="00313E75">
            <w:pPr>
              <w:pStyle w:val="TableTextFinancial"/>
              <w:jc w:val="right"/>
              <w:rPr>
                <w:b/>
              </w:rPr>
            </w:pPr>
            <w:r>
              <w:rPr>
                <w:b/>
              </w:rPr>
              <w:t>302.3</w:t>
            </w:r>
          </w:p>
        </w:tc>
        <w:tc>
          <w:tcPr>
            <w:tcW w:w="1134" w:type="dxa"/>
            <w:tcBorders>
              <w:top w:val="nil"/>
              <w:left w:val="nil"/>
              <w:bottom w:val="nil"/>
              <w:right w:val="nil"/>
            </w:tcBorders>
            <w:vAlign w:val="bottom"/>
            <w:hideMark/>
          </w:tcPr>
          <w:p w14:paraId="13599C89" w14:textId="77777777" w:rsidR="00FE7F8B" w:rsidRDefault="00FE7F8B" w:rsidP="00313E75">
            <w:pPr>
              <w:pStyle w:val="TableTextFinancial"/>
              <w:jc w:val="right"/>
            </w:pPr>
            <w:r>
              <w:t>279.5</w:t>
            </w:r>
          </w:p>
        </w:tc>
      </w:tr>
      <w:tr w:rsidR="00FE7F8B" w14:paraId="2A93B723" w14:textId="77777777" w:rsidTr="00FE7F8B">
        <w:tc>
          <w:tcPr>
            <w:tcW w:w="4962" w:type="dxa"/>
            <w:tcBorders>
              <w:top w:val="nil"/>
              <w:left w:val="nil"/>
              <w:bottom w:val="single" w:sz="4" w:space="0" w:color="auto"/>
              <w:right w:val="nil"/>
            </w:tcBorders>
            <w:vAlign w:val="bottom"/>
            <w:hideMark/>
          </w:tcPr>
          <w:p w14:paraId="21895809" w14:textId="77777777" w:rsidR="00FE7F8B" w:rsidRDefault="00FE7F8B">
            <w:pPr>
              <w:pStyle w:val="Tabletextnoindent"/>
              <w:spacing w:after="40"/>
            </w:pPr>
            <w:r>
              <w:t>Other</w:t>
            </w:r>
          </w:p>
        </w:tc>
        <w:tc>
          <w:tcPr>
            <w:tcW w:w="1134" w:type="dxa"/>
            <w:tcBorders>
              <w:top w:val="nil"/>
              <w:left w:val="nil"/>
              <w:bottom w:val="single" w:sz="4" w:space="0" w:color="auto"/>
              <w:right w:val="nil"/>
            </w:tcBorders>
            <w:shd w:val="clear" w:color="auto" w:fill="F2F2F2" w:themeFill="background1" w:themeFillShade="F2"/>
            <w:vAlign w:val="bottom"/>
            <w:hideMark/>
          </w:tcPr>
          <w:p w14:paraId="2D031F45" w14:textId="77777777" w:rsidR="00FE7F8B" w:rsidRDefault="00FE7F8B" w:rsidP="00313E75">
            <w:pPr>
              <w:pStyle w:val="TableTextFinancial"/>
              <w:jc w:val="right"/>
              <w:rPr>
                <w:b/>
              </w:rPr>
            </w:pPr>
            <w:r>
              <w:rPr>
                <w:b/>
              </w:rPr>
              <w:t>69.8</w:t>
            </w:r>
          </w:p>
        </w:tc>
        <w:tc>
          <w:tcPr>
            <w:tcW w:w="1134" w:type="dxa"/>
            <w:tcBorders>
              <w:top w:val="nil"/>
              <w:left w:val="nil"/>
              <w:bottom w:val="single" w:sz="4" w:space="0" w:color="auto"/>
              <w:right w:val="nil"/>
            </w:tcBorders>
            <w:vAlign w:val="bottom"/>
            <w:hideMark/>
          </w:tcPr>
          <w:p w14:paraId="6BD37746" w14:textId="77777777" w:rsidR="00FE7F8B" w:rsidRDefault="00FE7F8B" w:rsidP="00313E75">
            <w:pPr>
              <w:pStyle w:val="TableTextFinancial"/>
              <w:jc w:val="right"/>
            </w:pPr>
            <w:r>
              <w:t>66.7</w:t>
            </w:r>
          </w:p>
        </w:tc>
      </w:tr>
      <w:tr w:rsidR="00FE7F8B" w14:paraId="66387585" w14:textId="77777777" w:rsidTr="00FE7F8B">
        <w:tc>
          <w:tcPr>
            <w:tcW w:w="4962" w:type="dxa"/>
            <w:tcBorders>
              <w:top w:val="single" w:sz="4" w:space="0" w:color="auto"/>
              <w:left w:val="nil"/>
              <w:bottom w:val="single" w:sz="4" w:space="0" w:color="auto"/>
              <w:right w:val="nil"/>
            </w:tcBorders>
            <w:vAlign w:val="bottom"/>
            <w:hideMark/>
          </w:tcPr>
          <w:p w14:paraId="7FE5732E" w14:textId="77777777" w:rsidR="00FE7F8B" w:rsidRDefault="00FE7F8B">
            <w:pPr>
              <w:pStyle w:val="Tabletextnoindent"/>
              <w:rPr>
                <w:b/>
              </w:rPr>
            </w:pPr>
            <w:r>
              <w:rPr>
                <w:b/>
              </w:rPr>
              <w:t>Total</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2080B821" w14:textId="77777777" w:rsidR="00FE7F8B" w:rsidRDefault="00FE7F8B" w:rsidP="00313E75">
            <w:pPr>
              <w:pStyle w:val="TableTextFinancial"/>
              <w:jc w:val="right"/>
              <w:rPr>
                <w:b/>
              </w:rPr>
            </w:pPr>
            <w:r>
              <w:rPr>
                <w:b/>
              </w:rPr>
              <w:t>473.2</w:t>
            </w:r>
          </w:p>
        </w:tc>
        <w:tc>
          <w:tcPr>
            <w:tcW w:w="1134" w:type="dxa"/>
            <w:tcBorders>
              <w:top w:val="single" w:sz="4" w:space="0" w:color="auto"/>
              <w:left w:val="nil"/>
              <w:bottom w:val="single" w:sz="4" w:space="0" w:color="auto"/>
              <w:right w:val="nil"/>
            </w:tcBorders>
            <w:vAlign w:val="bottom"/>
            <w:hideMark/>
          </w:tcPr>
          <w:p w14:paraId="05248CC1" w14:textId="77777777" w:rsidR="00FE7F8B" w:rsidRDefault="00FE7F8B" w:rsidP="00313E75">
            <w:pPr>
              <w:pStyle w:val="TableTextFinancial"/>
              <w:jc w:val="right"/>
            </w:pPr>
            <w:r>
              <w:t>451.8</w:t>
            </w:r>
          </w:p>
        </w:tc>
      </w:tr>
    </w:tbl>
    <w:p w14:paraId="1F014C01" w14:textId="77777777" w:rsidR="00FE7F8B" w:rsidRDefault="00FE7F8B" w:rsidP="00FE7F8B"/>
    <w:p w14:paraId="0FCD904B" w14:textId="77777777" w:rsidR="00FE7F8B" w:rsidRDefault="00FE7F8B" w:rsidP="00FE7F8B">
      <w:pPr>
        <w:spacing w:after="0" w:line="240" w:lineRule="auto"/>
      </w:pPr>
    </w:p>
    <w:p w14:paraId="3905E1D0" w14:textId="5F73F917" w:rsidR="005222FF" w:rsidRDefault="005222FF" w:rsidP="00FE7F8B">
      <w:pPr>
        <w:spacing w:after="0" w:line="240" w:lineRule="auto"/>
        <w:sectPr w:rsidR="005222FF">
          <w:footnotePr>
            <w:numRestart w:val="eachPage"/>
          </w:footnotePr>
          <w:pgSz w:w="11909" w:h="16834"/>
          <w:pgMar w:top="1814" w:right="1701" w:bottom="1418" w:left="2835" w:header="992" w:footer="454" w:gutter="0"/>
          <w:cols w:space="720"/>
        </w:sectPr>
      </w:pPr>
      <w:r>
        <w:t>There are no contributions outstanding as at June 2016 and June 2015.</w:t>
      </w:r>
    </w:p>
    <w:p w14:paraId="5C253D20" w14:textId="77777777" w:rsidR="00FE7F8B" w:rsidRDefault="00FE7F8B" w:rsidP="00AD641C">
      <w:pPr>
        <w:pStyle w:val="Heading2notes"/>
        <w:numPr>
          <w:ilvl w:val="0"/>
          <w:numId w:val="39"/>
        </w:numPr>
      </w:pPr>
      <w:bookmarkStart w:id="103" w:name="_Toc399491073"/>
      <w:bookmarkStart w:id="104" w:name="_Toc461176305"/>
      <w:r>
        <w:t>Physical asset revaluation surplus</w:t>
      </w:r>
      <w:bookmarkEnd w:id="103"/>
      <w:bookmarkEnd w:id="104"/>
    </w:p>
    <w:p w14:paraId="1BA6D117" w14:textId="77777777" w:rsidR="00FE7F8B" w:rsidRDefault="00FE7F8B" w:rsidP="00FE7F8B">
      <w:pPr>
        <w:spacing w:after="0" w:line="240" w:lineRule="auto"/>
        <w:rPr>
          <w:rFonts w:cs="Arial"/>
          <w:color w:val="auto"/>
          <w:sz w:val="17"/>
          <w:szCs w:val="18"/>
        </w:rPr>
        <w:sectPr w:rsidR="00FE7F8B">
          <w:pgSz w:w="11909" w:h="16834"/>
          <w:pgMar w:top="1814" w:right="1701" w:bottom="1418" w:left="2835" w:header="720" w:footer="720" w:gutter="0"/>
          <w:cols w:space="720"/>
        </w:sectPr>
      </w:pP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9"/>
        <w:gridCol w:w="993"/>
        <w:gridCol w:w="998"/>
      </w:tblGrid>
      <w:tr w:rsidR="00FE7F8B" w14:paraId="6AF230C3" w14:textId="77777777" w:rsidTr="00FE7F8B">
        <w:tc>
          <w:tcPr>
            <w:tcW w:w="5387" w:type="dxa"/>
            <w:tcBorders>
              <w:top w:val="nil"/>
              <w:left w:val="nil"/>
              <w:bottom w:val="nil"/>
              <w:right w:val="nil"/>
            </w:tcBorders>
            <w:shd w:val="clear" w:color="auto" w:fill="7F7F7F" w:themeFill="text1" w:themeFillTint="80"/>
            <w:vAlign w:val="bottom"/>
          </w:tcPr>
          <w:p w14:paraId="69B01860" w14:textId="77777777" w:rsidR="00FE7F8B" w:rsidRDefault="00FE7F8B">
            <w:pPr>
              <w:pStyle w:val="Tablecolumnheading"/>
              <w:jc w:val="center"/>
            </w:pPr>
          </w:p>
        </w:tc>
        <w:tc>
          <w:tcPr>
            <w:tcW w:w="992" w:type="dxa"/>
            <w:tcBorders>
              <w:top w:val="nil"/>
              <w:left w:val="nil"/>
              <w:bottom w:val="nil"/>
              <w:right w:val="nil"/>
            </w:tcBorders>
            <w:shd w:val="clear" w:color="auto" w:fill="7F7F7F" w:themeFill="text1" w:themeFillTint="80"/>
            <w:vAlign w:val="bottom"/>
            <w:hideMark/>
          </w:tcPr>
          <w:p w14:paraId="23A3FD7C" w14:textId="77777777" w:rsidR="00FE7F8B" w:rsidRDefault="00FE7F8B">
            <w:pPr>
              <w:pStyle w:val="Tablecolumnheading"/>
              <w:jc w:val="center"/>
            </w:pPr>
            <w:r>
              <w:rPr>
                <w:lang w:eastAsia="en-AU"/>
              </w:rPr>
              <w:t>2016</w:t>
            </w:r>
            <w:r>
              <w:rPr>
                <w:lang w:eastAsia="en-AU"/>
              </w:rPr>
              <w:br/>
              <w:t>$m</w:t>
            </w:r>
          </w:p>
        </w:tc>
        <w:tc>
          <w:tcPr>
            <w:tcW w:w="997" w:type="dxa"/>
            <w:tcBorders>
              <w:top w:val="nil"/>
              <w:left w:val="nil"/>
              <w:bottom w:val="nil"/>
              <w:right w:val="nil"/>
            </w:tcBorders>
            <w:shd w:val="clear" w:color="auto" w:fill="7F7F7F" w:themeFill="text1" w:themeFillTint="80"/>
            <w:vAlign w:val="bottom"/>
            <w:hideMark/>
          </w:tcPr>
          <w:p w14:paraId="65403305" w14:textId="77777777" w:rsidR="00FE7F8B" w:rsidRDefault="00FE7F8B">
            <w:pPr>
              <w:pStyle w:val="Tablecolumnheading"/>
              <w:jc w:val="center"/>
            </w:pPr>
            <w:r>
              <w:rPr>
                <w:lang w:eastAsia="en-AU"/>
              </w:rPr>
              <w:t>2015</w:t>
            </w:r>
            <w:r>
              <w:rPr>
                <w:lang w:eastAsia="en-AU"/>
              </w:rPr>
              <w:br/>
              <w:t>$m</w:t>
            </w:r>
          </w:p>
        </w:tc>
      </w:tr>
      <w:tr w:rsidR="00FE7F8B" w14:paraId="037FDA15" w14:textId="77777777" w:rsidTr="00FE7F8B">
        <w:tc>
          <w:tcPr>
            <w:tcW w:w="5387" w:type="dxa"/>
            <w:tcBorders>
              <w:top w:val="nil"/>
              <w:left w:val="nil"/>
              <w:bottom w:val="nil"/>
              <w:right w:val="nil"/>
            </w:tcBorders>
            <w:vAlign w:val="bottom"/>
            <w:hideMark/>
          </w:tcPr>
          <w:p w14:paraId="6845A2E5" w14:textId="77777777" w:rsidR="00FE7F8B" w:rsidRDefault="00FE7F8B">
            <w:pPr>
              <w:pStyle w:val="TableTextFinancial"/>
              <w:rPr>
                <w:b/>
              </w:rPr>
            </w:pPr>
            <w:r>
              <w:rPr>
                <w:b/>
              </w:rPr>
              <w:t>Physical asset revaluation surplus</w:t>
            </w:r>
          </w:p>
        </w:tc>
        <w:tc>
          <w:tcPr>
            <w:tcW w:w="992" w:type="dxa"/>
            <w:tcBorders>
              <w:top w:val="nil"/>
              <w:left w:val="nil"/>
              <w:bottom w:val="nil"/>
              <w:right w:val="nil"/>
            </w:tcBorders>
            <w:shd w:val="clear" w:color="auto" w:fill="F2F2F2" w:themeFill="background1" w:themeFillShade="F2"/>
            <w:vAlign w:val="bottom"/>
          </w:tcPr>
          <w:p w14:paraId="52872759" w14:textId="77777777" w:rsidR="00FE7F8B" w:rsidRDefault="00FE7F8B">
            <w:pPr>
              <w:pStyle w:val="TableTextFinancial"/>
              <w:jc w:val="right"/>
              <w:rPr>
                <w:b/>
              </w:rPr>
            </w:pPr>
          </w:p>
        </w:tc>
        <w:tc>
          <w:tcPr>
            <w:tcW w:w="997" w:type="dxa"/>
            <w:tcBorders>
              <w:top w:val="nil"/>
              <w:left w:val="nil"/>
              <w:bottom w:val="nil"/>
              <w:right w:val="nil"/>
            </w:tcBorders>
            <w:vAlign w:val="bottom"/>
          </w:tcPr>
          <w:p w14:paraId="25FD5A59" w14:textId="77777777" w:rsidR="00FE7F8B" w:rsidRDefault="00FE7F8B">
            <w:pPr>
              <w:pStyle w:val="TableTextFinancial"/>
              <w:jc w:val="right"/>
            </w:pPr>
          </w:p>
        </w:tc>
      </w:tr>
      <w:tr w:rsidR="00FE7F8B" w14:paraId="1F60CCC5" w14:textId="77777777" w:rsidTr="00FE7F8B">
        <w:tc>
          <w:tcPr>
            <w:tcW w:w="5387" w:type="dxa"/>
            <w:tcBorders>
              <w:top w:val="nil"/>
              <w:left w:val="nil"/>
              <w:bottom w:val="nil"/>
              <w:right w:val="nil"/>
            </w:tcBorders>
            <w:vAlign w:val="bottom"/>
            <w:hideMark/>
          </w:tcPr>
          <w:p w14:paraId="5ADE119F" w14:textId="77777777" w:rsidR="00FE7F8B" w:rsidRDefault="00FE7F8B">
            <w:pPr>
              <w:pStyle w:val="TableTextFinancial"/>
            </w:pPr>
            <w:r>
              <w:t>Balance at beginning of financial year</w:t>
            </w:r>
          </w:p>
        </w:tc>
        <w:tc>
          <w:tcPr>
            <w:tcW w:w="992" w:type="dxa"/>
            <w:tcBorders>
              <w:top w:val="nil"/>
              <w:left w:val="nil"/>
              <w:bottom w:val="nil"/>
              <w:right w:val="nil"/>
            </w:tcBorders>
            <w:shd w:val="clear" w:color="auto" w:fill="F2F2F2" w:themeFill="background1" w:themeFillShade="F2"/>
            <w:vAlign w:val="bottom"/>
            <w:hideMark/>
          </w:tcPr>
          <w:p w14:paraId="1456F13B" w14:textId="77777777" w:rsidR="00FE7F8B" w:rsidRDefault="00FE7F8B">
            <w:pPr>
              <w:pStyle w:val="TableTextFinancial"/>
              <w:jc w:val="right"/>
              <w:rPr>
                <w:b/>
              </w:rPr>
            </w:pPr>
            <w:r>
              <w:rPr>
                <w:b/>
              </w:rPr>
              <w:t>7,382.3</w:t>
            </w:r>
          </w:p>
        </w:tc>
        <w:tc>
          <w:tcPr>
            <w:tcW w:w="997" w:type="dxa"/>
            <w:tcBorders>
              <w:top w:val="nil"/>
              <w:left w:val="nil"/>
              <w:bottom w:val="nil"/>
              <w:right w:val="nil"/>
            </w:tcBorders>
            <w:vAlign w:val="bottom"/>
            <w:hideMark/>
          </w:tcPr>
          <w:p w14:paraId="6671308F" w14:textId="77777777" w:rsidR="00FE7F8B" w:rsidRDefault="00FE7F8B">
            <w:pPr>
              <w:pStyle w:val="TableTextFinancial"/>
              <w:jc w:val="right"/>
            </w:pPr>
            <w:r>
              <w:t>6,566.9</w:t>
            </w:r>
          </w:p>
        </w:tc>
      </w:tr>
      <w:tr w:rsidR="00FE7F8B" w14:paraId="36682FEE" w14:textId="77777777" w:rsidTr="00FE7F8B">
        <w:tc>
          <w:tcPr>
            <w:tcW w:w="5387" w:type="dxa"/>
            <w:tcBorders>
              <w:top w:val="nil"/>
              <w:left w:val="nil"/>
              <w:bottom w:val="nil"/>
              <w:right w:val="nil"/>
            </w:tcBorders>
            <w:vAlign w:val="bottom"/>
            <w:hideMark/>
          </w:tcPr>
          <w:p w14:paraId="5F9C6DD8" w14:textId="77777777" w:rsidR="00FE7F8B" w:rsidRDefault="00FE7F8B">
            <w:pPr>
              <w:pStyle w:val="TableTextFinancial"/>
            </w:pPr>
            <w:r>
              <w:t>Revaluation increment/(decrement) of land during the year</w:t>
            </w:r>
            <w:r>
              <w:rPr>
                <w:vertAlign w:val="superscript"/>
              </w:rPr>
              <w:t>1</w:t>
            </w:r>
          </w:p>
        </w:tc>
        <w:tc>
          <w:tcPr>
            <w:tcW w:w="992" w:type="dxa"/>
            <w:tcBorders>
              <w:top w:val="nil"/>
              <w:left w:val="nil"/>
              <w:bottom w:val="nil"/>
              <w:right w:val="nil"/>
            </w:tcBorders>
            <w:shd w:val="clear" w:color="auto" w:fill="F2F2F2" w:themeFill="background1" w:themeFillShade="F2"/>
            <w:vAlign w:val="bottom"/>
            <w:hideMark/>
          </w:tcPr>
          <w:p w14:paraId="0F2ECDDD" w14:textId="77777777" w:rsidR="00FE7F8B" w:rsidRDefault="00FE7F8B">
            <w:pPr>
              <w:pStyle w:val="TableTextFinancial"/>
              <w:jc w:val="right"/>
              <w:rPr>
                <w:b/>
              </w:rPr>
            </w:pPr>
            <w:r>
              <w:rPr>
                <w:b/>
              </w:rPr>
              <w:t>1,406.7</w:t>
            </w:r>
          </w:p>
        </w:tc>
        <w:tc>
          <w:tcPr>
            <w:tcW w:w="997" w:type="dxa"/>
            <w:tcBorders>
              <w:top w:val="nil"/>
              <w:left w:val="nil"/>
              <w:bottom w:val="nil"/>
              <w:right w:val="nil"/>
            </w:tcBorders>
            <w:vAlign w:val="bottom"/>
            <w:hideMark/>
          </w:tcPr>
          <w:p w14:paraId="119C5B53" w14:textId="77777777" w:rsidR="00FE7F8B" w:rsidRDefault="00FE7F8B">
            <w:pPr>
              <w:pStyle w:val="TableTextFinancial"/>
              <w:jc w:val="right"/>
            </w:pPr>
            <w:r>
              <w:t>855.5</w:t>
            </w:r>
          </w:p>
        </w:tc>
      </w:tr>
      <w:tr w:rsidR="00FE7F8B" w14:paraId="45C621DB" w14:textId="77777777" w:rsidTr="00FE7F8B">
        <w:tc>
          <w:tcPr>
            <w:tcW w:w="5387" w:type="dxa"/>
            <w:tcBorders>
              <w:top w:val="nil"/>
              <w:left w:val="nil"/>
              <w:bottom w:val="nil"/>
              <w:right w:val="nil"/>
            </w:tcBorders>
            <w:vAlign w:val="bottom"/>
            <w:hideMark/>
          </w:tcPr>
          <w:p w14:paraId="5603A0D1" w14:textId="77777777" w:rsidR="00FE7F8B" w:rsidRDefault="00FE7F8B">
            <w:pPr>
              <w:pStyle w:val="TableTextFinancial"/>
            </w:pPr>
            <w:r>
              <w:t xml:space="preserve">Revaluation increment/(decrement) of buildings during the year </w:t>
            </w:r>
          </w:p>
        </w:tc>
        <w:tc>
          <w:tcPr>
            <w:tcW w:w="992" w:type="dxa"/>
            <w:tcBorders>
              <w:top w:val="nil"/>
              <w:left w:val="nil"/>
              <w:bottom w:val="nil"/>
              <w:right w:val="nil"/>
            </w:tcBorders>
            <w:shd w:val="clear" w:color="auto" w:fill="F2F2F2" w:themeFill="background1" w:themeFillShade="F2"/>
            <w:vAlign w:val="bottom"/>
            <w:hideMark/>
          </w:tcPr>
          <w:p w14:paraId="643D4638" w14:textId="77777777" w:rsidR="00FE7F8B" w:rsidRDefault="00FE7F8B">
            <w:pPr>
              <w:pStyle w:val="TableTextFinancial"/>
              <w:jc w:val="right"/>
              <w:rPr>
                <w:b/>
              </w:rPr>
            </w:pPr>
            <w:r>
              <w:rPr>
                <w:b/>
              </w:rPr>
              <w:t>1,777.2</w:t>
            </w:r>
          </w:p>
        </w:tc>
        <w:tc>
          <w:tcPr>
            <w:tcW w:w="997" w:type="dxa"/>
            <w:tcBorders>
              <w:top w:val="nil"/>
              <w:left w:val="nil"/>
              <w:bottom w:val="nil"/>
              <w:right w:val="nil"/>
            </w:tcBorders>
            <w:vAlign w:val="bottom"/>
            <w:hideMark/>
          </w:tcPr>
          <w:p w14:paraId="1DBBB973" w14:textId="77777777" w:rsidR="00FE7F8B" w:rsidRDefault="00FE7F8B">
            <w:pPr>
              <w:pStyle w:val="TableTextFinancial"/>
              <w:jc w:val="right"/>
            </w:pPr>
            <w:r>
              <w:t>-</w:t>
            </w:r>
          </w:p>
        </w:tc>
      </w:tr>
      <w:tr w:rsidR="00FE7F8B" w14:paraId="3C3322F5" w14:textId="77777777" w:rsidTr="00FE7F8B">
        <w:tc>
          <w:tcPr>
            <w:tcW w:w="5387" w:type="dxa"/>
            <w:tcBorders>
              <w:top w:val="nil"/>
              <w:left w:val="nil"/>
              <w:bottom w:val="nil"/>
              <w:right w:val="nil"/>
            </w:tcBorders>
            <w:vAlign w:val="bottom"/>
            <w:hideMark/>
          </w:tcPr>
          <w:p w14:paraId="5D0DA76C" w14:textId="77777777" w:rsidR="00FE7F8B" w:rsidRDefault="00FE7F8B">
            <w:pPr>
              <w:pStyle w:val="TableTextFinancial"/>
            </w:pPr>
            <w:r>
              <w:t>Prior year adjustments</w:t>
            </w:r>
          </w:p>
        </w:tc>
        <w:tc>
          <w:tcPr>
            <w:tcW w:w="992" w:type="dxa"/>
            <w:tcBorders>
              <w:top w:val="nil"/>
              <w:left w:val="nil"/>
              <w:bottom w:val="nil"/>
              <w:right w:val="nil"/>
            </w:tcBorders>
            <w:shd w:val="clear" w:color="auto" w:fill="F2F2F2" w:themeFill="background1" w:themeFillShade="F2"/>
            <w:vAlign w:val="bottom"/>
            <w:hideMark/>
          </w:tcPr>
          <w:p w14:paraId="6FDCC468" w14:textId="77777777" w:rsidR="00FE7F8B" w:rsidRDefault="00FE7F8B">
            <w:pPr>
              <w:pStyle w:val="TableTextFinancial"/>
              <w:jc w:val="right"/>
              <w:rPr>
                <w:b/>
              </w:rPr>
            </w:pPr>
            <w:r>
              <w:rPr>
                <w:b/>
              </w:rPr>
              <w:t>(165.4)</w:t>
            </w:r>
          </w:p>
        </w:tc>
        <w:tc>
          <w:tcPr>
            <w:tcW w:w="997" w:type="dxa"/>
            <w:tcBorders>
              <w:top w:val="nil"/>
              <w:left w:val="nil"/>
              <w:bottom w:val="nil"/>
              <w:right w:val="nil"/>
            </w:tcBorders>
            <w:vAlign w:val="bottom"/>
          </w:tcPr>
          <w:p w14:paraId="0367B263" w14:textId="77777777" w:rsidR="00FE7F8B" w:rsidRDefault="00FE7F8B">
            <w:pPr>
              <w:pStyle w:val="TableTextFinancial"/>
              <w:jc w:val="right"/>
            </w:pPr>
          </w:p>
        </w:tc>
      </w:tr>
      <w:tr w:rsidR="00FE7F8B" w14:paraId="6C3AAFC5" w14:textId="77777777" w:rsidTr="00FE7F8B">
        <w:tc>
          <w:tcPr>
            <w:tcW w:w="5387" w:type="dxa"/>
            <w:tcBorders>
              <w:top w:val="nil"/>
              <w:left w:val="nil"/>
              <w:bottom w:val="single" w:sz="4" w:space="0" w:color="auto"/>
              <w:right w:val="nil"/>
            </w:tcBorders>
            <w:vAlign w:val="bottom"/>
            <w:hideMark/>
          </w:tcPr>
          <w:p w14:paraId="10D0E42D" w14:textId="77777777" w:rsidR="00FE7F8B" w:rsidRDefault="00FE7F8B">
            <w:pPr>
              <w:pStyle w:val="TableTextFinancial"/>
            </w:pPr>
            <w:r>
              <w:t>Impairment losses</w:t>
            </w:r>
            <w:r>
              <w:rPr>
                <w:vertAlign w:val="superscript"/>
              </w:rPr>
              <w:t>2</w:t>
            </w:r>
          </w:p>
        </w:tc>
        <w:tc>
          <w:tcPr>
            <w:tcW w:w="992" w:type="dxa"/>
            <w:tcBorders>
              <w:top w:val="nil"/>
              <w:left w:val="nil"/>
              <w:bottom w:val="single" w:sz="4" w:space="0" w:color="auto"/>
              <w:right w:val="nil"/>
            </w:tcBorders>
            <w:shd w:val="clear" w:color="auto" w:fill="F2F2F2" w:themeFill="background1" w:themeFillShade="F2"/>
            <w:vAlign w:val="bottom"/>
            <w:hideMark/>
          </w:tcPr>
          <w:p w14:paraId="38CE5DA7" w14:textId="77777777" w:rsidR="00FE7F8B" w:rsidRDefault="00FE7F8B">
            <w:pPr>
              <w:pStyle w:val="TableTextFinancial"/>
              <w:jc w:val="right"/>
              <w:rPr>
                <w:b/>
              </w:rPr>
            </w:pPr>
            <w:r>
              <w:rPr>
                <w:b/>
              </w:rPr>
              <w:t>-</w:t>
            </w:r>
          </w:p>
        </w:tc>
        <w:tc>
          <w:tcPr>
            <w:tcW w:w="997" w:type="dxa"/>
            <w:tcBorders>
              <w:top w:val="nil"/>
              <w:left w:val="nil"/>
              <w:bottom w:val="single" w:sz="4" w:space="0" w:color="auto"/>
              <w:right w:val="nil"/>
            </w:tcBorders>
            <w:vAlign w:val="bottom"/>
            <w:hideMark/>
          </w:tcPr>
          <w:p w14:paraId="5FEB9832" w14:textId="77777777" w:rsidR="00FE7F8B" w:rsidRDefault="00FE7F8B">
            <w:pPr>
              <w:pStyle w:val="TableTextFinancial"/>
              <w:jc w:val="right"/>
            </w:pPr>
            <w:r>
              <w:t>(40.0)</w:t>
            </w:r>
          </w:p>
        </w:tc>
      </w:tr>
      <w:tr w:rsidR="00FE7F8B" w14:paraId="7BA5CEBF" w14:textId="77777777" w:rsidTr="00FE7F8B">
        <w:tc>
          <w:tcPr>
            <w:tcW w:w="5387" w:type="dxa"/>
            <w:tcBorders>
              <w:top w:val="single" w:sz="4" w:space="0" w:color="auto"/>
              <w:left w:val="nil"/>
              <w:bottom w:val="single" w:sz="4" w:space="0" w:color="auto"/>
              <w:right w:val="nil"/>
            </w:tcBorders>
            <w:vAlign w:val="bottom"/>
            <w:hideMark/>
          </w:tcPr>
          <w:p w14:paraId="22761134" w14:textId="77777777" w:rsidR="00FE7F8B" w:rsidRDefault="00FE7F8B">
            <w:pPr>
              <w:pStyle w:val="TableTextFinancial"/>
              <w:rPr>
                <w:b/>
              </w:rPr>
            </w:pPr>
            <w:r>
              <w:rPr>
                <w:b/>
              </w:rPr>
              <w:t>Balance at the end of the financial year</w:t>
            </w:r>
          </w:p>
        </w:tc>
        <w:tc>
          <w:tcPr>
            <w:tcW w:w="992" w:type="dxa"/>
            <w:tcBorders>
              <w:top w:val="single" w:sz="4" w:space="0" w:color="auto"/>
              <w:left w:val="nil"/>
              <w:bottom w:val="single" w:sz="4" w:space="0" w:color="auto"/>
              <w:right w:val="nil"/>
            </w:tcBorders>
            <w:shd w:val="clear" w:color="auto" w:fill="F2F2F2" w:themeFill="background1" w:themeFillShade="F2"/>
            <w:vAlign w:val="bottom"/>
            <w:hideMark/>
          </w:tcPr>
          <w:p w14:paraId="267EBC74" w14:textId="77777777" w:rsidR="00FE7F8B" w:rsidRDefault="00FE7F8B">
            <w:pPr>
              <w:pStyle w:val="TableTextFinancial"/>
              <w:jc w:val="right"/>
              <w:rPr>
                <w:b/>
              </w:rPr>
            </w:pPr>
            <w:r>
              <w:rPr>
                <w:b/>
              </w:rPr>
              <w:t>10,400.7</w:t>
            </w:r>
          </w:p>
        </w:tc>
        <w:tc>
          <w:tcPr>
            <w:tcW w:w="997" w:type="dxa"/>
            <w:tcBorders>
              <w:top w:val="single" w:sz="4" w:space="0" w:color="auto"/>
              <w:left w:val="nil"/>
              <w:bottom w:val="single" w:sz="4" w:space="0" w:color="auto"/>
              <w:right w:val="nil"/>
            </w:tcBorders>
            <w:vAlign w:val="bottom"/>
            <w:hideMark/>
          </w:tcPr>
          <w:p w14:paraId="67106955" w14:textId="77777777" w:rsidR="00FE7F8B" w:rsidRDefault="00FE7F8B">
            <w:pPr>
              <w:pStyle w:val="TableTextFinancial"/>
              <w:jc w:val="right"/>
            </w:pPr>
            <w:r>
              <w:t>7,382.3</w:t>
            </w:r>
          </w:p>
        </w:tc>
      </w:tr>
    </w:tbl>
    <w:p w14:paraId="56B0D892" w14:textId="77777777" w:rsidR="00FE7F8B" w:rsidRDefault="00FE7F8B" w:rsidP="00BB1129">
      <w:pPr>
        <w:pStyle w:val="DETFootnoteTextforobjectivestablesOHStable"/>
        <w:spacing w:before="120"/>
      </w:pPr>
      <w:r>
        <w:t>1 2015 figures include land managerial revaluation.</w:t>
      </w:r>
    </w:p>
    <w:p w14:paraId="597139B2" w14:textId="77777777" w:rsidR="00FE7F8B" w:rsidRDefault="00FE7F8B" w:rsidP="00BB1129">
      <w:pPr>
        <w:pStyle w:val="DETFootnoteTextforobjectivestablesOHStable"/>
      </w:pPr>
      <w:r>
        <w:t>2 See Note 11.</w:t>
      </w:r>
    </w:p>
    <w:p w14:paraId="302C4096" w14:textId="77777777" w:rsidR="00FE7F8B" w:rsidRDefault="00FE7F8B" w:rsidP="00BB1129">
      <w:pPr>
        <w:pStyle w:val="DETNormalafterlist"/>
        <w:rPr>
          <w:lang w:val="en-US"/>
        </w:rPr>
      </w:pPr>
      <w:r>
        <w:rPr>
          <w:lang w:val="en-US"/>
        </w:rPr>
        <w:t>The physical asset revaluation surplus is used to record increments and decrements on the revaluation of non-financial physical assets.</w:t>
      </w:r>
    </w:p>
    <w:p w14:paraId="2CB68473" w14:textId="77777777" w:rsidR="00FE7F8B" w:rsidRDefault="00FE7F8B" w:rsidP="00FE7F8B">
      <w:pPr>
        <w:spacing w:after="0" w:line="276" w:lineRule="auto"/>
        <w:rPr>
          <w:rFonts w:eastAsiaTheme="minorHAnsi" w:cs="Arial"/>
          <w:snapToGrid w:val="0"/>
          <w:color w:val="auto"/>
          <w:sz w:val="18"/>
          <w:szCs w:val="18"/>
          <w:bdr w:val="none" w:sz="0" w:space="0" w:color="auto" w:frame="1"/>
          <w:lang w:val="en-US"/>
        </w:rPr>
        <w:sectPr w:rsidR="00FE7F8B">
          <w:type w:val="continuous"/>
          <w:pgSz w:w="11909" w:h="16834"/>
          <w:pgMar w:top="1814" w:right="1701" w:bottom="1418" w:left="2835" w:header="720" w:footer="720" w:gutter="0"/>
          <w:cols w:space="720"/>
        </w:sectPr>
      </w:pPr>
    </w:p>
    <w:p w14:paraId="7103EDF7" w14:textId="77777777" w:rsidR="00FE7F8B" w:rsidRDefault="00FE7F8B" w:rsidP="00FE7F8B">
      <w:pPr>
        <w:spacing w:after="0" w:line="240" w:lineRule="auto"/>
        <w:rPr>
          <w:rFonts w:cs="Arial"/>
          <w:szCs w:val="18"/>
        </w:rPr>
        <w:sectPr w:rsidR="00FE7F8B">
          <w:footnotePr>
            <w:pos w:val="beneathText"/>
            <w:numRestart w:val="eachPage"/>
          </w:footnotePr>
          <w:type w:val="continuous"/>
          <w:pgSz w:w="11909" w:h="16834"/>
          <w:pgMar w:top="1814" w:right="1701" w:bottom="1418" w:left="2835" w:header="720" w:footer="720" w:gutter="0"/>
          <w:cols w:space="720"/>
        </w:sectPr>
      </w:pPr>
    </w:p>
    <w:p w14:paraId="3ECD13CB" w14:textId="77777777" w:rsidR="00FE7F8B" w:rsidRDefault="00FE7F8B" w:rsidP="00AD641C">
      <w:pPr>
        <w:pStyle w:val="Heading2notes"/>
        <w:numPr>
          <w:ilvl w:val="0"/>
          <w:numId w:val="39"/>
        </w:numPr>
      </w:pPr>
      <w:bookmarkStart w:id="105" w:name="_Toc399491074"/>
      <w:bookmarkStart w:id="106" w:name="_Ref399497840"/>
      <w:bookmarkStart w:id="107" w:name="_Ref399497911"/>
      <w:bookmarkStart w:id="108" w:name="_Ref399497927"/>
      <w:bookmarkStart w:id="109" w:name="_Ref399497947"/>
      <w:bookmarkStart w:id="110" w:name="_Ref399497957"/>
      <w:bookmarkStart w:id="111" w:name="_Toc461176306"/>
      <w:r>
        <w:t>Financial instruments</w:t>
      </w:r>
      <w:bookmarkEnd w:id="105"/>
      <w:bookmarkEnd w:id="106"/>
      <w:bookmarkEnd w:id="107"/>
      <w:bookmarkEnd w:id="108"/>
      <w:bookmarkEnd w:id="109"/>
      <w:bookmarkEnd w:id="110"/>
      <w:bookmarkEnd w:id="111"/>
    </w:p>
    <w:p w14:paraId="5C7D1E59" w14:textId="77777777" w:rsidR="00FE7F8B" w:rsidRDefault="00FE7F8B" w:rsidP="00AD641C">
      <w:pPr>
        <w:pStyle w:val="Heading3notesnumbered"/>
        <w:numPr>
          <w:ilvl w:val="0"/>
          <w:numId w:val="52"/>
        </w:numPr>
      </w:pPr>
      <w:r>
        <w:t>Financial risk management objectives and policies</w:t>
      </w:r>
    </w:p>
    <w:p w14:paraId="470220BC" w14:textId="77777777" w:rsidR="00FE7F8B" w:rsidRDefault="00FE7F8B" w:rsidP="00FE7F8B">
      <w:r>
        <w:t>The Department’s principal financial instruments comprise cash assets, term deposits, receivables (excluding statutory receivables), payables (excluding statutory payables) and finance lease payables.</w:t>
      </w:r>
    </w:p>
    <w:p w14:paraId="37AEB56C" w14:textId="77777777" w:rsidR="00FE7F8B" w:rsidRDefault="00FE7F8B" w:rsidP="00FE7F8B">
      <w:r>
        <w:t>Details of the significant accounting policies and methods adopted, including the criteria for recognition, the basis of measurement and the basis on which income and expenses are recognised, with respect to each class of financial asset, financial liability and equity instrument are disclosed in Note 1 to the financial statements.</w:t>
      </w:r>
    </w:p>
    <w:p w14:paraId="4472C401" w14:textId="77777777" w:rsidR="00FE7F8B" w:rsidRDefault="00FE7F8B" w:rsidP="00FE7F8B">
      <w:r>
        <w:t>The main purpose in holding financial instruments is to prudentially manage the Department’s financial risks within the government’s policy parameters.</w:t>
      </w:r>
    </w:p>
    <w:p w14:paraId="01D6370E" w14:textId="77777777" w:rsidR="00FE7F8B" w:rsidRDefault="00FE7F8B" w:rsidP="00FE7F8B">
      <w:r>
        <w:t>The Department’s main financial risks include credit risk, liquidity risk, interest rate risk and foreign currency risk. The Department manages these financial risks in accordance with its financial risk management policy. Each school manages its financial risks in accordance with its policies as determined by its school council.</w:t>
      </w:r>
    </w:p>
    <w:p w14:paraId="120ABBA7" w14:textId="77777777" w:rsidR="00FE7F8B" w:rsidRDefault="00FE7F8B" w:rsidP="00FE7F8B">
      <w:r>
        <w:t>The Department uses different methods to measure and manage the different risks to which it is exposed. The strategic responsibility for the identification and management of financial risks rests with the Executive Board of the Department.</w:t>
      </w:r>
    </w:p>
    <w:p w14:paraId="40CDA58D" w14:textId="77777777" w:rsidR="00FE7F8B" w:rsidRDefault="00FE7F8B" w:rsidP="00FE7F8B">
      <w:r>
        <w:t>The carrying amounts of the Department’s contractual financial assets and financial liabilities by category are disclosed in Table 10 below.</w:t>
      </w:r>
    </w:p>
    <w:p w14:paraId="2C54DF53" w14:textId="77777777" w:rsidR="00FE7F8B" w:rsidRDefault="00FE7F8B" w:rsidP="00FE7F8B">
      <w:pPr>
        <w:pStyle w:val="Caption"/>
      </w:pPr>
      <w:bookmarkStart w:id="112" w:name="_Ref399510311"/>
      <w:r>
        <w:t xml:space="preserve">Table </w:t>
      </w:r>
      <w:bookmarkEnd w:id="112"/>
      <w:r>
        <w:fldChar w:fldCharType="begin"/>
      </w:r>
      <w:r>
        <w:instrText xml:space="preserve"> SEQ Table \* ARABIC </w:instrText>
      </w:r>
      <w:r>
        <w:fldChar w:fldCharType="separate"/>
      </w:r>
      <w:r w:rsidR="00B60957">
        <w:rPr>
          <w:noProof/>
        </w:rPr>
        <w:t>10</w:t>
      </w:r>
      <w:r>
        <w:fldChar w:fldCharType="end"/>
      </w:r>
      <w:r>
        <w:t>—Categorisation of financial instruments</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0"/>
        <w:gridCol w:w="850"/>
        <w:gridCol w:w="1135"/>
        <w:gridCol w:w="1135"/>
      </w:tblGrid>
      <w:tr w:rsidR="00FE7F8B" w14:paraId="344DD1B9" w14:textId="77777777" w:rsidTr="00FE7F8B">
        <w:tc>
          <w:tcPr>
            <w:tcW w:w="4258" w:type="dxa"/>
            <w:tcBorders>
              <w:top w:val="nil"/>
              <w:left w:val="nil"/>
              <w:bottom w:val="nil"/>
              <w:right w:val="nil"/>
            </w:tcBorders>
            <w:shd w:val="clear" w:color="auto" w:fill="7F7F7F" w:themeFill="text1" w:themeFillTint="80"/>
            <w:vAlign w:val="bottom"/>
          </w:tcPr>
          <w:p w14:paraId="4F084978" w14:textId="77777777" w:rsidR="00FE7F8B" w:rsidRDefault="00FE7F8B">
            <w:pPr>
              <w:pStyle w:val="Tablecolumnheading"/>
              <w:jc w:val="center"/>
              <w:rPr>
                <w:lang w:eastAsia="en-AU"/>
              </w:rPr>
            </w:pPr>
          </w:p>
        </w:tc>
        <w:tc>
          <w:tcPr>
            <w:tcW w:w="850" w:type="dxa"/>
            <w:tcBorders>
              <w:top w:val="nil"/>
              <w:left w:val="nil"/>
              <w:bottom w:val="nil"/>
              <w:right w:val="nil"/>
            </w:tcBorders>
            <w:shd w:val="clear" w:color="auto" w:fill="7F7F7F" w:themeFill="text1" w:themeFillTint="80"/>
            <w:vAlign w:val="bottom"/>
            <w:hideMark/>
          </w:tcPr>
          <w:p w14:paraId="0BF76407" w14:textId="77777777" w:rsidR="00FE7F8B" w:rsidRDefault="00FE7F8B">
            <w:pPr>
              <w:pStyle w:val="Tablecolumnheading"/>
              <w:jc w:val="center"/>
              <w:rPr>
                <w:lang w:eastAsia="en-AU"/>
              </w:rPr>
            </w:pPr>
            <w:r>
              <w:rPr>
                <w:lang w:eastAsia="en-AU"/>
              </w:rPr>
              <w:t>Note</w:t>
            </w:r>
          </w:p>
        </w:tc>
        <w:tc>
          <w:tcPr>
            <w:tcW w:w="1134" w:type="dxa"/>
            <w:tcBorders>
              <w:top w:val="nil"/>
              <w:left w:val="nil"/>
              <w:bottom w:val="nil"/>
              <w:right w:val="nil"/>
            </w:tcBorders>
            <w:shd w:val="clear" w:color="auto" w:fill="7F7F7F" w:themeFill="text1" w:themeFillTint="80"/>
            <w:vAlign w:val="bottom"/>
            <w:hideMark/>
          </w:tcPr>
          <w:p w14:paraId="2CC51572" w14:textId="77777777" w:rsidR="00FE7F8B" w:rsidRDefault="00FE7F8B">
            <w:pPr>
              <w:pStyle w:val="Tablecolumnheading"/>
              <w:jc w:val="center"/>
              <w:rPr>
                <w:lang w:eastAsia="en-AU"/>
              </w:rPr>
            </w:pPr>
            <w:r>
              <w:rPr>
                <w:lang w:eastAsia="en-AU"/>
              </w:rPr>
              <w:t>2016</w:t>
            </w:r>
            <w:r>
              <w:rPr>
                <w:lang w:eastAsia="en-AU"/>
              </w:rPr>
              <w:br/>
              <w:t>$m</w:t>
            </w:r>
          </w:p>
        </w:tc>
        <w:tc>
          <w:tcPr>
            <w:tcW w:w="1134" w:type="dxa"/>
            <w:tcBorders>
              <w:top w:val="nil"/>
              <w:left w:val="nil"/>
              <w:bottom w:val="nil"/>
              <w:right w:val="nil"/>
            </w:tcBorders>
            <w:shd w:val="clear" w:color="auto" w:fill="7F7F7F" w:themeFill="text1" w:themeFillTint="80"/>
            <w:vAlign w:val="bottom"/>
            <w:hideMark/>
          </w:tcPr>
          <w:p w14:paraId="1FD47309" w14:textId="77777777" w:rsidR="00FE7F8B" w:rsidRDefault="00FE7F8B">
            <w:pPr>
              <w:pStyle w:val="Tablecolumnheading"/>
              <w:jc w:val="center"/>
              <w:rPr>
                <w:lang w:eastAsia="en-AU"/>
              </w:rPr>
            </w:pPr>
            <w:r>
              <w:rPr>
                <w:lang w:eastAsia="en-AU"/>
              </w:rPr>
              <w:t>2015</w:t>
            </w:r>
            <w:r>
              <w:rPr>
                <w:lang w:eastAsia="en-AU"/>
              </w:rPr>
              <w:br/>
              <w:t>$m</w:t>
            </w:r>
          </w:p>
        </w:tc>
      </w:tr>
      <w:tr w:rsidR="00FE7F8B" w14:paraId="38F5123A" w14:textId="77777777" w:rsidTr="00FE7F8B">
        <w:tc>
          <w:tcPr>
            <w:tcW w:w="4258" w:type="dxa"/>
            <w:tcBorders>
              <w:top w:val="nil"/>
              <w:left w:val="nil"/>
              <w:bottom w:val="nil"/>
              <w:right w:val="nil"/>
            </w:tcBorders>
            <w:vAlign w:val="bottom"/>
            <w:hideMark/>
          </w:tcPr>
          <w:p w14:paraId="28737B8D" w14:textId="77777777" w:rsidR="00FE7F8B" w:rsidRDefault="00FE7F8B">
            <w:pPr>
              <w:pStyle w:val="Tabletextnoindent"/>
            </w:pPr>
            <w:r>
              <w:rPr>
                <w:b/>
              </w:rPr>
              <w:t>Contractual financial assets—loans and receivables</w:t>
            </w:r>
          </w:p>
        </w:tc>
        <w:tc>
          <w:tcPr>
            <w:tcW w:w="850" w:type="dxa"/>
            <w:tcBorders>
              <w:top w:val="nil"/>
              <w:left w:val="nil"/>
              <w:bottom w:val="nil"/>
              <w:right w:val="nil"/>
            </w:tcBorders>
            <w:vAlign w:val="bottom"/>
          </w:tcPr>
          <w:p w14:paraId="7157A5CA" w14:textId="77777777" w:rsidR="00FE7F8B" w:rsidRDefault="00FE7F8B">
            <w:pPr>
              <w:pStyle w:val="TableTextFinancial"/>
              <w:jc w:val="center"/>
            </w:pPr>
          </w:p>
        </w:tc>
        <w:tc>
          <w:tcPr>
            <w:tcW w:w="1134" w:type="dxa"/>
            <w:tcBorders>
              <w:top w:val="nil"/>
              <w:left w:val="nil"/>
              <w:bottom w:val="nil"/>
              <w:right w:val="nil"/>
            </w:tcBorders>
            <w:shd w:val="clear" w:color="auto" w:fill="F2F2F2" w:themeFill="background1" w:themeFillShade="F2"/>
            <w:vAlign w:val="bottom"/>
          </w:tcPr>
          <w:p w14:paraId="4A8020DB" w14:textId="77777777" w:rsidR="00FE7F8B" w:rsidRDefault="00FE7F8B">
            <w:pPr>
              <w:pStyle w:val="TableTextFinancial"/>
              <w:jc w:val="right"/>
              <w:rPr>
                <w:b/>
              </w:rPr>
            </w:pPr>
          </w:p>
        </w:tc>
        <w:tc>
          <w:tcPr>
            <w:tcW w:w="1134" w:type="dxa"/>
            <w:tcBorders>
              <w:top w:val="nil"/>
              <w:left w:val="nil"/>
              <w:bottom w:val="nil"/>
              <w:right w:val="nil"/>
            </w:tcBorders>
            <w:vAlign w:val="bottom"/>
          </w:tcPr>
          <w:p w14:paraId="30794FBF" w14:textId="77777777" w:rsidR="00FE7F8B" w:rsidRDefault="00FE7F8B">
            <w:pPr>
              <w:pStyle w:val="TableTextFinancial"/>
              <w:jc w:val="right"/>
            </w:pPr>
          </w:p>
        </w:tc>
      </w:tr>
      <w:tr w:rsidR="00FE7F8B" w14:paraId="4B9FCE2A" w14:textId="77777777" w:rsidTr="00FE7F8B">
        <w:tc>
          <w:tcPr>
            <w:tcW w:w="4258" w:type="dxa"/>
            <w:tcBorders>
              <w:top w:val="nil"/>
              <w:left w:val="nil"/>
              <w:bottom w:val="nil"/>
              <w:right w:val="nil"/>
            </w:tcBorders>
            <w:vAlign w:val="bottom"/>
            <w:hideMark/>
          </w:tcPr>
          <w:p w14:paraId="2CC90B9F" w14:textId="77777777" w:rsidR="00FE7F8B" w:rsidRDefault="00FE7F8B">
            <w:pPr>
              <w:pStyle w:val="Tabletextnoindent"/>
            </w:pPr>
            <w:r>
              <w:t>Cash and deposits—Department</w:t>
            </w:r>
          </w:p>
        </w:tc>
        <w:tc>
          <w:tcPr>
            <w:tcW w:w="850" w:type="dxa"/>
            <w:tcBorders>
              <w:top w:val="nil"/>
              <w:left w:val="nil"/>
              <w:bottom w:val="nil"/>
              <w:right w:val="nil"/>
            </w:tcBorders>
            <w:vAlign w:val="bottom"/>
            <w:hideMark/>
          </w:tcPr>
          <w:p w14:paraId="37CF905B" w14:textId="77777777" w:rsidR="00FE7F8B" w:rsidRDefault="00FE7F8B">
            <w:pPr>
              <w:pStyle w:val="TableTextFinancial"/>
              <w:jc w:val="center"/>
            </w:pPr>
            <w:r>
              <w:t>7</w:t>
            </w:r>
          </w:p>
        </w:tc>
        <w:tc>
          <w:tcPr>
            <w:tcW w:w="1134" w:type="dxa"/>
            <w:tcBorders>
              <w:top w:val="nil"/>
              <w:left w:val="nil"/>
              <w:bottom w:val="nil"/>
              <w:right w:val="nil"/>
            </w:tcBorders>
            <w:shd w:val="clear" w:color="auto" w:fill="F2F2F2" w:themeFill="background1" w:themeFillShade="F2"/>
            <w:vAlign w:val="bottom"/>
            <w:hideMark/>
          </w:tcPr>
          <w:p w14:paraId="30E1B260" w14:textId="77777777" w:rsidR="00FE7F8B" w:rsidRDefault="00FE7F8B">
            <w:pPr>
              <w:pStyle w:val="TableTextFinancial"/>
              <w:jc w:val="right"/>
              <w:rPr>
                <w:b/>
              </w:rPr>
            </w:pPr>
            <w:r>
              <w:rPr>
                <w:b/>
              </w:rPr>
              <w:t>205.4</w:t>
            </w:r>
          </w:p>
        </w:tc>
        <w:tc>
          <w:tcPr>
            <w:tcW w:w="1134" w:type="dxa"/>
            <w:tcBorders>
              <w:top w:val="nil"/>
              <w:left w:val="nil"/>
              <w:bottom w:val="nil"/>
              <w:right w:val="nil"/>
            </w:tcBorders>
            <w:vAlign w:val="bottom"/>
            <w:hideMark/>
          </w:tcPr>
          <w:p w14:paraId="5D84D302" w14:textId="77777777" w:rsidR="00FE7F8B" w:rsidRDefault="00FE7F8B">
            <w:pPr>
              <w:pStyle w:val="TableTextFinancial"/>
              <w:jc w:val="right"/>
            </w:pPr>
            <w:r>
              <w:t>157.5</w:t>
            </w:r>
          </w:p>
        </w:tc>
      </w:tr>
      <w:tr w:rsidR="00FE7F8B" w14:paraId="0803D793" w14:textId="77777777" w:rsidTr="00FE7F8B">
        <w:tc>
          <w:tcPr>
            <w:tcW w:w="4258" w:type="dxa"/>
            <w:tcBorders>
              <w:top w:val="nil"/>
              <w:left w:val="nil"/>
              <w:bottom w:val="nil"/>
              <w:right w:val="nil"/>
            </w:tcBorders>
            <w:vAlign w:val="bottom"/>
            <w:hideMark/>
          </w:tcPr>
          <w:p w14:paraId="4CB50450" w14:textId="77777777" w:rsidR="00FE7F8B" w:rsidRDefault="00FE7F8B">
            <w:pPr>
              <w:pStyle w:val="Tabletextnoindent"/>
            </w:pPr>
            <w:r>
              <w:t>Cash and deposits—Schools</w:t>
            </w:r>
          </w:p>
        </w:tc>
        <w:tc>
          <w:tcPr>
            <w:tcW w:w="850" w:type="dxa"/>
            <w:tcBorders>
              <w:top w:val="nil"/>
              <w:left w:val="nil"/>
              <w:bottom w:val="nil"/>
              <w:right w:val="nil"/>
            </w:tcBorders>
            <w:vAlign w:val="bottom"/>
            <w:hideMark/>
          </w:tcPr>
          <w:p w14:paraId="57734FD8" w14:textId="77777777" w:rsidR="00FE7F8B" w:rsidRDefault="00FE7F8B">
            <w:pPr>
              <w:pStyle w:val="TableTextFinancial"/>
              <w:jc w:val="center"/>
            </w:pPr>
            <w:r>
              <w:t>7</w:t>
            </w:r>
          </w:p>
        </w:tc>
        <w:tc>
          <w:tcPr>
            <w:tcW w:w="1134" w:type="dxa"/>
            <w:tcBorders>
              <w:top w:val="nil"/>
              <w:left w:val="nil"/>
              <w:bottom w:val="nil"/>
              <w:right w:val="nil"/>
            </w:tcBorders>
            <w:shd w:val="clear" w:color="auto" w:fill="F2F2F2" w:themeFill="background1" w:themeFillShade="F2"/>
            <w:vAlign w:val="bottom"/>
            <w:hideMark/>
          </w:tcPr>
          <w:p w14:paraId="7DCB090D" w14:textId="77777777" w:rsidR="00FE7F8B" w:rsidRDefault="00FE7F8B">
            <w:pPr>
              <w:pStyle w:val="TableTextFinancial"/>
              <w:jc w:val="right"/>
              <w:rPr>
                <w:b/>
              </w:rPr>
            </w:pPr>
            <w:r>
              <w:rPr>
                <w:b/>
              </w:rPr>
              <w:t>497.8</w:t>
            </w:r>
          </w:p>
        </w:tc>
        <w:tc>
          <w:tcPr>
            <w:tcW w:w="1134" w:type="dxa"/>
            <w:tcBorders>
              <w:top w:val="nil"/>
              <w:left w:val="nil"/>
              <w:bottom w:val="nil"/>
              <w:right w:val="nil"/>
            </w:tcBorders>
            <w:vAlign w:val="bottom"/>
            <w:hideMark/>
          </w:tcPr>
          <w:p w14:paraId="71273407" w14:textId="77777777" w:rsidR="00FE7F8B" w:rsidRDefault="00FE7F8B">
            <w:pPr>
              <w:pStyle w:val="TableTextFinancial"/>
              <w:jc w:val="right"/>
            </w:pPr>
            <w:r>
              <w:t>557.8</w:t>
            </w:r>
          </w:p>
        </w:tc>
      </w:tr>
      <w:tr w:rsidR="00FE7F8B" w14:paraId="4F0920A2" w14:textId="77777777" w:rsidTr="00FE7F8B">
        <w:tc>
          <w:tcPr>
            <w:tcW w:w="4258" w:type="dxa"/>
            <w:tcBorders>
              <w:top w:val="nil"/>
              <w:left w:val="nil"/>
              <w:bottom w:val="nil"/>
              <w:right w:val="nil"/>
            </w:tcBorders>
            <w:vAlign w:val="bottom"/>
            <w:hideMark/>
          </w:tcPr>
          <w:p w14:paraId="1671CC97" w14:textId="77777777" w:rsidR="00FE7F8B" w:rsidRDefault="00FE7F8B">
            <w:pPr>
              <w:pStyle w:val="Tabletextnoindent"/>
            </w:pPr>
            <w:r>
              <w:t>Receivables</w:t>
            </w:r>
          </w:p>
        </w:tc>
        <w:tc>
          <w:tcPr>
            <w:tcW w:w="850" w:type="dxa"/>
            <w:tcBorders>
              <w:top w:val="nil"/>
              <w:left w:val="nil"/>
              <w:bottom w:val="nil"/>
              <w:right w:val="nil"/>
            </w:tcBorders>
            <w:vAlign w:val="bottom"/>
            <w:hideMark/>
          </w:tcPr>
          <w:p w14:paraId="26C27A73" w14:textId="77777777" w:rsidR="00FE7F8B" w:rsidRDefault="00FE7F8B">
            <w:pPr>
              <w:pStyle w:val="TableTextFinancial"/>
              <w:jc w:val="center"/>
            </w:pPr>
            <w:r>
              <w:t>8</w:t>
            </w:r>
          </w:p>
        </w:tc>
        <w:tc>
          <w:tcPr>
            <w:tcW w:w="1134" w:type="dxa"/>
            <w:tcBorders>
              <w:top w:val="nil"/>
              <w:left w:val="nil"/>
              <w:bottom w:val="nil"/>
              <w:right w:val="nil"/>
            </w:tcBorders>
            <w:shd w:val="clear" w:color="auto" w:fill="F2F2F2" w:themeFill="background1" w:themeFillShade="F2"/>
            <w:vAlign w:val="bottom"/>
            <w:hideMark/>
          </w:tcPr>
          <w:p w14:paraId="0DE04D18" w14:textId="77777777" w:rsidR="00FE7F8B" w:rsidRDefault="00FE7F8B">
            <w:pPr>
              <w:pStyle w:val="TableTextFinancial"/>
              <w:jc w:val="right"/>
              <w:rPr>
                <w:b/>
              </w:rPr>
            </w:pPr>
            <w:r>
              <w:rPr>
                <w:b/>
              </w:rPr>
              <w:t>86.0</w:t>
            </w:r>
          </w:p>
        </w:tc>
        <w:tc>
          <w:tcPr>
            <w:tcW w:w="1134" w:type="dxa"/>
            <w:tcBorders>
              <w:top w:val="nil"/>
              <w:left w:val="nil"/>
              <w:bottom w:val="nil"/>
              <w:right w:val="nil"/>
            </w:tcBorders>
            <w:vAlign w:val="bottom"/>
            <w:hideMark/>
          </w:tcPr>
          <w:p w14:paraId="70FA57D9" w14:textId="77777777" w:rsidR="00FE7F8B" w:rsidRDefault="00FE7F8B">
            <w:pPr>
              <w:pStyle w:val="TableTextFinancial"/>
              <w:jc w:val="right"/>
            </w:pPr>
            <w:r>
              <w:t>59.9</w:t>
            </w:r>
          </w:p>
        </w:tc>
      </w:tr>
      <w:tr w:rsidR="00FE7F8B" w14:paraId="154627F6" w14:textId="77777777" w:rsidTr="00FE7F8B">
        <w:tc>
          <w:tcPr>
            <w:tcW w:w="4258" w:type="dxa"/>
            <w:tcBorders>
              <w:top w:val="nil"/>
              <w:left w:val="nil"/>
              <w:bottom w:val="single" w:sz="4" w:space="0" w:color="auto"/>
              <w:right w:val="nil"/>
            </w:tcBorders>
            <w:vAlign w:val="bottom"/>
            <w:hideMark/>
          </w:tcPr>
          <w:p w14:paraId="2C35C9FC" w14:textId="77777777" w:rsidR="00FE7F8B" w:rsidRDefault="00FE7F8B">
            <w:pPr>
              <w:pStyle w:val="Tabletextnoindent"/>
            </w:pPr>
            <w:r>
              <w:t>Term deposits</w:t>
            </w:r>
          </w:p>
        </w:tc>
        <w:tc>
          <w:tcPr>
            <w:tcW w:w="850" w:type="dxa"/>
            <w:tcBorders>
              <w:top w:val="nil"/>
              <w:left w:val="nil"/>
              <w:bottom w:val="single" w:sz="4" w:space="0" w:color="auto"/>
              <w:right w:val="nil"/>
            </w:tcBorders>
            <w:vAlign w:val="bottom"/>
            <w:hideMark/>
          </w:tcPr>
          <w:p w14:paraId="269287F0" w14:textId="77777777" w:rsidR="00FE7F8B" w:rsidRDefault="00FE7F8B">
            <w:pPr>
              <w:pStyle w:val="TableTextFinancial"/>
              <w:jc w:val="center"/>
            </w:pPr>
            <w:r>
              <w:t>7</w:t>
            </w:r>
          </w:p>
        </w:tc>
        <w:tc>
          <w:tcPr>
            <w:tcW w:w="1134" w:type="dxa"/>
            <w:tcBorders>
              <w:top w:val="nil"/>
              <w:left w:val="nil"/>
              <w:bottom w:val="single" w:sz="4" w:space="0" w:color="auto"/>
              <w:right w:val="nil"/>
            </w:tcBorders>
            <w:shd w:val="clear" w:color="auto" w:fill="F2F2F2" w:themeFill="background1" w:themeFillShade="F2"/>
            <w:vAlign w:val="bottom"/>
            <w:hideMark/>
          </w:tcPr>
          <w:p w14:paraId="5E75CF4A" w14:textId="77777777" w:rsidR="00FE7F8B" w:rsidRDefault="00FE7F8B">
            <w:pPr>
              <w:pStyle w:val="TableTextFinancial"/>
              <w:jc w:val="right"/>
              <w:rPr>
                <w:b/>
              </w:rPr>
            </w:pPr>
            <w:r>
              <w:rPr>
                <w:b/>
              </w:rPr>
              <w:t>274.9</w:t>
            </w:r>
          </w:p>
        </w:tc>
        <w:tc>
          <w:tcPr>
            <w:tcW w:w="1134" w:type="dxa"/>
            <w:tcBorders>
              <w:top w:val="nil"/>
              <w:left w:val="nil"/>
              <w:bottom w:val="single" w:sz="4" w:space="0" w:color="auto"/>
              <w:right w:val="nil"/>
            </w:tcBorders>
            <w:vAlign w:val="bottom"/>
            <w:hideMark/>
          </w:tcPr>
          <w:p w14:paraId="689E2033" w14:textId="77777777" w:rsidR="00FE7F8B" w:rsidRDefault="00FE7F8B">
            <w:pPr>
              <w:pStyle w:val="TableTextFinancial"/>
              <w:jc w:val="right"/>
            </w:pPr>
            <w:r>
              <w:t>132.5</w:t>
            </w:r>
          </w:p>
        </w:tc>
      </w:tr>
      <w:tr w:rsidR="00FE7F8B" w14:paraId="42988E0D" w14:textId="77777777" w:rsidTr="00FE7F8B">
        <w:tc>
          <w:tcPr>
            <w:tcW w:w="4258" w:type="dxa"/>
            <w:tcBorders>
              <w:top w:val="single" w:sz="4" w:space="0" w:color="auto"/>
              <w:left w:val="nil"/>
              <w:bottom w:val="single" w:sz="4" w:space="0" w:color="auto"/>
              <w:right w:val="nil"/>
            </w:tcBorders>
            <w:vAlign w:val="bottom"/>
            <w:hideMark/>
          </w:tcPr>
          <w:p w14:paraId="3F77BD44" w14:textId="77777777" w:rsidR="00FE7F8B" w:rsidRDefault="00FE7F8B">
            <w:pPr>
              <w:pStyle w:val="Tabletextnoindent"/>
              <w:rPr>
                <w:b/>
              </w:rPr>
            </w:pPr>
            <w:r>
              <w:rPr>
                <w:b/>
              </w:rPr>
              <w:t>Total contractual financial assets</w:t>
            </w:r>
          </w:p>
        </w:tc>
        <w:tc>
          <w:tcPr>
            <w:tcW w:w="850" w:type="dxa"/>
            <w:tcBorders>
              <w:top w:val="single" w:sz="4" w:space="0" w:color="auto"/>
              <w:left w:val="nil"/>
              <w:bottom w:val="single" w:sz="4" w:space="0" w:color="auto"/>
              <w:right w:val="nil"/>
            </w:tcBorders>
            <w:vAlign w:val="bottom"/>
          </w:tcPr>
          <w:p w14:paraId="6FA4BCAE"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1DE75D65" w14:textId="77777777" w:rsidR="00FE7F8B" w:rsidRDefault="00FE7F8B">
            <w:pPr>
              <w:pStyle w:val="TableTextFinancial"/>
              <w:jc w:val="right"/>
              <w:rPr>
                <w:b/>
              </w:rPr>
            </w:pPr>
            <w:r>
              <w:rPr>
                <w:b/>
              </w:rPr>
              <w:t>1,064.2</w:t>
            </w:r>
          </w:p>
        </w:tc>
        <w:tc>
          <w:tcPr>
            <w:tcW w:w="1134" w:type="dxa"/>
            <w:tcBorders>
              <w:top w:val="single" w:sz="4" w:space="0" w:color="auto"/>
              <w:left w:val="nil"/>
              <w:bottom w:val="single" w:sz="4" w:space="0" w:color="auto"/>
              <w:right w:val="nil"/>
            </w:tcBorders>
            <w:vAlign w:val="bottom"/>
            <w:hideMark/>
          </w:tcPr>
          <w:p w14:paraId="4FF69AAC" w14:textId="77777777" w:rsidR="00FE7F8B" w:rsidRDefault="00FE7F8B">
            <w:pPr>
              <w:pStyle w:val="TableTextFinancial"/>
              <w:jc w:val="right"/>
            </w:pPr>
            <w:r>
              <w:t>907.7</w:t>
            </w:r>
          </w:p>
        </w:tc>
      </w:tr>
      <w:tr w:rsidR="00FE7F8B" w14:paraId="78B585AD" w14:textId="77777777" w:rsidTr="00FE7F8B">
        <w:tc>
          <w:tcPr>
            <w:tcW w:w="4258" w:type="dxa"/>
            <w:tcBorders>
              <w:top w:val="single" w:sz="4" w:space="0" w:color="auto"/>
              <w:left w:val="nil"/>
              <w:bottom w:val="nil"/>
              <w:right w:val="nil"/>
            </w:tcBorders>
            <w:vAlign w:val="bottom"/>
            <w:hideMark/>
          </w:tcPr>
          <w:p w14:paraId="718E7331" w14:textId="77777777" w:rsidR="00FE7F8B" w:rsidRDefault="00FE7F8B">
            <w:pPr>
              <w:pStyle w:val="Tabletextnoindent"/>
              <w:rPr>
                <w:b/>
              </w:rPr>
            </w:pPr>
            <w:r>
              <w:rPr>
                <w:b/>
              </w:rPr>
              <w:t>Contractual financial liabilities at amortised cost</w:t>
            </w:r>
          </w:p>
        </w:tc>
        <w:tc>
          <w:tcPr>
            <w:tcW w:w="850" w:type="dxa"/>
            <w:tcBorders>
              <w:top w:val="single" w:sz="4" w:space="0" w:color="auto"/>
              <w:left w:val="nil"/>
              <w:bottom w:val="nil"/>
              <w:right w:val="nil"/>
            </w:tcBorders>
            <w:vAlign w:val="bottom"/>
          </w:tcPr>
          <w:p w14:paraId="00E62347" w14:textId="77777777" w:rsidR="00FE7F8B" w:rsidRDefault="00FE7F8B">
            <w:pPr>
              <w:pStyle w:val="TableTextFinancial"/>
              <w:jc w:val="center"/>
            </w:pPr>
          </w:p>
        </w:tc>
        <w:tc>
          <w:tcPr>
            <w:tcW w:w="1134" w:type="dxa"/>
            <w:tcBorders>
              <w:top w:val="single" w:sz="4" w:space="0" w:color="auto"/>
              <w:left w:val="nil"/>
              <w:bottom w:val="nil"/>
              <w:right w:val="nil"/>
            </w:tcBorders>
            <w:shd w:val="clear" w:color="auto" w:fill="F2F2F2" w:themeFill="background1" w:themeFillShade="F2"/>
            <w:vAlign w:val="bottom"/>
          </w:tcPr>
          <w:p w14:paraId="17E413AB" w14:textId="77777777" w:rsidR="00FE7F8B" w:rsidRDefault="00FE7F8B">
            <w:pPr>
              <w:pStyle w:val="TableTextFinancial"/>
              <w:jc w:val="right"/>
              <w:rPr>
                <w:b/>
              </w:rPr>
            </w:pPr>
          </w:p>
        </w:tc>
        <w:tc>
          <w:tcPr>
            <w:tcW w:w="1134" w:type="dxa"/>
            <w:tcBorders>
              <w:top w:val="single" w:sz="4" w:space="0" w:color="auto"/>
              <w:left w:val="nil"/>
              <w:bottom w:val="nil"/>
              <w:right w:val="nil"/>
            </w:tcBorders>
            <w:vAlign w:val="bottom"/>
          </w:tcPr>
          <w:p w14:paraId="23D3356E" w14:textId="77777777" w:rsidR="00FE7F8B" w:rsidRDefault="00FE7F8B">
            <w:pPr>
              <w:pStyle w:val="TableTextFinancial"/>
              <w:jc w:val="right"/>
            </w:pPr>
          </w:p>
        </w:tc>
      </w:tr>
      <w:tr w:rsidR="00FE7F8B" w14:paraId="26EC8CC5" w14:textId="77777777" w:rsidTr="00FE7F8B">
        <w:tc>
          <w:tcPr>
            <w:tcW w:w="4258" w:type="dxa"/>
            <w:tcBorders>
              <w:top w:val="nil"/>
              <w:left w:val="nil"/>
              <w:bottom w:val="nil"/>
              <w:right w:val="nil"/>
            </w:tcBorders>
            <w:vAlign w:val="bottom"/>
            <w:hideMark/>
          </w:tcPr>
          <w:p w14:paraId="66D635B2" w14:textId="77777777" w:rsidR="00FE7F8B" w:rsidRDefault="00FE7F8B">
            <w:pPr>
              <w:pStyle w:val="Tabletextnoindent"/>
            </w:pPr>
            <w:r>
              <w:t>Payables</w:t>
            </w:r>
          </w:p>
        </w:tc>
        <w:tc>
          <w:tcPr>
            <w:tcW w:w="850" w:type="dxa"/>
            <w:tcBorders>
              <w:top w:val="nil"/>
              <w:left w:val="nil"/>
              <w:bottom w:val="nil"/>
              <w:right w:val="nil"/>
            </w:tcBorders>
            <w:vAlign w:val="bottom"/>
            <w:hideMark/>
          </w:tcPr>
          <w:p w14:paraId="42D6C8DA" w14:textId="77777777" w:rsidR="00FE7F8B" w:rsidRDefault="00FE7F8B">
            <w:pPr>
              <w:pStyle w:val="TableTextFinancial"/>
              <w:jc w:val="center"/>
            </w:pPr>
            <w:r>
              <w:t>12</w:t>
            </w:r>
          </w:p>
        </w:tc>
        <w:tc>
          <w:tcPr>
            <w:tcW w:w="1134" w:type="dxa"/>
            <w:tcBorders>
              <w:top w:val="nil"/>
              <w:left w:val="nil"/>
              <w:bottom w:val="nil"/>
              <w:right w:val="nil"/>
            </w:tcBorders>
            <w:shd w:val="clear" w:color="auto" w:fill="F2F2F2" w:themeFill="background1" w:themeFillShade="F2"/>
            <w:vAlign w:val="bottom"/>
            <w:hideMark/>
          </w:tcPr>
          <w:p w14:paraId="44E42F35" w14:textId="77777777" w:rsidR="00FE7F8B" w:rsidRDefault="00FE7F8B">
            <w:pPr>
              <w:pStyle w:val="TableTextFinancial"/>
              <w:jc w:val="right"/>
              <w:rPr>
                <w:b/>
              </w:rPr>
            </w:pPr>
            <w:r>
              <w:rPr>
                <w:b/>
              </w:rPr>
              <w:t>393.8</w:t>
            </w:r>
          </w:p>
        </w:tc>
        <w:tc>
          <w:tcPr>
            <w:tcW w:w="1134" w:type="dxa"/>
            <w:tcBorders>
              <w:top w:val="nil"/>
              <w:left w:val="nil"/>
              <w:bottom w:val="nil"/>
              <w:right w:val="nil"/>
            </w:tcBorders>
            <w:vAlign w:val="bottom"/>
            <w:hideMark/>
          </w:tcPr>
          <w:p w14:paraId="00F3E032" w14:textId="77777777" w:rsidR="00FE7F8B" w:rsidRDefault="00FE7F8B">
            <w:pPr>
              <w:pStyle w:val="TableTextFinancial"/>
              <w:jc w:val="right"/>
            </w:pPr>
            <w:r>
              <w:t>296.1</w:t>
            </w:r>
          </w:p>
        </w:tc>
      </w:tr>
      <w:tr w:rsidR="00FE7F8B" w14:paraId="63F31F17" w14:textId="77777777" w:rsidTr="00FE7F8B">
        <w:tc>
          <w:tcPr>
            <w:tcW w:w="4258" w:type="dxa"/>
            <w:tcBorders>
              <w:top w:val="nil"/>
              <w:left w:val="nil"/>
              <w:bottom w:val="single" w:sz="4" w:space="0" w:color="auto"/>
              <w:right w:val="nil"/>
            </w:tcBorders>
            <w:vAlign w:val="bottom"/>
            <w:hideMark/>
          </w:tcPr>
          <w:p w14:paraId="5BE13AA8" w14:textId="77777777" w:rsidR="00FE7F8B" w:rsidRDefault="00FE7F8B">
            <w:pPr>
              <w:pStyle w:val="Tabletextnoindent"/>
            </w:pPr>
            <w:r>
              <w:t>Borrowings</w:t>
            </w:r>
          </w:p>
        </w:tc>
        <w:tc>
          <w:tcPr>
            <w:tcW w:w="850" w:type="dxa"/>
            <w:tcBorders>
              <w:top w:val="nil"/>
              <w:left w:val="nil"/>
              <w:bottom w:val="single" w:sz="4" w:space="0" w:color="auto"/>
              <w:right w:val="nil"/>
            </w:tcBorders>
            <w:vAlign w:val="bottom"/>
            <w:hideMark/>
          </w:tcPr>
          <w:p w14:paraId="6A94233F" w14:textId="77777777" w:rsidR="00FE7F8B" w:rsidRDefault="00FE7F8B">
            <w:pPr>
              <w:pStyle w:val="TableTextFinancial"/>
              <w:jc w:val="center"/>
            </w:pPr>
            <w:r>
              <w:t>13</w:t>
            </w:r>
          </w:p>
        </w:tc>
        <w:tc>
          <w:tcPr>
            <w:tcW w:w="1134" w:type="dxa"/>
            <w:tcBorders>
              <w:top w:val="nil"/>
              <w:left w:val="nil"/>
              <w:bottom w:val="single" w:sz="4" w:space="0" w:color="auto"/>
              <w:right w:val="nil"/>
            </w:tcBorders>
            <w:shd w:val="clear" w:color="auto" w:fill="F2F2F2" w:themeFill="background1" w:themeFillShade="F2"/>
            <w:vAlign w:val="bottom"/>
            <w:hideMark/>
          </w:tcPr>
          <w:p w14:paraId="501912BC" w14:textId="77777777" w:rsidR="00FE7F8B" w:rsidRDefault="00FE7F8B">
            <w:pPr>
              <w:pStyle w:val="TableTextFinancial"/>
              <w:jc w:val="right"/>
              <w:rPr>
                <w:b/>
              </w:rPr>
            </w:pPr>
            <w:r>
              <w:rPr>
                <w:b/>
              </w:rPr>
              <w:t>249.6</w:t>
            </w:r>
          </w:p>
        </w:tc>
        <w:tc>
          <w:tcPr>
            <w:tcW w:w="1134" w:type="dxa"/>
            <w:tcBorders>
              <w:top w:val="nil"/>
              <w:left w:val="nil"/>
              <w:bottom w:val="single" w:sz="4" w:space="0" w:color="auto"/>
              <w:right w:val="nil"/>
            </w:tcBorders>
            <w:vAlign w:val="bottom"/>
            <w:hideMark/>
          </w:tcPr>
          <w:p w14:paraId="6CF090E2" w14:textId="77777777" w:rsidR="00FE7F8B" w:rsidRDefault="00FE7F8B">
            <w:pPr>
              <w:pStyle w:val="TableTextFinancial"/>
              <w:jc w:val="right"/>
            </w:pPr>
            <w:r>
              <w:t>255.1</w:t>
            </w:r>
          </w:p>
        </w:tc>
      </w:tr>
      <w:tr w:rsidR="00FE7F8B" w14:paraId="5B29993C" w14:textId="77777777" w:rsidTr="00FE7F8B">
        <w:tc>
          <w:tcPr>
            <w:tcW w:w="4258" w:type="dxa"/>
            <w:tcBorders>
              <w:top w:val="single" w:sz="4" w:space="0" w:color="auto"/>
              <w:left w:val="nil"/>
              <w:bottom w:val="single" w:sz="4" w:space="0" w:color="auto"/>
              <w:right w:val="nil"/>
            </w:tcBorders>
            <w:vAlign w:val="bottom"/>
            <w:hideMark/>
          </w:tcPr>
          <w:p w14:paraId="00FCB244" w14:textId="77777777" w:rsidR="00FE7F8B" w:rsidRDefault="00FE7F8B">
            <w:pPr>
              <w:pStyle w:val="Tabletextnoindent"/>
              <w:rPr>
                <w:b/>
              </w:rPr>
            </w:pPr>
            <w:r>
              <w:rPr>
                <w:b/>
              </w:rPr>
              <w:t>Total contractual financial liabilities</w:t>
            </w:r>
          </w:p>
        </w:tc>
        <w:tc>
          <w:tcPr>
            <w:tcW w:w="850" w:type="dxa"/>
            <w:tcBorders>
              <w:top w:val="single" w:sz="4" w:space="0" w:color="auto"/>
              <w:left w:val="nil"/>
              <w:bottom w:val="single" w:sz="4" w:space="0" w:color="auto"/>
              <w:right w:val="nil"/>
            </w:tcBorders>
            <w:vAlign w:val="bottom"/>
          </w:tcPr>
          <w:p w14:paraId="794F864F" w14:textId="77777777" w:rsidR="00FE7F8B" w:rsidRDefault="00FE7F8B">
            <w:pPr>
              <w:pStyle w:val="TableTextFinancial"/>
              <w:jc w:val="center"/>
            </w:pP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7AE079F6" w14:textId="77777777" w:rsidR="00FE7F8B" w:rsidRDefault="00FE7F8B">
            <w:pPr>
              <w:pStyle w:val="TableTextFinancial"/>
              <w:jc w:val="right"/>
              <w:rPr>
                <w:b/>
              </w:rPr>
            </w:pPr>
            <w:r>
              <w:rPr>
                <w:b/>
              </w:rPr>
              <w:t>643.4</w:t>
            </w:r>
          </w:p>
        </w:tc>
        <w:tc>
          <w:tcPr>
            <w:tcW w:w="1134" w:type="dxa"/>
            <w:tcBorders>
              <w:top w:val="single" w:sz="4" w:space="0" w:color="auto"/>
              <w:left w:val="nil"/>
              <w:bottom w:val="single" w:sz="4" w:space="0" w:color="auto"/>
              <w:right w:val="nil"/>
            </w:tcBorders>
            <w:vAlign w:val="bottom"/>
            <w:hideMark/>
          </w:tcPr>
          <w:p w14:paraId="10B3C217" w14:textId="77777777" w:rsidR="00FE7F8B" w:rsidRDefault="00FE7F8B">
            <w:pPr>
              <w:pStyle w:val="TableTextFinancial"/>
              <w:jc w:val="right"/>
            </w:pPr>
            <w:r>
              <w:t>551.2</w:t>
            </w:r>
          </w:p>
        </w:tc>
      </w:tr>
    </w:tbl>
    <w:p w14:paraId="65E88B6E" w14:textId="77777777" w:rsidR="00FE7F8B" w:rsidRDefault="00FE7F8B" w:rsidP="00AD641C">
      <w:pPr>
        <w:pStyle w:val="Heading3notesnumbered"/>
        <w:numPr>
          <w:ilvl w:val="0"/>
          <w:numId w:val="40"/>
        </w:numPr>
      </w:pPr>
      <w:r>
        <w:t>Credit risk</w:t>
      </w:r>
    </w:p>
    <w:p w14:paraId="2539E5BC" w14:textId="77777777" w:rsidR="00FE7F8B" w:rsidRDefault="00FE7F8B" w:rsidP="00FE7F8B">
      <w:r>
        <w:t xml:space="preserve">Credit risk arises from the financial assets of the Department, which comprise cash and deposits and non-statutory receivables. The Department’s exposure to credit risk arises from the potential default of a counter party on their contractual obligations resulting in financial loss to the Department. Credit risk is measured at fair value and is monitored on a regular basis. </w:t>
      </w:r>
    </w:p>
    <w:p w14:paraId="392F30EB" w14:textId="77777777" w:rsidR="00FE7F8B" w:rsidRDefault="00FE7F8B" w:rsidP="00FE7F8B">
      <w:r>
        <w:t>Credit risk associated with the Department’s contractual financial assets is minimal because the main debtor is the Victorian Government. In addition, the Department does not engage in hedging for its contractual financial assets and mainly obtains contractual financial assets that are on fixed interest, except for cash and deposits, which are mainly cash at bank. As with the policy for debtors, the Department’s policy is to only deal with financial institutions with high credit ratings.</w:t>
      </w:r>
    </w:p>
    <w:p w14:paraId="28E4596E" w14:textId="77777777" w:rsidR="00FE7F8B" w:rsidRDefault="00FE7F8B" w:rsidP="00FE7F8B">
      <w:r>
        <w:t xml:space="preserve">Credit risk arises at schools for amounts due from parents and individuals and is managed by each school. </w:t>
      </w:r>
    </w:p>
    <w:p w14:paraId="5B47A674" w14:textId="77777777" w:rsidR="00FE7F8B" w:rsidRDefault="00FE7F8B" w:rsidP="00FE7F8B">
      <w:r>
        <w:t>Provision of impairment for contractual financial assets is recognised when there is objective evidence that the Department will not be able to collect a receivable. Objective evidence includes financial difficulties of the debtor, default payments and changes in debtor credit ratings.</w:t>
      </w:r>
    </w:p>
    <w:p w14:paraId="66C993A5" w14:textId="77777777" w:rsidR="00FE7F8B" w:rsidRDefault="00FE7F8B" w:rsidP="00FE7F8B">
      <w:r>
        <w:t>Except as otherwise detailed in Table 11, the carrying amount of contractual financial assets recorded in the financial statements, net of any allowances for losses, represents the Department’s maximum exposure to credit risk without taking account of the value of any collateral obtained.</w:t>
      </w:r>
    </w:p>
    <w:p w14:paraId="5E32032C" w14:textId="77777777" w:rsidR="00FE7F8B" w:rsidRDefault="00FE7F8B" w:rsidP="00FE7F8B">
      <w:pPr>
        <w:pStyle w:val="Heading4notes"/>
        <w:spacing w:before="120"/>
      </w:pPr>
      <w:r>
        <w:t>Contractual financial assets that are either past due or impaired</w:t>
      </w:r>
    </w:p>
    <w:p w14:paraId="3FB08DD8" w14:textId="77777777" w:rsidR="00FE7F8B" w:rsidRDefault="00FE7F8B" w:rsidP="00FE7F8B">
      <w:r>
        <w:t>There are no material financial assets which are individually determined to be impaired. Currently the Department does not hold any collateral as security nor credit enhancements relating to any of its financial assets.</w:t>
      </w:r>
    </w:p>
    <w:p w14:paraId="733E6FA8" w14:textId="77777777" w:rsidR="00FE7F8B" w:rsidRDefault="00FE7F8B" w:rsidP="00FE7F8B">
      <w:r>
        <w:t>There are no financial assets that have had their terms renegotiated so as to prevent them from being past due or impaired, and they are stated at the carrying amounts as indicated. The following table discloses the ageing only of contractual financial assets that are past due but not impaired.</w:t>
      </w:r>
    </w:p>
    <w:p w14:paraId="3D4E7837" w14:textId="77777777" w:rsidR="00FE7F8B" w:rsidRDefault="00FE7F8B" w:rsidP="00FE7F8B">
      <w:pPr>
        <w:pStyle w:val="Caption"/>
        <w:spacing w:before="120"/>
        <w:outlineLvl w:val="3"/>
      </w:pPr>
      <w:bookmarkStart w:id="113" w:name="_Ref399510353"/>
      <w:r>
        <w:t xml:space="preserve">Table </w:t>
      </w:r>
      <w:bookmarkEnd w:id="113"/>
      <w:r>
        <w:fldChar w:fldCharType="begin"/>
      </w:r>
      <w:r>
        <w:instrText xml:space="preserve"> SEQ Table \* ARABIC </w:instrText>
      </w:r>
      <w:r>
        <w:fldChar w:fldCharType="separate"/>
      </w:r>
      <w:r w:rsidR="00B60957">
        <w:rPr>
          <w:noProof/>
        </w:rPr>
        <w:t>11</w:t>
      </w:r>
      <w:r>
        <w:fldChar w:fldCharType="end"/>
      </w:r>
      <w:r>
        <w:t>—Ageing analysis of contractual financial assets</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0"/>
        <w:gridCol w:w="897"/>
        <w:gridCol w:w="849"/>
        <w:gridCol w:w="992"/>
        <w:gridCol w:w="991"/>
        <w:gridCol w:w="991"/>
        <w:gridCol w:w="850"/>
      </w:tblGrid>
      <w:tr w:rsidR="00FE7F8B" w14:paraId="673EC58F" w14:textId="77777777" w:rsidTr="00FE7F8B">
        <w:tc>
          <w:tcPr>
            <w:tcW w:w="1660" w:type="dxa"/>
            <w:tcBorders>
              <w:top w:val="nil"/>
              <w:left w:val="nil"/>
              <w:bottom w:val="nil"/>
              <w:right w:val="nil"/>
            </w:tcBorders>
            <w:shd w:val="clear" w:color="auto" w:fill="7F7F7F" w:themeFill="text1" w:themeFillTint="80"/>
            <w:vAlign w:val="center"/>
          </w:tcPr>
          <w:p w14:paraId="0666BD4F" w14:textId="77777777" w:rsidR="00FE7F8B" w:rsidRDefault="00FE7F8B">
            <w:pPr>
              <w:pStyle w:val="Tablecolumnheading"/>
              <w:spacing w:after="40"/>
              <w:jc w:val="center"/>
              <w:rPr>
                <w:lang w:eastAsia="en-AU"/>
              </w:rPr>
            </w:pPr>
          </w:p>
        </w:tc>
        <w:tc>
          <w:tcPr>
            <w:tcW w:w="897" w:type="dxa"/>
            <w:tcBorders>
              <w:top w:val="nil"/>
              <w:left w:val="nil"/>
              <w:bottom w:val="nil"/>
              <w:right w:val="nil"/>
            </w:tcBorders>
            <w:shd w:val="clear" w:color="auto" w:fill="7F7F7F" w:themeFill="text1" w:themeFillTint="80"/>
            <w:vAlign w:val="center"/>
          </w:tcPr>
          <w:p w14:paraId="2E7945AF" w14:textId="77777777" w:rsidR="00FE7F8B" w:rsidRDefault="00FE7F8B">
            <w:pPr>
              <w:pStyle w:val="Tablecolumnheading"/>
              <w:spacing w:after="40"/>
              <w:jc w:val="center"/>
              <w:rPr>
                <w:lang w:eastAsia="en-AU"/>
              </w:rPr>
            </w:pPr>
          </w:p>
        </w:tc>
        <w:tc>
          <w:tcPr>
            <w:tcW w:w="850" w:type="dxa"/>
            <w:tcBorders>
              <w:top w:val="nil"/>
              <w:left w:val="nil"/>
              <w:bottom w:val="nil"/>
              <w:right w:val="nil"/>
            </w:tcBorders>
            <w:shd w:val="clear" w:color="auto" w:fill="7F7F7F" w:themeFill="text1" w:themeFillTint="80"/>
            <w:vAlign w:val="center"/>
          </w:tcPr>
          <w:p w14:paraId="7D731713" w14:textId="77777777" w:rsidR="00FE7F8B" w:rsidRDefault="00FE7F8B">
            <w:pPr>
              <w:pStyle w:val="Tablecolumnheading"/>
              <w:spacing w:after="40"/>
              <w:jc w:val="center"/>
              <w:rPr>
                <w:lang w:eastAsia="en-AU"/>
              </w:rPr>
            </w:pPr>
          </w:p>
        </w:tc>
        <w:tc>
          <w:tcPr>
            <w:tcW w:w="3828" w:type="dxa"/>
            <w:gridSpan w:val="4"/>
            <w:tcBorders>
              <w:top w:val="nil"/>
              <w:left w:val="nil"/>
              <w:bottom w:val="nil"/>
              <w:right w:val="nil"/>
            </w:tcBorders>
            <w:shd w:val="clear" w:color="auto" w:fill="7F7F7F" w:themeFill="text1" w:themeFillTint="80"/>
            <w:vAlign w:val="center"/>
            <w:hideMark/>
          </w:tcPr>
          <w:p w14:paraId="43491F33" w14:textId="77777777" w:rsidR="00FE7F8B" w:rsidRDefault="00FE7F8B">
            <w:pPr>
              <w:pStyle w:val="Tablecolumnheading"/>
              <w:spacing w:after="40"/>
              <w:jc w:val="center"/>
              <w:rPr>
                <w:lang w:eastAsia="en-AU"/>
              </w:rPr>
            </w:pPr>
            <w:r>
              <w:rPr>
                <w:lang w:eastAsia="en-AU"/>
              </w:rPr>
              <w:t>Past due but not impaired</w:t>
            </w:r>
          </w:p>
        </w:tc>
      </w:tr>
      <w:tr w:rsidR="00FE7F8B" w14:paraId="0EB10FA6" w14:textId="77777777" w:rsidTr="00FE7F8B">
        <w:tc>
          <w:tcPr>
            <w:tcW w:w="1660" w:type="dxa"/>
            <w:tcBorders>
              <w:top w:val="nil"/>
              <w:left w:val="nil"/>
              <w:bottom w:val="nil"/>
              <w:right w:val="nil"/>
            </w:tcBorders>
            <w:shd w:val="clear" w:color="auto" w:fill="7F7F7F" w:themeFill="text1" w:themeFillTint="80"/>
            <w:vAlign w:val="center"/>
            <w:hideMark/>
          </w:tcPr>
          <w:p w14:paraId="6E2DFD93" w14:textId="77777777" w:rsidR="00FE7F8B" w:rsidRDefault="00FE7F8B">
            <w:pPr>
              <w:pStyle w:val="Tablecolumnheading"/>
              <w:spacing w:after="40"/>
              <w:jc w:val="center"/>
              <w:rPr>
                <w:lang w:eastAsia="en-AU"/>
              </w:rPr>
            </w:pPr>
            <w:r>
              <w:rPr>
                <w:lang w:eastAsia="en-AU"/>
              </w:rPr>
              <w:t>2016</w:t>
            </w:r>
          </w:p>
        </w:tc>
        <w:tc>
          <w:tcPr>
            <w:tcW w:w="897" w:type="dxa"/>
            <w:tcBorders>
              <w:top w:val="nil"/>
              <w:left w:val="nil"/>
              <w:bottom w:val="nil"/>
              <w:right w:val="nil"/>
            </w:tcBorders>
            <w:shd w:val="clear" w:color="auto" w:fill="7F7F7F" w:themeFill="text1" w:themeFillTint="80"/>
            <w:vAlign w:val="bottom"/>
            <w:hideMark/>
          </w:tcPr>
          <w:p w14:paraId="7565EF8D" w14:textId="77777777" w:rsidR="00FE7F8B" w:rsidRDefault="00FE7F8B">
            <w:pPr>
              <w:pStyle w:val="Tablecolumnheading"/>
              <w:spacing w:after="40"/>
              <w:jc w:val="center"/>
              <w:rPr>
                <w:lang w:eastAsia="en-AU"/>
              </w:rPr>
            </w:pPr>
            <w:r>
              <w:rPr>
                <w:lang w:eastAsia="en-AU"/>
              </w:rPr>
              <w:t>Carrying amount</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62A3FDDD" w14:textId="77777777" w:rsidR="00FE7F8B" w:rsidRDefault="00FE7F8B">
            <w:pPr>
              <w:pStyle w:val="Tablecolumnheading"/>
              <w:spacing w:after="40"/>
              <w:jc w:val="center"/>
              <w:rPr>
                <w:lang w:eastAsia="en-AU"/>
              </w:rPr>
            </w:pPr>
            <w:r>
              <w:rPr>
                <w:lang w:eastAsia="en-AU"/>
              </w:rPr>
              <w:t>Not past due and not impaired</w:t>
            </w:r>
            <w:r>
              <w:rPr>
                <w:lang w:eastAsia="en-AU"/>
              </w:rPr>
              <w:br/>
              <w:t>$m</w:t>
            </w:r>
          </w:p>
        </w:tc>
        <w:tc>
          <w:tcPr>
            <w:tcW w:w="993" w:type="dxa"/>
            <w:tcBorders>
              <w:top w:val="nil"/>
              <w:left w:val="nil"/>
              <w:bottom w:val="nil"/>
              <w:right w:val="nil"/>
            </w:tcBorders>
            <w:shd w:val="clear" w:color="auto" w:fill="7F7F7F" w:themeFill="text1" w:themeFillTint="80"/>
            <w:vAlign w:val="bottom"/>
            <w:hideMark/>
          </w:tcPr>
          <w:p w14:paraId="484EFB0D" w14:textId="77777777" w:rsidR="00FE7F8B" w:rsidRDefault="00FE7F8B">
            <w:pPr>
              <w:pStyle w:val="Tablecolumnheading"/>
              <w:spacing w:after="40"/>
              <w:jc w:val="center"/>
              <w:rPr>
                <w:lang w:eastAsia="en-AU"/>
              </w:rPr>
            </w:pPr>
            <w:r>
              <w:rPr>
                <w:lang w:eastAsia="en-AU"/>
              </w:rPr>
              <w:t>Less than 1 month</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1901ED8E" w14:textId="77777777" w:rsidR="00FE7F8B" w:rsidRDefault="00FE7F8B">
            <w:pPr>
              <w:pStyle w:val="Tablecolumnheading"/>
              <w:spacing w:after="40"/>
              <w:jc w:val="center"/>
              <w:rPr>
                <w:lang w:eastAsia="en-AU"/>
              </w:rPr>
            </w:pPr>
            <w:r>
              <w:rPr>
                <w:lang w:eastAsia="en-AU"/>
              </w:rPr>
              <w:t xml:space="preserve">1–3 </w:t>
            </w:r>
            <w:r>
              <w:rPr>
                <w:lang w:eastAsia="en-AU"/>
              </w:rPr>
              <w:br/>
              <w:t>months</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7A030D2A" w14:textId="77777777" w:rsidR="00FE7F8B" w:rsidRDefault="00FE7F8B">
            <w:pPr>
              <w:pStyle w:val="Tablecolumnheading"/>
              <w:spacing w:after="40"/>
              <w:jc w:val="center"/>
              <w:rPr>
                <w:lang w:eastAsia="en-AU"/>
              </w:rPr>
            </w:pPr>
            <w:r>
              <w:rPr>
                <w:lang w:eastAsia="en-AU"/>
              </w:rPr>
              <w:t>3 months–</w:t>
            </w:r>
            <w:r>
              <w:rPr>
                <w:lang w:eastAsia="en-AU"/>
              </w:rPr>
              <w:br/>
              <w:t>1 year</w:t>
            </w:r>
            <w:r>
              <w:rPr>
                <w:lang w:eastAsia="en-AU"/>
              </w:rPr>
              <w:br/>
              <w:t>$m</w:t>
            </w:r>
          </w:p>
        </w:tc>
        <w:tc>
          <w:tcPr>
            <w:tcW w:w="851" w:type="dxa"/>
            <w:tcBorders>
              <w:top w:val="nil"/>
              <w:left w:val="nil"/>
              <w:bottom w:val="nil"/>
              <w:right w:val="nil"/>
            </w:tcBorders>
            <w:shd w:val="clear" w:color="auto" w:fill="7F7F7F" w:themeFill="text1" w:themeFillTint="80"/>
            <w:vAlign w:val="bottom"/>
            <w:hideMark/>
          </w:tcPr>
          <w:p w14:paraId="621D0761" w14:textId="77777777" w:rsidR="00FE7F8B" w:rsidRDefault="00FE7F8B">
            <w:pPr>
              <w:pStyle w:val="Tablecolumnheading"/>
              <w:spacing w:after="40"/>
              <w:jc w:val="center"/>
              <w:rPr>
                <w:lang w:eastAsia="en-AU"/>
              </w:rPr>
            </w:pPr>
            <w:r>
              <w:rPr>
                <w:lang w:eastAsia="en-AU"/>
              </w:rPr>
              <w:t>Over 1 year</w:t>
            </w:r>
            <w:r>
              <w:rPr>
                <w:lang w:eastAsia="en-AU"/>
              </w:rPr>
              <w:br/>
              <w:t>$m</w:t>
            </w:r>
          </w:p>
        </w:tc>
      </w:tr>
      <w:tr w:rsidR="00FE7F8B" w14:paraId="47BA644D" w14:textId="77777777" w:rsidTr="00FE7F8B">
        <w:tc>
          <w:tcPr>
            <w:tcW w:w="1660" w:type="dxa"/>
            <w:tcBorders>
              <w:top w:val="nil"/>
              <w:left w:val="nil"/>
              <w:bottom w:val="nil"/>
              <w:right w:val="nil"/>
            </w:tcBorders>
            <w:vAlign w:val="bottom"/>
            <w:hideMark/>
          </w:tcPr>
          <w:p w14:paraId="39B20D00" w14:textId="77777777" w:rsidR="00FE7F8B" w:rsidRDefault="00FE7F8B">
            <w:pPr>
              <w:pStyle w:val="Tabletextnoindent"/>
            </w:pPr>
            <w:r>
              <w:t>Receivables</w:t>
            </w:r>
            <w:r>
              <w:rPr>
                <w:rStyle w:val="FootnoteReference"/>
              </w:rPr>
              <w:t>1</w:t>
            </w:r>
          </w:p>
        </w:tc>
        <w:tc>
          <w:tcPr>
            <w:tcW w:w="897" w:type="dxa"/>
            <w:tcBorders>
              <w:top w:val="nil"/>
              <w:left w:val="nil"/>
              <w:bottom w:val="nil"/>
              <w:right w:val="nil"/>
            </w:tcBorders>
            <w:vAlign w:val="bottom"/>
            <w:hideMark/>
          </w:tcPr>
          <w:p w14:paraId="7EA98D97" w14:textId="77777777" w:rsidR="00FE7F8B" w:rsidRDefault="00FE7F8B">
            <w:pPr>
              <w:pStyle w:val="TableTextFinancial"/>
              <w:jc w:val="right"/>
            </w:pPr>
            <w:r>
              <w:t>86.0</w:t>
            </w:r>
          </w:p>
        </w:tc>
        <w:tc>
          <w:tcPr>
            <w:tcW w:w="850" w:type="dxa"/>
            <w:tcBorders>
              <w:top w:val="nil"/>
              <w:left w:val="nil"/>
              <w:bottom w:val="nil"/>
              <w:right w:val="nil"/>
            </w:tcBorders>
            <w:vAlign w:val="bottom"/>
            <w:hideMark/>
          </w:tcPr>
          <w:p w14:paraId="49A9DCD4" w14:textId="77777777" w:rsidR="00FE7F8B" w:rsidRDefault="00FE7F8B">
            <w:pPr>
              <w:pStyle w:val="TableTextFinancial"/>
              <w:jc w:val="right"/>
            </w:pPr>
            <w:r>
              <w:t>9.4</w:t>
            </w:r>
          </w:p>
        </w:tc>
        <w:tc>
          <w:tcPr>
            <w:tcW w:w="993" w:type="dxa"/>
            <w:tcBorders>
              <w:top w:val="nil"/>
              <w:left w:val="nil"/>
              <w:bottom w:val="nil"/>
              <w:right w:val="nil"/>
            </w:tcBorders>
            <w:vAlign w:val="bottom"/>
            <w:hideMark/>
          </w:tcPr>
          <w:p w14:paraId="14899E57" w14:textId="77777777" w:rsidR="00FE7F8B" w:rsidRDefault="00FE7F8B">
            <w:pPr>
              <w:pStyle w:val="TableTextFinancial"/>
              <w:jc w:val="right"/>
            </w:pPr>
            <w:r>
              <w:t>3.2</w:t>
            </w:r>
          </w:p>
        </w:tc>
        <w:tc>
          <w:tcPr>
            <w:tcW w:w="992" w:type="dxa"/>
            <w:tcBorders>
              <w:top w:val="nil"/>
              <w:left w:val="nil"/>
              <w:bottom w:val="nil"/>
              <w:right w:val="nil"/>
            </w:tcBorders>
            <w:vAlign w:val="bottom"/>
            <w:hideMark/>
          </w:tcPr>
          <w:p w14:paraId="7E8C239A" w14:textId="77777777" w:rsidR="00FE7F8B" w:rsidRDefault="00FE7F8B">
            <w:pPr>
              <w:pStyle w:val="TableTextFinancial"/>
              <w:jc w:val="right"/>
            </w:pPr>
            <w:r>
              <w:t>1.8</w:t>
            </w:r>
          </w:p>
        </w:tc>
        <w:tc>
          <w:tcPr>
            <w:tcW w:w="992" w:type="dxa"/>
            <w:tcBorders>
              <w:top w:val="nil"/>
              <w:left w:val="nil"/>
              <w:bottom w:val="nil"/>
              <w:right w:val="nil"/>
            </w:tcBorders>
            <w:vAlign w:val="bottom"/>
            <w:hideMark/>
          </w:tcPr>
          <w:p w14:paraId="613ECD65" w14:textId="77777777" w:rsidR="00FE7F8B" w:rsidRDefault="00FE7F8B">
            <w:pPr>
              <w:pStyle w:val="TableTextFinancial"/>
              <w:jc w:val="right"/>
            </w:pPr>
            <w:r>
              <w:t>19.7</w:t>
            </w:r>
          </w:p>
        </w:tc>
        <w:tc>
          <w:tcPr>
            <w:tcW w:w="851" w:type="dxa"/>
            <w:tcBorders>
              <w:top w:val="nil"/>
              <w:left w:val="nil"/>
              <w:bottom w:val="nil"/>
              <w:right w:val="nil"/>
            </w:tcBorders>
            <w:vAlign w:val="bottom"/>
            <w:hideMark/>
          </w:tcPr>
          <w:p w14:paraId="415A7EAC" w14:textId="77777777" w:rsidR="00FE7F8B" w:rsidRDefault="00FE7F8B">
            <w:pPr>
              <w:pStyle w:val="TableTextFinancial"/>
              <w:jc w:val="right"/>
            </w:pPr>
            <w:r>
              <w:t>52.0</w:t>
            </w:r>
          </w:p>
        </w:tc>
      </w:tr>
      <w:tr w:rsidR="00FE7F8B" w14:paraId="5EA9EA28" w14:textId="77777777" w:rsidTr="00FE7F8B">
        <w:tc>
          <w:tcPr>
            <w:tcW w:w="1660" w:type="dxa"/>
            <w:tcBorders>
              <w:top w:val="nil"/>
              <w:left w:val="nil"/>
              <w:bottom w:val="single" w:sz="4" w:space="0" w:color="auto"/>
              <w:right w:val="nil"/>
            </w:tcBorders>
            <w:vAlign w:val="bottom"/>
            <w:hideMark/>
          </w:tcPr>
          <w:p w14:paraId="54A6B351" w14:textId="77777777" w:rsidR="00FE7F8B" w:rsidRDefault="00FE7F8B">
            <w:pPr>
              <w:pStyle w:val="Tabletextnoindent"/>
            </w:pPr>
            <w:r>
              <w:t>Term deposits</w:t>
            </w:r>
          </w:p>
        </w:tc>
        <w:tc>
          <w:tcPr>
            <w:tcW w:w="897" w:type="dxa"/>
            <w:tcBorders>
              <w:top w:val="nil"/>
              <w:left w:val="nil"/>
              <w:bottom w:val="single" w:sz="4" w:space="0" w:color="auto"/>
              <w:right w:val="nil"/>
            </w:tcBorders>
            <w:vAlign w:val="bottom"/>
            <w:hideMark/>
          </w:tcPr>
          <w:p w14:paraId="1A39FFFF" w14:textId="77777777" w:rsidR="00FE7F8B" w:rsidRDefault="00FE7F8B">
            <w:pPr>
              <w:pStyle w:val="TableTextFinancial"/>
              <w:jc w:val="right"/>
            </w:pPr>
            <w:r>
              <w:t>274.9</w:t>
            </w:r>
          </w:p>
        </w:tc>
        <w:tc>
          <w:tcPr>
            <w:tcW w:w="850" w:type="dxa"/>
            <w:tcBorders>
              <w:top w:val="nil"/>
              <w:left w:val="nil"/>
              <w:bottom w:val="single" w:sz="4" w:space="0" w:color="auto"/>
              <w:right w:val="nil"/>
            </w:tcBorders>
            <w:vAlign w:val="bottom"/>
            <w:hideMark/>
          </w:tcPr>
          <w:p w14:paraId="3E1E9DBF" w14:textId="77777777" w:rsidR="00FE7F8B" w:rsidRDefault="00FE7F8B">
            <w:pPr>
              <w:pStyle w:val="TableTextFinancial"/>
              <w:jc w:val="right"/>
            </w:pPr>
            <w:r>
              <w:t>274.9</w:t>
            </w:r>
          </w:p>
        </w:tc>
        <w:tc>
          <w:tcPr>
            <w:tcW w:w="993" w:type="dxa"/>
            <w:tcBorders>
              <w:top w:val="nil"/>
              <w:left w:val="nil"/>
              <w:bottom w:val="single" w:sz="4" w:space="0" w:color="auto"/>
              <w:right w:val="nil"/>
            </w:tcBorders>
            <w:vAlign w:val="bottom"/>
            <w:hideMark/>
          </w:tcPr>
          <w:p w14:paraId="3796867F"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24B2955F"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7219322E" w14:textId="77777777" w:rsidR="00FE7F8B" w:rsidRDefault="00FE7F8B">
            <w:pPr>
              <w:pStyle w:val="TableTextFinancial"/>
              <w:jc w:val="right"/>
            </w:pPr>
            <w:r>
              <w:t>-</w:t>
            </w:r>
          </w:p>
        </w:tc>
        <w:tc>
          <w:tcPr>
            <w:tcW w:w="851" w:type="dxa"/>
            <w:tcBorders>
              <w:top w:val="nil"/>
              <w:left w:val="nil"/>
              <w:bottom w:val="single" w:sz="4" w:space="0" w:color="auto"/>
              <w:right w:val="nil"/>
            </w:tcBorders>
            <w:vAlign w:val="bottom"/>
            <w:hideMark/>
          </w:tcPr>
          <w:p w14:paraId="4BA6F24A" w14:textId="77777777" w:rsidR="00FE7F8B" w:rsidRDefault="00FE7F8B">
            <w:pPr>
              <w:pStyle w:val="TableTextFinancial"/>
              <w:jc w:val="right"/>
            </w:pPr>
            <w:r>
              <w:t>-</w:t>
            </w:r>
          </w:p>
        </w:tc>
      </w:tr>
      <w:tr w:rsidR="00FE7F8B" w14:paraId="56C7A554" w14:textId="77777777" w:rsidTr="00FE7F8B">
        <w:tc>
          <w:tcPr>
            <w:tcW w:w="1660" w:type="dxa"/>
            <w:tcBorders>
              <w:top w:val="single" w:sz="4" w:space="0" w:color="auto"/>
              <w:left w:val="nil"/>
              <w:bottom w:val="single" w:sz="4" w:space="0" w:color="auto"/>
              <w:right w:val="nil"/>
            </w:tcBorders>
            <w:vAlign w:val="bottom"/>
            <w:hideMark/>
          </w:tcPr>
          <w:p w14:paraId="3788E23D" w14:textId="77777777" w:rsidR="00FE7F8B" w:rsidRDefault="00FE7F8B">
            <w:pPr>
              <w:pStyle w:val="Tabletextnoindent"/>
              <w:spacing w:after="40"/>
              <w:rPr>
                <w:b/>
                <w:bCs/>
              </w:rPr>
            </w:pPr>
            <w:r>
              <w:rPr>
                <w:b/>
              </w:rPr>
              <w:t>Total</w:t>
            </w:r>
          </w:p>
        </w:tc>
        <w:tc>
          <w:tcPr>
            <w:tcW w:w="897" w:type="dxa"/>
            <w:tcBorders>
              <w:top w:val="single" w:sz="4" w:space="0" w:color="auto"/>
              <w:left w:val="nil"/>
              <w:bottom w:val="single" w:sz="4" w:space="0" w:color="auto"/>
              <w:right w:val="nil"/>
            </w:tcBorders>
            <w:vAlign w:val="bottom"/>
            <w:hideMark/>
          </w:tcPr>
          <w:p w14:paraId="195C129B" w14:textId="77777777" w:rsidR="00FE7F8B" w:rsidRDefault="00FE7F8B">
            <w:pPr>
              <w:pStyle w:val="TableTextFinancial"/>
              <w:jc w:val="right"/>
              <w:rPr>
                <w:b/>
              </w:rPr>
            </w:pPr>
            <w:r>
              <w:rPr>
                <w:b/>
              </w:rPr>
              <w:t>360.9</w:t>
            </w:r>
          </w:p>
        </w:tc>
        <w:tc>
          <w:tcPr>
            <w:tcW w:w="850" w:type="dxa"/>
            <w:tcBorders>
              <w:top w:val="single" w:sz="4" w:space="0" w:color="auto"/>
              <w:left w:val="nil"/>
              <w:bottom w:val="single" w:sz="4" w:space="0" w:color="auto"/>
              <w:right w:val="nil"/>
            </w:tcBorders>
            <w:vAlign w:val="bottom"/>
            <w:hideMark/>
          </w:tcPr>
          <w:p w14:paraId="7C4292FB" w14:textId="77777777" w:rsidR="00FE7F8B" w:rsidRDefault="00FE7F8B">
            <w:pPr>
              <w:pStyle w:val="TableTextFinancial"/>
              <w:jc w:val="right"/>
              <w:rPr>
                <w:b/>
              </w:rPr>
            </w:pPr>
            <w:r>
              <w:rPr>
                <w:b/>
              </w:rPr>
              <w:t>284.3</w:t>
            </w:r>
          </w:p>
        </w:tc>
        <w:tc>
          <w:tcPr>
            <w:tcW w:w="993" w:type="dxa"/>
            <w:tcBorders>
              <w:top w:val="single" w:sz="4" w:space="0" w:color="auto"/>
              <w:left w:val="nil"/>
              <w:bottom w:val="single" w:sz="4" w:space="0" w:color="auto"/>
              <w:right w:val="nil"/>
            </w:tcBorders>
            <w:vAlign w:val="bottom"/>
            <w:hideMark/>
          </w:tcPr>
          <w:p w14:paraId="210D9CC0" w14:textId="77777777" w:rsidR="00FE7F8B" w:rsidRDefault="00FE7F8B">
            <w:pPr>
              <w:pStyle w:val="TableTextFinancial"/>
              <w:jc w:val="right"/>
              <w:rPr>
                <w:b/>
              </w:rPr>
            </w:pPr>
            <w:r>
              <w:rPr>
                <w:b/>
              </w:rPr>
              <w:t>3.2</w:t>
            </w:r>
          </w:p>
        </w:tc>
        <w:tc>
          <w:tcPr>
            <w:tcW w:w="992" w:type="dxa"/>
            <w:tcBorders>
              <w:top w:val="single" w:sz="4" w:space="0" w:color="auto"/>
              <w:left w:val="nil"/>
              <w:bottom w:val="single" w:sz="4" w:space="0" w:color="auto"/>
              <w:right w:val="nil"/>
            </w:tcBorders>
            <w:vAlign w:val="bottom"/>
            <w:hideMark/>
          </w:tcPr>
          <w:p w14:paraId="22432514" w14:textId="77777777" w:rsidR="00FE7F8B" w:rsidRDefault="00FE7F8B">
            <w:pPr>
              <w:pStyle w:val="TableTextFinancial"/>
              <w:jc w:val="right"/>
              <w:rPr>
                <w:b/>
              </w:rPr>
            </w:pPr>
            <w:r>
              <w:rPr>
                <w:b/>
              </w:rPr>
              <w:t>1.8</w:t>
            </w:r>
          </w:p>
        </w:tc>
        <w:tc>
          <w:tcPr>
            <w:tcW w:w="992" w:type="dxa"/>
            <w:tcBorders>
              <w:top w:val="single" w:sz="4" w:space="0" w:color="auto"/>
              <w:left w:val="nil"/>
              <w:bottom w:val="single" w:sz="4" w:space="0" w:color="auto"/>
              <w:right w:val="nil"/>
            </w:tcBorders>
            <w:vAlign w:val="bottom"/>
            <w:hideMark/>
          </w:tcPr>
          <w:p w14:paraId="04F23401" w14:textId="77777777" w:rsidR="00FE7F8B" w:rsidRDefault="00FE7F8B">
            <w:pPr>
              <w:pStyle w:val="TableTextFinancial"/>
              <w:jc w:val="right"/>
              <w:rPr>
                <w:b/>
              </w:rPr>
            </w:pPr>
            <w:r>
              <w:rPr>
                <w:b/>
              </w:rPr>
              <w:t>19.7</w:t>
            </w:r>
          </w:p>
        </w:tc>
        <w:tc>
          <w:tcPr>
            <w:tcW w:w="851" w:type="dxa"/>
            <w:tcBorders>
              <w:top w:val="single" w:sz="4" w:space="0" w:color="auto"/>
              <w:left w:val="nil"/>
              <w:bottom w:val="single" w:sz="4" w:space="0" w:color="auto"/>
              <w:right w:val="nil"/>
            </w:tcBorders>
            <w:vAlign w:val="bottom"/>
            <w:hideMark/>
          </w:tcPr>
          <w:p w14:paraId="5AC1C5A1" w14:textId="77777777" w:rsidR="00FE7F8B" w:rsidRDefault="00FE7F8B">
            <w:pPr>
              <w:pStyle w:val="TableTextFinancial"/>
              <w:jc w:val="right"/>
              <w:rPr>
                <w:b/>
              </w:rPr>
            </w:pPr>
            <w:r>
              <w:rPr>
                <w:b/>
              </w:rPr>
              <w:t>52.0</w:t>
            </w:r>
          </w:p>
        </w:tc>
      </w:tr>
      <w:tr w:rsidR="00FE7F8B" w14:paraId="681E524E" w14:textId="77777777" w:rsidTr="00FE7F8B">
        <w:tc>
          <w:tcPr>
            <w:tcW w:w="1660" w:type="dxa"/>
            <w:tcBorders>
              <w:top w:val="single" w:sz="4" w:space="0" w:color="auto"/>
              <w:left w:val="nil"/>
              <w:bottom w:val="nil"/>
              <w:right w:val="nil"/>
            </w:tcBorders>
            <w:shd w:val="clear" w:color="auto" w:fill="7F7F7F" w:themeFill="text1" w:themeFillTint="80"/>
            <w:vAlign w:val="center"/>
          </w:tcPr>
          <w:p w14:paraId="441E5A50" w14:textId="77777777" w:rsidR="00FE7F8B" w:rsidRDefault="00FE7F8B">
            <w:pPr>
              <w:pStyle w:val="Tablecolumnheading"/>
              <w:spacing w:after="40"/>
              <w:jc w:val="center"/>
              <w:rPr>
                <w:lang w:eastAsia="en-AU"/>
              </w:rPr>
            </w:pPr>
          </w:p>
        </w:tc>
        <w:tc>
          <w:tcPr>
            <w:tcW w:w="897" w:type="dxa"/>
            <w:tcBorders>
              <w:top w:val="single" w:sz="4" w:space="0" w:color="auto"/>
              <w:left w:val="nil"/>
              <w:bottom w:val="nil"/>
              <w:right w:val="nil"/>
            </w:tcBorders>
            <w:shd w:val="clear" w:color="auto" w:fill="7F7F7F" w:themeFill="text1" w:themeFillTint="80"/>
            <w:vAlign w:val="center"/>
          </w:tcPr>
          <w:p w14:paraId="5B7B7DE3" w14:textId="77777777" w:rsidR="00FE7F8B" w:rsidRDefault="00FE7F8B">
            <w:pPr>
              <w:pStyle w:val="Tablecolumnheading"/>
              <w:spacing w:after="40"/>
              <w:jc w:val="center"/>
              <w:rPr>
                <w:lang w:eastAsia="en-AU"/>
              </w:rPr>
            </w:pPr>
          </w:p>
        </w:tc>
        <w:tc>
          <w:tcPr>
            <w:tcW w:w="850" w:type="dxa"/>
            <w:tcBorders>
              <w:top w:val="single" w:sz="4" w:space="0" w:color="auto"/>
              <w:left w:val="nil"/>
              <w:bottom w:val="nil"/>
              <w:right w:val="nil"/>
            </w:tcBorders>
            <w:shd w:val="clear" w:color="auto" w:fill="7F7F7F" w:themeFill="text1" w:themeFillTint="80"/>
            <w:vAlign w:val="center"/>
          </w:tcPr>
          <w:p w14:paraId="2B994A9A" w14:textId="77777777" w:rsidR="00FE7F8B" w:rsidRDefault="00FE7F8B">
            <w:pPr>
              <w:pStyle w:val="Tablecolumnheading"/>
              <w:spacing w:after="40"/>
              <w:jc w:val="center"/>
              <w:rPr>
                <w:lang w:eastAsia="en-AU"/>
              </w:rPr>
            </w:pPr>
          </w:p>
        </w:tc>
        <w:tc>
          <w:tcPr>
            <w:tcW w:w="3828" w:type="dxa"/>
            <w:gridSpan w:val="4"/>
            <w:tcBorders>
              <w:top w:val="single" w:sz="4" w:space="0" w:color="auto"/>
              <w:left w:val="nil"/>
              <w:bottom w:val="nil"/>
              <w:right w:val="nil"/>
            </w:tcBorders>
            <w:shd w:val="clear" w:color="auto" w:fill="7F7F7F" w:themeFill="text1" w:themeFillTint="80"/>
            <w:vAlign w:val="center"/>
            <w:hideMark/>
          </w:tcPr>
          <w:p w14:paraId="32CFC752" w14:textId="77777777" w:rsidR="00FE7F8B" w:rsidRDefault="00FE7F8B">
            <w:pPr>
              <w:pStyle w:val="Tablecolumnheading"/>
              <w:spacing w:after="40"/>
              <w:jc w:val="center"/>
              <w:rPr>
                <w:lang w:eastAsia="en-AU"/>
              </w:rPr>
            </w:pPr>
            <w:r>
              <w:rPr>
                <w:lang w:eastAsia="en-AU"/>
              </w:rPr>
              <w:t>Past due but not impaired</w:t>
            </w:r>
          </w:p>
        </w:tc>
      </w:tr>
      <w:tr w:rsidR="00FE7F8B" w14:paraId="42CF6C47" w14:textId="77777777" w:rsidTr="00FE7F8B">
        <w:tc>
          <w:tcPr>
            <w:tcW w:w="1660" w:type="dxa"/>
            <w:tcBorders>
              <w:top w:val="nil"/>
              <w:left w:val="nil"/>
              <w:bottom w:val="nil"/>
              <w:right w:val="nil"/>
            </w:tcBorders>
            <w:shd w:val="clear" w:color="auto" w:fill="7F7F7F" w:themeFill="text1" w:themeFillTint="80"/>
            <w:vAlign w:val="center"/>
            <w:hideMark/>
          </w:tcPr>
          <w:p w14:paraId="6E48590B" w14:textId="77777777" w:rsidR="00FE7F8B" w:rsidRDefault="00FE7F8B">
            <w:pPr>
              <w:pStyle w:val="Tablecolumnheading"/>
              <w:spacing w:after="40"/>
              <w:jc w:val="center"/>
              <w:rPr>
                <w:lang w:eastAsia="en-AU"/>
              </w:rPr>
            </w:pPr>
            <w:r>
              <w:rPr>
                <w:lang w:eastAsia="en-AU"/>
              </w:rPr>
              <w:t>2015</w:t>
            </w:r>
          </w:p>
        </w:tc>
        <w:tc>
          <w:tcPr>
            <w:tcW w:w="897" w:type="dxa"/>
            <w:tcBorders>
              <w:top w:val="nil"/>
              <w:left w:val="nil"/>
              <w:bottom w:val="nil"/>
              <w:right w:val="nil"/>
            </w:tcBorders>
            <w:shd w:val="clear" w:color="auto" w:fill="7F7F7F" w:themeFill="text1" w:themeFillTint="80"/>
            <w:vAlign w:val="bottom"/>
            <w:hideMark/>
          </w:tcPr>
          <w:p w14:paraId="688CEB9C" w14:textId="77777777" w:rsidR="00FE7F8B" w:rsidRDefault="00FE7F8B">
            <w:pPr>
              <w:pStyle w:val="Tablecolumnheading"/>
              <w:spacing w:after="40"/>
              <w:jc w:val="center"/>
              <w:rPr>
                <w:lang w:eastAsia="en-AU"/>
              </w:rPr>
            </w:pPr>
            <w:r>
              <w:rPr>
                <w:lang w:eastAsia="en-AU"/>
              </w:rPr>
              <w:t>Carrying amount</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0137C02E" w14:textId="77777777" w:rsidR="00FE7F8B" w:rsidRDefault="00FE7F8B">
            <w:pPr>
              <w:pStyle w:val="Tablecolumnheading"/>
              <w:spacing w:after="40"/>
              <w:jc w:val="center"/>
              <w:rPr>
                <w:lang w:eastAsia="en-AU"/>
              </w:rPr>
            </w:pPr>
            <w:r>
              <w:rPr>
                <w:lang w:eastAsia="en-AU"/>
              </w:rPr>
              <w:t>Not past due and not impaired</w:t>
            </w:r>
            <w:r>
              <w:rPr>
                <w:lang w:eastAsia="en-AU"/>
              </w:rPr>
              <w:br/>
              <w:t>$m</w:t>
            </w:r>
          </w:p>
        </w:tc>
        <w:tc>
          <w:tcPr>
            <w:tcW w:w="993" w:type="dxa"/>
            <w:tcBorders>
              <w:top w:val="nil"/>
              <w:left w:val="nil"/>
              <w:bottom w:val="nil"/>
              <w:right w:val="nil"/>
            </w:tcBorders>
            <w:shd w:val="clear" w:color="auto" w:fill="7F7F7F" w:themeFill="text1" w:themeFillTint="80"/>
            <w:vAlign w:val="bottom"/>
            <w:hideMark/>
          </w:tcPr>
          <w:p w14:paraId="52D44587" w14:textId="77777777" w:rsidR="00FE7F8B" w:rsidRDefault="00FE7F8B">
            <w:pPr>
              <w:pStyle w:val="Tablecolumnheading"/>
              <w:spacing w:after="40"/>
              <w:jc w:val="center"/>
              <w:rPr>
                <w:lang w:eastAsia="en-AU"/>
              </w:rPr>
            </w:pPr>
            <w:r>
              <w:rPr>
                <w:lang w:eastAsia="en-AU"/>
              </w:rPr>
              <w:t>Less than 1 month</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347C3B50" w14:textId="77777777" w:rsidR="00FE7F8B" w:rsidRDefault="00FE7F8B">
            <w:pPr>
              <w:pStyle w:val="Tablecolumnheading"/>
              <w:spacing w:after="40"/>
              <w:jc w:val="center"/>
              <w:rPr>
                <w:lang w:eastAsia="en-AU"/>
              </w:rPr>
            </w:pPr>
            <w:r>
              <w:rPr>
                <w:lang w:eastAsia="en-AU"/>
              </w:rPr>
              <w:t>1–3 months</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1CFC4741" w14:textId="77777777" w:rsidR="00FE7F8B" w:rsidRDefault="00FE7F8B">
            <w:pPr>
              <w:pStyle w:val="Tablecolumnheading"/>
              <w:spacing w:after="40"/>
              <w:jc w:val="center"/>
              <w:rPr>
                <w:lang w:eastAsia="en-AU"/>
              </w:rPr>
            </w:pPr>
            <w:r>
              <w:rPr>
                <w:lang w:eastAsia="en-AU"/>
              </w:rPr>
              <w:t>3 months–</w:t>
            </w:r>
            <w:r>
              <w:rPr>
                <w:lang w:eastAsia="en-AU"/>
              </w:rPr>
              <w:br/>
              <w:t>1 year</w:t>
            </w:r>
            <w:r>
              <w:rPr>
                <w:lang w:eastAsia="en-AU"/>
              </w:rPr>
              <w:br/>
              <w:t>$m</w:t>
            </w:r>
          </w:p>
        </w:tc>
        <w:tc>
          <w:tcPr>
            <w:tcW w:w="851" w:type="dxa"/>
            <w:tcBorders>
              <w:top w:val="nil"/>
              <w:left w:val="nil"/>
              <w:bottom w:val="nil"/>
              <w:right w:val="nil"/>
            </w:tcBorders>
            <w:shd w:val="clear" w:color="auto" w:fill="7F7F7F" w:themeFill="text1" w:themeFillTint="80"/>
            <w:vAlign w:val="bottom"/>
            <w:hideMark/>
          </w:tcPr>
          <w:p w14:paraId="15463E44" w14:textId="77777777" w:rsidR="00FE7F8B" w:rsidRDefault="00FE7F8B">
            <w:pPr>
              <w:pStyle w:val="Tablecolumnheading"/>
              <w:spacing w:after="40"/>
              <w:jc w:val="center"/>
              <w:rPr>
                <w:lang w:eastAsia="en-AU"/>
              </w:rPr>
            </w:pPr>
            <w:r>
              <w:rPr>
                <w:lang w:eastAsia="en-AU"/>
              </w:rPr>
              <w:t>Over 1 year</w:t>
            </w:r>
            <w:r>
              <w:rPr>
                <w:lang w:eastAsia="en-AU"/>
              </w:rPr>
              <w:br/>
              <w:t>$m</w:t>
            </w:r>
          </w:p>
        </w:tc>
      </w:tr>
      <w:tr w:rsidR="00FE7F8B" w14:paraId="1A3A7DB2" w14:textId="77777777" w:rsidTr="00FE7F8B">
        <w:tc>
          <w:tcPr>
            <w:tcW w:w="1660" w:type="dxa"/>
            <w:tcBorders>
              <w:top w:val="nil"/>
              <w:left w:val="nil"/>
              <w:bottom w:val="nil"/>
              <w:right w:val="nil"/>
            </w:tcBorders>
            <w:vAlign w:val="bottom"/>
            <w:hideMark/>
          </w:tcPr>
          <w:p w14:paraId="2A79B4C3" w14:textId="77777777" w:rsidR="00FE7F8B" w:rsidRDefault="00FE7F8B">
            <w:pPr>
              <w:pStyle w:val="Tabletextnoindent"/>
            </w:pPr>
            <w:r>
              <w:t>Receivables</w:t>
            </w:r>
            <w:r>
              <w:rPr>
                <w:rStyle w:val="FootnoteReference"/>
              </w:rPr>
              <w:t>1</w:t>
            </w:r>
          </w:p>
        </w:tc>
        <w:tc>
          <w:tcPr>
            <w:tcW w:w="897" w:type="dxa"/>
            <w:tcBorders>
              <w:top w:val="nil"/>
              <w:left w:val="nil"/>
              <w:bottom w:val="nil"/>
              <w:right w:val="nil"/>
            </w:tcBorders>
            <w:vAlign w:val="bottom"/>
            <w:hideMark/>
          </w:tcPr>
          <w:p w14:paraId="1A1875EF" w14:textId="77777777" w:rsidR="00FE7F8B" w:rsidRDefault="00FE7F8B">
            <w:pPr>
              <w:pStyle w:val="TableTextFinancial"/>
              <w:jc w:val="right"/>
            </w:pPr>
            <w:r>
              <w:t>59.9</w:t>
            </w:r>
          </w:p>
        </w:tc>
        <w:tc>
          <w:tcPr>
            <w:tcW w:w="850" w:type="dxa"/>
            <w:tcBorders>
              <w:top w:val="nil"/>
              <w:left w:val="nil"/>
              <w:bottom w:val="nil"/>
              <w:right w:val="nil"/>
            </w:tcBorders>
            <w:vAlign w:val="bottom"/>
            <w:hideMark/>
          </w:tcPr>
          <w:p w14:paraId="3771042D" w14:textId="77777777" w:rsidR="00FE7F8B" w:rsidRDefault="00FE7F8B">
            <w:pPr>
              <w:pStyle w:val="TableTextFinancial"/>
              <w:jc w:val="right"/>
            </w:pPr>
            <w:r>
              <w:t>8.4</w:t>
            </w:r>
          </w:p>
        </w:tc>
        <w:tc>
          <w:tcPr>
            <w:tcW w:w="993" w:type="dxa"/>
            <w:tcBorders>
              <w:top w:val="nil"/>
              <w:left w:val="nil"/>
              <w:bottom w:val="nil"/>
              <w:right w:val="nil"/>
            </w:tcBorders>
            <w:vAlign w:val="bottom"/>
            <w:hideMark/>
          </w:tcPr>
          <w:p w14:paraId="05BA0E97" w14:textId="77777777" w:rsidR="00FE7F8B" w:rsidRDefault="00FE7F8B">
            <w:pPr>
              <w:pStyle w:val="TableTextFinancial"/>
              <w:jc w:val="right"/>
            </w:pPr>
            <w:r>
              <w:t>0.2</w:t>
            </w:r>
          </w:p>
        </w:tc>
        <w:tc>
          <w:tcPr>
            <w:tcW w:w="992" w:type="dxa"/>
            <w:tcBorders>
              <w:top w:val="nil"/>
              <w:left w:val="nil"/>
              <w:bottom w:val="nil"/>
              <w:right w:val="nil"/>
            </w:tcBorders>
            <w:vAlign w:val="bottom"/>
            <w:hideMark/>
          </w:tcPr>
          <w:p w14:paraId="4DCE5AF8" w14:textId="77777777" w:rsidR="00FE7F8B" w:rsidRDefault="00FE7F8B">
            <w:pPr>
              <w:pStyle w:val="TableTextFinancial"/>
              <w:jc w:val="right"/>
            </w:pPr>
            <w:r>
              <w:t>3.6</w:t>
            </w:r>
          </w:p>
        </w:tc>
        <w:tc>
          <w:tcPr>
            <w:tcW w:w="992" w:type="dxa"/>
            <w:tcBorders>
              <w:top w:val="nil"/>
              <w:left w:val="nil"/>
              <w:bottom w:val="nil"/>
              <w:right w:val="nil"/>
            </w:tcBorders>
            <w:vAlign w:val="bottom"/>
            <w:hideMark/>
          </w:tcPr>
          <w:p w14:paraId="0084CB11" w14:textId="77777777" w:rsidR="00FE7F8B" w:rsidRDefault="00FE7F8B">
            <w:pPr>
              <w:pStyle w:val="TableTextFinancial"/>
              <w:jc w:val="right"/>
            </w:pPr>
            <w:r>
              <w:t>10.9</w:t>
            </w:r>
          </w:p>
        </w:tc>
        <w:tc>
          <w:tcPr>
            <w:tcW w:w="851" w:type="dxa"/>
            <w:tcBorders>
              <w:top w:val="nil"/>
              <w:left w:val="nil"/>
              <w:bottom w:val="nil"/>
              <w:right w:val="nil"/>
            </w:tcBorders>
            <w:vAlign w:val="bottom"/>
            <w:hideMark/>
          </w:tcPr>
          <w:p w14:paraId="016EFF08" w14:textId="77777777" w:rsidR="00FE7F8B" w:rsidRDefault="00FE7F8B">
            <w:pPr>
              <w:pStyle w:val="TableTextFinancial"/>
              <w:jc w:val="right"/>
            </w:pPr>
            <w:r>
              <w:t>37.0</w:t>
            </w:r>
          </w:p>
        </w:tc>
      </w:tr>
      <w:tr w:rsidR="00FE7F8B" w14:paraId="5B7D6DEE" w14:textId="77777777" w:rsidTr="00FE7F8B">
        <w:tc>
          <w:tcPr>
            <w:tcW w:w="1660" w:type="dxa"/>
            <w:tcBorders>
              <w:top w:val="nil"/>
              <w:left w:val="nil"/>
              <w:bottom w:val="single" w:sz="4" w:space="0" w:color="auto"/>
              <w:right w:val="nil"/>
            </w:tcBorders>
            <w:vAlign w:val="bottom"/>
            <w:hideMark/>
          </w:tcPr>
          <w:p w14:paraId="50F4E5F2" w14:textId="77777777" w:rsidR="00FE7F8B" w:rsidRDefault="00FE7F8B">
            <w:pPr>
              <w:pStyle w:val="Tabletextnoindent"/>
            </w:pPr>
            <w:r>
              <w:t>Term deposits</w:t>
            </w:r>
          </w:p>
        </w:tc>
        <w:tc>
          <w:tcPr>
            <w:tcW w:w="897" w:type="dxa"/>
            <w:tcBorders>
              <w:top w:val="nil"/>
              <w:left w:val="nil"/>
              <w:bottom w:val="single" w:sz="4" w:space="0" w:color="auto"/>
              <w:right w:val="nil"/>
            </w:tcBorders>
            <w:vAlign w:val="bottom"/>
            <w:hideMark/>
          </w:tcPr>
          <w:p w14:paraId="5E266305" w14:textId="77777777" w:rsidR="00FE7F8B" w:rsidRDefault="00FE7F8B">
            <w:pPr>
              <w:pStyle w:val="TableTextFinancial"/>
              <w:jc w:val="right"/>
            </w:pPr>
            <w:r>
              <w:t>132.5</w:t>
            </w:r>
          </w:p>
        </w:tc>
        <w:tc>
          <w:tcPr>
            <w:tcW w:w="850" w:type="dxa"/>
            <w:tcBorders>
              <w:top w:val="nil"/>
              <w:left w:val="nil"/>
              <w:bottom w:val="single" w:sz="4" w:space="0" w:color="auto"/>
              <w:right w:val="nil"/>
            </w:tcBorders>
            <w:vAlign w:val="bottom"/>
            <w:hideMark/>
          </w:tcPr>
          <w:p w14:paraId="01B1A0C5" w14:textId="77777777" w:rsidR="00FE7F8B" w:rsidRDefault="00FE7F8B">
            <w:pPr>
              <w:pStyle w:val="TableTextFinancial"/>
              <w:jc w:val="right"/>
            </w:pPr>
            <w:r>
              <w:t>132.5</w:t>
            </w:r>
          </w:p>
        </w:tc>
        <w:tc>
          <w:tcPr>
            <w:tcW w:w="993" w:type="dxa"/>
            <w:tcBorders>
              <w:top w:val="nil"/>
              <w:left w:val="nil"/>
              <w:bottom w:val="single" w:sz="4" w:space="0" w:color="auto"/>
              <w:right w:val="nil"/>
            </w:tcBorders>
            <w:vAlign w:val="bottom"/>
            <w:hideMark/>
          </w:tcPr>
          <w:p w14:paraId="167152E7"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14861747"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7737C17A" w14:textId="77777777" w:rsidR="00FE7F8B" w:rsidRDefault="00FE7F8B">
            <w:pPr>
              <w:pStyle w:val="TableTextFinancial"/>
              <w:jc w:val="right"/>
            </w:pPr>
            <w:r>
              <w:t>-</w:t>
            </w:r>
          </w:p>
        </w:tc>
        <w:tc>
          <w:tcPr>
            <w:tcW w:w="851" w:type="dxa"/>
            <w:tcBorders>
              <w:top w:val="nil"/>
              <w:left w:val="nil"/>
              <w:bottom w:val="single" w:sz="4" w:space="0" w:color="auto"/>
              <w:right w:val="nil"/>
            </w:tcBorders>
            <w:vAlign w:val="bottom"/>
            <w:hideMark/>
          </w:tcPr>
          <w:p w14:paraId="3106587D" w14:textId="77777777" w:rsidR="00FE7F8B" w:rsidRDefault="00FE7F8B">
            <w:pPr>
              <w:pStyle w:val="TableTextFinancial"/>
              <w:jc w:val="right"/>
            </w:pPr>
            <w:r>
              <w:t>-</w:t>
            </w:r>
          </w:p>
        </w:tc>
      </w:tr>
      <w:tr w:rsidR="00FE7F8B" w14:paraId="49C67C75" w14:textId="77777777" w:rsidTr="00FE7F8B">
        <w:tc>
          <w:tcPr>
            <w:tcW w:w="1660" w:type="dxa"/>
            <w:tcBorders>
              <w:top w:val="single" w:sz="4" w:space="0" w:color="auto"/>
              <w:left w:val="nil"/>
              <w:bottom w:val="single" w:sz="4" w:space="0" w:color="auto"/>
              <w:right w:val="nil"/>
            </w:tcBorders>
            <w:vAlign w:val="bottom"/>
            <w:hideMark/>
          </w:tcPr>
          <w:p w14:paraId="75EF17FA" w14:textId="77777777" w:rsidR="00FE7F8B" w:rsidRDefault="00FE7F8B">
            <w:pPr>
              <w:pStyle w:val="Tabletextnoindent"/>
              <w:spacing w:after="40"/>
              <w:rPr>
                <w:b/>
              </w:rPr>
            </w:pPr>
            <w:r>
              <w:rPr>
                <w:b/>
              </w:rPr>
              <w:t>Total</w:t>
            </w:r>
          </w:p>
        </w:tc>
        <w:tc>
          <w:tcPr>
            <w:tcW w:w="897" w:type="dxa"/>
            <w:tcBorders>
              <w:top w:val="single" w:sz="4" w:space="0" w:color="auto"/>
              <w:left w:val="nil"/>
              <w:bottom w:val="single" w:sz="4" w:space="0" w:color="auto"/>
              <w:right w:val="nil"/>
            </w:tcBorders>
            <w:vAlign w:val="bottom"/>
            <w:hideMark/>
          </w:tcPr>
          <w:p w14:paraId="7077CDD3" w14:textId="77777777" w:rsidR="00FE7F8B" w:rsidRDefault="00FE7F8B">
            <w:pPr>
              <w:pStyle w:val="TableTextFinancial"/>
              <w:jc w:val="right"/>
              <w:rPr>
                <w:b/>
              </w:rPr>
            </w:pPr>
            <w:r>
              <w:rPr>
                <w:b/>
              </w:rPr>
              <w:t>192.4</w:t>
            </w:r>
          </w:p>
        </w:tc>
        <w:tc>
          <w:tcPr>
            <w:tcW w:w="850" w:type="dxa"/>
            <w:tcBorders>
              <w:top w:val="single" w:sz="4" w:space="0" w:color="auto"/>
              <w:left w:val="nil"/>
              <w:bottom w:val="single" w:sz="4" w:space="0" w:color="auto"/>
              <w:right w:val="nil"/>
            </w:tcBorders>
            <w:vAlign w:val="bottom"/>
            <w:hideMark/>
          </w:tcPr>
          <w:p w14:paraId="3F20092B" w14:textId="77777777" w:rsidR="00FE7F8B" w:rsidRDefault="00FE7F8B">
            <w:pPr>
              <w:pStyle w:val="TableTextFinancial"/>
              <w:jc w:val="right"/>
              <w:rPr>
                <w:b/>
              </w:rPr>
            </w:pPr>
            <w:r>
              <w:rPr>
                <w:b/>
              </w:rPr>
              <w:t>140.9</w:t>
            </w:r>
          </w:p>
        </w:tc>
        <w:tc>
          <w:tcPr>
            <w:tcW w:w="993" w:type="dxa"/>
            <w:tcBorders>
              <w:top w:val="single" w:sz="4" w:space="0" w:color="auto"/>
              <w:left w:val="nil"/>
              <w:bottom w:val="single" w:sz="4" w:space="0" w:color="auto"/>
              <w:right w:val="nil"/>
            </w:tcBorders>
            <w:vAlign w:val="bottom"/>
            <w:hideMark/>
          </w:tcPr>
          <w:p w14:paraId="4B0C97A7" w14:textId="77777777" w:rsidR="00FE7F8B" w:rsidRDefault="00FE7F8B">
            <w:pPr>
              <w:pStyle w:val="TableTextFinancial"/>
              <w:jc w:val="right"/>
              <w:rPr>
                <w:b/>
              </w:rPr>
            </w:pPr>
            <w:r>
              <w:rPr>
                <w:b/>
              </w:rPr>
              <w:t>0.2</w:t>
            </w:r>
          </w:p>
        </w:tc>
        <w:tc>
          <w:tcPr>
            <w:tcW w:w="992" w:type="dxa"/>
            <w:tcBorders>
              <w:top w:val="single" w:sz="4" w:space="0" w:color="auto"/>
              <w:left w:val="nil"/>
              <w:bottom w:val="single" w:sz="4" w:space="0" w:color="auto"/>
              <w:right w:val="nil"/>
            </w:tcBorders>
            <w:vAlign w:val="bottom"/>
            <w:hideMark/>
          </w:tcPr>
          <w:p w14:paraId="3D22C420" w14:textId="77777777" w:rsidR="00FE7F8B" w:rsidRDefault="00FE7F8B">
            <w:pPr>
              <w:pStyle w:val="TableTextFinancial"/>
              <w:jc w:val="right"/>
              <w:rPr>
                <w:b/>
              </w:rPr>
            </w:pPr>
            <w:r>
              <w:rPr>
                <w:b/>
              </w:rPr>
              <w:t>3.6</w:t>
            </w:r>
          </w:p>
        </w:tc>
        <w:tc>
          <w:tcPr>
            <w:tcW w:w="992" w:type="dxa"/>
            <w:tcBorders>
              <w:top w:val="single" w:sz="4" w:space="0" w:color="auto"/>
              <w:left w:val="nil"/>
              <w:bottom w:val="single" w:sz="4" w:space="0" w:color="auto"/>
              <w:right w:val="nil"/>
            </w:tcBorders>
            <w:vAlign w:val="bottom"/>
            <w:hideMark/>
          </w:tcPr>
          <w:p w14:paraId="79CACD06" w14:textId="77777777" w:rsidR="00FE7F8B" w:rsidRDefault="00FE7F8B">
            <w:pPr>
              <w:pStyle w:val="TableTextFinancial"/>
              <w:jc w:val="right"/>
              <w:rPr>
                <w:b/>
              </w:rPr>
            </w:pPr>
            <w:r>
              <w:rPr>
                <w:b/>
              </w:rPr>
              <w:t>10.9</w:t>
            </w:r>
          </w:p>
        </w:tc>
        <w:tc>
          <w:tcPr>
            <w:tcW w:w="851" w:type="dxa"/>
            <w:tcBorders>
              <w:top w:val="single" w:sz="4" w:space="0" w:color="auto"/>
              <w:left w:val="nil"/>
              <w:bottom w:val="single" w:sz="4" w:space="0" w:color="auto"/>
              <w:right w:val="nil"/>
            </w:tcBorders>
            <w:vAlign w:val="bottom"/>
            <w:hideMark/>
          </w:tcPr>
          <w:p w14:paraId="7428515E" w14:textId="77777777" w:rsidR="00FE7F8B" w:rsidRDefault="00FE7F8B">
            <w:pPr>
              <w:pStyle w:val="TableTextFinancial"/>
              <w:jc w:val="right"/>
              <w:rPr>
                <w:b/>
              </w:rPr>
            </w:pPr>
            <w:r>
              <w:rPr>
                <w:b/>
              </w:rPr>
              <w:t>37.0</w:t>
            </w:r>
          </w:p>
        </w:tc>
      </w:tr>
    </w:tbl>
    <w:p w14:paraId="5EA17157" w14:textId="77777777" w:rsidR="00FE7F8B" w:rsidRDefault="00FE7F8B" w:rsidP="00BB1129">
      <w:pPr>
        <w:pStyle w:val="DETFootnoteTextforobjectivestablesOHStable"/>
        <w:spacing w:before="120"/>
        <w:rPr>
          <w:rFonts w:ascii="Times New Roman" w:hAnsi="Times New Roman"/>
          <w:sz w:val="24"/>
          <w:szCs w:val="24"/>
        </w:rPr>
      </w:pPr>
      <w:r>
        <w:t>1 Ageing analysis of financial assets excludes the types of statutory receivables (for example, amounts owing from Victorian Government and GST input tax credit recoverable).</w:t>
      </w:r>
    </w:p>
    <w:p w14:paraId="7285F277" w14:textId="77777777" w:rsidR="00FE7F8B" w:rsidRDefault="00FE7F8B" w:rsidP="00AD641C">
      <w:pPr>
        <w:pStyle w:val="Heading3notesnumbered"/>
        <w:numPr>
          <w:ilvl w:val="0"/>
          <w:numId w:val="40"/>
        </w:numPr>
      </w:pPr>
      <w:r>
        <w:t>Liquidity risk</w:t>
      </w:r>
    </w:p>
    <w:p w14:paraId="17B3B399" w14:textId="77777777" w:rsidR="00FE7F8B" w:rsidRDefault="00FE7F8B" w:rsidP="00FE7F8B">
      <w:r>
        <w:t>Liquidity risk is the risk that the Department would be unable to meet its financial obligations as and when they fall due. The Department operates under the Government fair payments policy of settling financial obligations within 30 days and in the event of a dispute, making payments within 30 days from the date of resolution.</w:t>
      </w:r>
    </w:p>
    <w:p w14:paraId="63FDAB81" w14:textId="77777777" w:rsidR="00FE7F8B" w:rsidRDefault="00FE7F8B" w:rsidP="00FE7F8B">
      <w:pPr>
        <w:spacing w:after="200" w:line="276" w:lineRule="auto"/>
      </w:pPr>
      <w:r>
        <w:br w:type="page"/>
      </w:r>
    </w:p>
    <w:p w14:paraId="15A9532D" w14:textId="77777777" w:rsidR="00FE7F8B" w:rsidRDefault="00FE7F8B" w:rsidP="00FE7F8B">
      <w:r>
        <w:t>The Department’s maximum exposure to liquidity risk is the carrying amounts of financial liabilities as disclosed on the face of the balance sheet. The Department manages its liquidity risk by:</w:t>
      </w:r>
    </w:p>
    <w:p w14:paraId="1BE89AA0" w14:textId="77777777" w:rsidR="00FE7F8B" w:rsidRDefault="00FE7F8B" w:rsidP="00AD641C">
      <w:pPr>
        <w:pStyle w:val="Normallistbullet"/>
        <w:numPr>
          <w:ilvl w:val="0"/>
          <w:numId w:val="42"/>
        </w:numPr>
      </w:pPr>
      <w:r>
        <w:t>close monitoring of its short-term and long-term borrowings by senior management, including monthly reviews on current and future borrowing levels and requirements</w:t>
      </w:r>
    </w:p>
    <w:p w14:paraId="4580A538" w14:textId="6A7335FA" w:rsidR="00FE7F8B" w:rsidRDefault="001821AE" w:rsidP="00AD641C">
      <w:pPr>
        <w:pStyle w:val="Normallistbullet"/>
        <w:numPr>
          <w:ilvl w:val="0"/>
          <w:numId w:val="42"/>
        </w:numPr>
      </w:pPr>
      <w:r>
        <w:t>maintaining an</w:t>
      </w:r>
      <w:r w:rsidR="00FE7F8B">
        <w:t xml:space="preserve"> adequate level of uncommitted funds that can be drawn at short notice to meet its short-term obligations</w:t>
      </w:r>
    </w:p>
    <w:p w14:paraId="734F3EEA" w14:textId="2A8E4CD4" w:rsidR="00FE7F8B" w:rsidRDefault="00FE7F8B" w:rsidP="00AD641C">
      <w:pPr>
        <w:pStyle w:val="Normallistbullet"/>
        <w:numPr>
          <w:ilvl w:val="0"/>
          <w:numId w:val="42"/>
        </w:numPr>
      </w:pPr>
      <w:r>
        <w:t>holding investments and other contractual financial assets that are readily tradable</w:t>
      </w:r>
      <w:r w:rsidR="00744B9E">
        <w:t xml:space="preserve"> in the financial markets</w:t>
      </w:r>
    </w:p>
    <w:p w14:paraId="422D9496" w14:textId="433CAD56" w:rsidR="00FE7F8B" w:rsidRDefault="00FE7F8B" w:rsidP="00AD641C">
      <w:pPr>
        <w:pStyle w:val="Normallistbullet"/>
        <w:numPr>
          <w:ilvl w:val="0"/>
          <w:numId w:val="42"/>
        </w:numPr>
      </w:pPr>
      <w:r>
        <w:t xml:space="preserve">careful maturity planning of its financial </w:t>
      </w:r>
      <w:r w:rsidR="00744B9E">
        <w:t>obligations</w:t>
      </w:r>
      <w:r>
        <w:t xml:space="preserve"> based on forecasts of future cash flows </w:t>
      </w:r>
    </w:p>
    <w:p w14:paraId="69AA28D0" w14:textId="12EABA8D" w:rsidR="00FE7F8B" w:rsidRDefault="00FE7F8B" w:rsidP="00AD641C">
      <w:pPr>
        <w:pStyle w:val="Normallistbullet"/>
        <w:numPr>
          <w:ilvl w:val="0"/>
          <w:numId w:val="42"/>
        </w:numPr>
      </w:pPr>
      <w:proofErr w:type="gramStart"/>
      <w:r>
        <w:t>a</w:t>
      </w:r>
      <w:proofErr w:type="gramEnd"/>
      <w:r>
        <w:t xml:space="preserve"> high credit rating for the State</w:t>
      </w:r>
      <w:r w:rsidR="0097092F">
        <w:t xml:space="preserve"> of Victoria (Moody’s </w:t>
      </w:r>
      <w:r w:rsidR="002861B7">
        <w:t>Investor</w:t>
      </w:r>
      <w:r>
        <w:t xml:space="preserve"> Services and Standards and Poor’s Triple-A) which assists in accessing the debt market at a lower rate.</w:t>
      </w:r>
    </w:p>
    <w:p w14:paraId="3FECAA19" w14:textId="77777777" w:rsidR="00FE7F8B" w:rsidRDefault="00FE7F8B" w:rsidP="00FE7F8B">
      <w:r>
        <w:t>The Department’s exposure to liquidity risk is deemed insignificant based on prior periods’ data and current assessment of risk.</w:t>
      </w:r>
    </w:p>
    <w:p w14:paraId="7546688E" w14:textId="77777777" w:rsidR="00FE7F8B" w:rsidRDefault="00FE7F8B" w:rsidP="00FE7F8B">
      <w:r>
        <w:t>Table 12 discloses the contractual maturity analysis for the Department’s contractual financial liabilities.</w:t>
      </w:r>
    </w:p>
    <w:p w14:paraId="292609DF" w14:textId="77777777" w:rsidR="00FE7F8B" w:rsidRDefault="00FE7F8B" w:rsidP="00FE7F8B">
      <w:pPr>
        <w:pStyle w:val="Caption"/>
      </w:pPr>
      <w:bookmarkStart w:id="114" w:name="_Ref399510206"/>
      <w:r>
        <w:t xml:space="preserve">Table </w:t>
      </w:r>
      <w:bookmarkEnd w:id="114"/>
      <w:r>
        <w:fldChar w:fldCharType="begin"/>
      </w:r>
      <w:r>
        <w:instrText xml:space="preserve"> SEQ Table \* ARABIC </w:instrText>
      </w:r>
      <w:r>
        <w:fldChar w:fldCharType="separate"/>
      </w:r>
      <w:r w:rsidR="00B60957">
        <w:rPr>
          <w:noProof/>
        </w:rPr>
        <w:t>12</w:t>
      </w:r>
      <w:r>
        <w:fldChar w:fldCharType="end"/>
      </w:r>
      <w:r>
        <w:t>—Maturity analysis of contractual financial liabilities</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6"/>
        <w:gridCol w:w="804"/>
        <w:gridCol w:w="47"/>
        <w:gridCol w:w="850"/>
        <w:gridCol w:w="991"/>
        <w:gridCol w:w="991"/>
        <w:gridCol w:w="992"/>
        <w:gridCol w:w="849"/>
        <w:gridCol w:w="850"/>
      </w:tblGrid>
      <w:tr w:rsidR="00FE7F8B" w14:paraId="16F12547" w14:textId="77777777" w:rsidTr="00FE7F8B">
        <w:tc>
          <w:tcPr>
            <w:tcW w:w="856" w:type="dxa"/>
            <w:tcBorders>
              <w:top w:val="nil"/>
              <w:left w:val="nil"/>
              <w:bottom w:val="nil"/>
              <w:right w:val="nil"/>
            </w:tcBorders>
            <w:shd w:val="clear" w:color="auto" w:fill="7F7F7F" w:themeFill="text1" w:themeFillTint="80"/>
            <w:vAlign w:val="center"/>
          </w:tcPr>
          <w:p w14:paraId="33557446" w14:textId="77777777" w:rsidR="00FE7F8B" w:rsidRDefault="00FE7F8B">
            <w:pPr>
              <w:pStyle w:val="Tablecolumnheading"/>
              <w:jc w:val="center"/>
              <w:rPr>
                <w:lang w:eastAsia="en-AU"/>
              </w:rPr>
            </w:pPr>
          </w:p>
        </w:tc>
        <w:tc>
          <w:tcPr>
            <w:tcW w:w="804" w:type="dxa"/>
            <w:tcBorders>
              <w:top w:val="nil"/>
              <w:left w:val="nil"/>
              <w:bottom w:val="nil"/>
              <w:right w:val="nil"/>
            </w:tcBorders>
            <w:shd w:val="clear" w:color="auto" w:fill="7F7F7F" w:themeFill="text1" w:themeFillTint="80"/>
            <w:vAlign w:val="center"/>
          </w:tcPr>
          <w:p w14:paraId="705A671C" w14:textId="77777777" w:rsidR="00FE7F8B" w:rsidRDefault="00FE7F8B">
            <w:pPr>
              <w:pStyle w:val="Tablecolumnheading"/>
              <w:jc w:val="center"/>
              <w:rPr>
                <w:lang w:eastAsia="en-AU"/>
              </w:rPr>
            </w:pPr>
          </w:p>
        </w:tc>
        <w:tc>
          <w:tcPr>
            <w:tcW w:w="897" w:type="dxa"/>
            <w:gridSpan w:val="2"/>
            <w:tcBorders>
              <w:top w:val="nil"/>
              <w:left w:val="nil"/>
              <w:bottom w:val="nil"/>
              <w:right w:val="nil"/>
            </w:tcBorders>
            <w:shd w:val="clear" w:color="auto" w:fill="7F7F7F" w:themeFill="text1" w:themeFillTint="80"/>
            <w:vAlign w:val="center"/>
          </w:tcPr>
          <w:p w14:paraId="57329A87" w14:textId="77777777" w:rsidR="00FE7F8B" w:rsidRDefault="00FE7F8B">
            <w:pPr>
              <w:pStyle w:val="Tablecolumnheading"/>
              <w:jc w:val="center"/>
              <w:rPr>
                <w:lang w:eastAsia="en-AU"/>
              </w:rPr>
            </w:pPr>
          </w:p>
        </w:tc>
        <w:tc>
          <w:tcPr>
            <w:tcW w:w="4678" w:type="dxa"/>
            <w:gridSpan w:val="5"/>
            <w:tcBorders>
              <w:top w:val="nil"/>
              <w:left w:val="nil"/>
              <w:bottom w:val="nil"/>
              <w:right w:val="nil"/>
            </w:tcBorders>
            <w:shd w:val="clear" w:color="auto" w:fill="7F7F7F" w:themeFill="text1" w:themeFillTint="80"/>
            <w:vAlign w:val="center"/>
            <w:hideMark/>
          </w:tcPr>
          <w:p w14:paraId="4B5F0289" w14:textId="77777777" w:rsidR="00FE7F8B" w:rsidRDefault="00FE7F8B">
            <w:pPr>
              <w:pStyle w:val="Tablecolumnheading"/>
              <w:jc w:val="center"/>
              <w:rPr>
                <w:lang w:eastAsia="en-AU"/>
              </w:rPr>
            </w:pPr>
            <w:r>
              <w:rPr>
                <w:lang w:eastAsia="en-AU"/>
              </w:rPr>
              <w:t>Maturity dates</w:t>
            </w:r>
          </w:p>
        </w:tc>
      </w:tr>
      <w:tr w:rsidR="00FE7F8B" w14:paraId="3CB6590C" w14:textId="77777777" w:rsidTr="00FE7F8B">
        <w:tc>
          <w:tcPr>
            <w:tcW w:w="856" w:type="dxa"/>
            <w:tcBorders>
              <w:top w:val="nil"/>
              <w:left w:val="nil"/>
              <w:bottom w:val="nil"/>
              <w:right w:val="nil"/>
            </w:tcBorders>
            <w:shd w:val="clear" w:color="auto" w:fill="7F7F7F" w:themeFill="text1" w:themeFillTint="80"/>
            <w:vAlign w:val="center"/>
            <w:hideMark/>
          </w:tcPr>
          <w:p w14:paraId="3C2FD0A9" w14:textId="77777777" w:rsidR="00FE7F8B" w:rsidRDefault="00FE7F8B">
            <w:pPr>
              <w:pStyle w:val="Tablecolumnheading"/>
              <w:jc w:val="center"/>
              <w:rPr>
                <w:lang w:eastAsia="en-AU"/>
              </w:rPr>
            </w:pPr>
            <w:r>
              <w:rPr>
                <w:lang w:eastAsia="en-AU"/>
              </w:rPr>
              <w:t>2016</w:t>
            </w:r>
          </w:p>
        </w:tc>
        <w:tc>
          <w:tcPr>
            <w:tcW w:w="804" w:type="dxa"/>
            <w:tcBorders>
              <w:top w:val="nil"/>
              <w:left w:val="nil"/>
              <w:bottom w:val="nil"/>
              <w:right w:val="nil"/>
            </w:tcBorders>
            <w:shd w:val="clear" w:color="auto" w:fill="7F7F7F" w:themeFill="text1" w:themeFillTint="80"/>
            <w:vAlign w:val="bottom"/>
            <w:hideMark/>
          </w:tcPr>
          <w:p w14:paraId="1164C242" w14:textId="77777777" w:rsidR="00FE7F8B" w:rsidRDefault="00FE7F8B">
            <w:pPr>
              <w:pStyle w:val="Tablecolumnheading"/>
              <w:jc w:val="center"/>
              <w:rPr>
                <w:lang w:eastAsia="en-AU"/>
              </w:rPr>
            </w:pPr>
            <w:r>
              <w:rPr>
                <w:lang w:eastAsia="en-AU"/>
              </w:rPr>
              <w:t>Carrying amount</w:t>
            </w:r>
            <w:r>
              <w:rPr>
                <w:lang w:eastAsia="en-AU"/>
              </w:rPr>
              <w:br/>
              <w:t>$m</w:t>
            </w:r>
          </w:p>
        </w:tc>
        <w:tc>
          <w:tcPr>
            <w:tcW w:w="897" w:type="dxa"/>
            <w:gridSpan w:val="2"/>
            <w:tcBorders>
              <w:top w:val="nil"/>
              <w:left w:val="nil"/>
              <w:bottom w:val="nil"/>
              <w:right w:val="nil"/>
            </w:tcBorders>
            <w:shd w:val="clear" w:color="auto" w:fill="7F7F7F" w:themeFill="text1" w:themeFillTint="80"/>
            <w:vAlign w:val="bottom"/>
            <w:hideMark/>
          </w:tcPr>
          <w:p w14:paraId="617D0FCD" w14:textId="77777777" w:rsidR="00FE7F8B" w:rsidRDefault="00FE7F8B">
            <w:pPr>
              <w:pStyle w:val="Tablecolumnheading"/>
              <w:jc w:val="center"/>
              <w:rPr>
                <w:lang w:eastAsia="en-AU"/>
              </w:rPr>
            </w:pPr>
            <w:r>
              <w:rPr>
                <w:lang w:eastAsia="en-AU"/>
              </w:rPr>
              <w:t>Nominal amount</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15D423A9" w14:textId="77777777" w:rsidR="00FE7F8B" w:rsidRDefault="00FE7F8B">
            <w:pPr>
              <w:pStyle w:val="Tablecolumnheading"/>
              <w:jc w:val="center"/>
              <w:rPr>
                <w:lang w:eastAsia="en-AU"/>
              </w:rPr>
            </w:pPr>
            <w:r>
              <w:rPr>
                <w:lang w:eastAsia="en-AU"/>
              </w:rPr>
              <w:t>Less than 1 month</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0668CB5C" w14:textId="77777777" w:rsidR="00FE7F8B" w:rsidRDefault="00FE7F8B">
            <w:pPr>
              <w:pStyle w:val="Tablecolumnheading"/>
              <w:jc w:val="center"/>
              <w:rPr>
                <w:lang w:eastAsia="en-AU"/>
              </w:rPr>
            </w:pPr>
            <w:r>
              <w:rPr>
                <w:lang w:eastAsia="en-AU"/>
              </w:rPr>
              <w:t xml:space="preserve">1–3 </w:t>
            </w:r>
            <w:r>
              <w:rPr>
                <w:lang w:eastAsia="en-AU"/>
              </w:rPr>
              <w:br/>
              <w:t>months</w:t>
            </w:r>
            <w:r>
              <w:rPr>
                <w:lang w:eastAsia="en-AU"/>
              </w:rPr>
              <w:br/>
              <w:t>$m</w:t>
            </w:r>
          </w:p>
        </w:tc>
        <w:tc>
          <w:tcPr>
            <w:tcW w:w="993" w:type="dxa"/>
            <w:tcBorders>
              <w:top w:val="nil"/>
              <w:left w:val="nil"/>
              <w:bottom w:val="nil"/>
              <w:right w:val="nil"/>
            </w:tcBorders>
            <w:shd w:val="clear" w:color="auto" w:fill="7F7F7F" w:themeFill="text1" w:themeFillTint="80"/>
            <w:vAlign w:val="bottom"/>
            <w:hideMark/>
          </w:tcPr>
          <w:p w14:paraId="7D4E4E67" w14:textId="77777777" w:rsidR="00FE7F8B" w:rsidRDefault="00FE7F8B">
            <w:pPr>
              <w:pStyle w:val="Tablecolumnheading"/>
              <w:jc w:val="center"/>
              <w:rPr>
                <w:lang w:eastAsia="en-AU"/>
              </w:rPr>
            </w:pPr>
            <w:r>
              <w:rPr>
                <w:lang w:eastAsia="en-AU"/>
              </w:rPr>
              <w:t>3 months–</w:t>
            </w:r>
            <w:r>
              <w:rPr>
                <w:lang w:eastAsia="en-AU"/>
              </w:rPr>
              <w:br/>
              <w:t>1 year</w:t>
            </w:r>
            <w:r>
              <w:rPr>
                <w:rStyle w:val="FootnoteReference"/>
              </w:rPr>
              <w:t>1</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4022B849" w14:textId="77777777" w:rsidR="00FE7F8B" w:rsidRDefault="00FE7F8B">
            <w:pPr>
              <w:pStyle w:val="Tablecolumnheading"/>
              <w:jc w:val="center"/>
              <w:rPr>
                <w:lang w:eastAsia="en-AU"/>
              </w:rPr>
            </w:pPr>
            <w:r>
              <w:rPr>
                <w:lang w:eastAsia="en-AU"/>
              </w:rPr>
              <w:t>Over 1 year</w:t>
            </w:r>
            <w:r>
              <w:rPr>
                <w:rStyle w:val="FootnoteReference"/>
              </w:rPr>
              <w:t>1</w:t>
            </w:r>
            <w:r>
              <w:rPr>
                <w:lang w:eastAsia="en-AU"/>
              </w:rPr>
              <w:br/>
              <w:t>$m</w:t>
            </w:r>
          </w:p>
        </w:tc>
        <w:tc>
          <w:tcPr>
            <w:tcW w:w="851" w:type="dxa"/>
            <w:tcBorders>
              <w:top w:val="nil"/>
              <w:left w:val="nil"/>
              <w:bottom w:val="nil"/>
              <w:right w:val="nil"/>
            </w:tcBorders>
            <w:shd w:val="clear" w:color="auto" w:fill="7F7F7F" w:themeFill="text1" w:themeFillTint="80"/>
            <w:vAlign w:val="bottom"/>
            <w:hideMark/>
          </w:tcPr>
          <w:p w14:paraId="0F048D88" w14:textId="77777777" w:rsidR="00FE7F8B" w:rsidRDefault="00FE7F8B">
            <w:pPr>
              <w:pStyle w:val="Tablecolumnheading"/>
              <w:jc w:val="center"/>
              <w:rPr>
                <w:lang w:eastAsia="en-AU"/>
              </w:rPr>
            </w:pPr>
            <w:r>
              <w:rPr>
                <w:lang w:eastAsia="en-AU"/>
              </w:rPr>
              <w:t>&gt; 5 years</w:t>
            </w:r>
            <w:r>
              <w:rPr>
                <w:rStyle w:val="FootnoteReference"/>
              </w:rPr>
              <w:t>1</w:t>
            </w:r>
            <w:r>
              <w:rPr>
                <w:lang w:eastAsia="en-AU"/>
              </w:rPr>
              <w:br/>
              <w:t>$m</w:t>
            </w:r>
          </w:p>
        </w:tc>
      </w:tr>
      <w:tr w:rsidR="00FE7F8B" w14:paraId="04848EDE" w14:textId="77777777" w:rsidTr="00FE7F8B">
        <w:tc>
          <w:tcPr>
            <w:tcW w:w="856" w:type="dxa"/>
            <w:tcBorders>
              <w:top w:val="nil"/>
              <w:left w:val="nil"/>
              <w:bottom w:val="nil"/>
              <w:right w:val="nil"/>
            </w:tcBorders>
            <w:vAlign w:val="bottom"/>
            <w:hideMark/>
          </w:tcPr>
          <w:p w14:paraId="3A82F581" w14:textId="77777777" w:rsidR="00FE7F8B" w:rsidRDefault="00FE7F8B">
            <w:pPr>
              <w:pStyle w:val="Tabletextnoindent"/>
            </w:pPr>
            <w:r>
              <w:t>Payables</w:t>
            </w:r>
          </w:p>
        </w:tc>
        <w:tc>
          <w:tcPr>
            <w:tcW w:w="804" w:type="dxa"/>
            <w:tcBorders>
              <w:top w:val="nil"/>
              <w:left w:val="nil"/>
              <w:bottom w:val="nil"/>
              <w:right w:val="nil"/>
            </w:tcBorders>
            <w:vAlign w:val="bottom"/>
            <w:hideMark/>
          </w:tcPr>
          <w:p w14:paraId="4D112F07" w14:textId="77777777" w:rsidR="00FE7F8B" w:rsidRDefault="00FE7F8B">
            <w:pPr>
              <w:pStyle w:val="TableTextFinancial"/>
              <w:jc w:val="right"/>
            </w:pPr>
            <w:r>
              <w:t>393.8</w:t>
            </w:r>
          </w:p>
        </w:tc>
        <w:tc>
          <w:tcPr>
            <w:tcW w:w="897" w:type="dxa"/>
            <w:gridSpan w:val="2"/>
            <w:tcBorders>
              <w:top w:val="nil"/>
              <w:left w:val="nil"/>
              <w:bottom w:val="nil"/>
              <w:right w:val="nil"/>
            </w:tcBorders>
            <w:vAlign w:val="bottom"/>
            <w:hideMark/>
          </w:tcPr>
          <w:p w14:paraId="2745FF3A" w14:textId="77777777" w:rsidR="00FE7F8B" w:rsidRDefault="00FE7F8B">
            <w:pPr>
              <w:pStyle w:val="TableTextFinancial"/>
              <w:jc w:val="right"/>
            </w:pPr>
            <w:r>
              <w:t>393.8</w:t>
            </w:r>
          </w:p>
        </w:tc>
        <w:tc>
          <w:tcPr>
            <w:tcW w:w="992" w:type="dxa"/>
            <w:tcBorders>
              <w:top w:val="nil"/>
              <w:left w:val="nil"/>
              <w:bottom w:val="nil"/>
              <w:right w:val="nil"/>
            </w:tcBorders>
            <w:vAlign w:val="bottom"/>
            <w:hideMark/>
          </w:tcPr>
          <w:p w14:paraId="435D2C30" w14:textId="77777777" w:rsidR="00FE7F8B" w:rsidRDefault="00FE7F8B">
            <w:pPr>
              <w:pStyle w:val="TableTextFinancial"/>
              <w:jc w:val="right"/>
            </w:pPr>
            <w:r>
              <w:t>398.7</w:t>
            </w:r>
          </w:p>
        </w:tc>
        <w:tc>
          <w:tcPr>
            <w:tcW w:w="992" w:type="dxa"/>
            <w:tcBorders>
              <w:top w:val="nil"/>
              <w:left w:val="nil"/>
              <w:bottom w:val="nil"/>
              <w:right w:val="nil"/>
            </w:tcBorders>
            <w:vAlign w:val="bottom"/>
            <w:hideMark/>
          </w:tcPr>
          <w:p w14:paraId="6874F84A" w14:textId="77777777" w:rsidR="00FE7F8B" w:rsidRDefault="00FE7F8B">
            <w:pPr>
              <w:pStyle w:val="TableTextFinancial"/>
              <w:jc w:val="right"/>
            </w:pPr>
            <w:r>
              <w:t>0.4</w:t>
            </w:r>
          </w:p>
        </w:tc>
        <w:tc>
          <w:tcPr>
            <w:tcW w:w="993" w:type="dxa"/>
            <w:tcBorders>
              <w:top w:val="nil"/>
              <w:left w:val="nil"/>
              <w:bottom w:val="nil"/>
              <w:right w:val="nil"/>
            </w:tcBorders>
            <w:vAlign w:val="bottom"/>
            <w:hideMark/>
          </w:tcPr>
          <w:p w14:paraId="6A661A54" w14:textId="77777777" w:rsidR="00FE7F8B" w:rsidRDefault="00FE7F8B">
            <w:pPr>
              <w:pStyle w:val="TableTextFinancial"/>
              <w:jc w:val="right"/>
            </w:pPr>
            <w:r>
              <w:t>(0.4)</w:t>
            </w:r>
          </w:p>
        </w:tc>
        <w:tc>
          <w:tcPr>
            <w:tcW w:w="850" w:type="dxa"/>
            <w:tcBorders>
              <w:top w:val="nil"/>
              <w:left w:val="nil"/>
              <w:bottom w:val="nil"/>
              <w:right w:val="nil"/>
            </w:tcBorders>
            <w:vAlign w:val="bottom"/>
            <w:hideMark/>
          </w:tcPr>
          <w:p w14:paraId="6A0CF47C" w14:textId="77777777" w:rsidR="00FE7F8B" w:rsidRDefault="00FE7F8B">
            <w:pPr>
              <w:pStyle w:val="TableTextFinancial"/>
              <w:jc w:val="right"/>
            </w:pPr>
            <w:r>
              <w:t>(4.8)</w:t>
            </w:r>
          </w:p>
        </w:tc>
        <w:tc>
          <w:tcPr>
            <w:tcW w:w="851" w:type="dxa"/>
            <w:tcBorders>
              <w:top w:val="nil"/>
              <w:left w:val="nil"/>
              <w:bottom w:val="nil"/>
              <w:right w:val="nil"/>
            </w:tcBorders>
            <w:vAlign w:val="bottom"/>
            <w:hideMark/>
          </w:tcPr>
          <w:p w14:paraId="0E0C2F70" w14:textId="77777777" w:rsidR="00FE7F8B" w:rsidRDefault="00FE7F8B">
            <w:pPr>
              <w:pStyle w:val="TableTextFinancial"/>
              <w:jc w:val="right"/>
            </w:pPr>
            <w:r>
              <w:t>0.0</w:t>
            </w:r>
          </w:p>
        </w:tc>
      </w:tr>
      <w:tr w:rsidR="00FE7F8B" w14:paraId="67190AA3" w14:textId="77777777" w:rsidTr="00FE7F8B">
        <w:tc>
          <w:tcPr>
            <w:tcW w:w="856" w:type="dxa"/>
            <w:tcBorders>
              <w:top w:val="nil"/>
              <w:left w:val="nil"/>
              <w:bottom w:val="single" w:sz="4" w:space="0" w:color="auto"/>
              <w:right w:val="nil"/>
            </w:tcBorders>
            <w:vAlign w:val="bottom"/>
            <w:hideMark/>
          </w:tcPr>
          <w:p w14:paraId="6C699072" w14:textId="77777777" w:rsidR="00FE7F8B" w:rsidRDefault="00FE7F8B">
            <w:pPr>
              <w:pStyle w:val="Tabletextnoindent"/>
            </w:pPr>
            <w:r>
              <w:t>Borrowings</w:t>
            </w:r>
          </w:p>
        </w:tc>
        <w:tc>
          <w:tcPr>
            <w:tcW w:w="804" w:type="dxa"/>
            <w:tcBorders>
              <w:top w:val="nil"/>
              <w:left w:val="nil"/>
              <w:bottom w:val="single" w:sz="4" w:space="0" w:color="auto"/>
              <w:right w:val="nil"/>
            </w:tcBorders>
            <w:vAlign w:val="bottom"/>
            <w:hideMark/>
          </w:tcPr>
          <w:p w14:paraId="28D74F4A" w14:textId="77777777" w:rsidR="00FE7F8B" w:rsidRDefault="00FE7F8B">
            <w:pPr>
              <w:pStyle w:val="TableTextFinancial"/>
              <w:jc w:val="right"/>
            </w:pPr>
            <w:r>
              <w:t>249.6</w:t>
            </w:r>
          </w:p>
        </w:tc>
        <w:tc>
          <w:tcPr>
            <w:tcW w:w="897" w:type="dxa"/>
            <w:gridSpan w:val="2"/>
            <w:tcBorders>
              <w:top w:val="nil"/>
              <w:left w:val="nil"/>
              <w:bottom w:val="single" w:sz="4" w:space="0" w:color="auto"/>
              <w:right w:val="nil"/>
            </w:tcBorders>
            <w:vAlign w:val="bottom"/>
            <w:hideMark/>
          </w:tcPr>
          <w:p w14:paraId="670996AF" w14:textId="77777777" w:rsidR="00FE7F8B" w:rsidRDefault="00FE7F8B">
            <w:pPr>
              <w:pStyle w:val="TableTextFinancial"/>
              <w:jc w:val="right"/>
            </w:pPr>
            <w:r>
              <w:t>383.4</w:t>
            </w:r>
          </w:p>
        </w:tc>
        <w:tc>
          <w:tcPr>
            <w:tcW w:w="992" w:type="dxa"/>
            <w:tcBorders>
              <w:top w:val="nil"/>
              <w:left w:val="nil"/>
              <w:bottom w:val="single" w:sz="4" w:space="0" w:color="auto"/>
              <w:right w:val="nil"/>
            </w:tcBorders>
            <w:vAlign w:val="bottom"/>
            <w:hideMark/>
          </w:tcPr>
          <w:p w14:paraId="75E69861" w14:textId="77777777" w:rsidR="00FE7F8B" w:rsidRDefault="00FE7F8B">
            <w:pPr>
              <w:pStyle w:val="TableTextFinancial"/>
              <w:jc w:val="right"/>
            </w:pPr>
            <w:r>
              <w:t>2.0</w:t>
            </w:r>
          </w:p>
        </w:tc>
        <w:tc>
          <w:tcPr>
            <w:tcW w:w="992" w:type="dxa"/>
            <w:tcBorders>
              <w:top w:val="nil"/>
              <w:left w:val="nil"/>
              <w:bottom w:val="single" w:sz="4" w:space="0" w:color="auto"/>
              <w:right w:val="nil"/>
            </w:tcBorders>
            <w:vAlign w:val="bottom"/>
            <w:hideMark/>
          </w:tcPr>
          <w:p w14:paraId="2A70B527" w14:textId="77777777" w:rsidR="00FE7F8B" w:rsidRDefault="00FE7F8B">
            <w:pPr>
              <w:pStyle w:val="TableTextFinancial"/>
              <w:jc w:val="right"/>
            </w:pPr>
            <w:r>
              <w:t>4.9</w:t>
            </w:r>
          </w:p>
        </w:tc>
        <w:tc>
          <w:tcPr>
            <w:tcW w:w="993" w:type="dxa"/>
            <w:tcBorders>
              <w:top w:val="nil"/>
              <w:left w:val="nil"/>
              <w:bottom w:val="single" w:sz="4" w:space="0" w:color="auto"/>
              <w:right w:val="nil"/>
            </w:tcBorders>
            <w:vAlign w:val="bottom"/>
            <w:hideMark/>
          </w:tcPr>
          <w:p w14:paraId="40E27302" w14:textId="77777777" w:rsidR="00FE7F8B" w:rsidRDefault="00FE7F8B">
            <w:pPr>
              <w:pStyle w:val="TableTextFinancial"/>
              <w:jc w:val="right"/>
            </w:pPr>
            <w:r>
              <w:t>18.9</w:t>
            </w:r>
          </w:p>
        </w:tc>
        <w:tc>
          <w:tcPr>
            <w:tcW w:w="850" w:type="dxa"/>
            <w:tcBorders>
              <w:top w:val="nil"/>
              <w:left w:val="nil"/>
              <w:bottom w:val="single" w:sz="4" w:space="0" w:color="auto"/>
              <w:right w:val="nil"/>
            </w:tcBorders>
            <w:vAlign w:val="bottom"/>
            <w:hideMark/>
          </w:tcPr>
          <w:p w14:paraId="4A62E566" w14:textId="77777777" w:rsidR="00FE7F8B" w:rsidRDefault="00FE7F8B">
            <w:pPr>
              <w:pStyle w:val="TableTextFinancial"/>
              <w:jc w:val="right"/>
            </w:pPr>
            <w:r>
              <w:t>110.7</w:t>
            </w:r>
          </w:p>
        </w:tc>
        <w:tc>
          <w:tcPr>
            <w:tcW w:w="851" w:type="dxa"/>
            <w:tcBorders>
              <w:top w:val="nil"/>
              <w:left w:val="nil"/>
              <w:bottom w:val="single" w:sz="4" w:space="0" w:color="auto"/>
              <w:right w:val="nil"/>
            </w:tcBorders>
            <w:vAlign w:val="bottom"/>
            <w:hideMark/>
          </w:tcPr>
          <w:p w14:paraId="4F075372" w14:textId="77777777" w:rsidR="00FE7F8B" w:rsidRDefault="00FE7F8B">
            <w:pPr>
              <w:pStyle w:val="TableTextFinancial"/>
              <w:jc w:val="right"/>
            </w:pPr>
            <w:r>
              <w:t>247.0</w:t>
            </w:r>
          </w:p>
        </w:tc>
      </w:tr>
      <w:tr w:rsidR="00FE7F8B" w14:paraId="530DDC98" w14:textId="77777777" w:rsidTr="00FE7F8B">
        <w:tc>
          <w:tcPr>
            <w:tcW w:w="856" w:type="dxa"/>
            <w:tcBorders>
              <w:top w:val="single" w:sz="4" w:space="0" w:color="auto"/>
              <w:left w:val="nil"/>
              <w:bottom w:val="single" w:sz="4" w:space="0" w:color="auto"/>
              <w:right w:val="nil"/>
            </w:tcBorders>
            <w:vAlign w:val="bottom"/>
            <w:hideMark/>
          </w:tcPr>
          <w:p w14:paraId="46BA0155" w14:textId="77777777" w:rsidR="00FE7F8B" w:rsidRDefault="00FE7F8B">
            <w:pPr>
              <w:pStyle w:val="Tabletextnoindent"/>
              <w:rPr>
                <w:b/>
              </w:rPr>
            </w:pPr>
            <w:r>
              <w:rPr>
                <w:b/>
              </w:rPr>
              <w:t>Total</w:t>
            </w:r>
          </w:p>
        </w:tc>
        <w:tc>
          <w:tcPr>
            <w:tcW w:w="804" w:type="dxa"/>
            <w:tcBorders>
              <w:top w:val="single" w:sz="4" w:space="0" w:color="auto"/>
              <w:left w:val="nil"/>
              <w:bottom w:val="single" w:sz="4" w:space="0" w:color="auto"/>
              <w:right w:val="nil"/>
            </w:tcBorders>
            <w:vAlign w:val="bottom"/>
            <w:hideMark/>
          </w:tcPr>
          <w:p w14:paraId="68D1E5DB" w14:textId="77777777" w:rsidR="00FE7F8B" w:rsidRDefault="00FE7F8B">
            <w:pPr>
              <w:pStyle w:val="TableTextFinancial"/>
              <w:jc w:val="right"/>
              <w:rPr>
                <w:b/>
              </w:rPr>
            </w:pPr>
            <w:r>
              <w:rPr>
                <w:b/>
              </w:rPr>
              <w:t>643.4</w:t>
            </w:r>
          </w:p>
        </w:tc>
        <w:tc>
          <w:tcPr>
            <w:tcW w:w="897" w:type="dxa"/>
            <w:gridSpan w:val="2"/>
            <w:tcBorders>
              <w:top w:val="single" w:sz="4" w:space="0" w:color="auto"/>
              <w:left w:val="nil"/>
              <w:bottom w:val="single" w:sz="4" w:space="0" w:color="auto"/>
              <w:right w:val="nil"/>
            </w:tcBorders>
            <w:vAlign w:val="bottom"/>
            <w:hideMark/>
          </w:tcPr>
          <w:p w14:paraId="576BE371" w14:textId="77777777" w:rsidR="00FE7F8B" w:rsidRDefault="00FE7F8B">
            <w:pPr>
              <w:pStyle w:val="TableTextFinancial"/>
              <w:jc w:val="right"/>
              <w:rPr>
                <w:b/>
              </w:rPr>
            </w:pPr>
            <w:r>
              <w:rPr>
                <w:b/>
              </w:rPr>
              <w:t>777.3</w:t>
            </w:r>
          </w:p>
        </w:tc>
        <w:tc>
          <w:tcPr>
            <w:tcW w:w="992" w:type="dxa"/>
            <w:tcBorders>
              <w:top w:val="single" w:sz="4" w:space="0" w:color="auto"/>
              <w:left w:val="nil"/>
              <w:bottom w:val="single" w:sz="4" w:space="0" w:color="auto"/>
              <w:right w:val="nil"/>
            </w:tcBorders>
            <w:vAlign w:val="bottom"/>
            <w:hideMark/>
          </w:tcPr>
          <w:p w14:paraId="61013A91" w14:textId="77777777" w:rsidR="00FE7F8B" w:rsidRDefault="00FE7F8B">
            <w:pPr>
              <w:pStyle w:val="TableTextFinancial"/>
              <w:jc w:val="right"/>
              <w:rPr>
                <w:b/>
              </w:rPr>
            </w:pPr>
            <w:r>
              <w:rPr>
                <w:b/>
              </w:rPr>
              <w:t>400.7</w:t>
            </w:r>
          </w:p>
        </w:tc>
        <w:tc>
          <w:tcPr>
            <w:tcW w:w="992" w:type="dxa"/>
            <w:tcBorders>
              <w:top w:val="single" w:sz="4" w:space="0" w:color="auto"/>
              <w:left w:val="nil"/>
              <w:bottom w:val="single" w:sz="4" w:space="0" w:color="auto"/>
              <w:right w:val="nil"/>
            </w:tcBorders>
            <w:vAlign w:val="bottom"/>
            <w:hideMark/>
          </w:tcPr>
          <w:p w14:paraId="0730C8B0" w14:textId="77777777" w:rsidR="00FE7F8B" w:rsidRDefault="00FE7F8B">
            <w:pPr>
              <w:pStyle w:val="TableTextFinancial"/>
              <w:jc w:val="right"/>
              <w:rPr>
                <w:b/>
              </w:rPr>
            </w:pPr>
            <w:r>
              <w:rPr>
                <w:b/>
              </w:rPr>
              <w:t>5.2</w:t>
            </w:r>
          </w:p>
        </w:tc>
        <w:tc>
          <w:tcPr>
            <w:tcW w:w="993" w:type="dxa"/>
            <w:tcBorders>
              <w:top w:val="single" w:sz="4" w:space="0" w:color="auto"/>
              <w:left w:val="nil"/>
              <w:bottom w:val="single" w:sz="4" w:space="0" w:color="auto"/>
              <w:right w:val="nil"/>
            </w:tcBorders>
            <w:vAlign w:val="bottom"/>
            <w:hideMark/>
          </w:tcPr>
          <w:p w14:paraId="758FACA6" w14:textId="77777777" w:rsidR="00FE7F8B" w:rsidRDefault="00FE7F8B">
            <w:pPr>
              <w:pStyle w:val="TableTextFinancial"/>
              <w:jc w:val="right"/>
              <w:rPr>
                <w:b/>
              </w:rPr>
            </w:pPr>
            <w:r>
              <w:rPr>
                <w:b/>
              </w:rPr>
              <w:t>18.5</w:t>
            </w:r>
          </w:p>
        </w:tc>
        <w:tc>
          <w:tcPr>
            <w:tcW w:w="850" w:type="dxa"/>
            <w:tcBorders>
              <w:top w:val="single" w:sz="4" w:space="0" w:color="auto"/>
              <w:left w:val="nil"/>
              <w:bottom w:val="single" w:sz="4" w:space="0" w:color="auto"/>
              <w:right w:val="nil"/>
            </w:tcBorders>
            <w:vAlign w:val="bottom"/>
            <w:hideMark/>
          </w:tcPr>
          <w:p w14:paraId="23DF5CA9" w14:textId="77777777" w:rsidR="00FE7F8B" w:rsidRDefault="00FE7F8B">
            <w:pPr>
              <w:pStyle w:val="TableTextFinancial"/>
              <w:jc w:val="right"/>
              <w:rPr>
                <w:b/>
              </w:rPr>
            </w:pPr>
            <w:r>
              <w:rPr>
                <w:b/>
              </w:rPr>
              <w:t>105.8</w:t>
            </w:r>
          </w:p>
        </w:tc>
        <w:tc>
          <w:tcPr>
            <w:tcW w:w="851" w:type="dxa"/>
            <w:tcBorders>
              <w:top w:val="single" w:sz="4" w:space="0" w:color="auto"/>
              <w:left w:val="nil"/>
              <w:bottom w:val="single" w:sz="4" w:space="0" w:color="auto"/>
              <w:right w:val="nil"/>
            </w:tcBorders>
            <w:vAlign w:val="bottom"/>
            <w:hideMark/>
          </w:tcPr>
          <w:p w14:paraId="4AF278B7" w14:textId="77777777" w:rsidR="00FE7F8B" w:rsidRDefault="00FE7F8B">
            <w:pPr>
              <w:pStyle w:val="TableTextFinancial"/>
              <w:jc w:val="right"/>
              <w:rPr>
                <w:b/>
              </w:rPr>
            </w:pPr>
            <w:r>
              <w:rPr>
                <w:b/>
              </w:rPr>
              <w:t>247.0</w:t>
            </w:r>
          </w:p>
        </w:tc>
      </w:tr>
      <w:tr w:rsidR="00FE7F8B" w14:paraId="5D02FC12" w14:textId="77777777" w:rsidTr="00FE7F8B">
        <w:tc>
          <w:tcPr>
            <w:tcW w:w="856" w:type="dxa"/>
            <w:tcBorders>
              <w:top w:val="single" w:sz="4" w:space="0" w:color="auto"/>
              <w:left w:val="nil"/>
              <w:bottom w:val="nil"/>
              <w:right w:val="nil"/>
            </w:tcBorders>
            <w:shd w:val="clear" w:color="auto" w:fill="7F7F7F" w:themeFill="text1" w:themeFillTint="80"/>
            <w:vAlign w:val="center"/>
          </w:tcPr>
          <w:p w14:paraId="55D4A46F" w14:textId="77777777" w:rsidR="00FE7F8B" w:rsidRDefault="00FE7F8B">
            <w:pPr>
              <w:pStyle w:val="Tablecolumnheading"/>
              <w:jc w:val="center"/>
              <w:rPr>
                <w:lang w:eastAsia="en-AU"/>
              </w:rPr>
            </w:pPr>
          </w:p>
        </w:tc>
        <w:tc>
          <w:tcPr>
            <w:tcW w:w="850" w:type="dxa"/>
            <w:gridSpan w:val="2"/>
            <w:tcBorders>
              <w:top w:val="single" w:sz="4" w:space="0" w:color="auto"/>
              <w:left w:val="nil"/>
              <w:bottom w:val="nil"/>
              <w:right w:val="nil"/>
            </w:tcBorders>
            <w:shd w:val="clear" w:color="auto" w:fill="7F7F7F" w:themeFill="text1" w:themeFillTint="80"/>
            <w:vAlign w:val="center"/>
          </w:tcPr>
          <w:p w14:paraId="59B521C5" w14:textId="77777777" w:rsidR="00FE7F8B" w:rsidRDefault="00FE7F8B">
            <w:pPr>
              <w:pStyle w:val="Tablecolumnheading"/>
              <w:jc w:val="center"/>
              <w:rPr>
                <w:lang w:eastAsia="en-AU"/>
              </w:rPr>
            </w:pPr>
          </w:p>
        </w:tc>
        <w:tc>
          <w:tcPr>
            <w:tcW w:w="851" w:type="dxa"/>
            <w:tcBorders>
              <w:top w:val="single" w:sz="4" w:space="0" w:color="auto"/>
              <w:left w:val="nil"/>
              <w:bottom w:val="nil"/>
              <w:right w:val="nil"/>
            </w:tcBorders>
            <w:shd w:val="clear" w:color="auto" w:fill="7F7F7F" w:themeFill="text1" w:themeFillTint="80"/>
            <w:vAlign w:val="center"/>
          </w:tcPr>
          <w:p w14:paraId="14DD6E8B" w14:textId="77777777" w:rsidR="00FE7F8B" w:rsidRDefault="00FE7F8B">
            <w:pPr>
              <w:pStyle w:val="Tablecolumnheading"/>
              <w:jc w:val="center"/>
              <w:rPr>
                <w:lang w:eastAsia="en-AU"/>
              </w:rPr>
            </w:pPr>
          </w:p>
        </w:tc>
        <w:tc>
          <w:tcPr>
            <w:tcW w:w="4678" w:type="dxa"/>
            <w:gridSpan w:val="5"/>
            <w:tcBorders>
              <w:top w:val="single" w:sz="4" w:space="0" w:color="auto"/>
              <w:left w:val="nil"/>
              <w:bottom w:val="nil"/>
              <w:right w:val="nil"/>
            </w:tcBorders>
            <w:shd w:val="clear" w:color="auto" w:fill="7F7F7F" w:themeFill="text1" w:themeFillTint="80"/>
            <w:vAlign w:val="center"/>
            <w:hideMark/>
          </w:tcPr>
          <w:p w14:paraId="0DE67429" w14:textId="77777777" w:rsidR="00FE7F8B" w:rsidRDefault="00FE7F8B">
            <w:pPr>
              <w:pStyle w:val="Tablecolumnheading"/>
              <w:jc w:val="center"/>
              <w:rPr>
                <w:lang w:eastAsia="en-AU"/>
              </w:rPr>
            </w:pPr>
            <w:r>
              <w:rPr>
                <w:lang w:eastAsia="en-AU"/>
              </w:rPr>
              <w:t>Maturity dates</w:t>
            </w:r>
          </w:p>
        </w:tc>
      </w:tr>
      <w:tr w:rsidR="00FE7F8B" w14:paraId="1551C52A" w14:textId="77777777" w:rsidTr="00FE7F8B">
        <w:tc>
          <w:tcPr>
            <w:tcW w:w="856" w:type="dxa"/>
            <w:tcBorders>
              <w:top w:val="nil"/>
              <w:left w:val="nil"/>
              <w:bottom w:val="nil"/>
              <w:right w:val="nil"/>
            </w:tcBorders>
            <w:shd w:val="clear" w:color="auto" w:fill="7F7F7F" w:themeFill="text1" w:themeFillTint="80"/>
            <w:vAlign w:val="center"/>
            <w:hideMark/>
          </w:tcPr>
          <w:p w14:paraId="568D1AB3" w14:textId="77777777" w:rsidR="00FE7F8B" w:rsidRDefault="00FE7F8B">
            <w:pPr>
              <w:pStyle w:val="Tablecolumnheading"/>
              <w:jc w:val="center"/>
              <w:rPr>
                <w:lang w:eastAsia="en-AU"/>
              </w:rPr>
            </w:pPr>
            <w:r>
              <w:rPr>
                <w:lang w:eastAsia="en-AU"/>
              </w:rPr>
              <w:t>2015</w:t>
            </w:r>
          </w:p>
        </w:tc>
        <w:tc>
          <w:tcPr>
            <w:tcW w:w="850" w:type="dxa"/>
            <w:gridSpan w:val="2"/>
            <w:tcBorders>
              <w:top w:val="nil"/>
              <w:left w:val="nil"/>
              <w:bottom w:val="nil"/>
              <w:right w:val="nil"/>
            </w:tcBorders>
            <w:shd w:val="clear" w:color="auto" w:fill="7F7F7F" w:themeFill="text1" w:themeFillTint="80"/>
            <w:vAlign w:val="bottom"/>
            <w:hideMark/>
          </w:tcPr>
          <w:p w14:paraId="7E462EE6" w14:textId="77777777" w:rsidR="00FE7F8B" w:rsidRDefault="00FE7F8B">
            <w:pPr>
              <w:pStyle w:val="Tablecolumnheading"/>
              <w:jc w:val="center"/>
              <w:rPr>
                <w:lang w:eastAsia="en-AU"/>
              </w:rPr>
            </w:pPr>
            <w:r>
              <w:rPr>
                <w:lang w:eastAsia="en-AU"/>
              </w:rPr>
              <w:t>Carrying amount</w:t>
            </w:r>
            <w:r>
              <w:rPr>
                <w:lang w:eastAsia="en-AU"/>
              </w:rPr>
              <w:br/>
              <w:t>$m</w:t>
            </w:r>
          </w:p>
        </w:tc>
        <w:tc>
          <w:tcPr>
            <w:tcW w:w="851" w:type="dxa"/>
            <w:tcBorders>
              <w:top w:val="nil"/>
              <w:left w:val="nil"/>
              <w:bottom w:val="nil"/>
              <w:right w:val="nil"/>
            </w:tcBorders>
            <w:shd w:val="clear" w:color="auto" w:fill="7F7F7F" w:themeFill="text1" w:themeFillTint="80"/>
            <w:vAlign w:val="bottom"/>
            <w:hideMark/>
          </w:tcPr>
          <w:p w14:paraId="658220A4" w14:textId="77777777" w:rsidR="00FE7F8B" w:rsidRDefault="00FE7F8B">
            <w:pPr>
              <w:pStyle w:val="Tablecolumnheading"/>
              <w:jc w:val="center"/>
              <w:rPr>
                <w:lang w:eastAsia="en-AU"/>
              </w:rPr>
            </w:pPr>
            <w:r>
              <w:rPr>
                <w:lang w:eastAsia="en-AU"/>
              </w:rPr>
              <w:t>Nominal amount</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4C2B33C8" w14:textId="77777777" w:rsidR="00FE7F8B" w:rsidRDefault="00FE7F8B">
            <w:pPr>
              <w:pStyle w:val="Tablecolumnheading"/>
              <w:jc w:val="center"/>
              <w:rPr>
                <w:lang w:eastAsia="en-AU"/>
              </w:rPr>
            </w:pPr>
            <w:r>
              <w:rPr>
                <w:lang w:eastAsia="en-AU"/>
              </w:rPr>
              <w:t>Less than 1 month</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306E5154" w14:textId="77777777" w:rsidR="00FE7F8B" w:rsidRDefault="00FE7F8B">
            <w:pPr>
              <w:pStyle w:val="Tablecolumnheading"/>
              <w:jc w:val="center"/>
              <w:rPr>
                <w:lang w:eastAsia="en-AU"/>
              </w:rPr>
            </w:pPr>
            <w:r>
              <w:rPr>
                <w:lang w:eastAsia="en-AU"/>
              </w:rPr>
              <w:t xml:space="preserve">1–3 </w:t>
            </w:r>
            <w:r>
              <w:rPr>
                <w:lang w:eastAsia="en-AU"/>
              </w:rPr>
              <w:br/>
              <w:t>months</w:t>
            </w:r>
            <w:r>
              <w:rPr>
                <w:lang w:eastAsia="en-AU"/>
              </w:rPr>
              <w:br/>
              <w:t>$m</w:t>
            </w:r>
          </w:p>
        </w:tc>
        <w:tc>
          <w:tcPr>
            <w:tcW w:w="993" w:type="dxa"/>
            <w:tcBorders>
              <w:top w:val="nil"/>
              <w:left w:val="nil"/>
              <w:bottom w:val="nil"/>
              <w:right w:val="nil"/>
            </w:tcBorders>
            <w:shd w:val="clear" w:color="auto" w:fill="7F7F7F" w:themeFill="text1" w:themeFillTint="80"/>
            <w:vAlign w:val="bottom"/>
            <w:hideMark/>
          </w:tcPr>
          <w:p w14:paraId="1332DCE8" w14:textId="77777777" w:rsidR="00FE7F8B" w:rsidRDefault="00FE7F8B">
            <w:pPr>
              <w:pStyle w:val="Tablecolumnheading"/>
              <w:jc w:val="center"/>
              <w:rPr>
                <w:lang w:eastAsia="en-AU"/>
              </w:rPr>
            </w:pPr>
            <w:r>
              <w:rPr>
                <w:lang w:eastAsia="en-AU"/>
              </w:rPr>
              <w:t>3 months–</w:t>
            </w:r>
            <w:r>
              <w:rPr>
                <w:lang w:eastAsia="en-AU"/>
              </w:rPr>
              <w:br/>
              <w:t>1 year</w:t>
            </w:r>
            <w:r>
              <w:rPr>
                <w:rStyle w:val="FootnoteReference"/>
              </w:rPr>
              <w:t>1</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21517E82" w14:textId="77777777" w:rsidR="00FE7F8B" w:rsidRDefault="00FE7F8B">
            <w:pPr>
              <w:pStyle w:val="Tablecolumnheading"/>
              <w:jc w:val="center"/>
              <w:rPr>
                <w:lang w:eastAsia="en-AU"/>
              </w:rPr>
            </w:pPr>
            <w:r>
              <w:rPr>
                <w:lang w:eastAsia="en-AU"/>
              </w:rPr>
              <w:t>Over 1 year</w:t>
            </w:r>
            <w:r>
              <w:rPr>
                <w:rStyle w:val="FootnoteReference"/>
              </w:rPr>
              <w:t>1</w:t>
            </w:r>
            <w:r>
              <w:rPr>
                <w:lang w:eastAsia="en-AU"/>
              </w:rPr>
              <w:br/>
              <w:t>$m</w:t>
            </w:r>
          </w:p>
        </w:tc>
        <w:tc>
          <w:tcPr>
            <w:tcW w:w="851" w:type="dxa"/>
            <w:tcBorders>
              <w:top w:val="nil"/>
              <w:left w:val="nil"/>
              <w:bottom w:val="nil"/>
              <w:right w:val="nil"/>
            </w:tcBorders>
            <w:shd w:val="clear" w:color="auto" w:fill="7F7F7F" w:themeFill="text1" w:themeFillTint="80"/>
            <w:vAlign w:val="bottom"/>
            <w:hideMark/>
          </w:tcPr>
          <w:p w14:paraId="4E6F0CFA" w14:textId="77777777" w:rsidR="00FE7F8B" w:rsidRDefault="00FE7F8B">
            <w:pPr>
              <w:pStyle w:val="Tablecolumnheading"/>
              <w:jc w:val="center"/>
              <w:rPr>
                <w:lang w:eastAsia="en-AU"/>
              </w:rPr>
            </w:pPr>
            <w:r>
              <w:rPr>
                <w:lang w:eastAsia="en-AU"/>
              </w:rPr>
              <w:t>&gt; 5 years</w:t>
            </w:r>
            <w:r>
              <w:rPr>
                <w:rStyle w:val="FootnoteReference"/>
              </w:rPr>
              <w:t>1</w:t>
            </w:r>
            <w:r>
              <w:rPr>
                <w:lang w:eastAsia="en-AU"/>
              </w:rPr>
              <w:br/>
              <w:t>$m</w:t>
            </w:r>
          </w:p>
        </w:tc>
      </w:tr>
      <w:tr w:rsidR="00FE7F8B" w14:paraId="71680CD5" w14:textId="77777777" w:rsidTr="00FE7F8B">
        <w:tc>
          <w:tcPr>
            <w:tcW w:w="856" w:type="dxa"/>
            <w:tcBorders>
              <w:top w:val="nil"/>
              <w:left w:val="nil"/>
              <w:bottom w:val="nil"/>
              <w:right w:val="nil"/>
            </w:tcBorders>
            <w:vAlign w:val="bottom"/>
            <w:hideMark/>
          </w:tcPr>
          <w:p w14:paraId="7D0596C6" w14:textId="77777777" w:rsidR="00FE7F8B" w:rsidRDefault="00FE7F8B">
            <w:pPr>
              <w:pStyle w:val="Tabletextnoindent"/>
            </w:pPr>
            <w:r>
              <w:t>Payables</w:t>
            </w:r>
          </w:p>
        </w:tc>
        <w:tc>
          <w:tcPr>
            <w:tcW w:w="850" w:type="dxa"/>
            <w:gridSpan w:val="2"/>
            <w:tcBorders>
              <w:top w:val="nil"/>
              <w:left w:val="nil"/>
              <w:bottom w:val="nil"/>
              <w:right w:val="nil"/>
            </w:tcBorders>
            <w:vAlign w:val="bottom"/>
            <w:hideMark/>
          </w:tcPr>
          <w:p w14:paraId="5A7624D0" w14:textId="77777777" w:rsidR="00FE7F8B" w:rsidRDefault="00FE7F8B">
            <w:pPr>
              <w:pStyle w:val="TableTextFinancial"/>
              <w:jc w:val="right"/>
            </w:pPr>
            <w:r>
              <w:t>296.1</w:t>
            </w:r>
          </w:p>
        </w:tc>
        <w:tc>
          <w:tcPr>
            <w:tcW w:w="851" w:type="dxa"/>
            <w:tcBorders>
              <w:top w:val="nil"/>
              <w:left w:val="nil"/>
              <w:bottom w:val="nil"/>
              <w:right w:val="nil"/>
            </w:tcBorders>
            <w:vAlign w:val="bottom"/>
            <w:hideMark/>
          </w:tcPr>
          <w:p w14:paraId="016F1536" w14:textId="77777777" w:rsidR="00FE7F8B" w:rsidRDefault="00FE7F8B">
            <w:pPr>
              <w:pStyle w:val="TableTextFinancial"/>
              <w:jc w:val="right"/>
            </w:pPr>
            <w:r>
              <w:t>296.1</w:t>
            </w:r>
          </w:p>
        </w:tc>
        <w:tc>
          <w:tcPr>
            <w:tcW w:w="992" w:type="dxa"/>
            <w:tcBorders>
              <w:top w:val="nil"/>
              <w:left w:val="nil"/>
              <w:bottom w:val="nil"/>
              <w:right w:val="nil"/>
            </w:tcBorders>
            <w:vAlign w:val="bottom"/>
            <w:hideMark/>
          </w:tcPr>
          <w:p w14:paraId="1D8D5D56" w14:textId="77777777" w:rsidR="00FE7F8B" w:rsidRDefault="00FE7F8B">
            <w:pPr>
              <w:pStyle w:val="TableTextFinancial"/>
              <w:jc w:val="right"/>
            </w:pPr>
            <w:r>
              <w:t>301.7</w:t>
            </w:r>
          </w:p>
        </w:tc>
        <w:tc>
          <w:tcPr>
            <w:tcW w:w="992" w:type="dxa"/>
            <w:tcBorders>
              <w:top w:val="nil"/>
              <w:left w:val="nil"/>
              <w:bottom w:val="nil"/>
              <w:right w:val="nil"/>
            </w:tcBorders>
            <w:vAlign w:val="bottom"/>
            <w:hideMark/>
          </w:tcPr>
          <w:p w14:paraId="53425FDE" w14:textId="77777777" w:rsidR="00FE7F8B" w:rsidRDefault="00FE7F8B">
            <w:pPr>
              <w:pStyle w:val="TableTextFinancial"/>
              <w:jc w:val="right"/>
            </w:pPr>
            <w:r>
              <w:t>1.4</w:t>
            </w:r>
          </w:p>
        </w:tc>
        <w:tc>
          <w:tcPr>
            <w:tcW w:w="993" w:type="dxa"/>
            <w:tcBorders>
              <w:top w:val="nil"/>
              <w:left w:val="nil"/>
              <w:bottom w:val="nil"/>
              <w:right w:val="nil"/>
            </w:tcBorders>
            <w:vAlign w:val="bottom"/>
            <w:hideMark/>
          </w:tcPr>
          <w:p w14:paraId="3464B2C2" w14:textId="77777777" w:rsidR="00FE7F8B" w:rsidRDefault="00FE7F8B">
            <w:pPr>
              <w:pStyle w:val="TableTextFinancial"/>
              <w:jc w:val="right"/>
            </w:pPr>
            <w:r>
              <w:t>(4.4)</w:t>
            </w:r>
          </w:p>
        </w:tc>
        <w:tc>
          <w:tcPr>
            <w:tcW w:w="850" w:type="dxa"/>
            <w:tcBorders>
              <w:top w:val="nil"/>
              <w:left w:val="nil"/>
              <w:bottom w:val="nil"/>
              <w:right w:val="nil"/>
            </w:tcBorders>
            <w:vAlign w:val="bottom"/>
            <w:hideMark/>
          </w:tcPr>
          <w:p w14:paraId="162A9C3D" w14:textId="77777777" w:rsidR="00FE7F8B" w:rsidRDefault="00FE7F8B">
            <w:pPr>
              <w:pStyle w:val="TableTextFinancial"/>
              <w:jc w:val="right"/>
            </w:pPr>
            <w:r>
              <w:t>(0.8)</w:t>
            </w:r>
          </w:p>
        </w:tc>
        <w:tc>
          <w:tcPr>
            <w:tcW w:w="851" w:type="dxa"/>
            <w:tcBorders>
              <w:top w:val="nil"/>
              <w:left w:val="nil"/>
              <w:bottom w:val="nil"/>
              <w:right w:val="nil"/>
            </w:tcBorders>
            <w:vAlign w:val="bottom"/>
            <w:hideMark/>
          </w:tcPr>
          <w:p w14:paraId="7BB888E1" w14:textId="77777777" w:rsidR="00FE7F8B" w:rsidRDefault="00FE7F8B">
            <w:pPr>
              <w:pStyle w:val="TableTextFinancial"/>
              <w:jc w:val="right"/>
            </w:pPr>
            <w:r>
              <w:t>(1.9)</w:t>
            </w:r>
          </w:p>
        </w:tc>
      </w:tr>
      <w:tr w:rsidR="00FE7F8B" w14:paraId="088C2B44" w14:textId="77777777" w:rsidTr="00FE7F8B">
        <w:tc>
          <w:tcPr>
            <w:tcW w:w="856" w:type="dxa"/>
            <w:tcBorders>
              <w:top w:val="nil"/>
              <w:left w:val="nil"/>
              <w:bottom w:val="single" w:sz="4" w:space="0" w:color="auto"/>
              <w:right w:val="nil"/>
            </w:tcBorders>
            <w:vAlign w:val="bottom"/>
            <w:hideMark/>
          </w:tcPr>
          <w:p w14:paraId="3FC13333" w14:textId="77777777" w:rsidR="00FE7F8B" w:rsidRDefault="00FE7F8B">
            <w:pPr>
              <w:pStyle w:val="Tabletextnoindent"/>
            </w:pPr>
            <w:r>
              <w:t>Borrowings</w:t>
            </w:r>
          </w:p>
        </w:tc>
        <w:tc>
          <w:tcPr>
            <w:tcW w:w="850" w:type="dxa"/>
            <w:gridSpan w:val="2"/>
            <w:tcBorders>
              <w:top w:val="nil"/>
              <w:left w:val="nil"/>
              <w:bottom w:val="single" w:sz="4" w:space="0" w:color="auto"/>
              <w:right w:val="nil"/>
            </w:tcBorders>
            <w:vAlign w:val="bottom"/>
            <w:hideMark/>
          </w:tcPr>
          <w:p w14:paraId="71D6140D" w14:textId="77777777" w:rsidR="00FE7F8B" w:rsidRDefault="00FE7F8B">
            <w:pPr>
              <w:pStyle w:val="TableTextFinancial"/>
              <w:jc w:val="right"/>
            </w:pPr>
            <w:r>
              <w:t>255.1</w:t>
            </w:r>
          </w:p>
        </w:tc>
        <w:tc>
          <w:tcPr>
            <w:tcW w:w="851" w:type="dxa"/>
            <w:tcBorders>
              <w:top w:val="nil"/>
              <w:left w:val="nil"/>
              <w:bottom w:val="single" w:sz="4" w:space="0" w:color="auto"/>
              <w:right w:val="nil"/>
            </w:tcBorders>
            <w:vAlign w:val="bottom"/>
            <w:hideMark/>
          </w:tcPr>
          <w:p w14:paraId="3CCC1F79" w14:textId="77777777" w:rsidR="00FE7F8B" w:rsidRDefault="00FE7F8B">
            <w:pPr>
              <w:pStyle w:val="TableTextFinancial"/>
              <w:jc w:val="right"/>
            </w:pPr>
            <w:r>
              <w:t>400.5</w:t>
            </w:r>
          </w:p>
        </w:tc>
        <w:tc>
          <w:tcPr>
            <w:tcW w:w="992" w:type="dxa"/>
            <w:tcBorders>
              <w:top w:val="nil"/>
              <w:left w:val="nil"/>
              <w:bottom w:val="single" w:sz="4" w:space="0" w:color="auto"/>
              <w:right w:val="nil"/>
            </w:tcBorders>
            <w:vAlign w:val="bottom"/>
            <w:hideMark/>
          </w:tcPr>
          <w:p w14:paraId="7DE03C65" w14:textId="77777777" w:rsidR="00FE7F8B" w:rsidRDefault="00FE7F8B">
            <w:pPr>
              <w:pStyle w:val="TableTextFinancial"/>
              <w:jc w:val="right"/>
            </w:pPr>
            <w:r>
              <w:t>1.3</w:t>
            </w:r>
          </w:p>
        </w:tc>
        <w:tc>
          <w:tcPr>
            <w:tcW w:w="992" w:type="dxa"/>
            <w:tcBorders>
              <w:top w:val="nil"/>
              <w:left w:val="nil"/>
              <w:bottom w:val="single" w:sz="4" w:space="0" w:color="auto"/>
              <w:right w:val="nil"/>
            </w:tcBorders>
            <w:vAlign w:val="bottom"/>
            <w:hideMark/>
          </w:tcPr>
          <w:p w14:paraId="1E79EDEC" w14:textId="77777777" w:rsidR="00FE7F8B" w:rsidRDefault="00FE7F8B">
            <w:pPr>
              <w:pStyle w:val="TableTextFinancial"/>
              <w:jc w:val="right"/>
            </w:pPr>
            <w:r>
              <w:t>4.4</w:t>
            </w:r>
          </w:p>
        </w:tc>
        <w:tc>
          <w:tcPr>
            <w:tcW w:w="993" w:type="dxa"/>
            <w:tcBorders>
              <w:top w:val="nil"/>
              <w:left w:val="nil"/>
              <w:bottom w:val="single" w:sz="4" w:space="0" w:color="auto"/>
              <w:right w:val="nil"/>
            </w:tcBorders>
            <w:vAlign w:val="bottom"/>
            <w:hideMark/>
          </w:tcPr>
          <w:p w14:paraId="46A93AB2" w14:textId="77777777" w:rsidR="00FE7F8B" w:rsidRDefault="00FE7F8B">
            <w:pPr>
              <w:pStyle w:val="TableTextFinancial"/>
              <w:jc w:val="right"/>
            </w:pPr>
            <w:r>
              <w:t>27.6</w:t>
            </w:r>
          </w:p>
        </w:tc>
        <w:tc>
          <w:tcPr>
            <w:tcW w:w="850" w:type="dxa"/>
            <w:tcBorders>
              <w:top w:val="nil"/>
              <w:left w:val="nil"/>
              <w:bottom w:val="single" w:sz="4" w:space="0" w:color="auto"/>
              <w:right w:val="nil"/>
            </w:tcBorders>
            <w:vAlign w:val="bottom"/>
            <w:hideMark/>
          </w:tcPr>
          <w:p w14:paraId="653D8ED6" w14:textId="77777777" w:rsidR="00FE7F8B" w:rsidRDefault="00FE7F8B">
            <w:pPr>
              <w:pStyle w:val="TableTextFinancial"/>
              <w:jc w:val="right"/>
            </w:pPr>
            <w:r>
              <w:t>90.3</w:t>
            </w:r>
          </w:p>
        </w:tc>
        <w:tc>
          <w:tcPr>
            <w:tcW w:w="851" w:type="dxa"/>
            <w:tcBorders>
              <w:top w:val="nil"/>
              <w:left w:val="nil"/>
              <w:bottom w:val="single" w:sz="4" w:space="0" w:color="auto"/>
              <w:right w:val="nil"/>
            </w:tcBorders>
            <w:vAlign w:val="bottom"/>
            <w:hideMark/>
          </w:tcPr>
          <w:p w14:paraId="059D8F39" w14:textId="77777777" w:rsidR="00FE7F8B" w:rsidRDefault="00FE7F8B">
            <w:pPr>
              <w:pStyle w:val="TableTextFinancial"/>
              <w:jc w:val="right"/>
            </w:pPr>
            <w:r>
              <w:t>276.8</w:t>
            </w:r>
          </w:p>
        </w:tc>
      </w:tr>
      <w:tr w:rsidR="00FE7F8B" w14:paraId="7E3A06EF" w14:textId="77777777" w:rsidTr="00FE7F8B">
        <w:tc>
          <w:tcPr>
            <w:tcW w:w="856" w:type="dxa"/>
            <w:tcBorders>
              <w:top w:val="single" w:sz="4" w:space="0" w:color="auto"/>
              <w:left w:val="nil"/>
              <w:bottom w:val="single" w:sz="4" w:space="0" w:color="auto"/>
              <w:right w:val="nil"/>
            </w:tcBorders>
            <w:vAlign w:val="bottom"/>
            <w:hideMark/>
          </w:tcPr>
          <w:p w14:paraId="046493F7" w14:textId="77777777" w:rsidR="00FE7F8B" w:rsidRDefault="00FE7F8B">
            <w:pPr>
              <w:pStyle w:val="Tabletextnoindent"/>
              <w:rPr>
                <w:b/>
              </w:rPr>
            </w:pPr>
            <w:r>
              <w:rPr>
                <w:b/>
              </w:rPr>
              <w:t>Total</w:t>
            </w:r>
          </w:p>
        </w:tc>
        <w:tc>
          <w:tcPr>
            <w:tcW w:w="850" w:type="dxa"/>
            <w:gridSpan w:val="2"/>
            <w:tcBorders>
              <w:top w:val="single" w:sz="4" w:space="0" w:color="auto"/>
              <w:left w:val="nil"/>
              <w:bottom w:val="single" w:sz="4" w:space="0" w:color="auto"/>
              <w:right w:val="nil"/>
            </w:tcBorders>
            <w:vAlign w:val="bottom"/>
            <w:hideMark/>
          </w:tcPr>
          <w:p w14:paraId="218D306A" w14:textId="77777777" w:rsidR="00FE7F8B" w:rsidRDefault="00FE7F8B">
            <w:pPr>
              <w:pStyle w:val="TableTextFinancial"/>
              <w:jc w:val="right"/>
              <w:rPr>
                <w:b/>
              </w:rPr>
            </w:pPr>
            <w:r>
              <w:rPr>
                <w:b/>
              </w:rPr>
              <w:t>551.2</w:t>
            </w:r>
          </w:p>
        </w:tc>
        <w:tc>
          <w:tcPr>
            <w:tcW w:w="851" w:type="dxa"/>
            <w:tcBorders>
              <w:top w:val="single" w:sz="4" w:space="0" w:color="auto"/>
              <w:left w:val="nil"/>
              <w:bottom w:val="single" w:sz="4" w:space="0" w:color="auto"/>
              <w:right w:val="nil"/>
            </w:tcBorders>
            <w:vAlign w:val="bottom"/>
            <w:hideMark/>
          </w:tcPr>
          <w:p w14:paraId="40872980" w14:textId="77777777" w:rsidR="00FE7F8B" w:rsidRDefault="00FE7F8B">
            <w:pPr>
              <w:pStyle w:val="TableTextFinancial"/>
              <w:jc w:val="right"/>
              <w:rPr>
                <w:b/>
              </w:rPr>
            </w:pPr>
            <w:r>
              <w:rPr>
                <w:b/>
              </w:rPr>
              <w:t>696.5</w:t>
            </w:r>
          </w:p>
        </w:tc>
        <w:tc>
          <w:tcPr>
            <w:tcW w:w="992" w:type="dxa"/>
            <w:tcBorders>
              <w:top w:val="single" w:sz="4" w:space="0" w:color="auto"/>
              <w:left w:val="nil"/>
              <w:bottom w:val="single" w:sz="4" w:space="0" w:color="auto"/>
              <w:right w:val="nil"/>
            </w:tcBorders>
            <w:vAlign w:val="bottom"/>
            <w:hideMark/>
          </w:tcPr>
          <w:p w14:paraId="1C4FE8EC" w14:textId="77777777" w:rsidR="00FE7F8B" w:rsidRDefault="00FE7F8B">
            <w:pPr>
              <w:pStyle w:val="TableTextFinancial"/>
              <w:jc w:val="right"/>
              <w:rPr>
                <w:b/>
              </w:rPr>
            </w:pPr>
            <w:r>
              <w:rPr>
                <w:b/>
              </w:rPr>
              <w:t>303.0</w:t>
            </w:r>
          </w:p>
        </w:tc>
        <w:tc>
          <w:tcPr>
            <w:tcW w:w="992" w:type="dxa"/>
            <w:tcBorders>
              <w:top w:val="single" w:sz="4" w:space="0" w:color="auto"/>
              <w:left w:val="nil"/>
              <w:bottom w:val="single" w:sz="4" w:space="0" w:color="auto"/>
              <w:right w:val="nil"/>
            </w:tcBorders>
            <w:vAlign w:val="bottom"/>
            <w:hideMark/>
          </w:tcPr>
          <w:p w14:paraId="40A75BE8" w14:textId="77777777" w:rsidR="00FE7F8B" w:rsidRDefault="00FE7F8B">
            <w:pPr>
              <w:pStyle w:val="TableTextFinancial"/>
              <w:jc w:val="right"/>
              <w:rPr>
                <w:b/>
              </w:rPr>
            </w:pPr>
            <w:r>
              <w:rPr>
                <w:b/>
              </w:rPr>
              <w:t>5.8</w:t>
            </w:r>
          </w:p>
        </w:tc>
        <w:tc>
          <w:tcPr>
            <w:tcW w:w="993" w:type="dxa"/>
            <w:tcBorders>
              <w:top w:val="single" w:sz="4" w:space="0" w:color="auto"/>
              <w:left w:val="nil"/>
              <w:bottom w:val="single" w:sz="4" w:space="0" w:color="auto"/>
              <w:right w:val="nil"/>
            </w:tcBorders>
            <w:vAlign w:val="bottom"/>
            <w:hideMark/>
          </w:tcPr>
          <w:p w14:paraId="6F7DB9A1" w14:textId="77777777" w:rsidR="00FE7F8B" w:rsidRDefault="00FE7F8B">
            <w:pPr>
              <w:pStyle w:val="TableTextFinancial"/>
              <w:jc w:val="right"/>
              <w:rPr>
                <w:b/>
              </w:rPr>
            </w:pPr>
            <w:r>
              <w:rPr>
                <w:b/>
              </w:rPr>
              <w:t>23.3</w:t>
            </w:r>
          </w:p>
        </w:tc>
        <w:tc>
          <w:tcPr>
            <w:tcW w:w="850" w:type="dxa"/>
            <w:tcBorders>
              <w:top w:val="single" w:sz="4" w:space="0" w:color="auto"/>
              <w:left w:val="nil"/>
              <w:bottom w:val="single" w:sz="4" w:space="0" w:color="auto"/>
              <w:right w:val="nil"/>
            </w:tcBorders>
            <w:vAlign w:val="bottom"/>
            <w:hideMark/>
          </w:tcPr>
          <w:p w14:paraId="45475A56" w14:textId="77777777" w:rsidR="00FE7F8B" w:rsidRDefault="00FE7F8B">
            <w:pPr>
              <w:pStyle w:val="TableTextFinancial"/>
              <w:jc w:val="right"/>
              <w:rPr>
                <w:b/>
              </w:rPr>
            </w:pPr>
            <w:r>
              <w:rPr>
                <w:b/>
              </w:rPr>
              <w:t>89.6</w:t>
            </w:r>
          </w:p>
        </w:tc>
        <w:tc>
          <w:tcPr>
            <w:tcW w:w="851" w:type="dxa"/>
            <w:tcBorders>
              <w:top w:val="single" w:sz="4" w:space="0" w:color="auto"/>
              <w:left w:val="nil"/>
              <w:bottom w:val="single" w:sz="4" w:space="0" w:color="auto"/>
              <w:right w:val="nil"/>
            </w:tcBorders>
            <w:vAlign w:val="bottom"/>
            <w:hideMark/>
          </w:tcPr>
          <w:p w14:paraId="5D617107" w14:textId="77777777" w:rsidR="00FE7F8B" w:rsidRDefault="00FE7F8B">
            <w:pPr>
              <w:pStyle w:val="TableTextFinancial"/>
              <w:jc w:val="right"/>
              <w:rPr>
                <w:b/>
              </w:rPr>
            </w:pPr>
            <w:r>
              <w:rPr>
                <w:b/>
              </w:rPr>
              <w:t>274.9</w:t>
            </w:r>
          </w:p>
        </w:tc>
      </w:tr>
    </w:tbl>
    <w:p w14:paraId="27EBF45C" w14:textId="1A6BFDD6" w:rsidR="00FE7F8B" w:rsidRPr="00BB1129" w:rsidRDefault="00FE7F8B" w:rsidP="00BB1129">
      <w:pPr>
        <w:pStyle w:val="DETFootnoteTextforobjectivestablesOHStable"/>
        <w:spacing w:before="120"/>
      </w:pPr>
      <w:r>
        <w:rPr>
          <w:vertAlign w:val="superscript"/>
        </w:rPr>
        <w:t>1</w:t>
      </w:r>
      <w:r>
        <w:t xml:space="preserve"> Includes credit notes from registered training providers arising from reporting issues (other than compliance). The Department will review its processes during 2016-17 to determine whether these credit notes are likely to be redeemed.</w:t>
      </w:r>
    </w:p>
    <w:p w14:paraId="220A314F" w14:textId="77777777" w:rsidR="00FE7F8B" w:rsidRDefault="00FE7F8B" w:rsidP="00AD641C">
      <w:pPr>
        <w:pStyle w:val="Heading3notesnumbered"/>
        <w:numPr>
          <w:ilvl w:val="0"/>
          <w:numId w:val="40"/>
        </w:numPr>
      </w:pPr>
      <w:r>
        <w:t>Market risk</w:t>
      </w:r>
    </w:p>
    <w:p w14:paraId="7C126CE7" w14:textId="77777777" w:rsidR="00FE7F8B" w:rsidRDefault="00FE7F8B" w:rsidP="00FE7F8B">
      <w:r>
        <w:t>The Department’s exposure to market risk is primarily through interest rate risk with minimal exposure to foreign currency and other price risks. Objectives, policies and processes used to manage each of these risks are disclosed in the paragraphs below.</w:t>
      </w:r>
    </w:p>
    <w:p w14:paraId="69E8C583" w14:textId="77777777" w:rsidR="00FE7F8B" w:rsidRDefault="00FE7F8B" w:rsidP="00FE7F8B">
      <w:pPr>
        <w:pStyle w:val="Heading4notes"/>
      </w:pPr>
      <w:r>
        <w:t>Foreign currency risk</w:t>
      </w:r>
    </w:p>
    <w:p w14:paraId="21EE2C80" w14:textId="77777777" w:rsidR="00FE7F8B" w:rsidRDefault="00FE7F8B" w:rsidP="00FE7F8B">
      <w:r>
        <w:t>The Department is exposed to insignificant foreign currency risk through its payables relating to purchases of supplies and consumables from overseas. This is because of a limited amount of purchases denominated in foreign currencies as it is not the Department's ordinary business to enter such transactions, and a short timeframe between commitment and settlement.</w:t>
      </w:r>
    </w:p>
    <w:p w14:paraId="492DF248" w14:textId="77777777" w:rsidR="00FE7F8B" w:rsidRDefault="00FE7F8B" w:rsidP="00FE7F8B">
      <w:r>
        <w:t>The Department is also exposed to foreign currency risk through purchases that are linked to currency other than the functional currency.</w:t>
      </w:r>
    </w:p>
    <w:p w14:paraId="02B48E73" w14:textId="77777777" w:rsidR="00FE7F8B" w:rsidRDefault="00FE7F8B" w:rsidP="00FE7F8B">
      <w:r>
        <w:t>When the Department is exposed to significant foreign currency risk, the Department manages its risk through continuous monitoring of movements in exchange rates against the US dollar and ensures availability of funds through rigorous cash flow planning and monitoring. Based on past and current assessment of economic outlook, it is deemed unnecessary for the Department to enter into any hedging arrangements to manage the risk.</w:t>
      </w:r>
    </w:p>
    <w:p w14:paraId="63C98088" w14:textId="77777777" w:rsidR="00FE7F8B" w:rsidRDefault="00FE7F8B" w:rsidP="00FE7F8B">
      <w:pPr>
        <w:pStyle w:val="Heading4notes"/>
      </w:pPr>
      <w:r>
        <w:t>Interest rate risk</w:t>
      </w:r>
    </w:p>
    <w:p w14:paraId="4454C86F" w14:textId="77777777" w:rsidR="00FE7F8B" w:rsidRDefault="00FE7F8B" w:rsidP="00FE7F8B">
      <w:r>
        <w:t>Fair value interest rate risk is the risk that the fair value of a financial instrument will fluctuate because of changes in market interest rates. The Department does not hold any interest bearing financial instruments that are measured at fair value, therefore has nil exposure to fair value interest rate risk.</w:t>
      </w:r>
    </w:p>
    <w:p w14:paraId="039A31CE" w14:textId="77777777" w:rsidR="00FE7F8B" w:rsidRDefault="00FE7F8B" w:rsidP="00FE7F8B">
      <w:r>
        <w:t>Cash flow interest rate risk is the risk that the future cash flows of a financial instrument will fluctuate because of changes in market interest rates.</w:t>
      </w:r>
    </w:p>
    <w:p w14:paraId="4D755964" w14:textId="77777777" w:rsidR="00FE7F8B" w:rsidRDefault="00FE7F8B" w:rsidP="00FE7F8B">
      <w:r>
        <w:t>The Department has minimal exposure to cash flow interest rate risks through its cash and deposits, term deposits, bank overdrafts and schools’ co-operative loans that are at floating rate.</w:t>
      </w:r>
    </w:p>
    <w:p w14:paraId="29F33BF4" w14:textId="77777777" w:rsidR="00FE7F8B" w:rsidRDefault="00FE7F8B" w:rsidP="00FE7F8B">
      <w:r>
        <w:t>The Department manages this risk by mainly undertaking fixed rate or non-interest bearing financial instruments with relatively even maturity profiles, with only insignificant amounts of financial instruments at floating rate. Management has concluded that cash at bank, as a financial asset, can be left at floating rate without necessarily exposing the Department to significant adverse risk. Management monitors movement in interest rates.</w:t>
      </w:r>
    </w:p>
    <w:p w14:paraId="734FC552" w14:textId="77777777" w:rsidR="00FE7F8B" w:rsidRDefault="00FE7F8B" w:rsidP="00FE7F8B">
      <w:r>
        <w:t>The carrying amounts of financial assets and financial liabilities that are exposed to interest rates are set out in Table 13. In addition, the Department’s sensitivity to interest rate risk is set out in the Table 14.</w:t>
      </w:r>
    </w:p>
    <w:p w14:paraId="5651D825" w14:textId="77777777" w:rsidR="00FE7F8B" w:rsidRDefault="00FE7F8B" w:rsidP="00FE7F8B">
      <w:pPr>
        <w:pStyle w:val="Caption"/>
      </w:pPr>
      <w:bookmarkStart w:id="115" w:name="_Ref399510424"/>
      <w:r>
        <w:t xml:space="preserve">Table </w:t>
      </w:r>
      <w:bookmarkEnd w:id="115"/>
      <w:r>
        <w:fldChar w:fldCharType="begin"/>
      </w:r>
      <w:r>
        <w:instrText xml:space="preserve"> SEQ Table \* ARABIC </w:instrText>
      </w:r>
      <w:r>
        <w:fldChar w:fldCharType="separate"/>
      </w:r>
      <w:r w:rsidR="00B60957">
        <w:rPr>
          <w:noProof/>
        </w:rPr>
        <w:t>13</w:t>
      </w:r>
      <w:r>
        <w:fldChar w:fldCharType="end"/>
      </w:r>
      <w:r>
        <w:t>—Interest rate exposure of financial instruments</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7"/>
        <w:gridCol w:w="993"/>
        <w:gridCol w:w="993"/>
        <w:gridCol w:w="994"/>
        <w:gridCol w:w="850"/>
        <w:gridCol w:w="993"/>
      </w:tblGrid>
      <w:tr w:rsidR="00FE7F8B" w14:paraId="020D2315" w14:textId="77777777" w:rsidTr="00FE7F8B">
        <w:tc>
          <w:tcPr>
            <w:tcW w:w="2557" w:type="dxa"/>
            <w:tcBorders>
              <w:top w:val="nil"/>
              <w:left w:val="nil"/>
              <w:bottom w:val="nil"/>
              <w:right w:val="nil"/>
            </w:tcBorders>
            <w:shd w:val="clear" w:color="auto" w:fill="7F7F7F" w:themeFill="text1" w:themeFillTint="80"/>
            <w:vAlign w:val="center"/>
          </w:tcPr>
          <w:p w14:paraId="1CDDD8F0"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center"/>
          </w:tcPr>
          <w:p w14:paraId="05D82C55"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center"/>
          </w:tcPr>
          <w:p w14:paraId="512974BF" w14:textId="77777777" w:rsidR="00FE7F8B" w:rsidRDefault="00FE7F8B">
            <w:pPr>
              <w:pStyle w:val="Tablecolumnheading"/>
              <w:jc w:val="center"/>
              <w:rPr>
                <w:lang w:eastAsia="en-AU"/>
              </w:rPr>
            </w:pPr>
          </w:p>
        </w:tc>
        <w:tc>
          <w:tcPr>
            <w:tcW w:w="2835" w:type="dxa"/>
            <w:gridSpan w:val="3"/>
            <w:tcBorders>
              <w:top w:val="nil"/>
              <w:left w:val="nil"/>
              <w:bottom w:val="nil"/>
              <w:right w:val="nil"/>
            </w:tcBorders>
            <w:shd w:val="clear" w:color="auto" w:fill="7F7F7F" w:themeFill="text1" w:themeFillTint="80"/>
            <w:vAlign w:val="center"/>
            <w:hideMark/>
          </w:tcPr>
          <w:p w14:paraId="3E70A23F" w14:textId="77777777" w:rsidR="00FE7F8B" w:rsidRDefault="00FE7F8B">
            <w:pPr>
              <w:pStyle w:val="Tablecolumnheading"/>
              <w:jc w:val="center"/>
              <w:rPr>
                <w:lang w:eastAsia="en-AU"/>
              </w:rPr>
            </w:pPr>
            <w:r>
              <w:rPr>
                <w:lang w:eastAsia="en-AU"/>
              </w:rPr>
              <w:t>Interest rate exposure</w:t>
            </w:r>
          </w:p>
        </w:tc>
      </w:tr>
      <w:tr w:rsidR="00FE7F8B" w14:paraId="39E5E082" w14:textId="77777777" w:rsidTr="00FE7F8B">
        <w:tc>
          <w:tcPr>
            <w:tcW w:w="2557" w:type="dxa"/>
            <w:tcBorders>
              <w:top w:val="nil"/>
              <w:left w:val="nil"/>
              <w:bottom w:val="nil"/>
              <w:right w:val="nil"/>
            </w:tcBorders>
            <w:shd w:val="clear" w:color="auto" w:fill="7F7F7F" w:themeFill="text1" w:themeFillTint="80"/>
            <w:vAlign w:val="center"/>
            <w:hideMark/>
          </w:tcPr>
          <w:p w14:paraId="4D078816" w14:textId="77777777" w:rsidR="00FE7F8B" w:rsidRDefault="00FE7F8B">
            <w:pPr>
              <w:pStyle w:val="Tablecolumnheading"/>
              <w:jc w:val="center"/>
              <w:rPr>
                <w:lang w:eastAsia="en-AU"/>
              </w:rPr>
            </w:pPr>
            <w:r>
              <w:rPr>
                <w:lang w:eastAsia="en-AU"/>
              </w:rPr>
              <w:t>2016</w:t>
            </w:r>
          </w:p>
        </w:tc>
        <w:tc>
          <w:tcPr>
            <w:tcW w:w="992" w:type="dxa"/>
            <w:tcBorders>
              <w:top w:val="nil"/>
              <w:left w:val="nil"/>
              <w:bottom w:val="nil"/>
              <w:right w:val="nil"/>
            </w:tcBorders>
            <w:shd w:val="clear" w:color="auto" w:fill="7F7F7F" w:themeFill="text1" w:themeFillTint="80"/>
            <w:vAlign w:val="bottom"/>
            <w:hideMark/>
          </w:tcPr>
          <w:p w14:paraId="34FC9B52" w14:textId="77777777" w:rsidR="00FE7F8B" w:rsidRDefault="00FE7F8B">
            <w:pPr>
              <w:pStyle w:val="Tablecolumnheading"/>
              <w:jc w:val="center"/>
              <w:rPr>
                <w:lang w:eastAsia="en-AU"/>
              </w:rPr>
            </w:pPr>
            <w:r>
              <w:rPr>
                <w:lang w:eastAsia="en-AU"/>
              </w:rPr>
              <w:t>Weighted average effective interest rate</w:t>
            </w:r>
            <w:r>
              <w:rPr>
                <w:lang w:eastAsia="en-AU"/>
              </w:rPr>
              <w:br/>
              <w:t>%</w:t>
            </w:r>
          </w:p>
        </w:tc>
        <w:tc>
          <w:tcPr>
            <w:tcW w:w="992" w:type="dxa"/>
            <w:tcBorders>
              <w:top w:val="nil"/>
              <w:left w:val="nil"/>
              <w:bottom w:val="nil"/>
              <w:right w:val="nil"/>
            </w:tcBorders>
            <w:shd w:val="clear" w:color="auto" w:fill="7F7F7F" w:themeFill="text1" w:themeFillTint="80"/>
            <w:vAlign w:val="bottom"/>
            <w:hideMark/>
          </w:tcPr>
          <w:p w14:paraId="59DF75C6" w14:textId="77777777" w:rsidR="00FE7F8B" w:rsidRDefault="00FE7F8B">
            <w:pPr>
              <w:pStyle w:val="Tablecolumnheading"/>
              <w:jc w:val="center"/>
              <w:rPr>
                <w:lang w:eastAsia="en-AU"/>
              </w:rPr>
            </w:pPr>
            <w:r>
              <w:rPr>
                <w:lang w:eastAsia="en-AU"/>
              </w:rPr>
              <w:t>Carrying amount</w:t>
            </w:r>
            <w:r>
              <w:rPr>
                <w:lang w:eastAsia="en-AU"/>
              </w:rPr>
              <w:br/>
              <w:t>$m</w:t>
            </w:r>
          </w:p>
        </w:tc>
        <w:tc>
          <w:tcPr>
            <w:tcW w:w="993" w:type="dxa"/>
            <w:tcBorders>
              <w:top w:val="nil"/>
              <w:left w:val="nil"/>
              <w:bottom w:val="nil"/>
              <w:right w:val="nil"/>
            </w:tcBorders>
            <w:shd w:val="clear" w:color="auto" w:fill="7F7F7F" w:themeFill="text1" w:themeFillTint="80"/>
            <w:vAlign w:val="bottom"/>
            <w:hideMark/>
          </w:tcPr>
          <w:p w14:paraId="6CB616BA" w14:textId="77777777" w:rsidR="00FE7F8B" w:rsidRDefault="00FE7F8B">
            <w:pPr>
              <w:pStyle w:val="Tablecolumnheading"/>
              <w:jc w:val="center"/>
              <w:rPr>
                <w:lang w:eastAsia="en-AU"/>
              </w:rPr>
            </w:pPr>
            <w:r>
              <w:rPr>
                <w:lang w:eastAsia="en-AU"/>
              </w:rPr>
              <w:t>Fixed interest rate</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2092C9B2" w14:textId="77777777" w:rsidR="00FE7F8B" w:rsidRDefault="00FE7F8B">
            <w:pPr>
              <w:pStyle w:val="Tablecolumnheading"/>
              <w:jc w:val="center"/>
              <w:rPr>
                <w:lang w:eastAsia="en-AU"/>
              </w:rPr>
            </w:pPr>
            <w:r>
              <w:rPr>
                <w:lang w:eastAsia="en-AU"/>
              </w:rPr>
              <w:t>Variable interest rate</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3A506956" w14:textId="77777777" w:rsidR="00FE7F8B" w:rsidRDefault="00FE7F8B">
            <w:pPr>
              <w:pStyle w:val="Tablecolumnheading"/>
              <w:jc w:val="center"/>
              <w:rPr>
                <w:lang w:eastAsia="en-AU"/>
              </w:rPr>
            </w:pPr>
            <w:r>
              <w:rPr>
                <w:lang w:eastAsia="en-AU"/>
              </w:rPr>
              <w:t>Non-interest bearing</w:t>
            </w:r>
            <w:r>
              <w:rPr>
                <w:lang w:eastAsia="en-AU"/>
              </w:rPr>
              <w:br/>
              <w:t>$m</w:t>
            </w:r>
          </w:p>
        </w:tc>
      </w:tr>
      <w:tr w:rsidR="00FE7F8B" w14:paraId="49C704BE" w14:textId="77777777" w:rsidTr="00FE7F8B">
        <w:tc>
          <w:tcPr>
            <w:tcW w:w="2557" w:type="dxa"/>
            <w:tcBorders>
              <w:top w:val="nil"/>
              <w:left w:val="nil"/>
              <w:bottom w:val="nil"/>
              <w:right w:val="nil"/>
            </w:tcBorders>
            <w:vAlign w:val="bottom"/>
            <w:hideMark/>
          </w:tcPr>
          <w:p w14:paraId="42E2B404" w14:textId="77777777" w:rsidR="00FE7F8B" w:rsidRDefault="00FE7F8B">
            <w:pPr>
              <w:pStyle w:val="Tabletextnoindent"/>
              <w:rPr>
                <w:b/>
              </w:rPr>
            </w:pPr>
            <w:r>
              <w:rPr>
                <w:b/>
              </w:rPr>
              <w:t>Financial assets</w:t>
            </w:r>
          </w:p>
        </w:tc>
        <w:tc>
          <w:tcPr>
            <w:tcW w:w="992" w:type="dxa"/>
            <w:tcBorders>
              <w:top w:val="nil"/>
              <w:left w:val="nil"/>
              <w:bottom w:val="nil"/>
              <w:right w:val="nil"/>
            </w:tcBorders>
          </w:tcPr>
          <w:p w14:paraId="0E20E0A9" w14:textId="77777777" w:rsidR="00FE7F8B" w:rsidRDefault="00FE7F8B">
            <w:pPr>
              <w:pStyle w:val="TableTextFinancial"/>
              <w:jc w:val="right"/>
            </w:pPr>
          </w:p>
        </w:tc>
        <w:tc>
          <w:tcPr>
            <w:tcW w:w="992" w:type="dxa"/>
            <w:tcBorders>
              <w:top w:val="nil"/>
              <w:left w:val="nil"/>
              <w:bottom w:val="nil"/>
              <w:right w:val="nil"/>
            </w:tcBorders>
            <w:vAlign w:val="bottom"/>
          </w:tcPr>
          <w:p w14:paraId="1E5779C1" w14:textId="77777777" w:rsidR="00FE7F8B" w:rsidRDefault="00FE7F8B">
            <w:pPr>
              <w:pStyle w:val="TableTextFinancial"/>
              <w:jc w:val="right"/>
            </w:pPr>
          </w:p>
        </w:tc>
        <w:tc>
          <w:tcPr>
            <w:tcW w:w="993" w:type="dxa"/>
            <w:tcBorders>
              <w:top w:val="nil"/>
              <w:left w:val="nil"/>
              <w:bottom w:val="nil"/>
              <w:right w:val="nil"/>
            </w:tcBorders>
            <w:vAlign w:val="bottom"/>
          </w:tcPr>
          <w:p w14:paraId="1CE6AA19" w14:textId="77777777" w:rsidR="00FE7F8B" w:rsidRDefault="00FE7F8B">
            <w:pPr>
              <w:pStyle w:val="TableTextFinancial"/>
              <w:jc w:val="right"/>
            </w:pPr>
          </w:p>
        </w:tc>
        <w:tc>
          <w:tcPr>
            <w:tcW w:w="850" w:type="dxa"/>
            <w:tcBorders>
              <w:top w:val="nil"/>
              <w:left w:val="nil"/>
              <w:bottom w:val="nil"/>
              <w:right w:val="nil"/>
            </w:tcBorders>
            <w:vAlign w:val="bottom"/>
          </w:tcPr>
          <w:p w14:paraId="58183169" w14:textId="77777777" w:rsidR="00FE7F8B" w:rsidRDefault="00FE7F8B">
            <w:pPr>
              <w:pStyle w:val="TableTextFinancial"/>
              <w:jc w:val="right"/>
            </w:pPr>
          </w:p>
        </w:tc>
        <w:tc>
          <w:tcPr>
            <w:tcW w:w="992" w:type="dxa"/>
            <w:tcBorders>
              <w:top w:val="nil"/>
              <w:left w:val="nil"/>
              <w:bottom w:val="nil"/>
              <w:right w:val="nil"/>
            </w:tcBorders>
            <w:vAlign w:val="bottom"/>
          </w:tcPr>
          <w:p w14:paraId="332C690E" w14:textId="77777777" w:rsidR="00FE7F8B" w:rsidRDefault="00FE7F8B">
            <w:pPr>
              <w:pStyle w:val="TableTextFinancial"/>
              <w:jc w:val="right"/>
            </w:pPr>
          </w:p>
        </w:tc>
      </w:tr>
      <w:tr w:rsidR="00FE7F8B" w14:paraId="3D67991C" w14:textId="77777777" w:rsidTr="00FE7F8B">
        <w:tc>
          <w:tcPr>
            <w:tcW w:w="2557" w:type="dxa"/>
            <w:tcBorders>
              <w:top w:val="nil"/>
              <w:left w:val="nil"/>
              <w:bottom w:val="nil"/>
              <w:right w:val="nil"/>
            </w:tcBorders>
            <w:vAlign w:val="bottom"/>
            <w:hideMark/>
          </w:tcPr>
          <w:p w14:paraId="730DD1E0" w14:textId="77777777" w:rsidR="00FE7F8B" w:rsidRDefault="00FE7F8B">
            <w:pPr>
              <w:pStyle w:val="Tabletextnoindenttight"/>
              <w:rPr>
                <w:lang w:eastAsia="en-US"/>
              </w:rPr>
            </w:pPr>
            <w:r>
              <w:rPr>
                <w:lang w:eastAsia="en-US"/>
              </w:rPr>
              <w:t>Cash and deposits—Department</w:t>
            </w:r>
          </w:p>
        </w:tc>
        <w:tc>
          <w:tcPr>
            <w:tcW w:w="992" w:type="dxa"/>
            <w:tcBorders>
              <w:top w:val="nil"/>
              <w:left w:val="nil"/>
              <w:bottom w:val="nil"/>
              <w:right w:val="nil"/>
            </w:tcBorders>
            <w:vAlign w:val="bottom"/>
            <w:hideMark/>
          </w:tcPr>
          <w:p w14:paraId="74396AF1"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59C8A765" w14:textId="77777777" w:rsidR="00FE7F8B" w:rsidRDefault="00FE7F8B">
            <w:pPr>
              <w:pStyle w:val="TableTextFinancial"/>
              <w:jc w:val="right"/>
            </w:pPr>
            <w:r>
              <w:t>205.4</w:t>
            </w:r>
          </w:p>
        </w:tc>
        <w:tc>
          <w:tcPr>
            <w:tcW w:w="993" w:type="dxa"/>
            <w:tcBorders>
              <w:top w:val="nil"/>
              <w:left w:val="nil"/>
              <w:bottom w:val="nil"/>
              <w:right w:val="nil"/>
            </w:tcBorders>
            <w:vAlign w:val="bottom"/>
            <w:hideMark/>
          </w:tcPr>
          <w:p w14:paraId="01CAB3AC" w14:textId="77777777" w:rsidR="00FE7F8B" w:rsidRDefault="00FE7F8B">
            <w:pPr>
              <w:pStyle w:val="TableTextFinancial"/>
              <w:jc w:val="right"/>
            </w:pPr>
            <w:r>
              <w:t>-</w:t>
            </w:r>
          </w:p>
        </w:tc>
        <w:tc>
          <w:tcPr>
            <w:tcW w:w="850" w:type="dxa"/>
            <w:tcBorders>
              <w:top w:val="nil"/>
              <w:left w:val="nil"/>
              <w:bottom w:val="nil"/>
              <w:right w:val="nil"/>
            </w:tcBorders>
            <w:vAlign w:val="bottom"/>
            <w:hideMark/>
          </w:tcPr>
          <w:p w14:paraId="585B8920"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4AA880F2" w14:textId="77777777" w:rsidR="00FE7F8B" w:rsidRDefault="00FE7F8B">
            <w:pPr>
              <w:pStyle w:val="TableTextFinancial"/>
              <w:jc w:val="right"/>
            </w:pPr>
            <w:r>
              <w:t>205.4</w:t>
            </w:r>
          </w:p>
        </w:tc>
      </w:tr>
      <w:tr w:rsidR="00FE7F8B" w14:paraId="78D2CC14" w14:textId="77777777" w:rsidTr="00FE7F8B">
        <w:tc>
          <w:tcPr>
            <w:tcW w:w="2557" w:type="dxa"/>
            <w:tcBorders>
              <w:top w:val="nil"/>
              <w:left w:val="nil"/>
              <w:bottom w:val="nil"/>
              <w:right w:val="nil"/>
            </w:tcBorders>
            <w:vAlign w:val="bottom"/>
            <w:hideMark/>
          </w:tcPr>
          <w:p w14:paraId="4A698ECE" w14:textId="77777777" w:rsidR="00FE7F8B" w:rsidRDefault="00FE7F8B">
            <w:pPr>
              <w:pStyle w:val="Tabletextnoindenttight"/>
              <w:rPr>
                <w:lang w:eastAsia="en-US"/>
              </w:rPr>
            </w:pPr>
            <w:r>
              <w:rPr>
                <w:lang w:eastAsia="en-US"/>
              </w:rPr>
              <w:t>Cash and deposits—Schools</w:t>
            </w:r>
          </w:p>
        </w:tc>
        <w:tc>
          <w:tcPr>
            <w:tcW w:w="992" w:type="dxa"/>
            <w:tcBorders>
              <w:top w:val="nil"/>
              <w:left w:val="nil"/>
              <w:bottom w:val="nil"/>
              <w:right w:val="nil"/>
            </w:tcBorders>
            <w:vAlign w:val="bottom"/>
            <w:hideMark/>
          </w:tcPr>
          <w:p w14:paraId="4E984130" w14:textId="77777777" w:rsidR="00FE7F8B" w:rsidRDefault="00FE7F8B">
            <w:pPr>
              <w:pStyle w:val="TableTextFinancial"/>
              <w:jc w:val="right"/>
            </w:pPr>
            <w:r>
              <w:t>1.9</w:t>
            </w:r>
          </w:p>
        </w:tc>
        <w:tc>
          <w:tcPr>
            <w:tcW w:w="992" w:type="dxa"/>
            <w:tcBorders>
              <w:top w:val="nil"/>
              <w:left w:val="nil"/>
              <w:bottom w:val="nil"/>
              <w:right w:val="nil"/>
            </w:tcBorders>
            <w:vAlign w:val="bottom"/>
            <w:hideMark/>
          </w:tcPr>
          <w:p w14:paraId="4209ABCC" w14:textId="77777777" w:rsidR="00FE7F8B" w:rsidRDefault="00FE7F8B">
            <w:pPr>
              <w:pStyle w:val="TableTextFinancial"/>
              <w:jc w:val="right"/>
            </w:pPr>
            <w:r>
              <w:t>497.8</w:t>
            </w:r>
          </w:p>
        </w:tc>
        <w:tc>
          <w:tcPr>
            <w:tcW w:w="993" w:type="dxa"/>
            <w:tcBorders>
              <w:top w:val="nil"/>
              <w:left w:val="nil"/>
              <w:bottom w:val="nil"/>
              <w:right w:val="nil"/>
            </w:tcBorders>
            <w:vAlign w:val="bottom"/>
            <w:hideMark/>
          </w:tcPr>
          <w:p w14:paraId="08109764" w14:textId="77777777" w:rsidR="00FE7F8B" w:rsidRDefault="00FE7F8B">
            <w:pPr>
              <w:pStyle w:val="TableTextFinancial"/>
              <w:jc w:val="right"/>
            </w:pPr>
            <w:r>
              <w:t>23.5</w:t>
            </w:r>
          </w:p>
        </w:tc>
        <w:tc>
          <w:tcPr>
            <w:tcW w:w="850" w:type="dxa"/>
            <w:tcBorders>
              <w:top w:val="nil"/>
              <w:left w:val="nil"/>
              <w:bottom w:val="nil"/>
              <w:right w:val="nil"/>
            </w:tcBorders>
            <w:vAlign w:val="bottom"/>
            <w:hideMark/>
          </w:tcPr>
          <w:p w14:paraId="7F8C887A" w14:textId="77777777" w:rsidR="00FE7F8B" w:rsidRDefault="00FE7F8B">
            <w:pPr>
              <w:pStyle w:val="TableTextFinancial"/>
              <w:jc w:val="right"/>
            </w:pPr>
            <w:r>
              <w:t>474.3</w:t>
            </w:r>
          </w:p>
        </w:tc>
        <w:tc>
          <w:tcPr>
            <w:tcW w:w="992" w:type="dxa"/>
            <w:tcBorders>
              <w:top w:val="nil"/>
              <w:left w:val="nil"/>
              <w:bottom w:val="nil"/>
              <w:right w:val="nil"/>
            </w:tcBorders>
            <w:vAlign w:val="bottom"/>
            <w:hideMark/>
          </w:tcPr>
          <w:p w14:paraId="4D5CB684" w14:textId="77777777" w:rsidR="00FE7F8B" w:rsidRDefault="00FE7F8B">
            <w:pPr>
              <w:pStyle w:val="TableTextFinancial"/>
              <w:jc w:val="right"/>
            </w:pPr>
            <w:r>
              <w:t>-</w:t>
            </w:r>
          </w:p>
        </w:tc>
      </w:tr>
      <w:tr w:rsidR="00FE7F8B" w14:paraId="62597BAA" w14:textId="77777777" w:rsidTr="00FE7F8B">
        <w:tc>
          <w:tcPr>
            <w:tcW w:w="2557" w:type="dxa"/>
            <w:tcBorders>
              <w:top w:val="nil"/>
              <w:left w:val="nil"/>
              <w:bottom w:val="nil"/>
              <w:right w:val="nil"/>
            </w:tcBorders>
            <w:vAlign w:val="bottom"/>
            <w:hideMark/>
          </w:tcPr>
          <w:p w14:paraId="49EC0B35" w14:textId="77777777" w:rsidR="00FE7F8B" w:rsidRDefault="00FE7F8B">
            <w:pPr>
              <w:pStyle w:val="Tabletextnoindenttight"/>
              <w:rPr>
                <w:lang w:eastAsia="en-US"/>
              </w:rPr>
            </w:pPr>
            <w:r>
              <w:rPr>
                <w:lang w:eastAsia="en-US"/>
              </w:rPr>
              <w:t>Receivables</w:t>
            </w:r>
          </w:p>
        </w:tc>
        <w:tc>
          <w:tcPr>
            <w:tcW w:w="992" w:type="dxa"/>
            <w:tcBorders>
              <w:top w:val="nil"/>
              <w:left w:val="nil"/>
              <w:bottom w:val="nil"/>
              <w:right w:val="nil"/>
            </w:tcBorders>
            <w:vAlign w:val="bottom"/>
            <w:hideMark/>
          </w:tcPr>
          <w:p w14:paraId="7F76D87A"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0D5BB390" w14:textId="77777777" w:rsidR="00FE7F8B" w:rsidRDefault="00FE7F8B">
            <w:pPr>
              <w:pStyle w:val="TableTextFinancial"/>
              <w:jc w:val="right"/>
            </w:pPr>
            <w:r>
              <w:t>86.0</w:t>
            </w:r>
          </w:p>
        </w:tc>
        <w:tc>
          <w:tcPr>
            <w:tcW w:w="993" w:type="dxa"/>
            <w:tcBorders>
              <w:top w:val="nil"/>
              <w:left w:val="nil"/>
              <w:bottom w:val="nil"/>
              <w:right w:val="nil"/>
            </w:tcBorders>
            <w:vAlign w:val="bottom"/>
            <w:hideMark/>
          </w:tcPr>
          <w:p w14:paraId="12045CE1" w14:textId="77777777" w:rsidR="00FE7F8B" w:rsidRDefault="00FE7F8B">
            <w:pPr>
              <w:pStyle w:val="TableTextFinancial"/>
              <w:jc w:val="right"/>
            </w:pPr>
            <w:r>
              <w:t>-</w:t>
            </w:r>
          </w:p>
        </w:tc>
        <w:tc>
          <w:tcPr>
            <w:tcW w:w="850" w:type="dxa"/>
            <w:tcBorders>
              <w:top w:val="nil"/>
              <w:left w:val="nil"/>
              <w:bottom w:val="nil"/>
              <w:right w:val="nil"/>
            </w:tcBorders>
            <w:vAlign w:val="bottom"/>
            <w:hideMark/>
          </w:tcPr>
          <w:p w14:paraId="4C6BD4BE"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5FCD4EEB" w14:textId="77777777" w:rsidR="00FE7F8B" w:rsidRDefault="00FE7F8B">
            <w:pPr>
              <w:pStyle w:val="TableTextFinancial"/>
              <w:jc w:val="right"/>
            </w:pPr>
            <w:r>
              <w:t>86.0</w:t>
            </w:r>
          </w:p>
        </w:tc>
      </w:tr>
      <w:tr w:rsidR="00FE7F8B" w14:paraId="4ED6B6D8" w14:textId="77777777" w:rsidTr="00FE7F8B">
        <w:tc>
          <w:tcPr>
            <w:tcW w:w="2557" w:type="dxa"/>
            <w:tcBorders>
              <w:top w:val="nil"/>
              <w:left w:val="nil"/>
              <w:bottom w:val="single" w:sz="4" w:space="0" w:color="auto"/>
              <w:right w:val="nil"/>
            </w:tcBorders>
            <w:vAlign w:val="bottom"/>
            <w:hideMark/>
          </w:tcPr>
          <w:p w14:paraId="1DEA10FC" w14:textId="77777777" w:rsidR="00FE7F8B" w:rsidRDefault="00FE7F8B">
            <w:pPr>
              <w:pStyle w:val="Tabletextnoindenttight"/>
              <w:rPr>
                <w:lang w:eastAsia="en-US"/>
              </w:rPr>
            </w:pPr>
            <w:r>
              <w:rPr>
                <w:lang w:eastAsia="en-US"/>
              </w:rPr>
              <w:t>Term deposits</w:t>
            </w:r>
          </w:p>
        </w:tc>
        <w:tc>
          <w:tcPr>
            <w:tcW w:w="992" w:type="dxa"/>
            <w:tcBorders>
              <w:top w:val="nil"/>
              <w:left w:val="nil"/>
              <w:bottom w:val="single" w:sz="4" w:space="0" w:color="auto"/>
              <w:right w:val="nil"/>
            </w:tcBorders>
            <w:vAlign w:val="bottom"/>
            <w:hideMark/>
          </w:tcPr>
          <w:p w14:paraId="379A606D" w14:textId="77777777" w:rsidR="00FE7F8B" w:rsidRDefault="00FE7F8B">
            <w:pPr>
              <w:pStyle w:val="TableTextFinancial"/>
              <w:jc w:val="right"/>
            </w:pPr>
            <w:r>
              <w:t>4.7</w:t>
            </w:r>
          </w:p>
        </w:tc>
        <w:tc>
          <w:tcPr>
            <w:tcW w:w="992" w:type="dxa"/>
            <w:tcBorders>
              <w:top w:val="nil"/>
              <w:left w:val="nil"/>
              <w:bottom w:val="single" w:sz="4" w:space="0" w:color="auto"/>
              <w:right w:val="nil"/>
            </w:tcBorders>
            <w:vAlign w:val="bottom"/>
            <w:hideMark/>
          </w:tcPr>
          <w:p w14:paraId="3871F703" w14:textId="77777777" w:rsidR="00FE7F8B" w:rsidRDefault="00FE7F8B">
            <w:pPr>
              <w:pStyle w:val="TableTextFinancial"/>
              <w:jc w:val="right"/>
            </w:pPr>
            <w:r>
              <w:t>274.9</w:t>
            </w:r>
          </w:p>
        </w:tc>
        <w:tc>
          <w:tcPr>
            <w:tcW w:w="993" w:type="dxa"/>
            <w:tcBorders>
              <w:top w:val="nil"/>
              <w:left w:val="nil"/>
              <w:bottom w:val="single" w:sz="4" w:space="0" w:color="auto"/>
              <w:right w:val="nil"/>
            </w:tcBorders>
            <w:vAlign w:val="bottom"/>
            <w:hideMark/>
          </w:tcPr>
          <w:p w14:paraId="071DF786" w14:textId="77777777" w:rsidR="00FE7F8B" w:rsidRDefault="00FE7F8B">
            <w:pPr>
              <w:pStyle w:val="TableTextFinancial"/>
              <w:jc w:val="right"/>
            </w:pPr>
            <w:r>
              <w:t>273.6</w:t>
            </w:r>
          </w:p>
        </w:tc>
        <w:tc>
          <w:tcPr>
            <w:tcW w:w="850" w:type="dxa"/>
            <w:tcBorders>
              <w:top w:val="nil"/>
              <w:left w:val="nil"/>
              <w:bottom w:val="single" w:sz="4" w:space="0" w:color="auto"/>
              <w:right w:val="nil"/>
            </w:tcBorders>
            <w:vAlign w:val="bottom"/>
            <w:hideMark/>
          </w:tcPr>
          <w:p w14:paraId="23AD8375" w14:textId="77777777" w:rsidR="00FE7F8B" w:rsidRDefault="00FE7F8B">
            <w:pPr>
              <w:pStyle w:val="TableTextFinancial"/>
              <w:jc w:val="right"/>
            </w:pPr>
            <w:r>
              <w:t>1.3</w:t>
            </w:r>
          </w:p>
        </w:tc>
        <w:tc>
          <w:tcPr>
            <w:tcW w:w="992" w:type="dxa"/>
            <w:tcBorders>
              <w:top w:val="nil"/>
              <w:left w:val="nil"/>
              <w:bottom w:val="single" w:sz="4" w:space="0" w:color="auto"/>
              <w:right w:val="nil"/>
            </w:tcBorders>
            <w:vAlign w:val="bottom"/>
            <w:hideMark/>
          </w:tcPr>
          <w:p w14:paraId="5298E6AF" w14:textId="77777777" w:rsidR="00FE7F8B" w:rsidRDefault="00FE7F8B">
            <w:pPr>
              <w:pStyle w:val="TableTextFinancial"/>
              <w:jc w:val="right"/>
            </w:pPr>
            <w:r>
              <w:t>-</w:t>
            </w:r>
          </w:p>
        </w:tc>
      </w:tr>
      <w:tr w:rsidR="00FE7F8B" w14:paraId="17DE5130" w14:textId="77777777" w:rsidTr="00FE7F8B">
        <w:tc>
          <w:tcPr>
            <w:tcW w:w="2557" w:type="dxa"/>
            <w:tcBorders>
              <w:top w:val="single" w:sz="4" w:space="0" w:color="auto"/>
              <w:left w:val="nil"/>
              <w:bottom w:val="single" w:sz="4" w:space="0" w:color="auto"/>
              <w:right w:val="nil"/>
            </w:tcBorders>
            <w:vAlign w:val="bottom"/>
            <w:hideMark/>
          </w:tcPr>
          <w:p w14:paraId="1E314C32" w14:textId="77777777" w:rsidR="00FE7F8B" w:rsidRDefault="00FE7F8B">
            <w:pPr>
              <w:pStyle w:val="Tabletextnoindent"/>
              <w:rPr>
                <w:b/>
              </w:rPr>
            </w:pPr>
            <w:r>
              <w:rPr>
                <w:b/>
              </w:rPr>
              <w:t>Total</w:t>
            </w:r>
          </w:p>
        </w:tc>
        <w:tc>
          <w:tcPr>
            <w:tcW w:w="992" w:type="dxa"/>
            <w:tcBorders>
              <w:top w:val="single" w:sz="4" w:space="0" w:color="auto"/>
              <w:left w:val="nil"/>
              <w:bottom w:val="single" w:sz="4" w:space="0" w:color="auto"/>
              <w:right w:val="nil"/>
            </w:tcBorders>
            <w:vAlign w:val="bottom"/>
          </w:tcPr>
          <w:p w14:paraId="6444D7D4" w14:textId="77777777" w:rsidR="00FE7F8B" w:rsidRDefault="00FE7F8B">
            <w:pPr>
              <w:pStyle w:val="TableTextFinancial"/>
              <w:jc w:val="right"/>
              <w:rPr>
                <w:b/>
              </w:rPr>
            </w:pPr>
          </w:p>
        </w:tc>
        <w:tc>
          <w:tcPr>
            <w:tcW w:w="992" w:type="dxa"/>
            <w:tcBorders>
              <w:top w:val="single" w:sz="4" w:space="0" w:color="auto"/>
              <w:left w:val="nil"/>
              <w:bottom w:val="single" w:sz="4" w:space="0" w:color="auto"/>
              <w:right w:val="nil"/>
            </w:tcBorders>
            <w:vAlign w:val="bottom"/>
            <w:hideMark/>
          </w:tcPr>
          <w:p w14:paraId="4018CCA9" w14:textId="77777777" w:rsidR="00FE7F8B" w:rsidRDefault="00FE7F8B">
            <w:pPr>
              <w:pStyle w:val="TableTextFinancial"/>
              <w:jc w:val="right"/>
              <w:rPr>
                <w:b/>
              </w:rPr>
            </w:pPr>
            <w:r>
              <w:rPr>
                <w:b/>
              </w:rPr>
              <w:t>1,064.2</w:t>
            </w:r>
          </w:p>
        </w:tc>
        <w:tc>
          <w:tcPr>
            <w:tcW w:w="993" w:type="dxa"/>
            <w:tcBorders>
              <w:top w:val="single" w:sz="4" w:space="0" w:color="auto"/>
              <w:left w:val="nil"/>
              <w:bottom w:val="single" w:sz="4" w:space="0" w:color="auto"/>
              <w:right w:val="nil"/>
            </w:tcBorders>
            <w:vAlign w:val="bottom"/>
            <w:hideMark/>
          </w:tcPr>
          <w:p w14:paraId="127057C6" w14:textId="77777777" w:rsidR="00FE7F8B" w:rsidRDefault="00FE7F8B">
            <w:pPr>
              <w:pStyle w:val="TableTextFinancial"/>
              <w:jc w:val="right"/>
              <w:rPr>
                <w:b/>
              </w:rPr>
            </w:pPr>
            <w:r>
              <w:rPr>
                <w:b/>
              </w:rPr>
              <w:t>297.0</w:t>
            </w:r>
          </w:p>
        </w:tc>
        <w:tc>
          <w:tcPr>
            <w:tcW w:w="850" w:type="dxa"/>
            <w:tcBorders>
              <w:top w:val="single" w:sz="4" w:space="0" w:color="auto"/>
              <w:left w:val="nil"/>
              <w:bottom w:val="single" w:sz="4" w:space="0" w:color="auto"/>
              <w:right w:val="nil"/>
            </w:tcBorders>
            <w:vAlign w:val="bottom"/>
            <w:hideMark/>
          </w:tcPr>
          <w:p w14:paraId="7AE3FB60" w14:textId="77777777" w:rsidR="00FE7F8B" w:rsidRDefault="00FE7F8B">
            <w:pPr>
              <w:pStyle w:val="TableTextFinancial"/>
              <w:jc w:val="right"/>
              <w:rPr>
                <w:b/>
              </w:rPr>
            </w:pPr>
            <w:r>
              <w:rPr>
                <w:b/>
              </w:rPr>
              <w:t>475.5</w:t>
            </w:r>
          </w:p>
        </w:tc>
        <w:tc>
          <w:tcPr>
            <w:tcW w:w="992" w:type="dxa"/>
            <w:tcBorders>
              <w:top w:val="single" w:sz="4" w:space="0" w:color="auto"/>
              <w:left w:val="nil"/>
              <w:bottom w:val="single" w:sz="4" w:space="0" w:color="auto"/>
              <w:right w:val="nil"/>
            </w:tcBorders>
            <w:vAlign w:val="bottom"/>
            <w:hideMark/>
          </w:tcPr>
          <w:p w14:paraId="172F97C6" w14:textId="77777777" w:rsidR="00FE7F8B" w:rsidRDefault="00FE7F8B">
            <w:pPr>
              <w:pStyle w:val="TableTextFinancial"/>
              <w:jc w:val="right"/>
              <w:rPr>
                <w:b/>
              </w:rPr>
            </w:pPr>
            <w:r>
              <w:rPr>
                <w:b/>
              </w:rPr>
              <w:t>291.4</w:t>
            </w:r>
          </w:p>
        </w:tc>
      </w:tr>
      <w:tr w:rsidR="00FE7F8B" w14:paraId="61CE688F" w14:textId="77777777" w:rsidTr="00FE7F8B">
        <w:tc>
          <w:tcPr>
            <w:tcW w:w="2557" w:type="dxa"/>
            <w:tcBorders>
              <w:top w:val="single" w:sz="4" w:space="0" w:color="auto"/>
              <w:left w:val="nil"/>
              <w:bottom w:val="nil"/>
              <w:right w:val="nil"/>
            </w:tcBorders>
            <w:vAlign w:val="bottom"/>
            <w:hideMark/>
          </w:tcPr>
          <w:p w14:paraId="46DD5223" w14:textId="77777777" w:rsidR="00FE7F8B" w:rsidRDefault="00FE7F8B">
            <w:pPr>
              <w:pStyle w:val="Tabletextnoindenttight"/>
              <w:rPr>
                <w:lang w:eastAsia="en-US"/>
              </w:rPr>
            </w:pPr>
            <w:r>
              <w:rPr>
                <w:lang w:eastAsia="en-US"/>
              </w:rPr>
              <w:t>Financial liabilities</w:t>
            </w:r>
          </w:p>
        </w:tc>
        <w:tc>
          <w:tcPr>
            <w:tcW w:w="992" w:type="dxa"/>
            <w:tcBorders>
              <w:top w:val="single" w:sz="4" w:space="0" w:color="auto"/>
              <w:left w:val="nil"/>
              <w:bottom w:val="nil"/>
              <w:right w:val="nil"/>
            </w:tcBorders>
          </w:tcPr>
          <w:p w14:paraId="33A4EF4B" w14:textId="77777777" w:rsidR="00FE7F8B" w:rsidRDefault="00FE7F8B">
            <w:pPr>
              <w:pStyle w:val="TableTextFinancial"/>
              <w:jc w:val="right"/>
            </w:pPr>
          </w:p>
        </w:tc>
        <w:tc>
          <w:tcPr>
            <w:tcW w:w="992" w:type="dxa"/>
            <w:tcBorders>
              <w:top w:val="single" w:sz="4" w:space="0" w:color="auto"/>
              <w:left w:val="nil"/>
              <w:bottom w:val="nil"/>
              <w:right w:val="nil"/>
            </w:tcBorders>
            <w:vAlign w:val="bottom"/>
          </w:tcPr>
          <w:p w14:paraId="597CDD45" w14:textId="77777777" w:rsidR="00FE7F8B" w:rsidRDefault="00FE7F8B">
            <w:pPr>
              <w:pStyle w:val="TableTextFinancial"/>
              <w:jc w:val="right"/>
            </w:pPr>
          </w:p>
        </w:tc>
        <w:tc>
          <w:tcPr>
            <w:tcW w:w="993" w:type="dxa"/>
            <w:tcBorders>
              <w:top w:val="single" w:sz="4" w:space="0" w:color="auto"/>
              <w:left w:val="nil"/>
              <w:bottom w:val="nil"/>
              <w:right w:val="nil"/>
            </w:tcBorders>
            <w:vAlign w:val="bottom"/>
          </w:tcPr>
          <w:p w14:paraId="264195C8" w14:textId="77777777" w:rsidR="00FE7F8B" w:rsidRDefault="00FE7F8B">
            <w:pPr>
              <w:pStyle w:val="TableTextFinancial"/>
              <w:jc w:val="right"/>
            </w:pPr>
          </w:p>
        </w:tc>
        <w:tc>
          <w:tcPr>
            <w:tcW w:w="850" w:type="dxa"/>
            <w:tcBorders>
              <w:top w:val="single" w:sz="4" w:space="0" w:color="auto"/>
              <w:left w:val="nil"/>
              <w:bottom w:val="nil"/>
              <w:right w:val="nil"/>
            </w:tcBorders>
            <w:vAlign w:val="bottom"/>
          </w:tcPr>
          <w:p w14:paraId="3D1BDAD8" w14:textId="77777777" w:rsidR="00FE7F8B" w:rsidRDefault="00FE7F8B">
            <w:pPr>
              <w:pStyle w:val="TableTextFinancial"/>
              <w:jc w:val="right"/>
            </w:pPr>
          </w:p>
        </w:tc>
        <w:tc>
          <w:tcPr>
            <w:tcW w:w="992" w:type="dxa"/>
            <w:tcBorders>
              <w:top w:val="single" w:sz="4" w:space="0" w:color="auto"/>
              <w:left w:val="nil"/>
              <w:bottom w:val="nil"/>
              <w:right w:val="nil"/>
            </w:tcBorders>
            <w:vAlign w:val="bottom"/>
          </w:tcPr>
          <w:p w14:paraId="70A76B5B" w14:textId="77777777" w:rsidR="00FE7F8B" w:rsidRDefault="00FE7F8B">
            <w:pPr>
              <w:pStyle w:val="TableTextFinancial"/>
              <w:jc w:val="right"/>
            </w:pPr>
          </w:p>
        </w:tc>
      </w:tr>
      <w:tr w:rsidR="00FE7F8B" w14:paraId="6492D947" w14:textId="77777777" w:rsidTr="00FE7F8B">
        <w:tc>
          <w:tcPr>
            <w:tcW w:w="2557" w:type="dxa"/>
            <w:tcBorders>
              <w:top w:val="nil"/>
              <w:left w:val="nil"/>
              <w:bottom w:val="nil"/>
              <w:right w:val="nil"/>
            </w:tcBorders>
            <w:vAlign w:val="bottom"/>
            <w:hideMark/>
          </w:tcPr>
          <w:p w14:paraId="468E225F" w14:textId="77777777" w:rsidR="00FE7F8B" w:rsidRDefault="00FE7F8B">
            <w:pPr>
              <w:pStyle w:val="Tabletextnoindenttight"/>
              <w:rPr>
                <w:lang w:eastAsia="en-US"/>
              </w:rPr>
            </w:pPr>
            <w:r>
              <w:rPr>
                <w:lang w:eastAsia="en-US"/>
              </w:rPr>
              <w:t>Payables</w:t>
            </w:r>
          </w:p>
        </w:tc>
        <w:tc>
          <w:tcPr>
            <w:tcW w:w="992" w:type="dxa"/>
            <w:tcBorders>
              <w:top w:val="nil"/>
              <w:left w:val="nil"/>
              <w:bottom w:val="nil"/>
              <w:right w:val="nil"/>
            </w:tcBorders>
            <w:vAlign w:val="bottom"/>
            <w:hideMark/>
          </w:tcPr>
          <w:p w14:paraId="55C969FB"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2AF3A95D" w14:textId="77777777" w:rsidR="00FE7F8B" w:rsidRDefault="00FE7F8B">
            <w:pPr>
              <w:pStyle w:val="TableTextFinancial"/>
              <w:jc w:val="right"/>
            </w:pPr>
            <w:r>
              <w:t>393.8</w:t>
            </w:r>
          </w:p>
        </w:tc>
        <w:tc>
          <w:tcPr>
            <w:tcW w:w="993" w:type="dxa"/>
            <w:tcBorders>
              <w:top w:val="nil"/>
              <w:left w:val="nil"/>
              <w:bottom w:val="nil"/>
              <w:right w:val="nil"/>
            </w:tcBorders>
            <w:vAlign w:val="bottom"/>
            <w:hideMark/>
          </w:tcPr>
          <w:p w14:paraId="60B50CD4" w14:textId="77777777" w:rsidR="00FE7F8B" w:rsidRDefault="00FE7F8B">
            <w:pPr>
              <w:pStyle w:val="TableTextFinancial"/>
              <w:jc w:val="right"/>
            </w:pPr>
            <w:r>
              <w:t>-</w:t>
            </w:r>
          </w:p>
        </w:tc>
        <w:tc>
          <w:tcPr>
            <w:tcW w:w="850" w:type="dxa"/>
            <w:tcBorders>
              <w:top w:val="nil"/>
              <w:left w:val="nil"/>
              <w:bottom w:val="nil"/>
              <w:right w:val="nil"/>
            </w:tcBorders>
            <w:vAlign w:val="bottom"/>
            <w:hideMark/>
          </w:tcPr>
          <w:p w14:paraId="1CBA1C20"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2AD5BBD0" w14:textId="77777777" w:rsidR="00FE7F8B" w:rsidRDefault="00FE7F8B">
            <w:pPr>
              <w:pStyle w:val="TableTextFinancial"/>
              <w:jc w:val="right"/>
            </w:pPr>
            <w:r>
              <w:t>393.8</w:t>
            </w:r>
          </w:p>
        </w:tc>
      </w:tr>
      <w:tr w:rsidR="00FE7F8B" w14:paraId="08605410" w14:textId="77777777" w:rsidTr="00FE7F8B">
        <w:tc>
          <w:tcPr>
            <w:tcW w:w="2557" w:type="dxa"/>
            <w:tcBorders>
              <w:top w:val="nil"/>
              <w:left w:val="nil"/>
              <w:bottom w:val="single" w:sz="4" w:space="0" w:color="auto"/>
              <w:right w:val="nil"/>
            </w:tcBorders>
            <w:vAlign w:val="bottom"/>
            <w:hideMark/>
          </w:tcPr>
          <w:p w14:paraId="70A653E7" w14:textId="77777777" w:rsidR="00FE7F8B" w:rsidRDefault="00FE7F8B">
            <w:pPr>
              <w:pStyle w:val="Tabletextnoindenttight"/>
              <w:rPr>
                <w:lang w:eastAsia="en-US"/>
              </w:rPr>
            </w:pPr>
            <w:r>
              <w:rPr>
                <w:lang w:eastAsia="en-US"/>
              </w:rPr>
              <w:t>Borrowings</w:t>
            </w:r>
          </w:p>
        </w:tc>
        <w:tc>
          <w:tcPr>
            <w:tcW w:w="992" w:type="dxa"/>
            <w:tcBorders>
              <w:top w:val="nil"/>
              <w:left w:val="nil"/>
              <w:bottom w:val="single" w:sz="4" w:space="0" w:color="auto"/>
              <w:right w:val="nil"/>
            </w:tcBorders>
            <w:vAlign w:val="bottom"/>
            <w:hideMark/>
          </w:tcPr>
          <w:p w14:paraId="37EDC053" w14:textId="77777777" w:rsidR="00FE7F8B" w:rsidRDefault="00FE7F8B">
            <w:pPr>
              <w:pStyle w:val="TableTextFinancial"/>
              <w:jc w:val="right"/>
            </w:pPr>
            <w:r>
              <w:t>6.4</w:t>
            </w:r>
          </w:p>
        </w:tc>
        <w:tc>
          <w:tcPr>
            <w:tcW w:w="992" w:type="dxa"/>
            <w:tcBorders>
              <w:top w:val="nil"/>
              <w:left w:val="nil"/>
              <w:bottom w:val="single" w:sz="4" w:space="0" w:color="auto"/>
              <w:right w:val="nil"/>
            </w:tcBorders>
            <w:vAlign w:val="bottom"/>
            <w:hideMark/>
          </w:tcPr>
          <w:p w14:paraId="36F81049" w14:textId="77777777" w:rsidR="00FE7F8B" w:rsidRDefault="00FE7F8B">
            <w:pPr>
              <w:pStyle w:val="TableTextFinancial"/>
              <w:jc w:val="right"/>
            </w:pPr>
            <w:r>
              <w:t>249.6</w:t>
            </w:r>
          </w:p>
        </w:tc>
        <w:tc>
          <w:tcPr>
            <w:tcW w:w="993" w:type="dxa"/>
            <w:tcBorders>
              <w:top w:val="nil"/>
              <w:left w:val="nil"/>
              <w:bottom w:val="single" w:sz="4" w:space="0" w:color="auto"/>
              <w:right w:val="nil"/>
            </w:tcBorders>
            <w:vAlign w:val="bottom"/>
            <w:hideMark/>
          </w:tcPr>
          <w:p w14:paraId="65959C14" w14:textId="77777777" w:rsidR="00FE7F8B" w:rsidRDefault="00FE7F8B">
            <w:pPr>
              <w:pStyle w:val="TableTextFinancial"/>
              <w:jc w:val="right"/>
            </w:pPr>
            <w:r>
              <w:t>193.9</w:t>
            </w:r>
          </w:p>
        </w:tc>
        <w:tc>
          <w:tcPr>
            <w:tcW w:w="850" w:type="dxa"/>
            <w:tcBorders>
              <w:top w:val="nil"/>
              <w:left w:val="nil"/>
              <w:bottom w:val="single" w:sz="4" w:space="0" w:color="auto"/>
              <w:right w:val="nil"/>
            </w:tcBorders>
            <w:vAlign w:val="bottom"/>
            <w:hideMark/>
          </w:tcPr>
          <w:p w14:paraId="3791AA1F"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6A382E97" w14:textId="77777777" w:rsidR="00FE7F8B" w:rsidRDefault="00FE7F8B">
            <w:pPr>
              <w:pStyle w:val="TableTextFinancial"/>
              <w:jc w:val="right"/>
            </w:pPr>
            <w:r>
              <w:t>55.7</w:t>
            </w:r>
          </w:p>
        </w:tc>
      </w:tr>
      <w:tr w:rsidR="00FE7F8B" w14:paraId="7F62DC28" w14:textId="77777777" w:rsidTr="00FE7F8B">
        <w:tc>
          <w:tcPr>
            <w:tcW w:w="2557" w:type="dxa"/>
            <w:tcBorders>
              <w:top w:val="single" w:sz="4" w:space="0" w:color="auto"/>
              <w:left w:val="nil"/>
              <w:bottom w:val="single" w:sz="4" w:space="0" w:color="auto"/>
              <w:right w:val="nil"/>
            </w:tcBorders>
            <w:vAlign w:val="bottom"/>
            <w:hideMark/>
          </w:tcPr>
          <w:p w14:paraId="7285B14B" w14:textId="77777777" w:rsidR="00FE7F8B" w:rsidRDefault="00FE7F8B">
            <w:pPr>
              <w:pStyle w:val="Tabletextnoindent"/>
              <w:rPr>
                <w:b/>
              </w:rPr>
            </w:pPr>
            <w:r>
              <w:rPr>
                <w:b/>
              </w:rPr>
              <w:t>Total</w:t>
            </w:r>
          </w:p>
        </w:tc>
        <w:tc>
          <w:tcPr>
            <w:tcW w:w="992" w:type="dxa"/>
            <w:tcBorders>
              <w:top w:val="single" w:sz="4" w:space="0" w:color="auto"/>
              <w:left w:val="nil"/>
              <w:bottom w:val="single" w:sz="4" w:space="0" w:color="auto"/>
              <w:right w:val="nil"/>
            </w:tcBorders>
            <w:vAlign w:val="bottom"/>
          </w:tcPr>
          <w:p w14:paraId="0DEF6F07" w14:textId="77777777" w:rsidR="00FE7F8B" w:rsidRDefault="00FE7F8B">
            <w:pPr>
              <w:pStyle w:val="TableTextFinancial"/>
              <w:jc w:val="right"/>
              <w:rPr>
                <w:b/>
              </w:rPr>
            </w:pPr>
          </w:p>
        </w:tc>
        <w:tc>
          <w:tcPr>
            <w:tcW w:w="992" w:type="dxa"/>
            <w:tcBorders>
              <w:top w:val="single" w:sz="4" w:space="0" w:color="auto"/>
              <w:left w:val="nil"/>
              <w:bottom w:val="single" w:sz="4" w:space="0" w:color="auto"/>
              <w:right w:val="nil"/>
            </w:tcBorders>
            <w:vAlign w:val="bottom"/>
            <w:hideMark/>
          </w:tcPr>
          <w:p w14:paraId="35831EDC" w14:textId="77777777" w:rsidR="00FE7F8B" w:rsidRDefault="00FE7F8B">
            <w:pPr>
              <w:pStyle w:val="TableTextFinancial"/>
              <w:jc w:val="right"/>
              <w:rPr>
                <w:b/>
              </w:rPr>
            </w:pPr>
            <w:r>
              <w:rPr>
                <w:b/>
              </w:rPr>
              <w:t>643.4</w:t>
            </w:r>
          </w:p>
        </w:tc>
        <w:tc>
          <w:tcPr>
            <w:tcW w:w="993" w:type="dxa"/>
            <w:tcBorders>
              <w:top w:val="single" w:sz="4" w:space="0" w:color="auto"/>
              <w:left w:val="nil"/>
              <w:bottom w:val="single" w:sz="4" w:space="0" w:color="auto"/>
              <w:right w:val="nil"/>
            </w:tcBorders>
            <w:vAlign w:val="bottom"/>
            <w:hideMark/>
          </w:tcPr>
          <w:p w14:paraId="0243A40F" w14:textId="77777777" w:rsidR="00FE7F8B" w:rsidRDefault="00FE7F8B">
            <w:pPr>
              <w:pStyle w:val="TableTextFinancial"/>
              <w:jc w:val="right"/>
              <w:rPr>
                <w:b/>
              </w:rPr>
            </w:pPr>
            <w:r>
              <w:rPr>
                <w:b/>
              </w:rPr>
              <w:t>193.9</w:t>
            </w:r>
          </w:p>
        </w:tc>
        <w:tc>
          <w:tcPr>
            <w:tcW w:w="850" w:type="dxa"/>
            <w:tcBorders>
              <w:top w:val="single" w:sz="4" w:space="0" w:color="auto"/>
              <w:left w:val="nil"/>
              <w:bottom w:val="single" w:sz="4" w:space="0" w:color="auto"/>
              <w:right w:val="nil"/>
            </w:tcBorders>
            <w:vAlign w:val="bottom"/>
            <w:hideMark/>
          </w:tcPr>
          <w:p w14:paraId="77F98785" w14:textId="77777777" w:rsidR="00FE7F8B" w:rsidRDefault="00FE7F8B">
            <w:pPr>
              <w:pStyle w:val="TableTextFinancial"/>
              <w:jc w:val="right"/>
              <w:rPr>
                <w:b/>
              </w:rPr>
            </w:pPr>
            <w:r>
              <w:rPr>
                <w:b/>
              </w:rPr>
              <w:t>-</w:t>
            </w:r>
          </w:p>
        </w:tc>
        <w:tc>
          <w:tcPr>
            <w:tcW w:w="992" w:type="dxa"/>
            <w:tcBorders>
              <w:top w:val="single" w:sz="4" w:space="0" w:color="auto"/>
              <w:left w:val="nil"/>
              <w:bottom w:val="single" w:sz="4" w:space="0" w:color="auto"/>
              <w:right w:val="nil"/>
            </w:tcBorders>
            <w:vAlign w:val="bottom"/>
            <w:hideMark/>
          </w:tcPr>
          <w:p w14:paraId="3AD102BD" w14:textId="77777777" w:rsidR="00FE7F8B" w:rsidRDefault="00FE7F8B">
            <w:pPr>
              <w:pStyle w:val="TableTextFinancial"/>
              <w:jc w:val="right"/>
              <w:rPr>
                <w:b/>
              </w:rPr>
            </w:pPr>
            <w:r>
              <w:rPr>
                <w:b/>
              </w:rPr>
              <w:t>449.5</w:t>
            </w:r>
          </w:p>
        </w:tc>
      </w:tr>
    </w:tbl>
    <w:p w14:paraId="0EA4E006" w14:textId="77777777" w:rsidR="00FE7F8B" w:rsidRDefault="00FE7F8B" w:rsidP="00FE7F8B"/>
    <w:p w14:paraId="6632F276" w14:textId="77777777" w:rsidR="00FE7F8B" w:rsidRDefault="00FE7F8B" w:rsidP="00FE7F8B">
      <w:pPr>
        <w:spacing w:after="200" w:line="276" w:lineRule="auto"/>
      </w:pPr>
      <w:r>
        <w:br w:type="page"/>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7"/>
        <w:gridCol w:w="993"/>
        <w:gridCol w:w="993"/>
        <w:gridCol w:w="994"/>
        <w:gridCol w:w="850"/>
        <w:gridCol w:w="993"/>
      </w:tblGrid>
      <w:tr w:rsidR="00FE7F8B" w14:paraId="1BBB5E85" w14:textId="77777777" w:rsidTr="00FE7F8B">
        <w:tc>
          <w:tcPr>
            <w:tcW w:w="2557" w:type="dxa"/>
            <w:tcBorders>
              <w:top w:val="nil"/>
              <w:left w:val="nil"/>
              <w:bottom w:val="nil"/>
              <w:right w:val="nil"/>
            </w:tcBorders>
            <w:shd w:val="clear" w:color="auto" w:fill="7F7F7F" w:themeFill="text1" w:themeFillTint="80"/>
            <w:vAlign w:val="center"/>
          </w:tcPr>
          <w:p w14:paraId="4B8C801E"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center"/>
          </w:tcPr>
          <w:p w14:paraId="681BE446"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center"/>
          </w:tcPr>
          <w:p w14:paraId="1111486B" w14:textId="77777777" w:rsidR="00FE7F8B" w:rsidRDefault="00FE7F8B">
            <w:pPr>
              <w:pStyle w:val="Tablecolumnheading"/>
              <w:jc w:val="center"/>
              <w:rPr>
                <w:lang w:eastAsia="en-AU"/>
              </w:rPr>
            </w:pPr>
          </w:p>
        </w:tc>
        <w:tc>
          <w:tcPr>
            <w:tcW w:w="2835" w:type="dxa"/>
            <w:gridSpan w:val="3"/>
            <w:tcBorders>
              <w:top w:val="nil"/>
              <w:left w:val="nil"/>
              <w:bottom w:val="nil"/>
              <w:right w:val="nil"/>
            </w:tcBorders>
            <w:shd w:val="clear" w:color="auto" w:fill="7F7F7F" w:themeFill="text1" w:themeFillTint="80"/>
            <w:vAlign w:val="center"/>
            <w:hideMark/>
          </w:tcPr>
          <w:p w14:paraId="5F13F56E" w14:textId="77777777" w:rsidR="00FE7F8B" w:rsidRDefault="00FE7F8B">
            <w:pPr>
              <w:pStyle w:val="Tablecolumnheading"/>
              <w:jc w:val="center"/>
              <w:rPr>
                <w:lang w:eastAsia="en-AU"/>
              </w:rPr>
            </w:pPr>
            <w:r>
              <w:rPr>
                <w:lang w:eastAsia="en-AU"/>
              </w:rPr>
              <w:t>Interest rate exposure</w:t>
            </w:r>
          </w:p>
        </w:tc>
      </w:tr>
      <w:tr w:rsidR="00FE7F8B" w14:paraId="5EE6224D" w14:textId="77777777" w:rsidTr="00FE7F8B">
        <w:tc>
          <w:tcPr>
            <w:tcW w:w="2557" w:type="dxa"/>
            <w:tcBorders>
              <w:top w:val="nil"/>
              <w:left w:val="nil"/>
              <w:bottom w:val="nil"/>
              <w:right w:val="nil"/>
            </w:tcBorders>
            <w:shd w:val="clear" w:color="auto" w:fill="7F7F7F" w:themeFill="text1" w:themeFillTint="80"/>
            <w:vAlign w:val="center"/>
            <w:hideMark/>
          </w:tcPr>
          <w:p w14:paraId="7E25DAD2" w14:textId="77777777" w:rsidR="00FE7F8B" w:rsidRDefault="00FE7F8B">
            <w:pPr>
              <w:pStyle w:val="Tablecolumnheading"/>
              <w:jc w:val="center"/>
              <w:rPr>
                <w:lang w:eastAsia="en-AU"/>
              </w:rPr>
            </w:pPr>
            <w:r>
              <w:rPr>
                <w:lang w:eastAsia="en-AU"/>
              </w:rPr>
              <w:t>2015</w:t>
            </w:r>
          </w:p>
        </w:tc>
        <w:tc>
          <w:tcPr>
            <w:tcW w:w="992" w:type="dxa"/>
            <w:tcBorders>
              <w:top w:val="nil"/>
              <w:left w:val="nil"/>
              <w:bottom w:val="nil"/>
              <w:right w:val="nil"/>
            </w:tcBorders>
            <w:shd w:val="clear" w:color="auto" w:fill="7F7F7F" w:themeFill="text1" w:themeFillTint="80"/>
            <w:vAlign w:val="bottom"/>
            <w:hideMark/>
          </w:tcPr>
          <w:p w14:paraId="0D48A793" w14:textId="77777777" w:rsidR="00FE7F8B" w:rsidRDefault="00FE7F8B">
            <w:pPr>
              <w:pStyle w:val="Tablecolumnheading"/>
              <w:jc w:val="center"/>
              <w:rPr>
                <w:lang w:eastAsia="en-AU"/>
              </w:rPr>
            </w:pPr>
            <w:r>
              <w:rPr>
                <w:lang w:eastAsia="en-AU"/>
              </w:rPr>
              <w:t>Weighted average effective interest rate</w:t>
            </w:r>
            <w:r>
              <w:rPr>
                <w:lang w:eastAsia="en-AU"/>
              </w:rPr>
              <w:br/>
              <w:t>%</w:t>
            </w:r>
          </w:p>
        </w:tc>
        <w:tc>
          <w:tcPr>
            <w:tcW w:w="992" w:type="dxa"/>
            <w:tcBorders>
              <w:top w:val="nil"/>
              <w:left w:val="nil"/>
              <w:bottom w:val="nil"/>
              <w:right w:val="nil"/>
            </w:tcBorders>
            <w:shd w:val="clear" w:color="auto" w:fill="7F7F7F" w:themeFill="text1" w:themeFillTint="80"/>
            <w:vAlign w:val="bottom"/>
            <w:hideMark/>
          </w:tcPr>
          <w:p w14:paraId="37515A7D" w14:textId="77777777" w:rsidR="00FE7F8B" w:rsidRDefault="00FE7F8B">
            <w:pPr>
              <w:pStyle w:val="Tablecolumnheading"/>
              <w:jc w:val="center"/>
              <w:rPr>
                <w:lang w:eastAsia="en-AU"/>
              </w:rPr>
            </w:pPr>
            <w:r>
              <w:rPr>
                <w:lang w:eastAsia="en-AU"/>
              </w:rPr>
              <w:t>Carrying amount</w:t>
            </w:r>
            <w:r>
              <w:rPr>
                <w:lang w:eastAsia="en-AU"/>
              </w:rPr>
              <w:br/>
              <w:t>$m</w:t>
            </w:r>
          </w:p>
        </w:tc>
        <w:tc>
          <w:tcPr>
            <w:tcW w:w="993" w:type="dxa"/>
            <w:tcBorders>
              <w:top w:val="nil"/>
              <w:left w:val="nil"/>
              <w:bottom w:val="nil"/>
              <w:right w:val="nil"/>
            </w:tcBorders>
            <w:shd w:val="clear" w:color="auto" w:fill="7F7F7F" w:themeFill="text1" w:themeFillTint="80"/>
            <w:vAlign w:val="bottom"/>
            <w:hideMark/>
          </w:tcPr>
          <w:p w14:paraId="47094E11" w14:textId="77777777" w:rsidR="00FE7F8B" w:rsidRDefault="00FE7F8B">
            <w:pPr>
              <w:pStyle w:val="Tablecolumnheading"/>
              <w:jc w:val="center"/>
              <w:rPr>
                <w:lang w:eastAsia="en-AU"/>
              </w:rPr>
            </w:pPr>
            <w:r>
              <w:rPr>
                <w:lang w:eastAsia="en-AU"/>
              </w:rPr>
              <w:t>Fixed interest rate</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4B04C827" w14:textId="77777777" w:rsidR="00FE7F8B" w:rsidRDefault="00FE7F8B">
            <w:pPr>
              <w:pStyle w:val="Tablecolumnheading"/>
              <w:jc w:val="center"/>
              <w:rPr>
                <w:lang w:eastAsia="en-AU"/>
              </w:rPr>
            </w:pPr>
            <w:r>
              <w:rPr>
                <w:lang w:eastAsia="en-AU"/>
              </w:rPr>
              <w:t>Variable interest rate</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117F622D" w14:textId="77777777" w:rsidR="00FE7F8B" w:rsidRDefault="00FE7F8B">
            <w:pPr>
              <w:pStyle w:val="Tablecolumnheading"/>
              <w:jc w:val="center"/>
              <w:rPr>
                <w:lang w:eastAsia="en-AU"/>
              </w:rPr>
            </w:pPr>
            <w:r>
              <w:rPr>
                <w:lang w:eastAsia="en-AU"/>
              </w:rPr>
              <w:t>Non-interest bearing</w:t>
            </w:r>
            <w:r>
              <w:rPr>
                <w:lang w:eastAsia="en-AU"/>
              </w:rPr>
              <w:br/>
              <w:t>$m</w:t>
            </w:r>
          </w:p>
        </w:tc>
      </w:tr>
      <w:tr w:rsidR="00FE7F8B" w14:paraId="4B53E7A5" w14:textId="77777777" w:rsidTr="00FE7F8B">
        <w:tc>
          <w:tcPr>
            <w:tcW w:w="2557" w:type="dxa"/>
            <w:tcBorders>
              <w:top w:val="nil"/>
              <w:left w:val="nil"/>
              <w:bottom w:val="nil"/>
              <w:right w:val="nil"/>
            </w:tcBorders>
            <w:vAlign w:val="bottom"/>
            <w:hideMark/>
          </w:tcPr>
          <w:p w14:paraId="3DBEC887" w14:textId="77777777" w:rsidR="00FE7F8B" w:rsidRDefault="00FE7F8B">
            <w:pPr>
              <w:pStyle w:val="Tabletextnoindent"/>
              <w:rPr>
                <w:b/>
              </w:rPr>
            </w:pPr>
            <w:r>
              <w:rPr>
                <w:b/>
              </w:rPr>
              <w:t>Financial assets</w:t>
            </w:r>
          </w:p>
        </w:tc>
        <w:tc>
          <w:tcPr>
            <w:tcW w:w="992" w:type="dxa"/>
            <w:tcBorders>
              <w:top w:val="nil"/>
              <w:left w:val="nil"/>
              <w:bottom w:val="nil"/>
              <w:right w:val="nil"/>
            </w:tcBorders>
          </w:tcPr>
          <w:p w14:paraId="5B1FB3BD" w14:textId="77777777" w:rsidR="00FE7F8B" w:rsidRDefault="00FE7F8B">
            <w:pPr>
              <w:pStyle w:val="TableTextFinancial"/>
              <w:jc w:val="right"/>
            </w:pPr>
          </w:p>
        </w:tc>
        <w:tc>
          <w:tcPr>
            <w:tcW w:w="992" w:type="dxa"/>
            <w:tcBorders>
              <w:top w:val="nil"/>
              <w:left w:val="nil"/>
              <w:bottom w:val="nil"/>
              <w:right w:val="nil"/>
            </w:tcBorders>
            <w:vAlign w:val="bottom"/>
          </w:tcPr>
          <w:p w14:paraId="6A3F4B8D" w14:textId="77777777" w:rsidR="00FE7F8B" w:rsidRDefault="00FE7F8B">
            <w:pPr>
              <w:pStyle w:val="TableTextFinancial"/>
              <w:jc w:val="right"/>
            </w:pPr>
          </w:p>
        </w:tc>
        <w:tc>
          <w:tcPr>
            <w:tcW w:w="993" w:type="dxa"/>
            <w:tcBorders>
              <w:top w:val="nil"/>
              <w:left w:val="nil"/>
              <w:bottom w:val="nil"/>
              <w:right w:val="nil"/>
            </w:tcBorders>
            <w:vAlign w:val="bottom"/>
          </w:tcPr>
          <w:p w14:paraId="19423DA9" w14:textId="77777777" w:rsidR="00FE7F8B" w:rsidRDefault="00FE7F8B">
            <w:pPr>
              <w:pStyle w:val="TableTextFinancial"/>
              <w:jc w:val="right"/>
            </w:pPr>
          </w:p>
        </w:tc>
        <w:tc>
          <w:tcPr>
            <w:tcW w:w="850" w:type="dxa"/>
            <w:tcBorders>
              <w:top w:val="nil"/>
              <w:left w:val="nil"/>
              <w:bottom w:val="nil"/>
              <w:right w:val="nil"/>
            </w:tcBorders>
            <w:vAlign w:val="bottom"/>
          </w:tcPr>
          <w:p w14:paraId="1D444347" w14:textId="77777777" w:rsidR="00FE7F8B" w:rsidRDefault="00FE7F8B">
            <w:pPr>
              <w:pStyle w:val="TableTextFinancial"/>
              <w:jc w:val="right"/>
            </w:pPr>
          </w:p>
        </w:tc>
        <w:tc>
          <w:tcPr>
            <w:tcW w:w="992" w:type="dxa"/>
            <w:tcBorders>
              <w:top w:val="nil"/>
              <w:left w:val="nil"/>
              <w:bottom w:val="nil"/>
              <w:right w:val="nil"/>
            </w:tcBorders>
            <w:vAlign w:val="bottom"/>
          </w:tcPr>
          <w:p w14:paraId="5ED5CE30" w14:textId="77777777" w:rsidR="00FE7F8B" w:rsidRDefault="00FE7F8B">
            <w:pPr>
              <w:pStyle w:val="TableTextFinancial"/>
              <w:jc w:val="right"/>
            </w:pPr>
          </w:p>
        </w:tc>
      </w:tr>
      <w:tr w:rsidR="00FE7F8B" w14:paraId="57DF6486" w14:textId="77777777" w:rsidTr="00FE7F8B">
        <w:tc>
          <w:tcPr>
            <w:tcW w:w="2557" w:type="dxa"/>
            <w:tcBorders>
              <w:top w:val="nil"/>
              <w:left w:val="nil"/>
              <w:bottom w:val="nil"/>
              <w:right w:val="nil"/>
            </w:tcBorders>
            <w:vAlign w:val="bottom"/>
            <w:hideMark/>
          </w:tcPr>
          <w:p w14:paraId="6CEA8778" w14:textId="77777777" w:rsidR="00FE7F8B" w:rsidRDefault="00FE7F8B">
            <w:pPr>
              <w:pStyle w:val="Tabletextnoindenttight"/>
              <w:rPr>
                <w:lang w:eastAsia="en-US"/>
              </w:rPr>
            </w:pPr>
            <w:r>
              <w:rPr>
                <w:lang w:eastAsia="en-US"/>
              </w:rPr>
              <w:t>Cash and deposits—Department</w:t>
            </w:r>
          </w:p>
        </w:tc>
        <w:tc>
          <w:tcPr>
            <w:tcW w:w="992" w:type="dxa"/>
            <w:tcBorders>
              <w:top w:val="nil"/>
              <w:left w:val="nil"/>
              <w:bottom w:val="nil"/>
              <w:right w:val="nil"/>
            </w:tcBorders>
            <w:vAlign w:val="bottom"/>
            <w:hideMark/>
          </w:tcPr>
          <w:p w14:paraId="7C5C0153"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70ABBB5F" w14:textId="77777777" w:rsidR="00FE7F8B" w:rsidRDefault="00FE7F8B">
            <w:pPr>
              <w:pStyle w:val="TableTextFinancial"/>
              <w:jc w:val="right"/>
            </w:pPr>
            <w:r>
              <w:t>157.5</w:t>
            </w:r>
          </w:p>
        </w:tc>
        <w:tc>
          <w:tcPr>
            <w:tcW w:w="993" w:type="dxa"/>
            <w:tcBorders>
              <w:top w:val="nil"/>
              <w:left w:val="nil"/>
              <w:bottom w:val="nil"/>
              <w:right w:val="nil"/>
            </w:tcBorders>
            <w:vAlign w:val="bottom"/>
            <w:hideMark/>
          </w:tcPr>
          <w:p w14:paraId="07400CD9" w14:textId="77777777" w:rsidR="00FE7F8B" w:rsidRDefault="00FE7F8B">
            <w:pPr>
              <w:pStyle w:val="TableTextFinancial"/>
              <w:jc w:val="right"/>
            </w:pPr>
            <w:r>
              <w:t>-</w:t>
            </w:r>
          </w:p>
        </w:tc>
        <w:tc>
          <w:tcPr>
            <w:tcW w:w="850" w:type="dxa"/>
            <w:tcBorders>
              <w:top w:val="nil"/>
              <w:left w:val="nil"/>
              <w:bottom w:val="nil"/>
              <w:right w:val="nil"/>
            </w:tcBorders>
            <w:vAlign w:val="bottom"/>
            <w:hideMark/>
          </w:tcPr>
          <w:p w14:paraId="3F399283"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1EB66F7A" w14:textId="77777777" w:rsidR="00FE7F8B" w:rsidRDefault="00FE7F8B">
            <w:pPr>
              <w:pStyle w:val="TableTextFinancial"/>
              <w:jc w:val="right"/>
            </w:pPr>
            <w:r>
              <w:t>157.5</w:t>
            </w:r>
          </w:p>
        </w:tc>
      </w:tr>
      <w:tr w:rsidR="00FE7F8B" w14:paraId="12547BD8" w14:textId="77777777" w:rsidTr="00FE7F8B">
        <w:tc>
          <w:tcPr>
            <w:tcW w:w="2557" w:type="dxa"/>
            <w:tcBorders>
              <w:top w:val="nil"/>
              <w:left w:val="nil"/>
              <w:bottom w:val="nil"/>
              <w:right w:val="nil"/>
            </w:tcBorders>
            <w:vAlign w:val="bottom"/>
            <w:hideMark/>
          </w:tcPr>
          <w:p w14:paraId="30205447" w14:textId="77777777" w:rsidR="00FE7F8B" w:rsidRDefault="00FE7F8B">
            <w:pPr>
              <w:pStyle w:val="Tabletextnoindenttight"/>
              <w:rPr>
                <w:lang w:eastAsia="en-US"/>
              </w:rPr>
            </w:pPr>
            <w:r>
              <w:rPr>
                <w:lang w:eastAsia="en-US"/>
              </w:rPr>
              <w:t>Cash and deposits—Schools</w:t>
            </w:r>
          </w:p>
        </w:tc>
        <w:tc>
          <w:tcPr>
            <w:tcW w:w="992" w:type="dxa"/>
            <w:tcBorders>
              <w:top w:val="nil"/>
              <w:left w:val="nil"/>
              <w:bottom w:val="nil"/>
              <w:right w:val="nil"/>
            </w:tcBorders>
            <w:vAlign w:val="bottom"/>
            <w:hideMark/>
          </w:tcPr>
          <w:p w14:paraId="634DFB56" w14:textId="77777777" w:rsidR="00FE7F8B" w:rsidRDefault="00FE7F8B">
            <w:pPr>
              <w:pStyle w:val="TableTextFinancial"/>
              <w:jc w:val="right"/>
            </w:pPr>
            <w:r>
              <w:t>2.6</w:t>
            </w:r>
          </w:p>
        </w:tc>
        <w:tc>
          <w:tcPr>
            <w:tcW w:w="992" w:type="dxa"/>
            <w:tcBorders>
              <w:top w:val="nil"/>
              <w:left w:val="nil"/>
              <w:bottom w:val="nil"/>
              <w:right w:val="nil"/>
            </w:tcBorders>
            <w:vAlign w:val="bottom"/>
            <w:hideMark/>
          </w:tcPr>
          <w:p w14:paraId="41B00063" w14:textId="77777777" w:rsidR="00FE7F8B" w:rsidRDefault="00FE7F8B">
            <w:pPr>
              <w:pStyle w:val="TableTextFinancial"/>
              <w:jc w:val="right"/>
            </w:pPr>
            <w:r>
              <w:t>557.8</w:t>
            </w:r>
          </w:p>
        </w:tc>
        <w:tc>
          <w:tcPr>
            <w:tcW w:w="993" w:type="dxa"/>
            <w:tcBorders>
              <w:top w:val="nil"/>
              <w:left w:val="nil"/>
              <w:bottom w:val="nil"/>
              <w:right w:val="nil"/>
            </w:tcBorders>
            <w:vAlign w:val="bottom"/>
            <w:hideMark/>
          </w:tcPr>
          <w:p w14:paraId="180BB042" w14:textId="77777777" w:rsidR="00FE7F8B" w:rsidRDefault="00FE7F8B">
            <w:pPr>
              <w:pStyle w:val="TableTextFinancial"/>
              <w:jc w:val="right"/>
            </w:pPr>
            <w:r>
              <w:t>153.0</w:t>
            </w:r>
          </w:p>
        </w:tc>
        <w:tc>
          <w:tcPr>
            <w:tcW w:w="850" w:type="dxa"/>
            <w:tcBorders>
              <w:top w:val="nil"/>
              <w:left w:val="nil"/>
              <w:bottom w:val="nil"/>
              <w:right w:val="nil"/>
            </w:tcBorders>
            <w:vAlign w:val="bottom"/>
            <w:hideMark/>
          </w:tcPr>
          <w:p w14:paraId="137582BC" w14:textId="77777777" w:rsidR="00FE7F8B" w:rsidRDefault="00FE7F8B">
            <w:pPr>
              <w:pStyle w:val="TableTextFinancial"/>
              <w:jc w:val="right"/>
            </w:pPr>
            <w:r>
              <w:t>404.8</w:t>
            </w:r>
          </w:p>
        </w:tc>
        <w:tc>
          <w:tcPr>
            <w:tcW w:w="992" w:type="dxa"/>
            <w:tcBorders>
              <w:top w:val="nil"/>
              <w:left w:val="nil"/>
              <w:bottom w:val="nil"/>
              <w:right w:val="nil"/>
            </w:tcBorders>
            <w:vAlign w:val="bottom"/>
            <w:hideMark/>
          </w:tcPr>
          <w:p w14:paraId="1E2526F6" w14:textId="77777777" w:rsidR="00FE7F8B" w:rsidRDefault="00FE7F8B">
            <w:pPr>
              <w:pStyle w:val="TableTextFinancial"/>
              <w:jc w:val="right"/>
            </w:pPr>
            <w:r>
              <w:t>-</w:t>
            </w:r>
          </w:p>
        </w:tc>
      </w:tr>
      <w:tr w:rsidR="00FE7F8B" w14:paraId="60D3065D" w14:textId="77777777" w:rsidTr="00FE7F8B">
        <w:tc>
          <w:tcPr>
            <w:tcW w:w="2557" w:type="dxa"/>
            <w:tcBorders>
              <w:top w:val="nil"/>
              <w:left w:val="nil"/>
              <w:bottom w:val="nil"/>
              <w:right w:val="nil"/>
            </w:tcBorders>
            <w:vAlign w:val="bottom"/>
            <w:hideMark/>
          </w:tcPr>
          <w:p w14:paraId="4E1FC417" w14:textId="77777777" w:rsidR="00FE7F8B" w:rsidRDefault="00FE7F8B">
            <w:pPr>
              <w:pStyle w:val="Tabletextnoindenttight"/>
              <w:rPr>
                <w:lang w:eastAsia="en-US"/>
              </w:rPr>
            </w:pPr>
            <w:r>
              <w:rPr>
                <w:lang w:eastAsia="en-US"/>
              </w:rPr>
              <w:t>Receivables</w:t>
            </w:r>
          </w:p>
        </w:tc>
        <w:tc>
          <w:tcPr>
            <w:tcW w:w="992" w:type="dxa"/>
            <w:tcBorders>
              <w:top w:val="nil"/>
              <w:left w:val="nil"/>
              <w:bottom w:val="nil"/>
              <w:right w:val="nil"/>
            </w:tcBorders>
            <w:vAlign w:val="bottom"/>
            <w:hideMark/>
          </w:tcPr>
          <w:p w14:paraId="33B29028"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6451144A" w14:textId="77777777" w:rsidR="00FE7F8B" w:rsidRDefault="00FE7F8B">
            <w:pPr>
              <w:pStyle w:val="TableTextFinancial"/>
              <w:jc w:val="right"/>
            </w:pPr>
            <w:r>
              <w:t>59.9</w:t>
            </w:r>
          </w:p>
        </w:tc>
        <w:tc>
          <w:tcPr>
            <w:tcW w:w="993" w:type="dxa"/>
            <w:tcBorders>
              <w:top w:val="nil"/>
              <w:left w:val="nil"/>
              <w:bottom w:val="nil"/>
              <w:right w:val="nil"/>
            </w:tcBorders>
            <w:vAlign w:val="bottom"/>
            <w:hideMark/>
          </w:tcPr>
          <w:p w14:paraId="158438D9" w14:textId="77777777" w:rsidR="00FE7F8B" w:rsidRDefault="00FE7F8B">
            <w:pPr>
              <w:pStyle w:val="TableTextFinancial"/>
              <w:jc w:val="right"/>
            </w:pPr>
            <w:r>
              <w:t>-</w:t>
            </w:r>
          </w:p>
        </w:tc>
        <w:tc>
          <w:tcPr>
            <w:tcW w:w="850" w:type="dxa"/>
            <w:tcBorders>
              <w:top w:val="nil"/>
              <w:left w:val="nil"/>
              <w:bottom w:val="nil"/>
              <w:right w:val="nil"/>
            </w:tcBorders>
            <w:vAlign w:val="bottom"/>
            <w:hideMark/>
          </w:tcPr>
          <w:p w14:paraId="0C8587C5"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79B6471C" w14:textId="77777777" w:rsidR="00FE7F8B" w:rsidRDefault="00FE7F8B">
            <w:pPr>
              <w:pStyle w:val="TableTextFinancial"/>
              <w:jc w:val="right"/>
            </w:pPr>
            <w:r>
              <w:t>59.9</w:t>
            </w:r>
          </w:p>
        </w:tc>
      </w:tr>
      <w:tr w:rsidR="00FE7F8B" w14:paraId="21DD6536" w14:textId="77777777" w:rsidTr="00FE7F8B">
        <w:tc>
          <w:tcPr>
            <w:tcW w:w="2557" w:type="dxa"/>
            <w:tcBorders>
              <w:top w:val="nil"/>
              <w:left w:val="nil"/>
              <w:bottom w:val="single" w:sz="4" w:space="0" w:color="auto"/>
              <w:right w:val="nil"/>
            </w:tcBorders>
            <w:vAlign w:val="bottom"/>
            <w:hideMark/>
          </w:tcPr>
          <w:p w14:paraId="1AA80E1B" w14:textId="77777777" w:rsidR="00FE7F8B" w:rsidRDefault="00FE7F8B">
            <w:pPr>
              <w:pStyle w:val="Tabletextnoindenttight"/>
              <w:rPr>
                <w:lang w:eastAsia="en-US"/>
              </w:rPr>
            </w:pPr>
            <w:r>
              <w:rPr>
                <w:lang w:eastAsia="en-US"/>
              </w:rPr>
              <w:t>Term deposits</w:t>
            </w:r>
          </w:p>
        </w:tc>
        <w:tc>
          <w:tcPr>
            <w:tcW w:w="992" w:type="dxa"/>
            <w:tcBorders>
              <w:top w:val="nil"/>
              <w:left w:val="nil"/>
              <w:bottom w:val="single" w:sz="4" w:space="0" w:color="auto"/>
              <w:right w:val="nil"/>
            </w:tcBorders>
            <w:vAlign w:val="bottom"/>
            <w:hideMark/>
          </w:tcPr>
          <w:p w14:paraId="3C31E000" w14:textId="77777777" w:rsidR="00FE7F8B" w:rsidRDefault="00FE7F8B">
            <w:pPr>
              <w:pStyle w:val="TableTextFinancial"/>
              <w:jc w:val="right"/>
            </w:pPr>
            <w:r>
              <w:t>3.9</w:t>
            </w:r>
          </w:p>
        </w:tc>
        <w:tc>
          <w:tcPr>
            <w:tcW w:w="992" w:type="dxa"/>
            <w:tcBorders>
              <w:top w:val="nil"/>
              <w:left w:val="nil"/>
              <w:bottom w:val="single" w:sz="4" w:space="0" w:color="auto"/>
              <w:right w:val="nil"/>
            </w:tcBorders>
            <w:vAlign w:val="bottom"/>
            <w:hideMark/>
          </w:tcPr>
          <w:p w14:paraId="606B30B2" w14:textId="77777777" w:rsidR="00FE7F8B" w:rsidRDefault="00FE7F8B">
            <w:pPr>
              <w:pStyle w:val="TableTextFinancial"/>
              <w:jc w:val="right"/>
            </w:pPr>
            <w:r>
              <w:t>132.5</w:t>
            </w:r>
          </w:p>
        </w:tc>
        <w:tc>
          <w:tcPr>
            <w:tcW w:w="993" w:type="dxa"/>
            <w:tcBorders>
              <w:top w:val="nil"/>
              <w:left w:val="nil"/>
              <w:bottom w:val="single" w:sz="4" w:space="0" w:color="auto"/>
              <w:right w:val="nil"/>
            </w:tcBorders>
            <w:vAlign w:val="bottom"/>
            <w:hideMark/>
          </w:tcPr>
          <w:p w14:paraId="0B380E8F" w14:textId="77777777" w:rsidR="00FE7F8B" w:rsidRDefault="00FE7F8B">
            <w:pPr>
              <w:pStyle w:val="TableTextFinancial"/>
              <w:jc w:val="right"/>
            </w:pPr>
            <w:r>
              <w:t>131.5</w:t>
            </w:r>
          </w:p>
        </w:tc>
        <w:tc>
          <w:tcPr>
            <w:tcW w:w="850" w:type="dxa"/>
            <w:tcBorders>
              <w:top w:val="nil"/>
              <w:left w:val="nil"/>
              <w:bottom w:val="single" w:sz="4" w:space="0" w:color="auto"/>
              <w:right w:val="nil"/>
            </w:tcBorders>
            <w:vAlign w:val="bottom"/>
            <w:hideMark/>
          </w:tcPr>
          <w:p w14:paraId="00933B07" w14:textId="77777777" w:rsidR="00FE7F8B" w:rsidRDefault="00FE7F8B">
            <w:pPr>
              <w:pStyle w:val="TableTextFinancial"/>
              <w:jc w:val="right"/>
            </w:pPr>
            <w:r>
              <w:t>1.0</w:t>
            </w:r>
          </w:p>
        </w:tc>
        <w:tc>
          <w:tcPr>
            <w:tcW w:w="992" w:type="dxa"/>
            <w:tcBorders>
              <w:top w:val="nil"/>
              <w:left w:val="nil"/>
              <w:bottom w:val="single" w:sz="4" w:space="0" w:color="auto"/>
              <w:right w:val="nil"/>
            </w:tcBorders>
            <w:vAlign w:val="bottom"/>
            <w:hideMark/>
          </w:tcPr>
          <w:p w14:paraId="2B4C1C10" w14:textId="77777777" w:rsidR="00FE7F8B" w:rsidRDefault="00FE7F8B">
            <w:pPr>
              <w:pStyle w:val="TableTextFinancial"/>
              <w:jc w:val="right"/>
            </w:pPr>
            <w:r>
              <w:t>-</w:t>
            </w:r>
          </w:p>
        </w:tc>
      </w:tr>
      <w:tr w:rsidR="00FE7F8B" w14:paraId="20D0171D" w14:textId="77777777" w:rsidTr="00FE7F8B">
        <w:tc>
          <w:tcPr>
            <w:tcW w:w="2557" w:type="dxa"/>
            <w:tcBorders>
              <w:top w:val="single" w:sz="4" w:space="0" w:color="auto"/>
              <w:left w:val="nil"/>
              <w:bottom w:val="single" w:sz="4" w:space="0" w:color="auto"/>
              <w:right w:val="nil"/>
            </w:tcBorders>
            <w:vAlign w:val="bottom"/>
            <w:hideMark/>
          </w:tcPr>
          <w:p w14:paraId="45808DF7" w14:textId="77777777" w:rsidR="00FE7F8B" w:rsidRDefault="00FE7F8B">
            <w:pPr>
              <w:pStyle w:val="Tabletextnoindent"/>
              <w:rPr>
                <w:b/>
              </w:rPr>
            </w:pPr>
            <w:r>
              <w:rPr>
                <w:b/>
              </w:rPr>
              <w:t>Total</w:t>
            </w:r>
          </w:p>
        </w:tc>
        <w:tc>
          <w:tcPr>
            <w:tcW w:w="992" w:type="dxa"/>
            <w:tcBorders>
              <w:top w:val="single" w:sz="4" w:space="0" w:color="auto"/>
              <w:left w:val="nil"/>
              <w:bottom w:val="single" w:sz="4" w:space="0" w:color="auto"/>
              <w:right w:val="nil"/>
            </w:tcBorders>
            <w:vAlign w:val="bottom"/>
          </w:tcPr>
          <w:p w14:paraId="6FD3078B" w14:textId="77777777" w:rsidR="00FE7F8B" w:rsidRDefault="00FE7F8B">
            <w:pPr>
              <w:pStyle w:val="TableTextFinancial"/>
              <w:jc w:val="right"/>
              <w:rPr>
                <w:b/>
              </w:rPr>
            </w:pPr>
          </w:p>
        </w:tc>
        <w:tc>
          <w:tcPr>
            <w:tcW w:w="992" w:type="dxa"/>
            <w:tcBorders>
              <w:top w:val="single" w:sz="4" w:space="0" w:color="auto"/>
              <w:left w:val="nil"/>
              <w:bottom w:val="single" w:sz="4" w:space="0" w:color="auto"/>
              <w:right w:val="nil"/>
            </w:tcBorders>
            <w:vAlign w:val="bottom"/>
            <w:hideMark/>
          </w:tcPr>
          <w:p w14:paraId="0DD55AAE" w14:textId="77777777" w:rsidR="00FE7F8B" w:rsidRDefault="00FE7F8B">
            <w:pPr>
              <w:pStyle w:val="TableTextFinancial"/>
              <w:jc w:val="right"/>
              <w:rPr>
                <w:b/>
              </w:rPr>
            </w:pPr>
            <w:r>
              <w:rPr>
                <w:b/>
              </w:rPr>
              <w:t>907.7</w:t>
            </w:r>
          </w:p>
        </w:tc>
        <w:tc>
          <w:tcPr>
            <w:tcW w:w="993" w:type="dxa"/>
            <w:tcBorders>
              <w:top w:val="single" w:sz="4" w:space="0" w:color="auto"/>
              <w:left w:val="nil"/>
              <w:bottom w:val="single" w:sz="4" w:space="0" w:color="auto"/>
              <w:right w:val="nil"/>
            </w:tcBorders>
            <w:vAlign w:val="bottom"/>
            <w:hideMark/>
          </w:tcPr>
          <w:p w14:paraId="4D04905D" w14:textId="77777777" w:rsidR="00FE7F8B" w:rsidRDefault="00FE7F8B">
            <w:pPr>
              <w:pStyle w:val="TableTextFinancial"/>
              <w:jc w:val="right"/>
              <w:rPr>
                <w:b/>
              </w:rPr>
            </w:pPr>
            <w:r>
              <w:rPr>
                <w:b/>
              </w:rPr>
              <w:t>284.5</w:t>
            </w:r>
          </w:p>
        </w:tc>
        <w:tc>
          <w:tcPr>
            <w:tcW w:w="850" w:type="dxa"/>
            <w:tcBorders>
              <w:top w:val="single" w:sz="4" w:space="0" w:color="auto"/>
              <w:left w:val="nil"/>
              <w:bottom w:val="single" w:sz="4" w:space="0" w:color="auto"/>
              <w:right w:val="nil"/>
            </w:tcBorders>
            <w:vAlign w:val="bottom"/>
            <w:hideMark/>
          </w:tcPr>
          <w:p w14:paraId="432320BE" w14:textId="77777777" w:rsidR="00FE7F8B" w:rsidRDefault="00FE7F8B">
            <w:pPr>
              <w:pStyle w:val="TableTextFinancial"/>
              <w:jc w:val="right"/>
              <w:rPr>
                <w:b/>
              </w:rPr>
            </w:pPr>
            <w:r>
              <w:rPr>
                <w:b/>
              </w:rPr>
              <w:t>405.8</w:t>
            </w:r>
          </w:p>
        </w:tc>
        <w:tc>
          <w:tcPr>
            <w:tcW w:w="992" w:type="dxa"/>
            <w:tcBorders>
              <w:top w:val="single" w:sz="4" w:space="0" w:color="auto"/>
              <w:left w:val="nil"/>
              <w:bottom w:val="single" w:sz="4" w:space="0" w:color="auto"/>
              <w:right w:val="nil"/>
            </w:tcBorders>
            <w:vAlign w:val="bottom"/>
            <w:hideMark/>
          </w:tcPr>
          <w:p w14:paraId="35ABF483" w14:textId="77777777" w:rsidR="00FE7F8B" w:rsidRDefault="00FE7F8B">
            <w:pPr>
              <w:pStyle w:val="TableTextFinancial"/>
              <w:jc w:val="right"/>
              <w:rPr>
                <w:b/>
              </w:rPr>
            </w:pPr>
            <w:r>
              <w:rPr>
                <w:b/>
              </w:rPr>
              <w:t>217.4</w:t>
            </w:r>
          </w:p>
        </w:tc>
      </w:tr>
      <w:tr w:rsidR="00FE7F8B" w14:paraId="0DE9B91E" w14:textId="77777777" w:rsidTr="00FE7F8B">
        <w:tc>
          <w:tcPr>
            <w:tcW w:w="2557" w:type="dxa"/>
            <w:tcBorders>
              <w:top w:val="single" w:sz="4" w:space="0" w:color="auto"/>
              <w:left w:val="nil"/>
              <w:bottom w:val="nil"/>
              <w:right w:val="nil"/>
            </w:tcBorders>
            <w:vAlign w:val="bottom"/>
            <w:hideMark/>
          </w:tcPr>
          <w:p w14:paraId="6A137EFC" w14:textId="77777777" w:rsidR="00FE7F8B" w:rsidRDefault="00FE7F8B">
            <w:pPr>
              <w:pStyle w:val="Tabletextnoindenttight"/>
              <w:rPr>
                <w:lang w:eastAsia="en-US"/>
              </w:rPr>
            </w:pPr>
            <w:r>
              <w:rPr>
                <w:lang w:eastAsia="en-US"/>
              </w:rPr>
              <w:t>Financial liabilities</w:t>
            </w:r>
          </w:p>
        </w:tc>
        <w:tc>
          <w:tcPr>
            <w:tcW w:w="992" w:type="dxa"/>
            <w:tcBorders>
              <w:top w:val="single" w:sz="4" w:space="0" w:color="auto"/>
              <w:left w:val="nil"/>
              <w:bottom w:val="nil"/>
              <w:right w:val="nil"/>
            </w:tcBorders>
          </w:tcPr>
          <w:p w14:paraId="08FB8662" w14:textId="77777777" w:rsidR="00FE7F8B" w:rsidRDefault="00FE7F8B">
            <w:pPr>
              <w:pStyle w:val="TableTextFinancial"/>
              <w:jc w:val="right"/>
            </w:pPr>
          </w:p>
        </w:tc>
        <w:tc>
          <w:tcPr>
            <w:tcW w:w="992" w:type="dxa"/>
            <w:tcBorders>
              <w:top w:val="single" w:sz="4" w:space="0" w:color="auto"/>
              <w:left w:val="nil"/>
              <w:bottom w:val="nil"/>
              <w:right w:val="nil"/>
            </w:tcBorders>
            <w:vAlign w:val="bottom"/>
          </w:tcPr>
          <w:p w14:paraId="345F023E" w14:textId="77777777" w:rsidR="00FE7F8B" w:rsidRDefault="00FE7F8B">
            <w:pPr>
              <w:pStyle w:val="TableTextFinancial"/>
              <w:jc w:val="right"/>
            </w:pPr>
          </w:p>
        </w:tc>
        <w:tc>
          <w:tcPr>
            <w:tcW w:w="993" w:type="dxa"/>
            <w:tcBorders>
              <w:top w:val="single" w:sz="4" w:space="0" w:color="auto"/>
              <w:left w:val="nil"/>
              <w:bottom w:val="nil"/>
              <w:right w:val="nil"/>
            </w:tcBorders>
            <w:vAlign w:val="bottom"/>
          </w:tcPr>
          <w:p w14:paraId="3BE5D78B" w14:textId="77777777" w:rsidR="00FE7F8B" w:rsidRDefault="00FE7F8B">
            <w:pPr>
              <w:pStyle w:val="TableTextFinancial"/>
              <w:jc w:val="right"/>
            </w:pPr>
          </w:p>
        </w:tc>
        <w:tc>
          <w:tcPr>
            <w:tcW w:w="850" w:type="dxa"/>
            <w:tcBorders>
              <w:top w:val="single" w:sz="4" w:space="0" w:color="auto"/>
              <w:left w:val="nil"/>
              <w:bottom w:val="nil"/>
              <w:right w:val="nil"/>
            </w:tcBorders>
            <w:vAlign w:val="bottom"/>
          </w:tcPr>
          <w:p w14:paraId="7B8AD339" w14:textId="77777777" w:rsidR="00FE7F8B" w:rsidRDefault="00FE7F8B">
            <w:pPr>
              <w:pStyle w:val="TableTextFinancial"/>
              <w:jc w:val="right"/>
            </w:pPr>
          </w:p>
        </w:tc>
        <w:tc>
          <w:tcPr>
            <w:tcW w:w="992" w:type="dxa"/>
            <w:tcBorders>
              <w:top w:val="single" w:sz="4" w:space="0" w:color="auto"/>
              <w:left w:val="nil"/>
              <w:bottom w:val="nil"/>
              <w:right w:val="nil"/>
            </w:tcBorders>
            <w:vAlign w:val="bottom"/>
          </w:tcPr>
          <w:p w14:paraId="17D628D9" w14:textId="77777777" w:rsidR="00FE7F8B" w:rsidRDefault="00FE7F8B">
            <w:pPr>
              <w:pStyle w:val="TableTextFinancial"/>
              <w:jc w:val="right"/>
            </w:pPr>
          </w:p>
        </w:tc>
      </w:tr>
      <w:tr w:rsidR="00FE7F8B" w14:paraId="684CFA7C" w14:textId="77777777" w:rsidTr="00FE7F8B">
        <w:tc>
          <w:tcPr>
            <w:tcW w:w="2557" w:type="dxa"/>
            <w:tcBorders>
              <w:top w:val="nil"/>
              <w:left w:val="nil"/>
              <w:bottom w:val="nil"/>
              <w:right w:val="nil"/>
            </w:tcBorders>
            <w:vAlign w:val="bottom"/>
            <w:hideMark/>
          </w:tcPr>
          <w:p w14:paraId="5A6F74C9" w14:textId="77777777" w:rsidR="00FE7F8B" w:rsidRDefault="00FE7F8B">
            <w:pPr>
              <w:pStyle w:val="Tabletextnoindenttight"/>
              <w:rPr>
                <w:lang w:eastAsia="en-US"/>
              </w:rPr>
            </w:pPr>
            <w:r>
              <w:rPr>
                <w:lang w:eastAsia="en-US"/>
              </w:rPr>
              <w:t>Payables</w:t>
            </w:r>
          </w:p>
        </w:tc>
        <w:tc>
          <w:tcPr>
            <w:tcW w:w="992" w:type="dxa"/>
            <w:tcBorders>
              <w:top w:val="nil"/>
              <w:left w:val="nil"/>
              <w:bottom w:val="nil"/>
              <w:right w:val="nil"/>
            </w:tcBorders>
            <w:vAlign w:val="bottom"/>
            <w:hideMark/>
          </w:tcPr>
          <w:p w14:paraId="00E02867"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327AA1AE" w14:textId="77777777" w:rsidR="00FE7F8B" w:rsidRDefault="00FE7F8B">
            <w:pPr>
              <w:pStyle w:val="TableTextFinancial"/>
              <w:jc w:val="right"/>
            </w:pPr>
            <w:r>
              <w:t>296.1</w:t>
            </w:r>
          </w:p>
        </w:tc>
        <w:tc>
          <w:tcPr>
            <w:tcW w:w="993" w:type="dxa"/>
            <w:tcBorders>
              <w:top w:val="nil"/>
              <w:left w:val="nil"/>
              <w:bottom w:val="nil"/>
              <w:right w:val="nil"/>
            </w:tcBorders>
            <w:vAlign w:val="bottom"/>
            <w:hideMark/>
          </w:tcPr>
          <w:p w14:paraId="259954C6" w14:textId="77777777" w:rsidR="00FE7F8B" w:rsidRDefault="00FE7F8B">
            <w:pPr>
              <w:pStyle w:val="TableTextFinancial"/>
              <w:jc w:val="right"/>
            </w:pPr>
            <w:r>
              <w:t>-</w:t>
            </w:r>
          </w:p>
        </w:tc>
        <w:tc>
          <w:tcPr>
            <w:tcW w:w="850" w:type="dxa"/>
            <w:tcBorders>
              <w:top w:val="nil"/>
              <w:left w:val="nil"/>
              <w:bottom w:val="nil"/>
              <w:right w:val="nil"/>
            </w:tcBorders>
            <w:vAlign w:val="bottom"/>
            <w:hideMark/>
          </w:tcPr>
          <w:p w14:paraId="0655F6A1"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2AE32D48" w14:textId="77777777" w:rsidR="00FE7F8B" w:rsidRDefault="00FE7F8B">
            <w:pPr>
              <w:pStyle w:val="TableTextFinancial"/>
              <w:jc w:val="right"/>
            </w:pPr>
            <w:r>
              <w:t>296.1</w:t>
            </w:r>
          </w:p>
        </w:tc>
      </w:tr>
      <w:tr w:rsidR="00FE7F8B" w14:paraId="12799FDB" w14:textId="77777777" w:rsidTr="00FE7F8B">
        <w:tc>
          <w:tcPr>
            <w:tcW w:w="2557" w:type="dxa"/>
            <w:tcBorders>
              <w:top w:val="nil"/>
              <w:left w:val="nil"/>
              <w:bottom w:val="single" w:sz="4" w:space="0" w:color="auto"/>
              <w:right w:val="nil"/>
            </w:tcBorders>
            <w:vAlign w:val="bottom"/>
            <w:hideMark/>
          </w:tcPr>
          <w:p w14:paraId="6C3248A3" w14:textId="77777777" w:rsidR="00FE7F8B" w:rsidRDefault="00FE7F8B">
            <w:pPr>
              <w:pStyle w:val="Tabletextnoindenttight"/>
              <w:rPr>
                <w:lang w:eastAsia="en-US"/>
              </w:rPr>
            </w:pPr>
            <w:r>
              <w:rPr>
                <w:lang w:eastAsia="en-US"/>
              </w:rPr>
              <w:t>Borrowings</w:t>
            </w:r>
          </w:p>
        </w:tc>
        <w:tc>
          <w:tcPr>
            <w:tcW w:w="992" w:type="dxa"/>
            <w:tcBorders>
              <w:top w:val="nil"/>
              <w:left w:val="nil"/>
              <w:bottom w:val="single" w:sz="4" w:space="0" w:color="auto"/>
              <w:right w:val="nil"/>
            </w:tcBorders>
            <w:vAlign w:val="bottom"/>
            <w:hideMark/>
          </w:tcPr>
          <w:p w14:paraId="601998CA" w14:textId="77777777" w:rsidR="00FE7F8B" w:rsidRDefault="00FE7F8B">
            <w:pPr>
              <w:pStyle w:val="TableTextFinancial"/>
              <w:jc w:val="right"/>
            </w:pPr>
            <w:r>
              <w:t>6.4</w:t>
            </w:r>
          </w:p>
        </w:tc>
        <w:tc>
          <w:tcPr>
            <w:tcW w:w="992" w:type="dxa"/>
            <w:tcBorders>
              <w:top w:val="nil"/>
              <w:left w:val="nil"/>
              <w:bottom w:val="single" w:sz="4" w:space="0" w:color="auto"/>
              <w:right w:val="nil"/>
            </w:tcBorders>
            <w:vAlign w:val="bottom"/>
            <w:hideMark/>
          </w:tcPr>
          <w:p w14:paraId="510755B9" w14:textId="77777777" w:rsidR="00FE7F8B" w:rsidRDefault="00FE7F8B">
            <w:pPr>
              <w:pStyle w:val="TableTextFinancial"/>
              <w:jc w:val="right"/>
            </w:pPr>
            <w:r>
              <w:t>255.1</w:t>
            </w:r>
          </w:p>
        </w:tc>
        <w:tc>
          <w:tcPr>
            <w:tcW w:w="993" w:type="dxa"/>
            <w:tcBorders>
              <w:top w:val="nil"/>
              <w:left w:val="nil"/>
              <w:bottom w:val="single" w:sz="4" w:space="0" w:color="auto"/>
              <w:right w:val="nil"/>
            </w:tcBorders>
            <w:vAlign w:val="bottom"/>
            <w:hideMark/>
          </w:tcPr>
          <w:p w14:paraId="217079F8" w14:textId="77777777" w:rsidR="00FE7F8B" w:rsidRDefault="00FE7F8B">
            <w:pPr>
              <w:pStyle w:val="TableTextFinancial"/>
              <w:jc w:val="right"/>
            </w:pPr>
            <w:r>
              <w:t>199.0</w:t>
            </w:r>
          </w:p>
        </w:tc>
        <w:tc>
          <w:tcPr>
            <w:tcW w:w="850" w:type="dxa"/>
            <w:tcBorders>
              <w:top w:val="nil"/>
              <w:left w:val="nil"/>
              <w:bottom w:val="single" w:sz="4" w:space="0" w:color="auto"/>
              <w:right w:val="nil"/>
            </w:tcBorders>
            <w:vAlign w:val="bottom"/>
            <w:hideMark/>
          </w:tcPr>
          <w:p w14:paraId="7303D7D0"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757B33A8" w14:textId="77777777" w:rsidR="00FE7F8B" w:rsidRDefault="00FE7F8B">
            <w:pPr>
              <w:pStyle w:val="TableTextFinancial"/>
              <w:jc w:val="right"/>
            </w:pPr>
            <w:r>
              <w:t>56.0</w:t>
            </w:r>
          </w:p>
        </w:tc>
      </w:tr>
      <w:tr w:rsidR="00FE7F8B" w14:paraId="60FA5F44" w14:textId="77777777" w:rsidTr="00FE7F8B">
        <w:tc>
          <w:tcPr>
            <w:tcW w:w="2557" w:type="dxa"/>
            <w:tcBorders>
              <w:top w:val="single" w:sz="4" w:space="0" w:color="auto"/>
              <w:left w:val="nil"/>
              <w:bottom w:val="single" w:sz="4" w:space="0" w:color="auto"/>
              <w:right w:val="nil"/>
            </w:tcBorders>
            <w:vAlign w:val="bottom"/>
            <w:hideMark/>
          </w:tcPr>
          <w:p w14:paraId="5EF656B8" w14:textId="77777777" w:rsidR="00FE7F8B" w:rsidRDefault="00FE7F8B">
            <w:pPr>
              <w:pStyle w:val="Tabletextnoindent"/>
              <w:rPr>
                <w:b/>
              </w:rPr>
            </w:pPr>
            <w:r>
              <w:rPr>
                <w:b/>
              </w:rPr>
              <w:t>Total</w:t>
            </w:r>
          </w:p>
        </w:tc>
        <w:tc>
          <w:tcPr>
            <w:tcW w:w="992" w:type="dxa"/>
            <w:tcBorders>
              <w:top w:val="single" w:sz="4" w:space="0" w:color="auto"/>
              <w:left w:val="nil"/>
              <w:bottom w:val="single" w:sz="4" w:space="0" w:color="auto"/>
              <w:right w:val="nil"/>
            </w:tcBorders>
            <w:vAlign w:val="bottom"/>
          </w:tcPr>
          <w:p w14:paraId="2B69B998" w14:textId="77777777" w:rsidR="00FE7F8B" w:rsidRDefault="00FE7F8B">
            <w:pPr>
              <w:pStyle w:val="TableTextFinancial"/>
              <w:jc w:val="right"/>
              <w:rPr>
                <w:b/>
              </w:rPr>
            </w:pPr>
          </w:p>
        </w:tc>
        <w:tc>
          <w:tcPr>
            <w:tcW w:w="992" w:type="dxa"/>
            <w:tcBorders>
              <w:top w:val="single" w:sz="4" w:space="0" w:color="auto"/>
              <w:left w:val="nil"/>
              <w:bottom w:val="single" w:sz="4" w:space="0" w:color="auto"/>
              <w:right w:val="nil"/>
            </w:tcBorders>
            <w:vAlign w:val="bottom"/>
            <w:hideMark/>
          </w:tcPr>
          <w:p w14:paraId="1201D383" w14:textId="77777777" w:rsidR="00FE7F8B" w:rsidRDefault="00FE7F8B">
            <w:pPr>
              <w:pStyle w:val="TableTextFinancial"/>
              <w:jc w:val="right"/>
              <w:rPr>
                <w:b/>
              </w:rPr>
            </w:pPr>
            <w:r>
              <w:rPr>
                <w:b/>
              </w:rPr>
              <w:t>551.2</w:t>
            </w:r>
          </w:p>
        </w:tc>
        <w:tc>
          <w:tcPr>
            <w:tcW w:w="993" w:type="dxa"/>
            <w:tcBorders>
              <w:top w:val="single" w:sz="4" w:space="0" w:color="auto"/>
              <w:left w:val="nil"/>
              <w:bottom w:val="single" w:sz="4" w:space="0" w:color="auto"/>
              <w:right w:val="nil"/>
            </w:tcBorders>
            <w:vAlign w:val="bottom"/>
            <w:hideMark/>
          </w:tcPr>
          <w:p w14:paraId="6B1C1384" w14:textId="77777777" w:rsidR="00FE7F8B" w:rsidRDefault="00FE7F8B">
            <w:pPr>
              <w:pStyle w:val="TableTextFinancial"/>
              <w:jc w:val="right"/>
              <w:rPr>
                <w:b/>
              </w:rPr>
            </w:pPr>
            <w:r>
              <w:rPr>
                <w:b/>
              </w:rPr>
              <w:t>199.0</w:t>
            </w:r>
          </w:p>
        </w:tc>
        <w:tc>
          <w:tcPr>
            <w:tcW w:w="850" w:type="dxa"/>
            <w:tcBorders>
              <w:top w:val="single" w:sz="4" w:space="0" w:color="auto"/>
              <w:left w:val="nil"/>
              <w:bottom w:val="single" w:sz="4" w:space="0" w:color="auto"/>
              <w:right w:val="nil"/>
            </w:tcBorders>
            <w:vAlign w:val="bottom"/>
            <w:hideMark/>
          </w:tcPr>
          <w:p w14:paraId="2F25A15F" w14:textId="77777777" w:rsidR="00FE7F8B" w:rsidRDefault="00FE7F8B">
            <w:pPr>
              <w:pStyle w:val="TableTextFinancial"/>
              <w:jc w:val="right"/>
              <w:rPr>
                <w:b/>
              </w:rPr>
            </w:pPr>
            <w:r>
              <w:rPr>
                <w:b/>
              </w:rPr>
              <w:t>-</w:t>
            </w:r>
          </w:p>
        </w:tc>
        <w:tc>
          <w:tcPr>
            <w:tcW w:w="992" w:type="dxa"/>
            <w:tcBorders>
              <w:top w:val="single" w:sz="4" w:space="0" w:color="auto"/>
              <w:left w:val="nil"/>
              <w:bottom w:val="single" w:sz="4" w:space="0" w:color="auto"/>
              <w:right w:val="nil"/>
            </w:tcBorders>
            <w:vAlign w:val="bottom"/>
            <w:hideMark/>
          </w:tcPr>
          <w:p w14:paraId="51AC7B13" w14:textId="77777777" w:rsidR="00FE7F8B" w:rsidRDefault="00FE7F8B">
            <w:pPr>
              <w:pStyle w:val="TableTextFinancial"/>
              <w:jc w:val="right"/>
              <w:rPr>
                <w:b/>
              </w:rPr>
            </w:pPr>
            <w:r>
              <w:rPr>
                <w:b/>
              </w:rPr>
              <w:t>352.1</w:t>
            </w:r>
          </w:p>
        </w:tc>
      </w:tr>
    </w:tbl>
    <w:p w14:paraId="0025ABF8" w14:textId="77777777" w:rsidR="00FE7F8B" w:rsidRDefault="00FE7F8B" w:rsidP="00FE7F8B">
      <w:pPr>
        <w:pStyle w:val="Heading4notes"/>
      </w:pPr>
      <w:r>
        <w:t>Sensitivity disclosure analysis and assumptions</w:t>
      </w:r>
    </w:p>
    <w:p w14:paraId="4042EAA9" w14:textId="77777777" w:rsidR="00FE7F8B" w:rsidRDefault="00FE7F8B" w:rsidP="00FE7F8B">
      <w:r>
        <w:t>The Department’s sensitivity to market risk is determined based on the observed range of actual historical data for the preceding five-year period, with all variables other than the primary risk variable held constant. The Department cannot be expected to predict movements in market rates and prices. Sensitivity analyses shown are for illustrative purposes only. A movement of 100 basis points up and down (2015: 100 down and 100 up) in market interest rates (AUD) is ‘reasonably possible’ over the next 12 months.</w:t>
      </w:r>
    </w:p>
    <w:p w14:paraId="62313D9F" w14:textId="77777777" w:rsidR="00FE7F8B" w:rsidRDefault="00FE7F8B" w:rsidP="00FE7F8B">
      <w:r>
        <w:t>Table 14 discloses the impact on the Department’s net result and equity for each category of financial instrument held by the Department at year-end as presented to key management personnel, if the above movements were to occur.</w:t>
      </w:r>
    </w:p>
    <w:p w14:paraId="1615D807" w14:textId="77777777" w:rsidR="00FE7F8B" w:rsidRDefault="00FE7F8B" w:rsidP="00FE7F8B">
      <w:r>
        <w:t>The interest rates applied to the vehicle leases are not variable or floating in nature. Therefore, the vehicle leases are not subject to the sensitivity analysis prescribed under this standard.</w:t>
      </w:r>
    </w:p>
    <w:p w14:paraId="5F0D4129" w14:textId="77777777" w:rsidR="00FE7F8B" w:rsidRDefault="00FE7F8B" w:rsidP="00FE7F8B">
      <w:pPr>
        <w:pStyle w:val="Caption"/>
      </w:pPr>
      <w:bookmarkStart w:id="116" w:name="_Ref399510441"/>
      <w:r>
        <w:t xml:space="preserve">Table </w:t>
      </w:r>
      <w:bookmarkEnd w:id="116"/>
      <w:r>
        <w:fldChar w:fldCharType="begin"/>
      </w:r>
      <w:r>
        <w:instrText xml:space="preserve"> SEQ Table \* ARABIC </w:instrText>
      </w:r>
      <w:r>
        <w:fldChar w:fldCharType="separate"/>
      </w:r>
      <w:r w:rsidR="00B60957">
        <w:rPr>
          <w:noProof/>
        </w:rPr>
        <w:t>14</w:t>
      </w:r>
      <w:r>
        <w:fldChar w:fldCharType="end"/>
      </w:r>
      <w:r>
        <w:t>—Market risk exposure</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83"/>
        <w:gridCol w:w="1702"/>
        <w:gridCol w:w="1419"/>
        <w:gridCol w:w="1276"/>
      </w:tblGrid>
      <w:tr w:rsidR="00FE7F8B" w14:paraId="2F6FB0CC" w14:textId="77777777" w:rsidTr="00FE7F8B">
        <w:tc>
          <w:tcPr>
            <w:tcW w:w="2982" w:type="dxa"/>
            <w:tcBorders>
              <w:top w:val="nil"/>
              <w:left w:val="nil"/>
              <w:bottom w:val="nil"/>
              <w:right w:val="nil"/>
            </w:tcBorders>
            <w:shd w:val="clear" w:color="auto" w:fill="7F7F7F" w:themeFill="text1" w:themeFillTint="80"/>
            <w:vAlign w:val="center"/>
          </w:tcPr>
          <w:p w14:paraId="1A8999B7" w14:textId="77777777" w:rsidR="00FE7F8B" w:rsidRDefault="00FE7F8B">
            <w:pPr>
              <w:pStyle w:val="Tablecolumnheading"/>
              <w:jc w:val="center"/>
              <w:rPr>
                <w:lang w:eastAsia="en-AU"/>
              </w:rPr>
            </w:pPr>
          </w:p>
        </w:tc>
        <w:tc>
          <w:tcPr>
            <w:tcW w:w="1701" w:type="dxa"/>
            <w:tcBorders>
              <w:top w:val="nil"/>
              <w:left w:val="nil"/>
              <w:bottom w:val="nil"/>
              <w:right w:val="nil"/>
            </w:tcBorders>
            <w:shd w:val="clear" w:color="auto" w:fill="7F7F7F" w:themeFill="text1" w:themeFillTint="80"/>
            <w:vAlign w:val="center"/>
          </w:tcPr>
          <w:p w14:paraId="2BDAB076" w14:textId="77777777" w:rsidR="00FE7F8B" w:rsidRDefault="00FE7F8B">
            <w:pPr>
              <w:pStyle w:val="Tablecolumnheading"/>
              <w:jc w:val="center"/>
              <w:rPr>
                <w:lang w:eastAsia="en-AU"/>
              </w:rPr>
            </w:pPr>
          </w:p>
        </w:tc>
        <w:tc>
          <w:tcPr>
            <w:tcW w:w="2693" w:type="dxa"/>
            <w:gridSpan w:val="2"/>
            <w:tcBorders>
              <w:top w:val="nil"/>
              <w:left w:val="nil"/>
              <w:bottom w:val="nil"/>
              <w:right w:val="nil"/>
            </w:tcBorders>
            <w:shd w:val="clear" w:color="auto" w:fill="7F7F7F" w:themeFill="text1" w:themeFillTint="80"/>
            <w:vAlign w:val="center"/>
            <w:hideMark/>
          </w:tcPr>
          <w:p w14:paraId="7FB0746F" w14:textId="77777777" w:rsidR="00FE7F8B" w:rsidRDefault="00FE7F8B">
            <w:pPr>
              <w:pStyle w:val="Tablecolumnheading"/>
              <w:jc w:val="center"/>
              <w:rPr>
                <w:lang w:eastAsia="en-AU"/>
              </w:rPr>
            </w:pPr>
            <w:r>
              <w:rPr>
                <w:lang w:eastAsia="en-AU"/>
              </w:rPr>
              <w:t>Interest rate risk</w:t>
            </w:r>
          </w:p>
        </w:tc>
      </w:tr>
      <w:tr w:rsidR="00FE7F8B" w14:paraId="172FD05C" w14:textId="77777777" w:rsidTr="00FE7F8B">
        <w:tc>
          <w:tcPr>
            <w:tcW w:w="2982" w:type="dxa"/>
            <w:tcBorders>
              <w:top w:val="nil"/>
              <w:left w:val="nil"/>
              <w:bottom w:val="nil"/>
              <w:right w:val="nil"/>
            </w:tcBorders>
            <w:shd w:val="clear" w:color="auto" w:fill="7F7F7F" w:themeFill="text1" w:themeFillTint="80"/>
            <w:vAlign w:val="center"/>
          </w:tcPr>
          <w:p w14:paraId="6ADE604B" w14:textId="77777777" w:rsidR="00FE7F8B" w:rsidRDefault="00FE7F8B">
            <w:pPr>
              <w:pStyle w:val="Tablecolumnheading"/>
              <w:jc w:val="center"/>
              <w:rPr>
                <w:lang w:eastAsia="en-AU"/>
              </w:rPr>
            </w:pPr>
          </w:p>
        </w:tc>
        <w:tc>
          <w:tcPr>
            <w:tcW w:w="1701" w:type="dxa"/>
            <w:tcBorders>
              <w:top w:val="nil"/>
              <w:left w:val="nil"/>
              <w:bottom w:val="nil"/>
              <w:right w:val="nil"/>
            </w:tcBorders>
            <w:shd w:val="clear" w:color="auto" w:fill="7F7F7F" w:themeFill="text1" w:themeFillTint="80"/>
            <w:vAlign w:val="center"/>
          </w:tcPr>
          <w:p w14:paraId="70210372" w14:textId="77777777" w:rsidR="00FE7F8B" w:rsidRDefault="00FE7F8B">
            <w:pPr>
              <w:pStyle w:val="Tablecolumnheading"/>
              <w:jc w:val="center"/>
              <w:rPr>
                <w:lang w:eastAsia="en-AU"/>
              </w:rPr>
            </w:pPr>
          </w:p>
        </w:tc>
        <w:tc>
          <w:tcPr>
            <w:tcW w:w="1418" w:type="dxa"/>
            <w:tcBorders>
              <w:top w:val="nil"/>
              <w:left w:val="nil"/>
              <w:bottom w:val="nil"/>
              <w:right w:val="nil"/>
            </w:tcBorders>
            <w:shd w:val="clear" w:color="auto" w:fill="7F7F7F" w:themeFill="text1" w:themeFillTint="80"/>
            <w:vAlign w:val="center"/>
            <w:hideMark/>
          </w:tcPr>
          <w:p w14:paraId="3D8E2353" w14:textId="77777777" w:rsidR="00FE7F8B" w:rsidRDefault="00FE7F8B">
            <w:pPr>
              <w:pStyle w:val="Tablecolumnheading"/>
              <w:jc w:val="center"/>
              <w:rPr>
                <w:lang w:eastAsia="en-AU"/>
              </w:rPr>
            </w:pPr>
            <w:r>
              <w:rPr>
                <w:lang w:eastAsia="en-AU"/>
              </w:rPr>
              <w:t>(-100 basis points)</w:t>
            </w:r>
          </w:p>
        </w:tc>
        <w:tc>
          <w:tcPr>
            <w:tcW w:w="1275" w:type="dxa"/>
            <w:tcBorders>
              <w:top w:val="nil"/>
              <w:left w:val="nil"/>
              <w:bottom w:val="nil"/>
              <w:right w:val="nil"/>
            </w:tcBorders>
            <w:shd w:val="clear" w:color="auto" w:fill="7F7F7F" w:themeFill="text1" w:themeFillTint="80"/>
            <w:vAlign w:val="center"/>
            <w:hideMark/>
          </w:tcPr>
          <w:p w14:paraId="10EE0B2F" w14:textId="77777777" w:rsidR="00FE7F8B" w:rsidRDefault="00FE7F8B">
            <w:pPr>
              <w:pStyle w:val="Tablecolumnheading"/>
              <w:jc w:val="center"/>
              <w:rPr>
                <w:lang w:eastAsia="en-AU"/>
              </w:rPr>
            </w:pPr>
            <w:r>
              <w:rPr>
                <w:lang w:eastAsia="en-AU"/>
              </w:rPr>
              <w:t>(+100 basis points)</w:t>
            </w:r>
          </w:p>
        </w:tc>
      </w:tr>
      <w:tr w:rsidR="00FE7F8B" w14:paraId="02DB960F" w14:textId="77777777" w:rsidTr="00FE7F8B">
        <w:tc>
          <w:tcPr>
            <w:tcW w:w="2982" w:type="dxa"/>
            <w:tcBorders>
              <w:top w:val="nil"/>
              <w:left w:val="nil"/>
              <w:bottom w:val="nil"/>
              <w:right w:val="nil"/>
            </w:tcBorders>
            <w:shd w:val="clear" w:color="auto" w:fill="7F7F7F" w:themeFill="text1" w:themeFillTint="80"/>
            <w:vAlign w:val="center"/>
            <w:hideMark/>
          </w:tcPr>
          <w:p w14:paraId="20591B70" w14:textId="77777777" w:rsidR="00FE7F8B" w:rsidRDefault="00FE7F8B">
            <w:pPr>
              <w:pStyle w:val="Tablecolumnheading"/>
              <w:jc w:val="center"/>
              <w:rPr>
                <w:lang w:eastAsia="en-AU"/>
              </w:rPr>
            </w:pPr>
            <w:r>
              <w:rPr>
                <w:lang w:eastAsia="en-AU"/>
              </w:rPr>
              <w:t>2016</w:t>
            </w:r>
          </w:p>
        </w:tc>
        <w:tc>
          <w:tcPr>
            <w:tcW w:w="1701" w:type="dxa"/>
            <w:tcBorders>
              <w:top w:val="nil"/>
              <w:left w:val="nil"/>
              <w:bottom w:val="nil"/>
              <w:right w:val="nil"/>
            </w:tcBorders>
            <w:shd w:val="clear" w:color="auto" w:fill="7F7F7F" w:themeFill="text1" w:themeFillTint="80"/>
            <w:vAlign w:val="center"/>
            <w:hideMark/>
          </w:tcPr>
          <w:p w14:paraId="157E4C24" w14:textId="77777777" w:rsidR="00FE7F8B" w:rsidRDefault="00FE7F8B">
            <w:pPr>
              <w:pStyle w:val="Tablecolumnheading"/>
              <w:jc w:val="center"/>
              <w:rPr>
                <w:lang w:eastAsia="en-AU"/>
              </w:rPr>
            </w:pPr>
            <w:r>
              <w:rPr>
                <w:lang w:eastAsia="en-AU"/>
              </w:rPr>
              <w:t>Carrying amount</w:t>
            </w:r>
            <w:r>
              <w:rPr>
                <w:lang w:eastAsia="en-AU"/>
              </w:rPr>
              <w:br/>
              <w:t>$m</w:t>
            </w:r>
          </w:p>
        </w:tc>
        <w:tc>
          <w:tcPr>
            <w:tcW w:w="1418" w:type="dxa"/>
            <w:tcBorders>
              <w:top w:val="nil"/>
              <w:left w:val="nil"/>
              <w:bottom w:val="nil"/>
              <w:right w:val="nil"/>
            </w:tcBorders>
            <w:shd w:val="clear" w:color="auto" w:fill="7F7F7F" w:themeFill="text1" w:themeFillTint="80"/>
            <w:vAlign w:val="center"/>
            <w:hideMark/>
          </w:tcPr>
          <w:p w14:paraId="293BBA40" w14:textId="77777777" w:rsidR="00FE7F8B" w:rsidRDefault="00FE7F8B">
            <w:pPr>
              <w:pStyle w:val="Tablecolumnheading"/>
              <w:jc w:val="center"/>
              <w:rPr>
                <w:lang w:eastAsia="en-AU"/>
              </w:rPr>
            </w:pPr>
            <w:r>
              <w:rPr>
                <w:lang w:eastAsia="en-AU"/>
              </w:rPr>
              <w:t>Net result</w:t>
            </w:r>
            <w:r>
              <w:rPr>
                <w:lang w:eastAsia="en-AU"/>
              </w:rPr>
              <w:br/>
              <w:t>$m</w:t>
            </w:r>
          </w:p>
        </w:tc>
        <w:tc>
          <w:tcPr>
            <w:tcW w:w="1275" w:type="dxa"/>
            <w:tcBorders>
              <w:top w:val="nil"/>
              <w:left w:val="nil"/>
              <w:bottom w:val="nil"/>
              <w:right w:val="nil"/>
            </w:tcBorders>
            <w:shd w:val="clear" w:color="auto" w:fill="7F7F7F" w:themeFill="text1" w:themeFillTint="80"/>
            <w:vAlign w:val="center"/>
            <w:hideMark/>
          </w:tcPr>
          <w:p w14:paraId="7364F36D" w14:textId="77777777" w:rsidR="00FE7F8B" w:rsidRDefault="00FE7F8B">
            <w:pPr>
              <w:pStyle w:val="Tablecolumnheading"/>
              <w:jc w:val="center"/>
              <w:rPr>
                <w:lang w:eastAsia="en-AU"/>
              </w:rPr>
            </w:pPr>
            <w:r>
              <w:rPr>
                <w:lang w:eastAsia="en-AU"/>
              </w:rPr>
              <w:t>Net result</w:t>
            </w:r>
            <w:r>
              <w:rPr>
                <w:lang w:eastAsia="en-AU"/>
              </w:rPr>
              <w:br/>
              <w:t>$m</w:t>
            </w:r>
          </w:p>
        </w:tc>
      </w:tr>
      <w:tr w:rsidR="00FE7F8B" w14:paraId="3B4CB8C1" w14:textId="77777777" w:rsidTr="00FE7F8B">
        <w:tc>
          <w:tcPr>
            <w:tcW w:w="2982" w:type="dxa"/>
            <w:tcBorders>
              <w:top w:val="nil"/>
              <w:left w:val="nil"/>
              <w:bottom w:val="nil"/>
              <w:right w:val="nil"/>
            </w:tcBorders>
            <w:vAlign w:val="bottom"/>
            <w:hideMark/>
          </w:tcPr>
          <w:p w14:paraId="3D1881DC" w14:textId="77777777" w:rsidR="00FE7F8B" w:rsidRDefault="00FE7F8B">
            <w:pPr>
              <w:pStyle w:val="Tabletextnoindent"/>
              <w:rPr>
                <w:b/>
              </w:rPr>
            </w:pPr>
            <w:r>
              <w:rPr>
                <w:b/>
              </w:rPr>
              <w:t>Financial assets</w:t>
            </w:r>
          </w:p>
        </w:tc>
        <w:tc>
          <w:tcPr>
            <w:tcW w:w="1701" w:type="dxa"/>
            <w:tcBorders>
              <w:top w:val="nil"/>
              <w:left w:val="nil"/>
              <w:bottom w:val="nil"/>
              <w:right w:val="nil"/>
            </w:tcBorders>
            <w:vAlign w:val="bottom"/>
          </w:tcPr>
          <w:p w14:paraId="703AA88B" w14:textId="77777777" w:rsidR="00FE7F8B" w:rsidRDefault="00FE7F8B">
            <w:pPr>
              <w:pStyle w:val="TableTextFinancial"/>
              <w:jc w:val="right"/>
            </w:pPr>
          </w:p>
        </w:tc>
        <w:tc>
          <w:tcPr>
            <w:tcW w:w="1418" w:type="dxa"/>
            <w:tcBorders>
              <w:top w:val="nil"/>
              <w:left w:val="nil"/>
              <w:bottom w:val="nil"/>
              <w:right w:val="nil"/>
            </w:tcBorders>
            <w:vAlign w:val="bottom"/>
          </w:tcPr>
          <w:p w14:paraId="1560C240" w14:textId="77777777" w:rsidR="00FE7F8B" w:rsidRDefault="00FE7F8B">
            <w:pPr>
              <w:pStyle w:val="TableTextFinancial"/>
              <w:jc w:val="right"/>
            </w:pPr>
          </w:p>
        </w:tc>
        <w:tc>
          <w:tcPr>
            <w:tcW w:w="1275" w:type="dxa"/>
            <w:tcBorders>
              <w:top w:val="nil"/>
              <w:left w:val="nil"/>
              <w:bottom w:val="nil"/>
              <w:right w:val="nil"/>
            </w:tcBorders>
            <w:vAlign w:val="bottom"/>
          </w:tcPr>
          <w:p w14:paraId="3C08DE80" w14:textId="77777777" w:rsidR="00FE7F8B" w:rsidRDefault="00FE7F8B">
            <w:pPr>
              <w:pStyle w:val="TableTextFinancial"/>
              <w:jc w:val="right"/>
            </w:pPr>
          </w:p>
        </w:tc>
      </w:tr>
      <w:tr w:rsidR="00FE7F8B" w14:paraId="790993B1" w14:textId="77777777" w:rsidTr="00FE7F8B">
        <w:tc>
          <w:tcPr>
            <w:tcW w:w="2982" w:type="dxa"/>
            <w:tcBorders>
              <w:top w:val="nil"/>
              <w:left w:val="nil"/>
              <w:bottom w:val="nil"/>
              <w:right w:val="nil"/>
            </w:tcBorders>
            <w:vAlign w:val="bottom"/>
            <w:hideMark/>
          </w:tcPr>
          <w:p w14:paraId="09589F4E" w14:textId="77777777" w:rsidR="00FE7F8B" w:rsidRDefault="00FE7F8B">
            <w:pPr>
              <w:pStyle w:val="Tabletextnoindent"/>
            </w:pPr>
            <w:r>
              <w:t>Cash and deposits—Department</w:t>
            </w:r>
          </w:p>
        </w:tc>
        <w:tc>
          <w:tcPr>
            <w:tcW w:w="1701" w:type="dxa"/>
            <w:tcBorders>
              <w:top w:val="nil"/>
              <w:left w:val="nil"/>
              <w:bottom w:val="nil"/>
              <w:right w:val="nil"/>
            </w:tcBorders>
            <w:vAlign w:val="bottom"/>
            <w:hideMark/>
          </w:tcPr>
          <w:p w14:paraId="27E428FD" w14:textId="77777777" w:rsidR="00FE7F8B" w:rsidRDefault="00FE7F8B">
            <w:pPr>
              <w:pStyle w:val="TableTextFinancial"/>
              <w:jc w:val="right"/>
              <w:rPr>
                <w:b/>
              </w:rPr>
            </w:pPr>
            <w:r>
              <w:rPr>
                <w:b/>
              </w:rPr>
              <w:t>205.4</w:t>
            </w:r>
          </w:p>
        </w:tc>
        <w:tc>
          <w:tcPr>
            <w:tcW w:w="1418" w:type="dxa"/>
            <w:tcBorders>
              <w:top w:val="nil"/>
              <w:left w:val="nil"/>
              <w:bottom w:val="nil"/>
              <w:right w:val="nil"/>
            </w:tcBorders>
            <w:vAlign w:val="bottom"/>
            <w:hideMark/>
          </w:tcPr>
          <w:p w14:paraId="7705277B"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1BC89505" w14:textId="77777777" w:rsidR="00FE7F8B" w:rsidRDefault="00FE7F8B">
            <w:pPr>
              <w:pStyle w:val="TableTextFinancial"/>
              <w:jc w:val="right"/>
            </w:pPr>
            <w:r>
              <w:t>-</w:t>
            </w:r>
          </w:p>
        </w:tc>
      </w:tr>
      <w:tr w:rsidR="00FE7F8B" w14:paraId="7BC8457B" w14:textId="77777777" w:rsidTr="00FE7F8B">
        <w:tc>
          <w:tcPr>
            <w:tcW w:w="2982" w:type="dxa"/>
            <w:tcBorders>
              <w:top w:val="nil"/>
              <w:left w:val="nil"/>
              <w:bottom w:val="nil"/>
              <w:right w:val="nil"/>
            </w:tcBorders>
            <w:vAlign w:val="bottom"/>
            <w:hideMark/>
          </w:tcPr>
          <w:p w14:paraId="7F73D3F3" w14:textId="77777777" w:rsidR="00FE7F8B" w:rsidRDefault="00FE7F8B">
            <w:pPr>
              <w:pStyle w:val="Tabletextnoindent"/>
            </w:pPr>
            <w:r>
              <w:t>Cash and deposits—Schools</w:t>
            </w:r>
            <w:r>
              <w:rPr>
                <w:rStyle w:val="FootnoteReference"/>
              </w:rPr>
              <w:t>1</w:t>
            </w:r>
          </w:p>
        </w:tc>
        <w:tc>
          <w:tcPr>
            <w:tcW w:w="1701" w:type="dxa"/>
            <w:tcBorders>
              <w:top w:val="nil"/>
              <w:left w:val="nil"/>
              <w:bottom w:val="nil"/>
              <w:right w:val="nil"/>
            </w:tcBorders>
            <w:vAlign w:val="bottom"/>
            <w:hideMark/>
          </w:tcPr>
          <w:p w14:paraId="19970BCA" w14:textId="77777777" w:rsidR="00FE7F8B" w:rsidRDefault="00FE7F8B">
            <w:pPr>
              <w:pStyle w:val="TableTextFinancial"/>
              <w:jc w:val="right"/>
              <w:rPr>
                <w:b/>
              </w:rPr>
            </w:pPr>
            <w:r>
              <w:rPr>
                <w:b/>
              </w:rPr>
              <w:t>497.8</w:t>
            </w:r>
          </w:p>
        </w:tc>
        <w:tc>
          <w:tcPr>
            <w:tcW w:w="1418" w:type="dxa"/>
            <w:tcBorders>
              <w:top w:val="nil"/>
              <w:left w:val="nil"/>
              <w:bottom w:val="nil"/>
              <w:right w:val="nil"/>
            </w:tcBorders>
            <w:vAlign w:val="bottom"/>
            <w:hideMark/>
          </w:tcPr>
          <w:p w14:paraId="52ABF742" w14:textId="77777777" w:rsidR="00FE7F8B" w:rsidRDefault="00FE7F8B">
            <w:pPr>
              <w:pStyle w:val="TableTextFinancial"/>
              <w:jc w:val="right"/>
            </w:pPr>
            <w:r>
              <w:t>(5.0)</w:t>
            </w:r>
          </w:p>
        </w:tc>
        <w:tc>
          <w:tcPr>
            <w:tcW w:w="1275" w:type="dxa"/>
            <w:tcBorders>
              <w:top w:val="nil"/>
              <w:left w:val="nil"/>
              <w:bottom w:val="nil"/>
              <w:right w:val="nil"/>
            </w:tcBorders>
            <w:vAlign w:val="bottom"/>
            <w:hideMark/>
          </w:tcPr>
          <w:p w14:paraId="2A3985A1" w14:textId="77777777" w:rsidR="00FE7F8B" w:rsidRDefault="00FE7F8B">
            <w:pPr>
              <w:pStyle w:val="TableTextFinancial"/>
              <w:jc w:val="right"/>
            </w:pPr>
            <w:r>
              <w:t>5.0</w:t>
            </w:r>
          </w:p>
        </w:tc>
      </w:tr>
      <w:tr w:rsidR="00FE7F8B" w14:paraId="050AFF12" w14:textId="77777777" w:rsidTr="00FE7F8B">
        <w:tc>
          <w:tcPr>
            <w:tcW w:w="2982" w:type="dxa"/>
            <w:tcBorders>
              <w:top w:val="nil"/>
              <w:left w:val="nil"/>
              <w:bottom w:val="nil"/>
              <w:right w:val="nil"/>
            </w:tcBorders>
            <w:vAlign w:val="bottom"/>
            <w:hideMark/>
          </w:tcPr>
          <w:p w14:paraId="4D1E7146" w14:textId="77777777" w:rsidR="00FE7F8B" w:rsidRDefault="00FE7F8B">
            <w:pPr>
              <w:pStyle w:val="Tabletextnoindent"/>
            </w:pPr>
            <w:r>
              <w:t xml:space="preserve">Receivables </w:t>
            </w:r>
          </w:p>
        </w:tc>
        <w:tc>
          <w:tcPr>
            <w:tcW w:w="1701" w:type="dxa"/>
            <w:tcBorders>
              <w:top w:val="nil"/>
              <w:left w:val="nil"/>
              <w:bottom w:val="nil"/>
              <w:right w:val="nil"/>
            </w:tcBorders>
            <w:vAlign w:val="bottom"/>
            <w:hideMark/>
          </w:tcPr>
          <w:p w14:paraId="23EC725B" w14:textId="77777777" w:rsidR="00FE7F8B" w:rsidRDefault="00FE7F8B">
            <w:pPr>
              <w:pStyle w:val="TableTextFinancial"/>
              <w:jc w:val="right"/>
              <w:rPr>
                <w:b/>
              </w:rPr>
            </w:pPr>
            <w:r>
              <w:rPr>
                <w:b/>
              </w:rPr>
              <w:t>86.0</w:t>
            </w:r>
          </w:p>
        </w:tc>
        <w:tc>
          <w:tcPr>
            <w:tcW w:w="1418" w:type="dxa"/>
            <w:tcBorders>
              <w:top w:val="nil"/>
              <w:left w:val="nil"/>
              <w:bottom w:val="nil"/>
              <w:right w:val="nil"/>
            </w:tcBorders>
            <w:vAlign w:val="bottom"/>
            <w:hideMark/>
          </w:tcPr>
          <w:p w14:paraId="40EBE46D"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34A6FB7F" w14:textId="77777777" w:rsidR="00FE7F8B" w:rsidRDefault="00FE7F8B">
            <w:pPr>
              <w:pStyle w:val="TableTextFinancial"/>
              <w:jc w:val="right"/>
            </w:pPr>
            <w:r>
              <w:t>-</w:t>
            </w:r>
          </w:p>
        </w:tc>
      </w:tr>
      <w:tr w:rsidR="00FE7F8B" w14:paraId="1585CDD0" w14:textId="77777777" w:rsidTr="00FE7F8B">
        <w:tc>
          <w:tcPr>
            <w:tcW w:w="2982" w:type="dxa"/>
            <w:tcBorders>
              <w:top w:val="nil"/>
              <w:left w:val="nil"/>
              <w:bottom w:val="nil"/>
              <w:right w:val="nil"/>
            </w:tcBorders>
            <w:vAlign w:val="bottom"/>
            <w:hideMark/>
          </w:tcPr>
          <w:p w14:paraId="11E81767" w14:textId="77777777" w:rsidR="00FE7F8B" w:rsidRDefault="00FE7F8B">
            <w:pPr>
              <w:pStyle w:val="Tabletextnoindent"/>
            </w:pPr>
            <w:r>
              <w:t>Term deposits</w:t>
            </w:r>
            <w:r>
              <w:rPr>
                <w:rStyle w:val="FootnoteReference"/>
              </w:rPr>
              <w:t>2</w:t>
            </w:r>
          </w:p>
        </w:tc>
        <w:tc>
          <w:tcPr>
            <w:tcW w:w="1701" w:type="dxa"/>
            <w:tcBorders>
              <w:top w:val="nil"/>
              <w:left w:val="nil"/>
              <w:bottom w:val="nil"/>
              <w:right w:val="nil"/>
            </w:tcBorders>
            <w:vAlign w:val="bottom"/>
            <w:hideMark/>
          </w:tcPr>
          <w:p w14:paraId="0FD6974C" w14:textId="77777777" w:rsidR="00FE7F8B" w:rsidRDefault="00FE7F8B">
            <w:pPr>
              <w:pStyle w:val="TableTextFinancial"/>
              <w:jc w:val="right"/>
              <w:rPr>
                <w:b/>
              </w:rPr>
            </w:pPr>
            <w:r>
              <w:rPr>
                <w:b/>
              </w:rPr>
              <w:t>274.9</w:t>
            </w:r>
          </w:p>
        </w:tc>
        <w:tc>
          <w:tcPr>
            <w:tcW w:w="1418" w:type="dxa"/>
            <w:tcBorders>
              <w:top w:val="nil"/>
              <w:left w:val="nil"/>
              <w:bottom w:val="nil"/>
              <w:right w:val="nil"/>
            </w:tcBorders>
            <w:vAlign w:val="bottom"/>
            <w:hideMark/>
          </w:tcPr>
          <w:p w14:paraId="36770006" w14:textId="77777777" w:rsidR="00FE7F8B" w:rsidRDefault="00FE7F8B">
            <w:pPr>
              <w:pStyle w:val="TableTextFinancial"/>
              <w:jc w:val="right"/>
            </w:pPr>
            <w:r>
              <w:t>(2.8)</w:t>
            </w:r>
          </w:p>
        </w:tc>
        <w:tc>
          <w:tcPr>
            <w:tcW w:w="1275" w:type="dxa"/>
            <w:tcBorders>
              <w:top w:val="nil"/>
              <w:left w:val="nil"/>
              <w:bottom w:val="nil"/>
              <w:right w:val="nil"/>
            </w:tcBorders>
            <w:vAlign w:val="bottom"/>
            <w:hideMark/>
          </w:tcPr>
          <w:p w14:paraId="0E48AF9D" w14:textId="77777777" w:rsidR="00FE7F8B" w:rsidRDefault="00FE7F8B">
            <w:pPr>
              <w:pStyle w:val="TableTextFinancial"/>
              <w:jc w:val="right"/>
            </w:pPr>
            <w:r>
              <w:t>2.8</w:t>
            </w:r>
          </w:p>
        </w:tc>
      </w:tr>
      <w:tr w:rsidR="00FE7F8B" w14:paraId="20CA76E9" w14:textId="77777777" w:rsidTr="00FE7F8B">
        <w:tc>
          <w:tcPr>
            <w:tcW w:w="2982" w:type="dxa"/>
            <w:tcBorders>
              <w:top w:val="nil"/>
              <w:left w:val="nil"/>
              <w:bottom w:val="nil"/>
              <w:right w:val="nil"/>
            </w:tcBorders>
            <w:vAlign w:val="bottom"/>
            <w:hideMark/>
          </w:tcPr>
          <w:p w14:paraId="49356BBF" w14:textId="77777777" w:rsidR="00FE7F8B" w:rsidRDefault="00FE7F8B">
            <w:pPr>
              <w:pStyle w:val="Tabletextnoindent"/>
              <w:rPr>
                <w:b/>
              </w:rPr>
            </w:pPr>
            <w:r>
              <w:rPr>
                <w:b/>
              </w:rPr>
              <w:t>Financial liabilities</w:t>
            </w:r>
          </w:p>
        </w:tc>
        <w:tc>
          <w:tcPr>
            <w:tcW w:w="1701" w:type="dxa"/>
            <w:tcBorders>
              <w:top w:val="nil"/>
              <w:left w:val="nil"/>
              <w:bottom w:val="nil"/>
              <w:right w:val="nil"/>
            </w:tcBorders>
            <w:vAlign w:val="bottom"/>
            <w:hideMark/>
          </w:tcPr>
          <w:p w14:paraId="2173474B" w14:textId="77777777" w:rsidR="00FE7F8B" w:rsidRDefault="00FE7F8B">
            <w:pPr>
              <w:pStyle w:val="TableTextFinancial"/>
              <w:jc w:val="right"/>
              <w:rPr>
                <w:b/>
              </w:rPr>
            </w:pPr>
            <w:r>
              <w:rPr>
                <w:b/>
              </w:rPr>
              <w:t>-</w:t>
            </w:r>
          </w:p>
        </w:tc>
        <w:tc>
          <w:tcPr>
            <w:tcW w:w="1418" w:type="dxa"/>
            <w:tcBorders>
              <w:top w:val="nil"/>
              <w:left w:val="nil"/>
              <w:bottom w:val="nil"/>
              <w:right w:val="nil"/>
            </w:tcBorders>
            <w:vAlign w:val="bottom"/>
            <w:hideMark/>
          </w:tcPr>
          <w:p w14:paraId="5E82D7F8"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5CA4291F" w14:textId="77777777" w:rsidR="00FE7F8B" w:rsidRDefault="00FE7F8B">
            <w:pPr>
              <w:pStyle w:val="TableTextFinancial"/>
              <w:jc w:val="right"/>
            </w:pPr>
            <w:r>
              <w:t>-</w:t>
            </w:r>
          </w:p>
        </w:tc>
      </w:tr>
      <w:tr w:rsidR="00FE7F8B" w14:paraId="7A2D5297" w14:textId="77777777" w:rsidTr="00FE7F8B">
        <w:tc>
          <w:tcPr>
            <w:tcW w:w="2982" w:type="dxa"/>
            <w:tcBorders>
              <w:top w:val="nil"/>
              <w:left w:val="nil"/>
              <w:bottom w:val="nil"/>
              <w:right w:val="nil"/>
            </w:tcBorders>
            <w:vAlign w:val="bottom"/>
            <w:hideMark/>
          </w:tcPr>
          <w:p w14:paraId="12408AA9" w14:textId="77777777" w:rsidR="00FE7F8B" w:rsidRDefault="00FE7F8B">
            <w:pPr>
              <w:pStyle w:val="Tabletextnoindent"/>
            </w:pPr>
            <w:r>
              <w:t>Payables</w:t>
            </w:r>
          </w:p>
        </w:tc>
        <w:tc>
          <w:tcPr>
            <w:tcW w:w="1701" w:type="dxa"/>
            <w:tcBorders>
              <w:top w:val="nil"/>
              <w:left w:val="nil"/>
              <w:bottom w:val="nil"/>
              <w:right w:val="nil"/>
            </w:tcBorders>
            <w:vAlign w:val="bottom"/>
            <w:hideMark/>
          </w:tcPr>
          <w:p w14:paraId="511429D8" w14:textId="77777777" w:rsidR="00FE7F8B" w:rsidRDefault="00FE7F8B">
            <w:pPr>
              <w:pStyle w:val="TableTextFinancial"/>
              <w:jc w:val="right"/>
              <w:rPr>
                <w:b/>
              </w:rPr>
            </w:pPr>
            <w:r>
              <w:rPr>
                <w:b/>
              </w:rPr>
              <w:t>393.8</w:t>
            </w:r>
          </w:p>
        </w:tc>
        <w:tc>
          <w:tcPr>
            <w:tcW w:w="1418" w:type="dxa"/>
            <w:tcBorders>
              <w:top w:val="nil"/>
              <w:left w:val="nil"/>
              <w:bottom w:val="nil"/>
              <w:right w:val="nil"/>
            </w:tcBorders>
            <w:vAlign w:val="bottom"/>
          </w:tcPr>
          <w:p w14:paraId="0D962301" w14:textId="77777777" w:rsidR="00FE7F8B" w:rsidRDefault="00FE7F8B">
            <w:pPr>
              <w:pStyle w:val="TableTextFinancial"/>
              <w:jc w:val="right"/>
            </w:pPr>
          </w:p>
        </w:tc>
        <w:tc>
          <w:tcPr>
            <w:tcW w:w="1275" w:type="dxa"/>
            <w:tcBorders>
              <w:top w:val="nil"/>
              <w:left w:val="nil"/>
              <w:bottom w:val="nil"/>
              <w:right w:val="nil"/>
            </w:tcBorders>
            <w:vAlign w:val="bottom"/>
          </w:tcPr>
          <w:p w14:paraId="53C9A78B" w14:textId="77777777" w:rsidR="00FE7F8B" w:rsidRDefault="00FE7F8B">
            <w:pPr>
              <w:pStyle w:val="TableTextFinancial"/>
              <w:jc w:val="right"/>
            </w:pPr>
          </w:p>
        </w:tc>
      </w:tr>
      <w:tr w:rsidR="00FE7F8B" w14:paraId="61734C0A" w14:textId="77777777" w:rsidTr="00FE7F8B">
        <w:tc>
          <w:tcPr>
            <w:tcW w:w="2982" w:type="dxa"/>
            <w:tcBorders>
              <w:top w:val="nil"/>
              <w:left w:val="nil"/>
              <w:bottom w:val="single" w:sz="4" w:space="0" w:color="auto"/>
              <w:right w:val="nil"/>
            </w:tcBorders>
            <w:vAlign w:val="bottom"/>
            <w:hideMark/>
          </w:tcPr>
          <w:p w14:paraId="37C6558E" w14:textId="77777777" w:rsidR="00FE7F8B" w:rsidRDefault="00FE7F8B">
            <w:pPr>
              <w:pStyle w:val="Tabletextnoindent"/>
            </w:pPr>
            <w:r>
              <w:t>Borrowings</w:t>
            </w:r>
          </w:p>
        </w:tc>
        <w:tc>
          <w:tcPr>
            <w:tcW w:w="1701" w:type="dxa"/>
            <w:tcBorders>
              <w:top w:val="nil"/>
              <w:left w:val="nil"/>
              <w:bottom w:val="single" w:sz="4" w:space="0" w:color="auto"/>
              <w:right w:val="nil"/>
            </w:tcBorders>
            <w:vAlign w:val="bottom"/>
            <w:hideMark/>
          </w:tcPr>
          <w:p w14:paraId="4ECCF53D" w14:textId="77777777" w:rsidR="00FE7F8B" w:rsidRDefault="00FE7F8B">
            <w:pPr>
              <w:pStyle w:val="TableTextFinancial"/>
              <w:jc w:val="right"/>
              <w:rPr>
                <w:b/>
              </w:rPr>
            </w:pPr>
            <w:r>
              <w:rPr>
                <w:b/>
              </w:rPr>
              <w:t>249.6</w:t>
            </w:r>
          </w:p>
        </w:tc>
        <w:tc>
          <w:tcPr>
            <w:tcW w:w="1418" w:type="dxa"/>
            <w:tcBorders>
              <w:top w:val="nil"/>
              <w:left w:val="nil"/>
              <w:bottom w:val="single" w:sz="4" w:space="0" w:color="auto"/>
              <w:right w:val="nil"/>
            </w:tcBorders>
            <w:vAlign w:val="bottom"/>
            <w:hideMark/>
          </w:tcPr>
          <w:p w14:paraId="27E8F808" w14:textId="77777777" w:rsidR="00FE7F8B" w:rsidRDefault="00FE7F8B">
            <w:pPr>
              <w:pStyle w:val="TableTextFinancial"/>
              <w:jc w:val="right"/>
            </w:pPr>
            <w:r>
              <w:t>-</w:t>
            </w:r>
          </w:p>
        </w:tc>
        <w:tc>
          <w:tcPr>
            <w:tcW w:w="1275" w:type="dxa"/>
            <w:tcBorders>
              <w:top w:val="nil"/>
              <w:left w:val="nil"/>
              <w:bottom w:val="single" w:sz="4" w:space="0" w:color="auto"/>
              <w:right w:val="nil"/>
            </w:tcBorders>
            <w:vAlign w:val="bottom"/>
            <w:hideMark/>
          </w:tcPr>
          <w:p w14:paraId="2F8020B3" w14:textId="77777777" w:rsidR="00FE7F8B" w:rsidRDefault="00FE7F8B">
            <w:pPr>
              <w:pStyle w:val="TableTextFinancial"/>
              <w:jc w:val="right"/>
            </w:pPr>
            <w:r>
              <w:t>-</w:t>
            </w:r>
          </w:p>
        </w:tc>
      </w:tr>
      <w:tr w:rsidR="00FE7F8B" w14:paraId="420F2681" w14:textId="77777777" w:rsidTr="00FE7F8B">
        <w:tc>
          <w:tcPr>
            <w:tcW w:w="2982" w:type="dxa"/>
            <w:tcBorders>
              <w:top w:val="single" w:sz="4" w:space="0" w:color="auto"/>
              <w:left w:val="nil"/>
              <w:bottom w:val="single" w:sz="4" w:space="0" w:color="auto"/>
              <w:right w:val="nil"/>
            </w:tcBorders>
            <w:vAlign w:val="bottom"/>
            <w:hideMark/>
          </w:tcPr>
          <w:p w14:paraId="1F3913BF" w14:textId="77777777" w:rsidR="00FE7F8B" w:rsidRDefault="00FE7F8B">
            <w:pPr>
              <w:pStyle w:val="Tabletextnoindent"/>
              <w:rPr>
                <w:b/>
              </w:rPr>
            </w:pPr>
            <w:r>
              <w:rPr>
                <w:b/>
              </w:rPr>
              <w:t>Total increase/(decrease)</w:t>
            </w:r>
          </w:p>
        </w:tc>
        <w:tc>
          <w:tcPr>
            <w:tcW w:w="1701" w:type="dxa"/>
            <w:tcBorders>
              <w:top w:val="single" w:sz="4" w:space="0" w:color="auto"/>
              <w:left w:val="nil"/>
              <w:bottom w:val="single" w:sz="4" w:space="0" w:color="auto"/>
              <w:right w:val="nil"/>
            </w:tcBorders>
            <w:vAlign w:val="bottom"/>
          </w:tcPr>
          <w:p w14:paraId="6BB74061" w14:textId="77777777" w:rsidR="00FE7F8B" w:rsidRDefault="00FE7F8B">
            <w:pPr>
              <w:pStyle w:val="TableTextFinancial"/>
              <w:jc w:val="right"/>
              <w:rPr>
                <w:b/>
              </w:rPr>
            </w:pPr>
          </w:p>
        </w:tc>
        <w:tc>
          <w:tcPr>
            <w:tcW w:w="1418" w:type="dxa"/>
            <w:tcBorders>
              <w:top w:val="single" w:sz="4" w:space="0" w:color="auto"/>
              <w:left w:val="nil"/>
              <w:bottom w:val="single" w:sz="4" w:space="0" w:color="auto"/>
              <w:right w:val="nil"/>
            </w:tcBorders>
            <w:vAlign w:val="bottom"/>
            <w:hideMark/>
          </w:tcPr>
          <w:p w14:paraId="702DB9B4" w14:textId="77777777" w:rsidR="00FE7F8B" w:rsidRDefault="00FE7F8B">
            <w:pPr>
              <w:pStyle w:val="TableTextFinancial"/>
              <w:jc w:val="right"/>
              <w:rPr>
                <w:b/>
              </w:rPr>
            </w:pPr>
            <w:r>
              <w:rPr>
                <w:b/>
              </w:rPr>
              <w:t>(7.7)</w:t>
            </w:r>
          </w:p>
        </w:tc>
        <w:tc>
          <w:tcPr>
            <w:tcW w:w="1275" w:type="dxa"/>
            <w:tcBorders>
              <w:top w:val="single" w:sz="4" w:space="0" w:color="auto"/>
              <w:left w:val="nil"/>
              <w:bottom w:val="single" w:sz="4" w:space="0" w:color="auto"/>
              <w:right w:val="nil"/>
            </w:tcBorders>
            <w:vAlign w:val="bottom"/>
            <w:hideMark/>
          </w:tcPr>
          <w:p w14:paraId="253A20F5" w14:textId="77777777" w:rsidR="00FE7F8B" w:rsidRDefault="00FE7F8B">
            <w:pPr>
              <w:pStyle w:val="TableTextFinancial"/>
              <w:jc w:val="right"/>
              <w:rPr>
                <w:b/>
              </w:rPr>
            </w:pPr>
            <w:r>
              <w:rPr>
                <w:b/>
              </w:rPr>
              <w:t>7.7</w:t>
            </w:r>
          </w:p>
        </w:tc>
      </w:tr>
      <w:tr w:rsidR="00FE7F8B" w14:paraId="5FADFE1E" w14:textId="77777777" w:rsidTr="00FE7F8B">
        <w:tc>
          <w:tcPr>
            <w:tcW w:w="2982" w:type="dxa"/>
            <w:tcBorders>
              <w:top w:val="nil"/>
              <w:left w:val="nil"/>
              <w:bottom w:val="nil"/>
              <w:right w:val="nil"/>
            </w:tcBorders>
            <w:shd w:val="clear" w:color="auto" w:fill="7F7F7F" w:themeFill="text1" w:themeFillTint="80"/>
            <w:vAlign w:val="center"/>
          </w:tcPr>
          <w:p w14:paraId="5A44F1FC" w14:textId="77777777" w:rsidR="00FE7F8B" w:rsidRDefault="00FE7F8B">
            <w:pPr>
              <w:pStyle w:val="Tablecolumnheading"/>
              <w:jc w:val="center"/>
              <w:rPr>
                <w:lang w:eastAsia="en-AU"/>
              </w:rPr>
            </w:pPr>
          </w:p>
        </w:tc>
        <w:tc>
          <w:tcPr>
            <w:tcW w:w="1701" w:type="dxa"/>
            <w:tcBorders>
              <w:top w:val="nil"/>
              <w:left w:val="nil"/>
              <w:bottom w:val="nil"/>
              <w:right w:val="nil"/>
            </w:tcBorders>
            <w:shd w:val="clear" w:color="auto" w:fill="7F7F7F" w:themeFill="text1" w:themeFillTint="80"/>
            <w:vAlign w:val="center"/>
          </w:tcPr>
          <w:p w14:paraId="2204498F" w14:textId="77777777" w:rsidR="00FE7F8B" w:rsidRDefault="00FE7F8B">
            <w:pPr>
              <w:pStyle w:val="Tablecolumnheading"/>
              <w:jc w:val="center"/>
              <w:rPr>
                <w:lang w:eastAsia="en-AU"/>
              </w:rPr>
            </w:pPr>
          </w:p>
        </w:tc>
        <w:tc>
          <w:tcPr>
            <w:tcW w:w="2693" w:type="dxa"/>
            <w:gridSpan w:val="2"/>
            <w:tcBorders>
              <w:top w:val="nil"/>
              <w:left w:val="nil"/>
              <w:bottom w:val="nil"/>
              <w:right w:val="nil"/>
            </w:tcBorders>
            <w:shd w:val="clear" w:color="auto" w:fill="7F7F7F" w:themeFill="text1" w:themeFillTint="80"/>
            <w:vAlign w:val="center"/>
            <w:hideMark/>
          </w:tcPr>
          <w:p w14:paraId="1986B3D7" w14:textId="77777777" w:rsidR="00FE7F8B" w:rsidRDefault="00FE7F8B">
            <w:pPr>
              <w:pStyle w:val="Tablecolumnheading"/>
              <w:jc w:val="center"/>
              <w:rPr>
                <w:lang w:eastAsia="en-AU"/>
              </w:rPr>
            </w:pPr>
            <w:r>
              <w:rPr>
                <w:lang w:eastAsia="en-AU"/>
              </w:rPr>
              <w:t>Interest rate risk</w:t>
            </w:r>
          </w:p>
        </w:tc>
      </w:tr>
      <w:tr w:rsidR="00FE7F8B" w14:paraId="7355348A" w14:textId="77777777" w:rsidTr="00FE7F8B">
        <w:tc>
          <w:tcPr>
            <w:tcW w:w="2982" w:type="dxa"/>
            <w:tcBorders>
              <w:top w:val="nil"/>
              <w:left w:val="nil"/>
              <w:bottom w:val="nil"/>
              <w:right w:val="nil"/>
            </w:tcBorders>
            <w:shd w:val="clear" w:color="auto" w:fill="7F7F7F" w:themeFill="text1" w:themeFillTint="80"/>
            <w:vAlign w:val="center"/>
          </w:tcPr>
          <w:p w14:paraId="30FABBE3" w14:textId="77777777" w:rsidR="00FE7F8B" w:rsidRDefault="00FE7F8B">
            <w:pPr>
              <w:pStyle w:val="Tablecolumnheading"/>
              <w:jc w:val="center"/>
              <w:rPr>
                <w:lang w:eastAsia="en-AU"/>
              </w:rPr>
            </w:pPr>
          </w:p>
        </w:tc>
        <w:tc>
          <w:tcPr>
            <w:tcW w:w="1701" w:type="dxa"/>
            <w:tcBorders>
              <w:top w:val="nil"/>
              <w:left w:val="nil"/>
              <w:bottom w:val="nil"/>
              <w:right w:val="nil"/>
            </w:tcBorders>
            <w:shd w:val="clear" w:color="auto" w:fill="7F7F7F" w:themeFill="text1" w:themeFillTint="80"/>
            <w:vAlign w:val="center"/>
          </w:tcPr>
          <w:p w14:paraId="1E06B807" w14:textId="77777777" w:rsidR="00FE7F8B" w:rsidRDefault="00FE7F8B">
            <w:pPr>
              <w:pStyle w:val="Tablecolumnheading"/>
              <w:jc w:val="center"/>
              <w:rPr>
                <w:lang w:eastAsia="en-AU"/>
              </w:rPr>
            </w:pPr>
          </w:p>
        </w:tc>
        <w:tc>
          <w:tcPr>
            <w:tcW w:w="1418" w:type="dxa"/>
            <w:tcBorders>
              <w:top w:val="nil"/>
              <w:left w:val="nil"/>
              <w:bottom w:val="nil"/>
              <w:right w:val="nil"/>
            </w:tcBorders>
            <w:shd w:val="clear" w:color="auto" w:fill="7F7F7F" w:themeFill="text1" w:themeFillTint="80"/>
            <w:vAlign w:val="center"/>
            <w:hideMark/>
          </w:tcPr>
          <w:p w14:paraId="02CE9FBE" w14:textId="77777777" w:rsidR="00FE7F8B" w:rsidRDefault="00FE7F8B">
            <w:pPr>
              <w:pStyle w:val="Tablecolumnheading"/>
              <w:jc w:val="center"/>
              <w:rPr>
                <w:lang w:eastAsia="en-AU"/>
              </w:rPr>
            </w:pPr>
            <w:r>
              <w:rPr>
                <w:lang w:eastAsia="en-AU"/>
              </w:rPr>
              <w:t>(-100 basis points)</w:t>
            </w:r>
          </w:p>
        </w:tc>
        <w:tc>
          <w:tcPr>
            <w:tcW w:w="1275" w:type="dxa"/>
            <w:tcBorders>
              <w:top w:val="nil"/>
              <w:left w:val="nil"/>
              <w:bottom w:val="nil"/>
              <w:right w:val="nil"/>
            </w:tcBorders>
            <w:shd w:val="clear" w:color="auto" w:fill="7F7F7F" w:themeFill="text1" w:themeFillTint="80"/>
            <w:vAlign w:val="center"/>
            <w:hideMark/>
          </w:tcPr>
          <w:p w14:paraId="4BD2DC2B" w14:textId="77777777" w:rsidR="00FE7F8B" w:rsidRDefault="00FE7F8B">
            <w:pPr>
              <w:pStyle w:val="Tablecolumnheading"/>
              <w:jc w:val="center"/>
              <w:rPr>
                <w:lang w:eastAsia="en-AU"/>
              </w:rPr>
            </w:pPr>
            <w:r>
              <w:rPr>
                <w:lang w:eastAsia="en-AU"/>
              </w:rPr>
              <w:t>(+100 basis points)</w:t>
            </w:r>
          </w:p>
        </w:tc>
      </w:tr>
      <w:tr w:rsidR="00FE7F8B" w14:paraId="5215AA95" w14:textId="77777777" w:rsidTr="00FE7F8B">
        <w:tc>
          <w:tcPr>
            <w:tcW w:w="2982" w:type="dxa"/>
            <w:tcBorders>
              <w:top w:val="nil"/>
              <w:left w:val="nil"/>
              <w:bottom w:val="nil"/>
              <w:right w:val="nil"/>
            </w:tcBorders>
            <w:shd w:val="clear" w:color="auto" w:fill="7F7F7F" w:themeFill="text1" w:themeFillTint="80"/>
            <w:vAlign w:val="center"/>
            <w:hideMark/>
          </w:tcPr>
          <w:p w14:paraId="26CD7796" w14:textId="77777777" w:rsidR="00FE7F8B" w:rsidRDefault="00FE7F8B">
            <w:pPr>
              <w:pStyle w:val="Tablecolumnheading"/>
              <w:jc w:val="center"/>
              <w:rPr>
                <w:lang w:eastAsia="en-AU"/>
              </w:rPr>
            </w:pPr>
            <w:r>
              <w:rPr>
                <w:lang w:eastAsia="en-AU"/>
              </w:rPr>
              <w:t>2015</w:t>
            </w:r>
          </w:p>
        </w:tc>
        <w:tc>
          <w:tcPr>
            <w:tcW w:w="1701" w:type="dxa"/>
            <w:tcBorders>
              <w:top w:val="nil"/>
              <w:left w:val="nil"/>
              <w:bottom w:val="nil"/>
              <w:right w:val="nil"/>
            </w:tcBorders>
            <w:shd w:val="clear" w:color="auto" w:fill="7F7F7F" w:themeFill="text1" w:themeFillTint="80"/>
            <w:vAlign w:val="center"/>
            <w:hideMark/>
          </w:tcPr>
          <w:p w14:paraId="33718D3C" w14:textId="77777777" w:rsidR="00FE7F8B" w:rsidRDefault="00FE7F8B">
            <w:pPr>
              <w:pStyle w:val="Tablecolumnheading"/>
              <w:jc w:val="center"/>
              <w:rPr>
                <w:lang w:eastAsia="en-AU"/>
              </w:rPr>
            </w:pPr>
            <w:r>
              <w:rPr>
                <w:lang w:eastAsia="en-AU"/>
              </w:rPr>
              <w:t>Carrying amount</w:t>
            </w:r>
            <w:r>
              <w:rPr>
                <w:lang w:eastAsia="en-AU"/>
              </w:rPr>
              <w:br/>
              <w:t>$m</w:t>
            </w:r>
          </w:p>
        </w:tc>
        <w:tc>
          <w:tcPr>
            <w:tcW w:w="1418" w:type="dxa"/>
            <w:tcBorders>
              <w:top w:val="nil"/>
              <w:left w:val="nil"/>
              <w:bottom w:val="nil"/>
              <w:right w:val="nil"/>
            </w:tcBorders>
            <w:shd w:val="clear" w:color="auto" w:fill="7F7F7F" w:themeFill="text1" w:themeFillTint="80"/>
            <w:vAlign w:val="center"/>
            <w:hideMark/>
          </w:tcPr>
          <w:p w14:paraId="2644052C" w14:textId="77777777" w:rsidR="00FE7F8B" w:rsidRDefault="00FE7F8B">
            <w:pPr>
              <w:pStyle w:val="Tablecolumnheading"/>
              <w:jc w:val="center"/>
              <w:rPr>
                <w:lang w:eastAsia="en-AU"/>
              </w:rPr>
            </w:pPr>
            <w:r>
              <w:rPr>
                <w:lang w:eastAsia="en-AU"/>
              </w:rPr>
              <w:t>Net result</w:t>
            </w:r>
            <w:r>
              <w:rPr>
                <w:lang w:eastAsia="en-AU"/>
              </w:rPr>
              <w:br/>
              <w:t>$m</w:t>
            </w:r>
          </w:p>
        </w:tc>
        <w:tc>
          <w:tcPr>
            <w:tcW w:w="1275" w:type="dxa"/>
            <w:tcBorders>
              <w:top w:val="nil"/>
              <w:left w:val="nil"/>
              <w:bottom w:val="nil"/>
              <w:right w:val="nil"/>
            </w:tcBorders>
            <w:shd w:val="clear" w:color="auto" w:fill="7F7F7F" w:themeFill="text1" w:themeFillTint="80"/>
            <w:vAlign w:val="center"/>
            <w:hideMark/>
          </w:tcPr>
          <w:p w14:paraId="1A8742AD" w14:textId="77777777" w:rsidR="00FE7F8B" w:rsidRDefault="00FE7F8B">
            <w:pPr>
              <w:pStyle w:val="Tablecolumnheading"/>
              <w:jc w:val="center"/>
              <w:rPr>
                <w:lang w:eastAsia="en-AU"/>
              </w:rPr>
            </w:pPr>
            <w:r>
              <w:rPr>
                <w:lang w:eastAsia="en-AU"/>
              </w:rPr>
              <w:t>Net result</w:t>
            </w:r>
            <w:r>
              <w:rPr>
                <w:lang w:eastAsia="en-AU"/>
              </w:rPr>
              <w:br/>
              <w:t>$m</w:t>
            </w:r>
          </w:p>
        </w:tc>
      </w:tr>
      <w:tr w:rsidR="00FE7F8B" w14:paraId="0ECC5E6B" w14:textId="77777777" w:rsidTr="00FE7F8B">
        <w:tc>
          <w:tcPr>
            <w:tcW w:w="2982" w:type="dxa"/>
            <w:tcBorders>
              <w:top w:val="nil"/>
              <w:left w:val="nil"/>
              <w:bottom w:val="nil"/>
              <w:right w:val="nil"/>
            </w:tcBorders>
            <w:vAlign w:val="bottom"/>
            <w:hideMark/>
          </w:tcPr>
          <w:p w14:paraId="243DF7C3" w14:textId="77777777" w:rsidR="00FE7F8B" w:rsidRDefault="00FE7F8B">
            <w:pPr>
              <w:pStyle w:val="Tabletextnoindent"/>
              <w:rPr>
                <w:b/>
              </w:rPr>
            </w:pPr>
            <w:r>
              <w:rPr>
                <w:b/>
              </w:rPr>
              <w:t>Financial assets</w:t>
            </w:r>
          </w:p>
        </w:tc>
        <w:tc>
          <w:tcPr>
            <w:tcW w:w="1701" w:type="dxa"/>
            <w:tcBorders>
              <w:top w:val="nil"/>
              <w:left w:val="nil"/>
              <w:bottom w:val="nil"/>
              <w:right w:val="nil"/>
            </w:tcBorders>
            <w:vAlign w:val="bottom"/>
          </w:tcPr>
          <w:p w14:paraId="7856C150" w14:textId="77777777" w:rsidR="00FE7F8B" w:rsidRDefault="00FE7F8B">
            <w:pPr>
              <w:pStyle w:val="TableTextFinancial"/>
            </w:pPr>
          </w:p>
        </w:tc>
        <w:tc>
          <w:tcPr>
            <w:tcW w:w="1418" w:type="dxa"/>
            <w:tcBorders>
              <w:top w:val="nil"/>
              <w:left w:val="nil"/>
              <w:bottom w:val="nil"/>
              <w:right w:val="nil"/>
            </w:tcBorders>
            <w:vAlign w:val="bottom"/>
          </w:tcPr>
          <w:p w14:paraId="33431339" w14:textId="77777777" w:rsidR="00FE7F8B" w:rsidRDefault="00FE7F8B">
            <w:pPr>
              <w:pStyle w:val="TableTextFinancial"/>
            </w:pPr>
          </w:p>
        </w:tc>
        <w:tc>
          <w:tcPr>
            <w:tcW w:w="1275" w:type="dxa"/>
            <w:tcBorders>
              <w:top w:val="nil"/>
              <w:left w:val="nil"/>
              <w:bottom w:val="nil"/>
              <w:right w:val="nil"/>
            </w:tcBorders>
            <w:vAlign w:val="bottom"/>
          </w:tcPr>
          <w:p w14:paraId="2F45409C" w14:textId="77777777" w:rsidR="00FE7F8B" w:rsidRDefault="00FE7F8B">
            <w:pPr>
              <w:pStyle w:val="TableTextFinancial"/>
            </w:pPr>
          </w:p>
        </w:tc>
      </w:tr>
      <w:tr w:rsidR="00FE7F8B" w14:paraId="34DF925E" w14:textId="77777777" w:rsidTr="00FE7F8B">
        <w:tc>
          <w:tcPr>
            <w:tcW w:w="2982" w:type="dxa"/>
            <w:tcBorders>
              <w:top w:val="nil"/>
              <w:left w:val="nil"/>
              <w:bottom w:val="nil"/>
              <w:right w:val="nil"/>
            </w:tcBorders>
            <w:vAlign w:val="bottom"/>
            <w:hideMark/>
          </w:tcPr>
          <w:p w14:paraId="514ED5C2" w14:textId="77777777" w:rsidR="00FE7F8B" w:rsidRDefault="00FE7F8B">
            <w:pPr>
              <w:pStyle w:val="Tabletextnoindent"/>
            </w:pPr>
            <w:r>
              <w:t>Cash and deposits—Department</w:t>
            </w:r>
          </w:p>
        </w:tc>
        <w:tc>
          <w:tcPr>
            <w:tcW w:w="1701" w:type="dxa"/>
            <w:tcBorders>
              <w:top w:val="nil"/>
              <w:left w:val="nil"/>
              <w:bottom w:val="nil"/>
              <w:right w:val="nil"/>
            </w:tcBorders>
            <w:vAlign w:val="bottom"/>
            <w:hideMark/>
          </w:tcPr>
          <w:p w14:paraId="586B57BB" w14:textId="77777777" w:rsidR="00FE7F8B" w:rsidRDefault="00FE7F8B">
            <w:pPr>
              <w:pStyle w:val="TableTextFinancial"/>
              <w:jc w:val="right"/>
              <w:rPr>
                <w:b/>
              </w:rPr>
            </w:pPr>
            <w:r>
              <w:rPr>
                <w:b/>
              </w:rPr>
              <w:t>157.5</w:t>
            </w:r>
          </w:p>
        </w:tc>
        <w:tc>
          <w:tcPr>
            <w:tcW w:w="1418" w:type="dxa"/>
            <w:tcBorders>
              <w:top w:val="nil"/>
              <w:left w:val="nil"/>
              <w:bottom w:val="nil"/>
              <w:right w:val="nil"/>
            </w:tcBorders>
            <w:vAlign w:val="bottom"/>
            <w:hideMark/>
          </w:tcPr>
          <w:p w14:paraId="29117C20"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1ED38D47" w14:textId="77777777" w:rsidR="00FE7F8B" w:rsidRDefault="00FE7F8B">
            <w:pPr>
              <w:pStyle w:val="TableTextFinancial"/>
              <w:jc w:val="right"/>
            </w:pPr>
            <w:r>
              <w:t>-</w:t>
            </w:r>
          </w:p>
        </w:tc>
      </w:tr>
      <w:tr w:rsidR="00FE7F8B" w14:paraId="6BA5CC06" w14:textId="77777777" w:rsidTr="00FE7F8B">
        <w:tc>
          <w:tcPr>
            <w:tcW w:w="2982" w:type="dxa"/>
            <w:tcBorders>
              <w:top w:val="nil"/>
              <w:left w:val="nil"/>
              <w:bottom w:val="nil"/>
              <w:right w:val="nil"/>
            </w:tcBorders>
            <w:vAlign w:val="bottom"/>
            <w:hideMark/>
          </w:tcPr>
          <w:p w14:paraId="7FFEF51D" w14:textId="77777777" w:rsidR="00FE7F8B" w:rsidRDefault="00FE7F8B">
            <w:pPr>
              <w:pStyle w:val="Tabletextnoindent"/>
            </w:pPr>
            <w:r>
              <w:t>Cash and deposits—Schools</w:t>
            </w:r>
            <w:r>
              <w:rPr>
                <w:rStyle w:val="FootnoteReference"/>
              </w:rPr>
              <w:t>3</w:t>
            </w:r>
          </w:p>
        </w:tc>
        <w:tc>
          <w:tcPr>
            <w:tcW w:w="1701" w:type="dxa"/>
            <w:tcBorders>
              <w:top w:val="nil"/>
              <w:left w:val="nil"/>
              <w:bottom w:val="nil"/>
              <w:right w:val="nil"/>
            </w:tcBorders>
            <w:vAlign w:val="bottom"/>
            <w:hideMark/>
          </w:tcPr>
          <w:p w14:paraId="730E58FC" w14:textId="77777777" w:rsidR="00FE7F8B" w:rsidRDefault="00FE7F8B">
            <w:pPr>
              <w:pStyle w:val="TableTextFinancial"/>
              <w:jc w:val="right"/>
              <w:rPr>
                <w:b/>
              </w:rPr>
            </w:pPr>
            <w:r>
              <w:rPr>
                <w:b/>
              </w:rPr>
              <w:t>557.8</w:t>
            </w:r>
          </w:p>
        </w:tc>
        <w:tc>
          <w:tcPr>
            <w:tcW w:w="1418" w:type="dxa"/>
            <w:tcBorders>
              <w:top w:val="nil"/>
              <w:left w:val="nil"/>
              <w:bottom w:val="nil"/>
              <w:right w:val="nil"/>
            </w:tcBorders>
            <w:vAlign w:val="bottom"/>
            <w:hideMark/>
          </w:tcPr>
          <w:p w14:paraId="0878BAB4" w14:textId="77777777" w:rsidR="00FE7F8B" w:rsidRDefault="00FE7F8B">
            <w:pPr>
              <w:pStyle w:val="TableTextFinancial"/>
              <w:jc w:val="right"/>
            </w:pPr>
            <w:r>
              <w:t>(5.6)</w:t>
            </w:r>
          </w:p>
        </w:tc>
        <w:tc>
          <w:tcPr>
            <w:tcW w:w="1275" w:type="dxa"/>
            <w:tcBorders>
              <w:top w:val="nil"/>
              <w:left w:val="nil"/>
              <w:bottom w:val="nil"/>
              <w:right w:val="nil"/>
            </w:tcBorders>
            <w:vAlign w:val="bottom"/>
            <w:hideMark/>
          </w:tcPr>
          <w:p w14:paraId="1A9F484F" w14:textId="77777777" w:rsidR="00FE7F8B" w:rsidRDefault="00FE7F8B">
            <w:pPr>
              <w:pStyle w:val="TableTextFinancial"/>
              <w:jc w:val="right"/>
            </w:pPr>
            <w:r>
              <w:t>5.6</w:t>
            </w:r>
          </w:p>
        </w:tc>
      </w:tr>
      <w:tr w:rsidR="00FE7F8B" w14:paraId="514D6F97" w14:textId="77777777" w:rsidTr="00FE7F8B">
        <w:tc>
          <w:tcPr>
            <w:tcW w:w="2982" w:type="dxa"/>
            <w:tcBorders>
              <w:top w:val="nil"/>
              <w:left w:val="nil"/>
              <w:bottom w:val="nil"/>
              <w:right w:val="nil"/>
            </w:tcBorders>
            <w:vAlign w:val="bottom"/>
            <w:hideMark/>
          </w:tcPr>
          <w:p w14:paraId="5290ED67" w14:textId="77777777" w:rsidR="00FE7F8B" w:rsidRDefault="00FE7F8B">
            <w:pPr>
              <w:pStyle w:val="Tabletextnoindent"/>
            </w:pPr>
            <w:r>
              <w:t>Receivables</w:t>
            </w:r>
          </w:p>
        </w:tc>
        <w:tc>
          <w:tcPr>
            <w:tcW w:w="1701" w:type="dxa"/>
            <w:tcBorders>
              <w:top w:val="nil"/>
              <w:left w:val="nil"/>
              <w:bottom w:val="nil"/>
              <w:right w:val="nil"/>
            </w:tcBorders>
            <w:vAlign w:val="bottom"/>
            <w:hideMark/>
          </w:tcPr>
          <w:p w14:paraId="1CF05F90" w14:textId="77777777" w:rsidR="00FE7F8B" w:rsidRDefault="00FE7F8B">
            <w:pPr>
              <w:pStyle w:val="TableTextFinancial"/>
              <w:jc w:val="right"/>
              <w:rPr>
                <w:b/>
              </w:rPr>
            </w:pPr>
            <w:r>
              <w:rPr>
                <w:b/>
              </w:rPr>
              <w:t>59.9</w:t>
            </w:r>
          </w:p>
        </w:tc>
        <w:tc>
          <w:tcPr>
            <w:tcW w:w="1418" w:type="dxa"/>
            <w:tcBorders>
              <w:top w:val="nil"/>
              <w:left w:val="nil"/>
              <w:bottom w:val="nil"/>
              <w:right w:val="nil"/>
            </w:tcBorders>
            <w:vAlign w:val="bottom"/>
            <w:hideMark/>
          </w:tcPr>
          <w:p w14:paraId="4C8ED44E"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1E7388A2" w14:textId="77777777" w:rsidR="00FE7F8B" w:rsidRDefault="00FE7F8B">
            <w:pPr>
              <w:pStyle w:val="TableTextFinancial"/>
              <w:jc w:val="right"/>
            </w:pPr>
            <w:r>
              <w:t>-</w:t>
            </w:r>
          </w:p>
        </w:tc>
      </w:tr>
      <w:tr w:rsidR="00FE7F8B" w14:paraId="2E01EF36" w14:textId="77777777" w:rsidTr="00FE7F8B">
        <w:tc>
          <w:tcPr>
            <w:tcW w:w="2982" w:type="dxa"/>
            <w:tcBorders>
              <w:top w:val="nil"/>
              <w:left w:val="nil"/>
              <w:bottom w:val="nil"/>
              <w:right w:val="nil"/>
            </w:tcBorders>
            <w:vAlign w:val="bottom"/>
            <w:hideMark/>
          </w:tcPr>
          <w:p w14:paraId="22BECB4D" w14:textId="77777777" w:rsidR="00FE7F8B" w:rsidRDefault="00FE7F8B">
            <w:pPr>
              <w:pStyle w:val="Tabletextnoindent"/>
            </w:pPr>
            <w:r>
              <w:t>Term deposits</w:t>
            </w:r>
            <w:r>
              <w:rPr>
                <w:rStyle w:val="FootnoteReference"/>
              </w:rPr>
              <w:t>4</w:t>
            </w:r>
          </w:p>
        </w:tc>
        <w:tc>
          <w:tcPr>
            <w:tcW w:w="1701" w:type="dxa"/>
            <w:tcBorders>
              <w:top w:val="nil"/>
              <w:left w:val="nil"/>
              <w:bottom w:val="nil"/>
              <w:right w:val="nil"/>
            </w:tcBorders>
            <w:vAlign w:val="bottom"/>
            <w:hideMark/>
          </w:tcPr>
          <w:p w14:paraId="0C89FB7A" w14:textId="77777777" w:rsidR="00FE7F8B" w:rsidRDefault="00FE7F8B">
            <w:pPr>
              <w:pStyle w:val="TableTextFinancial"/>
              <w:jc w:val="right"/>
              <w:rPr>
                <w:b/>
              </w:rPr>
            </w:pPr>
            <w:r>
              <w:rPr>
                <w:b/>
              </w:rPr>
              <w:t>132.5</w:t>
            </w:r>
          </w:p>
        </w:tc>
        <w:tc>
          <w:tcPr>
            <w:tcW w:w="1418" w:type="dxa"/>
            <w:tcBorders>
              <w:top w:val="nil"/>
              <w:left w:val="nil"/>
              <w:bottom w:val="nil"/>
              <w:right w:val="nil"/>
            </w:tcBorders>
            <w:vAlign w:val="bottom"/>
            <w:hideMark/>
          </w:tcPr>
          <w:p w14:paraId="24813B22" w14:textId="77777777" w:rsidR="00FE7F8B" w:rsidRDefault="00FE7F8B">
            <w:pPr>
              <w:pStyle w:val="TableTextFinancial"/>
              <w:jc w:val="right"/>
            </w:pPr>
            <w:r>
              <w:t>(1.3)</w:t>
            </w:r>
          </w:p>
        </w:tc>
        <w:tc>
          <w:tcPr>
            <w:tcW w:w="1275" w:type="dxa"/>
            <w:tcBorders>
              <w:top w:val="nil"/>
              <w:left w:val="nil"/>
              <w:bottom w:val="nil"/>
              <w:right w:val="nil"/>
            </w:tcBorders>
            <w:vAlign w:val="bottom"/>
            <w:hideMark/>
          </w:tcPr>
          <w:p w14:paraId="0CC64997" w14:textId="77777777" w:rsidR="00FE7F8B" w:rsidRDefault="00FE7F8B">
            <w:pPr>
              <w:pStyle w:val="TableTextFinancial"/>
              <w:jc w:val="right"/>
            </w:pPr>
            <w:r>
              <w:t>1.3</w:t>
            </w:r>
          </w:p>
        </w:tc>
      </w:tr>
      <w:tr w:rsidR="00FE7F8B" w14:paraId="3216E561" w14:textId="77777777" w:rsidTr="00FE7F8B">
        <w:tc>
          <w:tcPr>
            <w:tcW w:w="2982" w:type="dxa"/>
            <w:tcBorders>
              <w:top w:val="nil"/>
              <w:left w:val="nil"/>
              <w:bottom w:val="nil"/>
              <w:right w:val="nil"/>
            </w:tcBorders>
            <w:vAlign w:val="bottom"/>
          </w:tcPr>
          <w:p w14:paraId="1B42BDCA" w14:textId="77777777" w:rsidR="00FE7F8B" w:rsidRDefault="00FE7F8B">
            <w:pPr>
              <w:pStyle w:val="TableTextFinancial"/>
            </w:pPr>
          </w:p>
        </w:tc>
        <w:tc>
          <w:tcPr>
            <w:tcW w:w="1701" w:type="dxa"/>
            <w:tcBorders>
              <w:top w:val="nil"/>
              <w:left w:val="nil"/>
              <w:bottom w:val="nil"/>
              <w:right w:val="nil"/>
            </w:tcBorders>
            <w:vAlign w:val="bottom"/>
            <w:hideMark/>
          </w:tcPr>
          <w:p w14:paraId="6A77B9AF" w14:textId="77777777" w:rsidR="00FE7F8B" w:rsidRDefault="00FE7F8B">
            <w:pPr>
              <w:pStyle w:val="TableTextFinancial"/>
              <w:jc w:val="right"/>
              <w:rPr>
                <w:b/>
              </w:rPr>
            </w:pPr>
            <w:r>
              <w:rPr>
                <w:b/>
              </w:rPr>
              <w:t>-</w:t>
            </w:r>
          </w:p>
        </w:tc>
        <w:tc>
          <w:tcPr>
            <w:tcW w:w="1418" w:type="dxa"/>
            <w:tcBorders>
              <w:top w:val="nil"/>
              <w:left w:val="nil"/>
              <w:bottom w:val="nil"/>
              <w:right w:val="nil"/>
            </w:tcBorders>
            <w:vAlign w:val="bottom"/>
            <w:hideMark/>
          </w:tcPr>
          <w:p w14:paraId="0E1B5D79"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4ADD97D7" w14:textId="77777777" w:rsidR="00FE7F8B" w:rsidRDefault="00FE7F8B">
            <w:pPr>
              <w:pStyle w:val="TableTextFinancial"/>
              <w:jc w:val="right"/>
            </w:pPr>
            <w:r>
              <w:t>-</w:t>
            </w:r>
          </w:p>
        </w:tc>
      </w:tr>
      <w:tr w:rsidR="00FE7F8B" w14:paraId="00BAA37F" w14:textId="77777777" w:rsidTr="00FE7F8B">
        <w:tc>
          <w:tcPr>
            <w:tcW w:w="2982" w:type="dxa"/>
            <w:tcBorders>
              <w:top w:val="nil"/>
              <w:left w:val="nil"/>
              <w:bottom w:val="nil"/>
              <w:right w:val="nil"/>
            </w:tcBorders>
            <w:vAlign w:val="bottom"/>
            <w:hideMark/>
          </w:tcPr>
          <w:p w14:paraId="336A7EA6" w14:textId="77777777" w:rsidR="00FE7F8B" w:rsidRDefault="00FE7F8B">
            <w:pPr>
              <w:pStyle w:val="Tabletextnoindent"/>
            </w:pPr>
            <w:r>
              <w:t>Financial liabilities</w:t>
            </w:r>
          </w:p>
        </w:tc>
        <w:tc>
          <w:tcPr>
            <w:tcW w:w="1701" w:type="dxa"/>
            <w:tcBorders>
              <w:top w:val="nil"/>
              <w:left w:val="nil"/>
              <w:bottom w:val="nil"/>
              <w:right w:val="nil"/>
            </w:tcBorders>
            <w:vAlign w:val="bottom"/>
          </w:tcPr>
          <w:p w14:paraId="178979ED" w14:textId="77777777" w:rsidR="00FE7F8B" w:rsidRDefault="00FE7F8B">
            <w:pPr>
              <w:pStyle w:val="TableTextFinancial"/>
              <w:jc w:val="right"/>
              <w:rPr>
                <w:b/>
              </w:rPr>
            </w:pPr>
          </w:p>
        </w:tc>
        <w:tc>
          <w:tcPr>
            <w:tcW w:w="1418" w:type="dxa"/>
            <w:tcBorders>
              <w:top w:val="nil"/>
              <w:left w:val="nil"/>
              <w:bottom w:val="nil"/>
              <w:right w:val="nil"/>
            </w:tcBorders>
            <w:vAlign w:val="bottom"/>
          </w:tcPr>
          <w:p w14:paraId="101747DA" w14:textId="77777777" w:rsidR="00FE7F8B" w:rsidRDefault="00FE7F8B">
            <w:pPr>
              <w:pStyle w:val="TableTextFinancial"/>
              <w:jc w:val="right"/>
            </w:pPr>
          </w:p>
        </w:tc>
        <w:tc>
          <w:tcPr>
            <w:tcW w:w="1275" w:type="dxa"/>
            <w:tcBorders>
              <w:top w:val="nil"/>
              <w:left w:val="nil"/>
              <w:bottom w:val="nil"/>
              <w:right w:val="nil"/>
            </w:tcBorders>
            <w:vAlign w:val="bottom"/>
          </w:tcPr>
          <w:p w14:paraId="682C25FF" w14:textId="77777777" w:rsidR="00FE7F8B" w:rsidRDefault="00FE7F8B">
            <w:pPr>
              <w:pStyle w:val="TableTextFinancial"/>
              <w:jc w:val="right"/>
            </w:pPr>
          </w:p>
        </w:tc>
      </w:tr>
      <w:tr w:rsidR="00FE7F8B" w14:paraId="009A90BC" w14:textId="77777777" w:rsidTr="00FE7F8B">
        <w:tc>
          <w:tcPr>
            <w:tcW w:w="2982" w:type="dxa"/>
            <w:tcBorders>
              <w:top w:val="nil"/>
              <w:left w:val="nil"/>
              <w:bottom w:val="nil"/>
              <w:right w:val="nil"/>
            </w:tcBorders>
            <w:vAlign w:val="bottom"/>
            <w:hideMark/>
          </w:tcPr>
          <w:p w14:paraId="131EFC48" w14:textId="77777777" w:rsidR="00FE7F8B" w:rsidRDefault="00FE7F8B">
            <w:pPr>
              <w:pStyle w:val="Tabletextnoindent"/>
            </w:pPr>
            <w:r>
              <w:t>Payables</w:t>
            </w:r>
          </w:p>
        </w:tc>
        <w:tc>
          <w:tcPr>
            <w:tcW w:w="1701" w:type="dxa"/>
            <w:tcBorders>
              <w:top w:val="nil"/>
              <w:left w:val="nil"/>
              <w:bottom w:val="nil"/>
              <w:right w:val="nil"/>
            </w:tcBorders>
            <w:vAlign w:val="bottom"/>
            <w:hideMark/>
          </w:tcPr>
          <w:p w14:paraId="26C11207" w14:textId="77777777" w:rsidR="00FE7F8B" w:rsidRDefault="00FE7F8B">
            <w:pPr>
              <w:pStyle w:val="TableTextFinancial"/>
              <w:jc w:val="right"/>
              <w:rPr>
                <w:b/>
              </w:rPr>
            </w:pPr>
            <w:r>
              <w:rPr>
                <w:b/>
              </w:rPr>
              <w:t>296.1</w:t>
            </w:r>
          </w:p>
        </w:tc>
        <w:tc>
          <w:tcPr>
            <w:tcW w:w="1418" w:type="dxa"/>
            <w:tcBorders>
              <w:top w:val="nil"/>
              <w:left w:val="nil"/>
              <w:bottom w:val="nil"/>
              <w:right w:val="nil"/>
            </w:tcBorders>
            <w:vAlign w:val="bottom"/>
            <w:hideMark/>
          </w:tcPr>
          <w:p w14:paraId="57DD5A8A" w14:textId="77777777" w:rsidR="00FE7F8B" w:rsidRDefault="00FE7F8B">
            <w:pPr>
              <w:pStyle w:val="TableTextFinancial"/>
              <w:jc w:val="right"/>
            </w:pPr>
            <w:r>
              <w:t>-</w:t>
            </w:r>
          </w:p>
        </w:tc>
        <w:tc>
          <w:tcPr>
            <w:tcW w:w="1275" w:type="dxa"/>
            <w:tcBorders>
              <w:top w:val="nil"/>
              <w:left w:val="nil"/>
              <w:bottom w:val="nil"/>
              <w:right w:val="nil"/>
            </w:tcBorders>
            <w:vAlign w:val="bottom"/>
            <w:hideMark/>
          </w:tcPr>
          <w:p w14:paraId="61E746F8" w14:textId="77777777" w:rsidR="00FE7F8B" w:rsidRDefault="00FE7F8B">
            <w:pPr>
              <w:pStyle w:val="TableTextFinancial"/>
              <w:jc w:val="right"/>
            </w:pPr>
            <w:r>
              <w:t>-</w:t>
            </w:r>
          </w:p>
        </w:tc>
      </w:tr>
      <w:tr w:rsidR="00FE7F8B" w14:paraId="1BB7A716" w14:textId="77777777" w:rsidTr="00FE7F8B">
        <w:tc>
          <w:tcPr>
            <w:tcW w:w="2982" w:type="dxa"/>
            <w:tcBorders>
              <w:top w:val="nil"/>
              <w:left w:val="nil"/>
              <w:bottom w:val="single" w:sz="4" w:space="0" w:color="auto"/>
              <w:right w:val="nil"/>
            </w:tcBorders>
            <w:vAlign w:val="bottom"/>
            <w:hideMark/>
          </w:tcPr>
          <w:p w14:paraId="44AF1A58" w14:textId="77777777" w:rsidR="00FE7F8B" w:rsidRDefault="00FE7F8B">
            <w:pPr>
              <w:pStyle w:val="Tabletextnoindent"/>
            </w:pPr>
            <w:r>
              <w:t>Borrowings</w:t>
            </w:r>
          </w:p>
        </w:tc>
        <w:tc>
          <w:tcPr>
            <w:tcW w:w="1701" w:type="dxa"/>
            <w:tcBorders>
              <w:top w:val="nil"/>
              <w:left w:val="nil"/>
              <w:bottom w:val="single" w:sz="4" w:space="0" w:color="auto"/>
              <w:right w:val="nil"/>
            </w:tcBorders>
            <w:vAlign w:val="bottom"/>
            <w:hideMark/>
          </w:tcPr>
          <w:p w14:paraId="0C927598" w14:textId="77777777" w:rsidR="00FE7F8B" w:rsidRDefault="00FE7F8B">
            <w:pPr>
              <w:pStyle w:val="TableTextFinancial"/>
              <w:jc w:val="right"/>
              <w:rPr>
                <w:b/>
              </w:rPr>
            </w:pPr>
            <w:r>
              <w:rPr>
                <w:b/>
              </w:rPr>
              <w:t>255.1</w:t>
            </w:r>
          </w:p>
        </w:tc>
        <w:tc>
          <w:tcPr>
            <w:tcW w:w="1418" w:type="dxa"/>
            <w:tcBorders>
              <w:top w:val="nil"/>
              <w:left w:val="nil"/>
              <w:bottom w:val="single" w:sz="4" w:space="0" w:color="auto"/>
              <w:right w:val="nil"/>
            </w:tcBorders>
            <w:vAlign w:val="bottom"/>
            <w:hideMark/>
          </w:tcPr>
          <w:p w14:paraId="69B5FC11" w14:textId="77777777" w:rsidR="00FE7F8B" w:rsidRDefault="00FE7F8B">
            <w:pPr>
              <w:pStyle w:val="TableTextFinancial"/>
              <w:jc w:val="right"/>
            </w:pPr>
            <w:r>
              <w:t>-</w:t>
            </w:r>
          </w:p>
        </w:tc>
        <w:tc>
          <w:tcPr>
            <w:tcW w:w="1275" w:type="dxa"/>
            <w:tcBorders>
              <w:top w:val="nil"/>
              <w:left w:val="nil"/>
              <w:bottom w:val="single" w:sz="4" w:space="0" w:color="auto"/>
              <w:right w:val="nil"/>
            </w:tcBorders>
            <w:vAlign w:val="bottom"/>
            <w:hideMark/>
          </w:tcPr>
          <w:p w14:paraId="05940CB1" w14:textId="77777777" w:rsidR="00FE7F8B" w:rsidRDefault="00FE7F8B">
            <w:pPr>
              <w:pStyle w:val="TableTextFinancial"/>
              <w:jc w:val="right"/>
            </w:pPr>
            <w:r>
              <w:t>-</w:t>
            </w:r>
          </w:p>
        </w:tc>
      </w:tr>
      <w:tr w:rsidR="00FE7F8B" w14:paraId="00D821A1" w14:textId="77777777" w:rsidTr="00FE7F8B">
        <w:tc>
          <w:tcPr>
            <w:tcW w:w="2982" w:type="dxa"/>
            <w:tcBorders>
              <w:top w:val="single" w:sz="4" w:space="0" w:color="auto"/>
              <w:left w:val="nil"/>
              <w:bottom w:val="single" w:sz="4" w:space="0" w:color="auto"/>
              <w:right w:val="nil"/>
            </w:tcBorders>
            <w:vAlign w:val="bottom"/>
            <w:hideMark/>
          </w:tcPr>
          <w:p w14:paraId="6F91C717" w14:textId="77777777" w:rsidR="00FE7F8B" w:rsidRDefault="00FE7F8B">
            <w:pPr>
              <w:pStyle w:val="Tabletextnoindent"/>
            </w:pPr>
            <w:r>
              <w:rPr>
                <w:b/>
              </w:rPr>
              <w:t>Total increase/(decrease)</w:t>
            </w:r>
          </w:p>
        </w:tc>
        <w:tc>
          <w:tcPr>
            <w:tcW w:w="1701" w:type="dxa"/>
            <w:tcBorders>
              <w:top w:val="single" w:sz="4" w:space="0" w:color="auto"/>
              <w:left w:val="nil"/>
              <w:bottom w:val="single" w:sz="4" w:space="0" w:color="auto"/>
              <w:right w:val="nil"/>
            </w:tcBorders>
            <w:vAlign w:val="bottom"/>
          </w:tcPr>
          <w:p w14:paraId="468F9DDD" w14:textId="77777777" w:rsidR="00FE7F8B" w:rsidRDefault="00FE7F8B">
            <w:pPr>
              <w:pStyle w:val="TableTextFinancial"/>
              <w:jc w:val="right"/>
            </w:pPr>
          </w:p>
        </w:tc>
        <w:tc>
          <w:tcPr>
            <w:tcW w:w="1418" w:type="dxa"/>
            <w:tcBorders>
              <w:top w:val="single" w:sz="4" w:space="0" w:color="auto"/>
              <w:left w:val="nil"/>
              <w:bottom w:val="single" w:sz="4" w:space="0" w:color="auto"/>
              <w:right w:val="nil"/>
            </w:tcBorders>
            <w:vAlign w:val="bottom"/>
            <w:hideMark/>
          </w:tcPr>
          <w:p w14:paraId="0EA7FF54" w14:textId="77777777" w:rsidR="00FE7F8B" w:rsidRDefault="00FE7F8B">
            <w:pPr>
              <w:pStyle w:val="TableTextFinancial"/>
              <w:jc w:val="right"/>
              <w:rPr>
                <w:b/>
              </w:rPr>
            </w:pPr>
            <w:r>
              <w:rPr>
                <w:b/>
              </w:rPr>
              <w:t>(6.9)</w:t>
            </w:r>
          </w:p>
        </w:tc>
        <w:tc>
          <w:tcPr>
            <w:tcW w:w="1275" w:type="dxa"/>
            <w:tcBorders>
              <w:top w:val="single" w:sz="4" w:space="0" w:color="auto"/>
              <w:left w:val="nil"/>
              <w:bottom w:val="single" w:sz="4" w:space="0" w:color="auto"/>
              <w:right w:val="nil"/>
            </w:tcBorders>
            <w:vAlign w:val="bottom"/>
            <w:hideMark/>
          </w:tcPr>
          <w:p w14:paraId="5DFAFD66" w14:textId="77777777" w:rsidR="00FE7F8B" w:rsidRDefault="00FE7F8B">
            <w:pPr>
              <w:pStyle w:val="TableTextFinancial"/>
              <w:jc w:val="right"/>
              <w:rPr>
                <w:b/>
              </w:rPr>
            </w:pPr>
            <w:r>
              <w:rPr>
                <w:b/>
              </w:rPr>
              <w:t>6.9</w:t>
            </w:r>
          </w:p>
        </w:tc>
      </w:tr>
    </w:tbl>
    <w:p w14:paraId="7E8EBC5B" w14:textId="77777777" w:rsidR="00FE7F8B" w:rsidRDefault="00FE7F8B" w:rsidP="00BB1129">
      <w:pPr>
        <w:pStyle w:val="DETFootnoteTextforobjectivestablesOHStable"/>
        <w:spacing w:before="120"/>
        <w:rPr>
          <w:sz w:val="13"/>
        </w:rPr>
      </w:pPr>
      <w:r>
        <w:t xml:space="preserve">1 Sensitivity of cash and equivalents: sensitivity impact on net result due to </w:t>
      </w:r>
      <w:proofErr w:type="gramStart"/>
      <w:r>
        <w:t>a +/-</w:t>
      </w:r>
      <w:proofErr w:type="gramEnd"/>
      <w:r>
        <w:t>100 basis points movement in market interest rate is $497.8 million x +/- 1 per cent = +/- $5.0 million.</w:t>
      </w:r>
    </w:p>
    <w:p w14:paraId="44DCE8F8" w14:textId="77777777" w:rsidR="00FE7F8B" w:rsidRDefault="00FE7F8B" w:rsidP="00BB1129">
      <w:pPr>
        <w:pStyle w:val="DETFootnoteTextforobjectivestablesOHStable"/>
      </w:pPr>
      <w:r>
        <w:t xml:space="preserve">2 Sensitivity of term deposits: sensitivity impact on net result due to </w:t>
      </w:r>
      <w:proofErr w:type="gramStart"/>
      <w:r>
        <w:t>a +/-</w:t>
      </w:r>
      <w:proofErr w:type="gramEnd"/>
      <w:r>
        <w:t>100 basis points movement in market interest rate is $274.9 million x +/- 1 per cent = +/- $2.8 million.</w:t>
      </w:r>
    </w:p>
    <w:p w14:paraId="69E2457D" w14:textId="77777777" w:rsidR="00FE7F8B" w:rsidRDefault="00FE7F8B" w:rsidP="00BB1129">
      <w:pPr>
        <w:pStyle w:val="DETFootnoteTextforobjectivestablesOHStable"/>
      </w:pPr>
      <w:r>
        <w:t xml:space="preserve">3 Sensitivity of cash and equivalents: sensitivity impact on net result due to </w:t>
      </w:r>
      <w:proofErr w:type="gramStart"/>
      <w:r>
        <w:t>a +/-</w:t>
      </w:r>
      <w:proofErr w:type="gramEnd"/>
      <w:r>
        <w:t>100 basis points movement in market interest rate is $557.8 million x +/- 1 per cent = +/- $5.6 million.</w:t>
      </w:r>
    </w:p>
    <w:p w14:paraId="2890AC9F" w14:textId="77777777" w:rsidR="00FE7F8B" w:rsidRDefault="00FE7F8B" w:rsidP="00BB1129">
      <w:pPr>
        <w:pStyle w:val="DETFootnoteTextforobjectivestablesOHStable"/>
      </w:pPr>
      <w:r>
        <w:t xml:space="preserve">4 Sensitivity of term deposits: sensitivity impact on net result due to </w:t>
      </w:r>
      <w:proofErr w:type="gramStart"/>
      <w:r>
        <w:t>a +/-</w:t>
      </w:r>
      <w:proofErr w:type="gramEnd"/>
      <w:r>
        <w:t>100 basis points movement in market interest rate is $132.5million x +/- 1 per cent = +/- $1.3 million.</w:t>
      </w:r>
    </w:p>
    <w:p w14:paraId="513B0BEE" w14:textId="77777777" w:rsidR="00FE7F8B" w:rsidRDefault="00FE7F8B" w:rsidP="00AD641C">
      <w:pPr>
        <w:pStyle w:val="Heading3notesnumbered"/>
        <w:numPr>
          <w:ilvl w:val="0"/>
          <w:numId w:val="40"/>
        </w:numPr>
      </w:pPr>
      <w:r>
        <w:t>Fair value</w:t>
      </w:r>
    </w:p>
    <w:p w14:paraId="61457DD4" w14:textId="77777777" w:rsidR="00FE7F8B" w:rsidRDefault="00FE7F8B" w:rsidP="00FE7F8B">
      <w:pPr>
        <w:rPr>
          <w:rFonts w:ascii="Times New Roman" w:hAnsi="Times New Roman"/>
          <w:sz w:val="24"/>
        </w:rPr>
      </w:pPr>
      <w:r>
        <w:t>The fair values and net fair values of financial assets and financial liabilities are determined as follows:</w:t>
      </w:r>
    </w:p>
    <w:p w14:paraId="41F91C16" w14:textId="77777777" w:rsidR="00FE7F8B" w:rsidRDefault="00FE7F8B" w:rsidP="00AD641C">
      <w:pPr>
        <w:pStyle w:val="Normallistbullet"/>
        <w:numPr>
          <w:ilvl w:val="0"/>
          <w:numId w:val="42"/>
        </w:numPr>
      </w:pPr>
      <w:r>
        <w:t>Level 1: the fair value of financial assets and financial liabilities with standard terms and conditions and traded in active liquid markets are determined with reference to quoted market prices.</w:t>
      </w:r>
    </w:p>
    <w:p w14:paraId="0CB74B51" w14:textId="77777777" w:rsidR="00FE7F8B" w:rsidRDefault="00FE7F8B" w:rsidP="00AD641C">
      <w:pPr>
        <w:pStyle w:val="Normallistbullet"/>
        <w:numPr>
          <w:ilvl w:val="0"/>
          <w:numId w:val="42"/>
        </w:numPr>
      </w:pPr>
      <w:r>
        <w:t>Level 2: the fair value is determined using inputs other than the quoted price that are observable for the financial asset or liability, either directly or indirectly.</w:t>
      </w:r>
    </w:p>
    <w:p w14:paraId="6ED1154D" w14:textId="77777777" w:rsidR="00FE7F8B" w:rsidRDefault="00FE7F8B" w:rsidP="00AD641C">
      <w:pPr>
        <w:pStyle w:val="Normallistbullet"/>
        <w:numPr>
          <w:ilvl w:val="0"/>
          <w:numId w:val="42"/>
        </w:numPr>
      </w:pPr>
      <w:r>
        <w:t>Level 3: the fair value is determined in accordance with generally accepted pricing models based on discounted cash flow analysis using unobservable market inputs.</w:t>
      </w:r>
    </w:p>
    <w:p w14:paraId="662B119F" w14:textId="77777777" w:rsidR="00FE7F8B" w:rsidRDefault="00FE7F8B" w:rsidP="00FE7F8B">
      <w:r>
        <w:t>The Department considers that the carrying amount of financial instrument assets and liabilities recorded in the financial statements to be a fair approximation of their fair values, because of the short-term nature of the financial instruments and the expectation that they will be paid in full.</w:t>
      </w:r>
    </w:p>
    <w:p w14:paraId="1D4FFB46" w14:textId="77777777" w:rsidR="00FE7F8B" w:rsidRDefault="00FE7F8B" w:rsidP="00FE7F8B">
      <w:r>
        <w:t>The Department’s contractual financial assets and liabilities are measured at amortised cost; none of the classes of financial assets and liabilities are readily traded on organised markets in standardised form; hence the fair value disclosures are not required. (Note 1(i))</w:t>
      </w:r>
    </w:p>
    <w:p w14:paraId="20675F3C" w14:textId="77777777" w:rsidR="00FE7F8B" w:rsidRDefault="00FE7F8B" w:rsidP="00FE7F8B">
      <w:pPr>
        <w:spacing w:after="200" w:line="276" w:lineRule="auto"/>
      </w:pPr>
      <w:r>
        <w:br w:type="page"/>
      </w:r>
    </w:p>
    <w:p w14:paraId="38BD3A1E" w14:textId="77777777" w:rsidR="00FE7F8B" w:rsidRDefault="00FE7F8B" w:rsidP="00AD641C">
      <w:pPr>
        <w:pStyle w:val="Heading2notes"/>
        <w:numPr>
          <w:ilvl w:val="0"/>
          <w:numId w:val="39"/>
        </w:numPr>
      </w:pPr>
      <w:bookmarkStart w:id="117" w:name="_Toc461176307"/>
      <w:bookmarkStart w:id="118" w:name="_Toc399491075"/>
      <w:r>
        <w:t>Leases</w:t>
      </w:r>
      <w:bookmarkEnd w:id="117"/>
    </w:p>
    <w:p w14:paraId="4E6B6903" w14:textId="77777777" w:rsidR="00FE7F8B" w:rsidRDefault="00FE7F8B" w:rsidP="00FE7F8B">
      <w:r>
        <w:t>The Department’s Leases are made up of finance leases for public-private partnership (PPP) arrangements and motor vehicles.</w:t>
      </w:r>
    </w:p>
    <w:p w14:paraId="09A8894F" w14:textId="77777777" w:rsidR="00FE7F8B" w:rsidRDefault="00FE7F8B" w:rsidP="00FE7F8B">
      <w:r>
        <w:t>Under the PPP arrangement the portions of the payments that relate to the right to use the assets are accounted for as finance leases and are disclosed below:</w:t>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8"/>
        <w:gridCol w:w="993"/>
        <w:gridCol w:w="993"/>
        <w:gridCol w:w="993"/>
        <w:gridCol w:w="993"/>
      </w:tblGrid>
      <w:tr w:rsidR="00FE7F8B" w14:paraId="61768F21" w14:textId="77777777" w:rsidTr="00FE7F8B">
        <w:tc>
          <w:tcPr>
            <w:tcW w:w="3407" w:type="dxa"/>
            <w:tcBorders>
              <w:top w:val="nil"/>
              <w:left w:val="nil"/>
              <w:bottom w:val="nil"/>
              <w:right w:val="nil"/>
            </w:tcBorders>
            <w:shd w:val="clear" w:color="auto" w:fill="7F7F7F" w:themeFill="text1" w:themeFillTint="80"/>
            <w:vAlign w:val="center"/>
          </w:tcPr>
          <w:p w14:paraId="21A860C9" w14:textId="77777777" w:rsidR="00FE7F8B" w:rsidRDefault="00FE7F8B">
            <w:pPr>
              <w:pStyle w:val="Tablecolumnheading"/>
              <w:jc w:val="center"/>
              <w:rPr>
                <w:lang w:eastAsia="en-AU"/>
              </w:rPr>
            </w:pPr>
          </w:p>
        </w:tc>
        <w:tc>
          <w:tcPr>
            <w:tcW w:w="1985" w:type="dxa"/>
            <w:gridSpan w:val="2"/>
            <w:tcBorders>
              <w:top w:val="nil"/>
              <w:left w:val="nil"/>
              <w:bottom w:val="nil"/>
              <w:right w:val="nil"/>
            </w:tcBorders>
            <w:shd w:val="clear" w:color="auto" w:fill="7F7F7F" w:themeFill="text1" w:themeFillTint="80"/>
            <w:vAlign w:val="center"/>
            <w:hideMark/>
          </w:tcPr>
          <w:p w14:paraId="5395C4A1" w14:textId="77777777" w:rsidR="00FE7F8B" w:rsidRDefault="00FE7F8B">
            <w:pPr>
              <w:pStyle w:val="Tablecolumnheading"/>
              <w:jc w:val="center"/>
              <w:rPr>
                <w:lang w:eastAsia="en-AU"/>
              </w:rPr>
            </w:pPr>
            <w:r>
              <w:rPr>
                <w:lang w:eastAsia="en-AU"/>
              </w:rPr>
              <w:t>Minimum future lease payments</w:t>
            </w:r>
          </w:p>
        </w:tc>
        <w:tc>
          <w:tcPr>
            <w:tcW w:w="1984" w:type="dxa"/>
            <w:gridSpan w:val="2"/>
            <w:tcBorders>
              <w:top w:val="nil"/>
              <w:left w:val="nil"/>
              <w:bottom w:val="nil"/>
              <w:right w:val="nil"/>
            </w:tcBorders>
            <w:shd w:val="clear" w:color="auto" w:fill="7F7F7F" w:themeFill="text1" w:themeFillTint="80"/>
            <w:vAlign w:val="center"/>
            <w:hideMark/>
          </w:tcPr>
          <w:p w14:paraId="33A52483" w14:textId="77777777" w:rsidR="00FE7F8B" w:rsidRDefault="00FE7F8B">
            <w:pPr>
              <w:pStyle w:val="Tablecolumnheading"/>
              <w:jc w:val="center"/>
              <w:rPr>
                <w:lang w:eastAsia="en-AU"/>
              </w:rPr>
            </w:pPr>
            <w:r>
              <w:rPr>
                <w:lang w:eastAsia="en-AU"/>
              </w:rPr>
              <w:t>Present value of minimum future lease payments</w:t>
            </w:r>
          </w:p>
        </w:tc>
      </w:tr>
      <w:tr w:rsidR="00FE7F8B" w14:paraId="44C3695F" w14:textId="77777777" w:rsidTr="00FE7F8B">
        <w:tc>
          <w:tcPr>
            <w:tcW w:w="3407" w:type="dxa"/>
            <w:tcBorders>
              <w:top w:val="nil"/>
              <w:left w:val="nil"/>
              <w:bottom w:val="nil"/>
              <w:right w:val="nil"/>
            </w:tcBorders>
            <w:shd w:val="clear" w:color="auto" w:fill="7F7F7F" w:themeFill="text1" w:themeFillTint="80"/>
            <w:vAlign w:val="center"/>
          </w:tcPr>
          <w:p w14:paraId="1C5DC127" w14:textId="77777777" w:rsidR="00FE7F8B" w:rsidRDefault="00FE7F8B">
            <w:pPr>
              <w:pStyle w:val="Tablecolumnheading"/>
              <w:jc w:val="center"/>
              <w:rPr>
                <w:lang w:eastAsia="en-AU"/>
              </w:rPr>
            </w:pPr>
          </w:p>
        </w:tc>
        <w:tc>
          <w:tcPr>
            <w:tcW w:w="993" w:type="dxa"/>
            <w:tcBorders>
              <w:top w:val="nil"/>
              <w:left w:val="nil"/>
              <w:bottom w:val="nil"/>
              <w:right w:val="nil"/>
            </w:tcBorders>
            <w:shd w:val="clear" w:color="auto" w:fill="7F7F7F" w:themeFill="text1" w:themeFillTint="80"/>
            <w:vAlign w:val="center"/>
            <w:hideMark/>
          </w:tcPr>
          <w:p w14:paraId="53C7B8AD" w14:textId="77777777" w:rsidR="00FE7F8B" w:rsidRDefault="00FE7F8B">
            <w:pPr>
              <w:pStyle w:val="Tablecolumnheading"/>
              <w:jc w:val="center"/>
              <w:rPr>
                <w:lang w:eastAsia="en-AU"/>
              </w:rPr>
            </w:pPr>
            <w:r>
              <w:rPr>
                <w:lang w:eastAsia="en-AU"/>
              </w:rPr>
              <w:t>2016</w:t>
            </w:r>
            <w:r>
              <w:rPr>
                <w:lang w:eastAsia="en-AU"/>
              </w:rPr>
              <w:br/>
              <w:t>$m</w:t>
            </w:r>
          </w:p>
        </w:tc>
        <w:tc>
          <w:tcPr>
            <w:tcW w:w="992" w:type="dxa"/>
            <w:tcBorders>
              <w:top w:val="nil"/>
              <w:left w:val="nil"/>
              <w:bottom w:val="nil"/>
              <w:right w:val="nil"/>
            </w:tcBorders>
            <w:shd w:val="clear" w:color="auto" w:fill="7F7F7F" w:themeFill="text1" w:themeFillTint="80"/>
            <w:vAlign w:val="center"/>
            <w:hideMark/>
          </w:tcPr>
          <w:p w14:paraId="3004B7F0" w14:textId="77777777" w:rsidR="00FE7F8B" w:rsidRDefault="00FE7F8B">
            <w:pPr>
              <w:pStyle w:val="Tablecolumnheading"/>
              <w:jc w:val="center"/>
              <w:rPr>
                <w:lang w:eastAsia="en-AU"/>
              </w:rPr>
            </w:pPr>
            <w:r>
              <w:rPr>
                <w:lang w:eastAsia="en-AU"/>
              </w:rPr>
              <w:t>2015</w:t>
            </w:r>
            <w:r>
              <w:rPr>
                <w:lang w:eastAsia="en-AU"/>
              </w:rPr>
              <w:br/>
              <w:t>$m</w:t>
            </w:r>
          </w:p>
        </w:tc>
        <w:tc>
          <w:tcPr>
            <w:tcW w:w="992" w:type="dxa"/>
            <w:tcBorders>
              <w:top w:val="nil"/>
              <w:left w:val="nil"/>
              <w:bottom w:val="nil"/>
              <w:right w:val="nil"/>
            </w:tcBorders>
            <w:shd w:val="clear" w:color="auto" w:fill="7F7F7F" w:themeFill="text1" w:themeFillTint="80"/>
            <w:vAlign w:val="center"/>
            <w:hideMark/>
          </w:tcPr>
          <w:p w14:paraId="40114C07" w14:textId="77777777" w:rsidR="00FE7F8B" w:rsidRDefault="00FE7F8B">
            <w:pPr>
              <w:pStyle w:val="Tablecolumnheading"/>
              <w:jc w:val="center"/>
              <w:rPr>
                <w:lang w:eastAsia="en-AU"/>
              </w:rPr>
            </w:pPr>
            <w:r>
              <w:rPr>
                <w:lang w:eastAsia="en-AU"/>
              </w:rPr>
              <w:t>2016</w:t>
            </w:r>
            <w:r>
              <w:rPr>
                <w:lang w:eastAsia="en-AU"/>
              </w:rPr>
              <w:br/>
              <w:t>$m</w:t>
            </w:r>
          </w:p>
        </w:tc>
        <w:tc>
          <w:tcPr>
            <w:tcW w:w="992" w:type="dxa"/>
            <w:tcBorders>
              <w:top w:val="nil"/>
              <w:left w:val="nil"/>
              <w:bottom w:val="nil"/>
              <w:right w:val="nil"/>
            </w:tcBorders>
            <w:shd w:val="clear" w:color="auto" w:fill="7F7F7F" w:themeFill="text1" w:themeFillTint="80"/>
            <w:vAlign w:val="center"/>
            <w:hideMark/>
          </w:tcPr>
          <w:p w14:paraId="729E7A36" w14:textId="77777777" w:rsidR="00FE7F8B" w:rsidRDefault="00FE7F8B">
            <w:pPr>
              <w:pStyle w:val="Tablecolumnheading"/>
              <w:jc w:val="center"/>
              <w:rPr>
                <w:lang w:eastAsia="en-AU"/>
              </w:rPr>
            </w:pPr>
            <w:r>
              <w:rPr>
                <w:lang w:eastAsia="en-AU"/>
              </w:rPr>
              <w:t>2015</w:t>
            </w:r>
            <w:r>
              <w:rPr>
                <w:lang w:eastAsia="en-AU"/>
              </w:rPr>
              <w:br/>
              <w:t>$m</w:t>
            </w:r>
          </w:p>
        </w:tc>
      </w:tr>
      <w:tr w:rsidR="00FE7F8B" w14:paraId="60E6BFBB" w14:textId="77777777" w:rsidTr="00FE7F8B">
        <w:tc>
          <w:tcPr>
            <w:tcW w:w="3407" w:type="dxa"/>
            <w:tcBorders>
              <w:top w:val="nil"/>
              <w:left w:val="nil"/>
              <w:bottom w:val="nil"/>
              <w:right w:val="nil"/>
            </w:tcBorders>
            <w:vAlign w:val="bottom"/>
            <w:hideMark/>
          </w:tcPr>
          <w:p w14:paraId="17AE2FD1" w14:textId="77777777" w:rsidR="00FE7F8B" w:rsidRDefault="00FE7F8B">
            <w:pPr>
              <w:pStyle w:val="Tabletextnoindent"/>
              <w:rPr>
                <w:b/>
              </w:rPr>
            </w:pPr>
            <w:r>
              <w:rPr>
                <w:b/>
              </w:rPr>
              <w:t>PPP related finance lease liabilities</w:t>
            </w:r>
          </w:p>
        </w:tc>
        <w:tc>
          <w:tcPr>
            <w:tcW w:w="993" w:type="dxa"/>
            <w:tcBorders>
              <w:top w:val="nil"/>
              <w:left w:val="nil"/>
              <w:bottom w:val="nil"/>
              <w:right w:val="nil"/>
            </w:tcBorders>
            <w:shd w:val="clear" w:color="auto" w:fill="F2F2F2" w:themeFill="background1" w:themeFillShade="F2"/>
            <w:vAlign w:val="bottom"/>
          </w:tcPr>
          <w:p w14:paraId="106D1149" w14:textId="77777777" w:rsidR="00FE7F8B" w:rsidRDefault="00FE7F8B">
            <w:pPr>
              <w:pStyle w:val="TableTextFinancial"/>
              <w:jc w:val="right"/>
              <w:rPr>
                <w:b/>
              </w:rPr>
            </w:pPr>
          </w:p>
        </w:tc>
        <w:tc>
          <w:tcPr>
            <w:tcW w:w="992" w:type="dxa"/>
            <w:tcBorders>
              <w:top w:val="nil"/>
              <w:left w:val="nil"/>
              <w:bottom w:val="nil"/>
              <w:right w:val="nil"/>
            </w:tcBorders>
            <w:vAlign w:val="bottom"/>
          </w:tcPr>
          <w:p w14:paraId="433CE560" w14:textId="77777777" w:rsidR="00FE7F8B" w:rsidRDefault="00FE7F8B">
            <w:pPr>
              <w:pStyle w:val="TableTextFinancial"/>
              <w:jc w:val="right"/>
              <w:rPr>
                <w:b/>
              </w:rPr>
            </w:pPr>
          </w:p>
        </w:tc>
        <w:tc>
          <w:tcPr>
            <w:tcW w:w="992" w:type="dxa"/>
            <w:tcBorders>
              <w:top w:val="nil"/>
              <w:left w:val="nil"/>
              <w:bottom w:val="nil"/>
              <w:right w:val="nil"/>
            </w:tcBorders>
            <w:shd w:val="clear" w:color="auto" w:fill="F2F2F2" w:themeFill="background1" w:themeFillShade="F2"/>
            <w:vAlign w:val="bottom"/>
          </w:tcPr>
          <w:p w14:paraId="12387523" w14:textId="77777777" w:rsidR="00FE7F8B" w:rsidRDefault="00FE7F8B">
            <w:pPr>
              <w:pStyle w:val="TableTextFinancial"/>
              <w:jc w:val="right"/>
              <w:rPr>
                <w:b/>
              </w:rPr>
            </w:pPr>
          </w:p>
        </w:tc>
        <w:tc>
          <w:tcPr>
            <w:tcW w:w="992" w:type="dxa"/>
            <w:tcBorders>
              <w:top w:val="nil"/>
              <w:left w:val="nil"/>
              <w:bottom w:val="nil"/>
              <w:right w:val="nil"/>
            </w:tcBorders>
            <w:vAlign w:val="bottom"/>
          </w:tcPr>
          <w:p w14:paraId="1AF26A5A" w14:textId="77777777" w:rsidR="00FE7F8B" w:rsidRDefault="00FE7F8B">
            <w:pPr>
              <w:pStyle w:val="TableTextFinancial"/>
              <w:jc w:val="right"/>
              <w:rPr>
                <w:b/>
              </w:rPr>
            </w:pPr>
          </w:p>
        </w:tc>
      </w:tr>
      <w:tr w:rsidR="00FE7F8B" w14:paraId="27EC7464" w14:textId="77777777" w:rsidTr="00FE7F8B">
        <w:tc>
          <w:tcPr>
            <w:tcW w:w="3407" w:type="dxa"/>
            <w:tcBorders>
              <w:top w:val="nil"/>
              <w:left w:val="nil"/>
              <w:bottom w:val="nil"/>
              <w:right w:val="nil"/>
            </w:tcBorders>
            <w:vAlign w:val="bottom"/>
            <w:hideMark/>
          </w:tcPr>
          <w:p w14:paraId="0F565C40" w14:textId="77777777" w:rsidR="00FE7F8B" w:rsidRDefault="00FE7F8B">
            <w:pPr>
              <w:pStyle w:val="Tabletextnoindent"/>
              <w:spacing w:before="40" w:after="40"/>
            </w:pPr>
            <w:proofErr w:type="spellStart"/>
            <w:r>
              <w:t>Not longer</w:t>
            </w:r>
            <w:proofErr w:type="spellEnd"/>
            <w:r>
              <w:t xml:space="preserve"> than one year </w:t>
            </w:r>
          </w:p>
        </w:tc>
        <w:tc>
          <w:tcPr>
            <w:tcW w:w="993" w:type="dxa"/>
            <w:tcBorders>
              <w:top w:val="nil"/>
              <w:left w:val="nil"/>
              <w:bottom w:val="nil"/>
              <w:right w:val="nil"/>
            </w:tcBorders>
            <w:shd w:val="clear" w:color="auto" w:fill="F2F2F2" w:themeFill="background1" w:themeFillShade="F2"/>
            <w:vAlign w:val="bottom"/>
            <w:hideMark/>
          </w:tcPr>
          <w:p w14:paraId="7F1DCBA1" w14:textId="77777777" w:rsidR="00FE7F8B" w:rsidRDefault="00FE7F8B">
            <w:pPr>
              <w:pStyle w:val="TableTextFinancial"/>
              <w:jc w:val="right"/>
            </w:pPr>
            <w:r>
              <w:t>15.8</w:t>
            </w:r>
          </w:p>
        </w:tc>
        <w:tc>
          <w:tcPr>
            <w:tcW w:w="992" w:type="dxa"/>
            <w:tcBorders>
              <w:top w:val="nil"/>
              <w:left w:val="nil"/>
              <w:bottom w:val="nil"/>
              <w:right w:val="nil"/>
            </w:tcBorders>
            <w:vAlign w:val="bottom"/>
            <w:hideMark/>
          </w:tcPr>
          <w:p w14:paraId="3519CB29" w14:textId="77777777" w:rsidR="00FE7F8B" w:rsidRDefault="00FE7F8B">
            <w:pPr>
              <w:pStyle w:val="TableTextFinancial"/>
              <w:jc w:val="right"/>
            </w:pPr>
            <w:r>
              <w:t>15.8</w:t>
            </w:r>
          </w:p>
        </w:tc>
        <w:tc>
          <w:tcPr>
            <w:tcW w:w="992" w:type="dxa"/>
            <w:tcBorders>
              <w:top w:val="nil"/>
              <w:left w:val="nil"/>
              <w:bottom w:val="nil"/>
              <w:right w:val="nil"/>
            </w:tcBorders>
            <w:shd w:val="clear" w:color="auto" w:fill="F2F2F2" w:themeFill="background1" w:themeFillShade="F2"/>
            <w:vAlign w:val="bottom"/>
            <w:hideMark/>
          </w:tcPr>
          <w:p w14:paraId="3993BE7C" w14:textId="77777777" w:rsidR="00FE7F8B" w:rsidRDefault="00FE7F8B">
            <w:pPr>
              <w:pStyle w:val="TableTextFinancial"/>
              <w:jc w:val="right"/>
            </w:pPr>
            <w:r>
              <w:t>15.2</w:t>
            </w:r>
          </w:p>
        </w:tc>
        <w:tc>
          <w:tcPr>
            <w:tcW w:w="992" w:type="dxa"/>
            <w:tcBorders>
              <w:top w:val="nil"/>
              <w:left w:val="nil"/>
              <w:bottom w:val="nil"/>
              <w:right w:val="nil"/>
            </w:tcBorders>
            <w:vAlign w:val="bottom"/>
            <w:hideMark/>
          </w:tcPr>
          <w:p w14:paraId="73FF65AC" w14:textId="77777777" w:rsidR="00FE7F8B" w:rsidRDefault="00FE7F8B">
            <w:pPr>
              <w:pStyle w:val="TableTextFinancial"/>
              <w:jc w:val="right"/>
            </w:pPr>
            <w:r>
              <w:t>15.2</w:t>
            </w:r>
          </w:p>
        </w:tc>
      </w:tr>
      <w:tr w:rsidR="00FE7F8B" w14:paraId="426EF48B" w14:textId="77777777" w:rsidTr="00FE7F8B">
        <w:tc>
          <w:tcPr>
            <w:tcW w:w="3407" w:type="dxa"/>
            <w:tcBorders>
              <w:top w:val="nil"/>
              <w:left w:val="nil"/>
              <w:bottom w:val="nil"/>
              <w:right w:val="nil"/>
            </w:tcBorders>
            <w:vAlign w:val="bottom"/>
            <w:hideMark/>
          </w:tcPr>
          <w:p w14:paraId="3539F260" w14:textId="77777777" w:rsidR="00FE7F8B" w:rsidRDefault="00FE7F8B">
            <w:pPr>
              <w:pStyle w:val="Tabletextnoindent"/>
              <w:spacing w:before="40" w:after="40"/>
            </w:pPr>
            <w:r>
              <w:t>Longer than one year but not longer than five years</w:t>
            </w:r>
          </w:p>
        </w:tc>
        <w:tc>
          <w:tcPr>
            <w:tcW w:w="993" w:type="dxa"/>
            <w:tcBorders>
              <w:top w:val="nil"/>
              <w:left w:val="nil"/>
              <w:bottom w:val="nil"/>
              <w:right w:val="nil"/>
            </w:tcBorders>
            <w:shd w:val="clear" w:color="auto" w:fill="F2F2F2" w:themeFill="background1" w:themeFillShade="F2"/>
            <w:vAlign w:val="bottom"/>
            <w:hideMark/>
          </w:tcPr>
          <w:p w14:paraId="0B1422BF" w14:textId="77777777" w:rsidR="00FE7F8B" w:rsidRDefault="00FE7F8B">
            <w:pPr>
              <w:pStyle w:val="TableTextFinancial"/>
              <w:jc w:val="right"/>
            </w:pPr>
            <w:r>
              <w:t>63.4</w:t>
            </w:r>
          </w:p>
        </w:tc>
        <w:tc>
          <w:tcPr>
            <w:tcW w:w="992" w:type="dxa"/>
            <w:tcBorders>
              <w:top w:val="nil"/>
              <w:left w:val="nil"/>
              <w:bottom w:val="nil"/>
              <w:right w:val="nil"/>
            </w:tcBorders>
            <w:vAlign w:val="bottom"/>
            <w:hideMark/>
          </w:tcPr>
          <w:p w14:paraId="1E85B302" w14:textId="77777777" w:rsidR="00FE7F8B" w:rsidRDefault="00FE7F8B">
            <w:pPr>
              <w:pStyle w:val="TableTextFinancial"/>
              <w:jc w:val="right"/>
            </w:pPr>
            <w:r>
              <w:t>63.4</w:t>
            </w:r>
          </w:p>
        </w:tc>
        <w:tc>
          <w:tcPr>
            <w:tcW w:w="992" w:type="dxa"/>
            <w:tcBorders>
              <w:top w:val="nil"/>
              <w:left w:val="nil"/>
              <w:bottom w:val="nil"/>
              <w:right w:val="nil"/>
            </w:tcBorders>
            <w:shd w:val="clear" w:color="auto" w:fill="F2F2F2" w:themeFill="background1" w:themeFillShade="F2"/>
            <w:vAlign w:val="bottom"/>
            <w:hideMark/>
          </w:tcPr>
          <w:p w14:paraId="0A31215B" w14:textId="77777777" w:rsidR="00FE7F8B" w:rsidRDefault="00FE7F8B">
            <w:pPr>
              <w:pStyle w:val="TableTextFinancial"/>
              <w:jc w:val="right"/>
            </w:pPr>
            <w:r>
              <w:t>52.1</w:t>
            </w:r>
          </w:p>
        </w:tc>
        <w:tc>
          <w:tcPr>
            <w:tcW w:w="992" w:type="dxa"/>
            <w:tcBorders>
              <w:top w:val="nil"/>
              <w:left w:val="nil"/>
              <w:bottom w:val="nil"/>
              <w:right w:val="nil"/>
            </w:tcBorders>
            <w:vAlign w:val="bottom"/>
            <w:hideMark/>
          </w:tcPr>
          <w:p w14:paraId="19D95A6E" w14:textId="77777777" w:rsidR="00FE7F8B" w:rsidRDefault="00FE7F8B">
            <w:pPr>
              <w:pStyle w:val="TableTextFinancial"/>
              <w:jc w:val="right"/>
            </w:pPr>
            <w:r>
              <w:t>52.1</w:t>
            </w:r>
          </w:p>
        </w:tc>
      </w:tr>
      <w:tr w:rsidR="00FE7F8B" w14:paraId="38AD73A5" w14:textId="77777777" w:rsidTr="00FE7F8B">
        <w:tc>
          <w:tcPr>
            <w:tcW w:w="3407" w:type="dxa"/>
            <w:tcBorders>
              <w:top w:val="nil"/>
              <w:left w:val="nil"/>
              <w:bottom w:val="nil"/>
              <w:right w:val="nil"/>
            </w:tcBorders>
            <w:vAlign w:val="bottom"/>
            <w:hideMark/>
          </w:tcPr>
          <w:p w14:paraId="35A85662" w14:textId="77777777" w:rsidR="00FE7F8B" w:rsidRDefault="00FE7F8B">
            <w:pPr>
              <w:pStyle w:val="Tabletextnoindent"/>
              <w:spacing w:before="40" w:after="40"/>
            </w:pPr>
            <w:r>
              <w:t>Longer than five years</w:t>
            </w:r>
          </w:p>
        </w:tc>
        <w:tc>
          <w:tcPr>
            <w:tcW w:w="993" w:type="dxa"/>
            <w:tcBorders>
              <w:top w:val="nil"/>
              <w:left w:val="nil"/>
              <w:bottom w:val="nil"/>
              <w:right w:val="nil"/>
            </w:tcBorders>
            <w:shd w:val="clear" w:color="auto" w:fill="F2F2F2" w:themeFill="background1" w:themeFillShade="F2"/>
            <w:vAlign w:val="bottom"/>
            <w:hideMark/>
          </w:tcPr>
          <w:p w14:paraId="1606B7EF" w14:textId="77777777" w:rsidR="00FE7F8B" w:rsidRDefault="00FE7F8B">
            <w:pPr>
              <w:pStyle w:val="TableTextFinancial"/>
              <w:jc w:val="right"/>
            </w:pPr>
            <w:r>
              <w:t>229.6</w:t>
            </w:r>
          </w:p>
        </w:tc>
        <w:tc>
          <w:tcPr>
            <w:tcW w:w="992" w:type="dxa"/>
            <w:tcBorders>
              <w:top w:val="nil"/>
              <w:left w:val="nil"/>
              <w:bottom w:val="nil"/>
              <w:right w:val="nil"/>
            </w:tcBorders>
            <w:vAlign w:val="bottom"/>
            <w:hideMark/>
          </w:tcPr>
          <w:p w14:paraId="1ACB067F" w14:textId="77777777" w:rsidR="00FE7F8B" w:rsidRDefault="00FE7F8B">
            <w:pPr>
              <w:pStyle w:val="TableTextFinancial"/>
              <w:jc w:val="right"/>
            </w:pPr>
            <w:r>
              <w:t>245.5</w:t>
            </w:r>
          </w:p>
        </w:tc>
        <w:tc>
          <w:tcPr>
            <w:tcW w:w="992" w:type="dxa"/>
            <w:tcBorders>
              <w:top w:val="nil"/>
              <w:left w:val="nil"/>
              <w:bottom w:val="nil"/>
              <w:right w:val="nil"/>
            </w:tcBorders>
            <w:shd w:val="clear" w:color="auto" w:fill="F2F2F2" w:themeFill="background1" w:themeFillShade="F2"/>
            <w:vAlign w:val="bottom"/>
            <w:hideMark/>
          </w:tcPr>
          <w:p w14:paraId="79C4F23A" w14:textId="77777777" w:rsidR="00FE7F8B" w:rsidRDefault="00FE7F8B">
            <w:pPr>
              <w:pStyle w:val="TableTextFinancial"/>
              <w:jc w:val="right"/>
            </w:pPr>
            <w:r>
              <w:t>108.2</w:t>
            </w:r>
          </w:p>
        </w:tc>
        <w:tc>
          <w:tcPr>
            <w:tcW w:w="992" w:type="dxa"/>
            <w:tcBorders>
              <w:top w:val="nil"/>
              <w:left w:val="nil"/>
              <w:bottom w:val="nil"/>
              <w:right w:val="nil"/>
            </w:tcBorders>
            <w:vAlign w:val="bottom"/>
            <w:hideMark/>
          </w:tcPr>
          <w:p w14:paraId="138D8ED6" w14:textId="77777777" w:rsidR="00FE7F8B" w:rsidRDefault="00FE7F8B">
            <w:pPr>
              <w:pStyle w:val="TableTextFinancial"/>
              <w:jc w:val="right"/>
            </w:pPr>
            <w:r>
              <w:t>112.4</w:t>
            </w:r>
          </w:p>
        </w:tc>
      </w:tr>
      <w:tr w:rsidR="00FE7F8B" w14:paraId="52AF7345" w14:textId="77777777" w:rsidTr="00FE7F8B">
        <w:tc>
          <w:tcPr>
            <w:tcW w:w="3407" w:type="dxa"/>
            <w:tcBorders>
              <w:top w:val="nil"/>
              <w:left w:val="nil"/>
              <w:bottom w:val="nil"/>
              <w:right w:val="nil"/>
            </w:tcBorders>
            <w:vAlign w:val="bottom"/>
            <w:hideMark/>
          </w:tcPr>
          <w:p w14:paraId="713A5ADA" w14:textId="77777777" w:rsidR="00FE7F8B" w:rsidRDefault="00FE7F8B">
            <w:pPr>
              <w:pStyle w:val="Tabletextnoindent"/>
              <w:rPr>
                <w:b/>
              </w:rPr>
            </w:pPr>
            <w:r>
              <w:rPr>
                <w:b/>
              </w:rPr>
              <w:t>Motor vehicles lease liabilities payable</w:t>
            </w:r>
          </w:p>
        </w:tc>
        <w:tc>
          <w:tcPr>
            <w:tcW w:w="993" w:type="dxa"/>
            <w:tcBorders>
              <w:top w:val="nil"/>
              <w:left w:val="nil"/>
              <w:bottom w:val="nil"/>
              <w:right w:val="nil"/>
            </w:tcBorders>
            <w:shd w:val="clear" w:color="auto" w:fill="F2F2F2" w:themeFill="background1" w:themeFillShade="F2"/>
            <w:vAlign w:val="bottom"/>
          </w:tcPr>
          <w:p w14:paraId="66BC5C32" w14:textId="77777777" w:rsidR="00FE7F8B" w:rsidRDefault="00FE7F8B">
            <w:pPr>
              <w:pStyle w:val="TableTextFinancial"/>
              <w:jc w:val="right"/>
              <w:rPr>
                <w:b/>
              </w:rPr>
            </w:pPr>
          </w:p>
        </w:tc>
        <w:tc>
          <w:tcPr>
            <w:tcW w:w="992" w:type="dxa"/>
            <w:tcBorders>
              <w:top w:val="nil"/>
              <w:left w:val="nil"/>
              <w:bottom w:val="nil"/>
              <w:right w:val="nil"/>
            </w:tcBorders>
            <w:vAlign w:val="bottom"/>
          </w:tcPr>
          <w:p w14:paraId="6329E5DE" w14:textId="77777777" w:rsidR="00FE7F8B" w:rsidRDefault="00FE7F8B">
            <w:pPr>
              <w:pStyle w:val="TableTextFinancial"/>
              <w:jc w:val="right"/>
              <w:rPr>
                <w:b/>
              </w:rPr>
            </w:pPr>
          </w:p>
        </w:tc>
        <w:tc>
          <w:tcPr>
            <w:tcW w:w="992" w:type="dxa"/>
            <w:tcBorders>
              <w:top w:val="nil"/>
              <w:left w:val="nil"/>
              <w:bottom w:val="nil"/>
              <w:right w:val="nil"/>
            </w:tcBorders>
            <w:shd w:val="clear" w:color="auto" w:fill="F2F2F2" w:themeFill="background1" w:themeFillShade="F2"/>
            <w:vAlign w:val="bottom"/>
          </w:tcPr>
          <w:p w14:paraId="59647194" w14:textId="77777777" w:rsidR="00FE7F8B" w:rsidRDefault="00FE7F8B">
            <w:pPr>
              <w:pStyle w:val="TableTextFinancial"/>
              <w:jc w:val="right"/>
              <w:rPr>
                <w:b/>
              </w:rPr>
            </w:pPr>
          </w:p>
        </w:tc>
        <w:tc>
          <w:tcPr>
            <w:tcW w:w="992" w:type="dxa"/>
            <w:tcBorders>
              <w:top w:val="nil"/>
              <w:left w:val="nil"/>
              <w:bottom w:val="nil"/>
              <w:right w:val="nil"/>
            </w:tcBorders>
            <w:vAlign w:val="bottom"/>
          </w:tcPr>
          <w:p w14:paraId="7D66253C" w14:textId="77777777" w:rsidR="00FE7F8B" w:rsidRDefault="00FE7F8B">
            <w:pPr>
              <w:pStyle w:val="TableTextFinancial"/>
              <w:jc w:val="right"/>
              <w:rPr>
                <w:b/>
              </w:rPr>
            </w:pPr>
          </w:p>
        </w:tc>
      </w:tr>
      <w:tr w:rsidR="00FE7F8B" w14:paraId="5BC3A80C" w14:textId="77777777" w:rsidTr="00FE7F8B">
        <w:tc>
          <w:tcPr>
            <w:tcW w:w="3407" w:type="dxa"/>
            <w:tcBorders>
              <w:top w:val="nil"/>
              <w:left w:val="nil"/>
              <w:bottom w:val="nil"/>
              <w:right w:val="nil"/>
            </w:tcBorders>
            <w:vAlign w:val="bottom"/>
            <w:hideMark/>
          </w:tcPr>
          <w:p w14:paraId="2FE5FD4D" w14:textId="77777777" w:rsidR="00FE7F8B" w:rsidRDefault="00FE7F8B">
            <w:pPr>
              <w:pStyle w:val="Tabletextnoindent"/>
              <w:spacing w:before="40" w:after="40"/>
            </w:pPr>
            <w:proofErr w:type="spellStart"/>
            <w:r>
              <w:t>Not longer</w:t>
            </w:r>
            <w:proofErr w:type="spellEnd"/>
            <w:r>
              <w:t xml:space="preserve"> than one year</w:t>
            </w:r>
          </w:p>
        </w:tc>
        <w:tc>
          <w:tcPr>
            <w:tcW w:w="993" w:type="dxa"/>
            <w:tcBorders>
              <w:top w:val="nil"/>
              <w:left w:val="nil"/>
              <w:bottom w:val="nil"/>
              <w:right w:val="nil"/>
            </w:tcBorders>
            <w:shd w:val="clear" w:color="auto" w:fill="F2F2F2" w:themeFill="background1" w:themeFillShade="F2"/>
            <w:vAlign w:val="bottom"/>
            <w:hideMark/>
          </w:tcPr>
          <w:p w14:paraId="253347A5" w14:textId="77777777" w:rsidR="00FE7F8B" w:rsidRDefault="00FE7F8B">
            <w:pPr>
              <w:pStyle w:val="TableTextFinancial"/>
              <w:jc w:val="right"/>
            </w:pPr>
            <w:r>
              <w:t>4.2</w:t>
            </w:r>
          </w:p>
        </w:tc>
        <w:tc>
          <w:tcPr>
            <w:tcW w:w="992" w:type="dxa"/>
            <w:tcBorders>
              <w:top w:val="nil"/>
              <w:left w:val="nil"/>
              <w:bottom w:val="nil"/>
              <w:right w:val="nil"/>
            </w:tcBorders>
            <w:vAlign w:val="bottom"/>
            <w:hideMark/>
          </w:tcPr>
          <w:p w14:paraId="3B504229" w14:textId="77777777" w:rsidR="00FE7F8B" w:rsidRDefault="00FE7F8B">
            <w:pPr>
              <w:pStyle w:val="TableTextFinancial"/>
              <w:jc w:val="right"/>
            </w:pPr>
            <w:r>
              <w:t>4.0</w:t>
            </w:r>
          </w:p>
        </w:tc>
        <w:tc>
          <w:tcPr>
            <w:tcW w:w="992" w:type="dxa"/>
            <w:tcBorders>
              <w:top w:val="nil"/>
              <w:left w:val="nil"/>
              <w:bottom w:val="nil"/>
              <w:right w:val="nil"/>
            </w:tcBorders>
            <w:shd w:val="clear" w:color="auto" w:fill="F2F2F2" w:themeFill="background1" w:themeFillShade="F2"/>
            <w:vAlign w:val="bottom"/>
            <w:hideMark/>
          </w:tcPr>
          <w:p w14:paraId="1106E1BC" w14:textId="77777777" w:rsidR="00FE7F8B" w:rsidRDefault="00FE7F8B">
            <w:pPr>
              <w:pStyle w:val="TableTextFinancial"/>
              <w:jc w:val="right"/>
            </w:pPr>
            <w:r>
              <w:t>4.0</w:t>
            </w:r>
          </w:p>
        </w:tc>
        <w:tc>
          <w:tcPr>
            <w:tcW w:w="992" w:type="dxa"/>
            <w:tcBorders>
              <w:top w:val="nil"/>
              <w:left w:val="nil"/>
              <w:bottom w:val="nil"/>
              <w:right w:val="nil"/>
            </w:tcBorders>
            <w:vAlign w:val="bottom"/>
            <w:hideMark/>
          </w:tcPr>
          <w:p w14:paraId="500E9DAC" w14:textId="77777777" w:rsidR="00FE7F8B" w:rsidRDefault="00FE7F8B">
            <w:pPr>
              <w:pStyle w:val="TableTextFinancial"/>
              <w:jc w:val="right"/>
            </w:pPr>
            <w:r>
              <w:t>3.7</w:t>
            </w:r>
          </w:p>
        </w:tc>
      </w:tr>
      <w:tr w:rsidR="00FE7F8B" w14:paraId="7986A8C3" w14:textId="77777777" w:rsidTr="00FE7F8B">
        <w:tc>
          <w:tcPr>
            <w:tcW w:w="3407" w:type="dxa"/>
            <w:tcBorders>
              <w:top w:val="nil"/>
              <w:left w:val="nil"/>
              <w:bottom w:val="single" w:sz="4" w:space="0" w:color="auto"/>
              <w:right w:val="nil"/>
            </w:tcBorders>
            <w:vAlign w:val="bottom"/>
            <w:hideMark/>
          </w:tcPr>
          <w:p w14:paraId="7C12C905" w14:textId="77777777" w:rsidR="00FE7F8B" w:rsidRDefault="00FE7F8B">
            <w:pPr>
              <w:pStyle w:val="Tabletextnoindent"/>
              <w:spacing w:before="40" w:after="40"/>
            </w:pPr>
            <w:r>
              <w:t>Longer than one year but not longer than five years</w:t>
            </w:r>
          </w:p>
        </w:tc>
        <w:tc>
          <w:tcPr>
            <w:tcW w:w="993" w:type="dxa"/>
            <w:tcBorders>
              <w:top w:val="nil"/>
              <w:left w:val="nil"/>
              <w:bottom w:val="single" w:sz="4" w:space="0" w:color="auto"/>
              <w:right w:val="nil"/>
            </w:tcBorders>
            <w:shd w:val="clear" w:color="auto" w:fill="F2F2F2" w:themeFill="background1" w:themeFillShade="F2"/>
            <w:vAlign w:val="bottom"/>
            <w:hideMark/>
          </w:tcPr>
          <w:p w14:paraId="77B6BDE6" w14:textId="77777777" w:rsidR="00FE7F8B" w:rsidRDefault="00FE7F8B">
            <w:pPr>
              <w:pStyle w:val="TableTextFinancial"/>
              <w:jc w:val="right"/>
            </w:pPr>
            <w:r>
              <w:t>4.7</w:t>
            </w:r>
          </w:p>
        </w:tc>
        <w:tc>
          <w:tcPr>
            <w:tcW w:w="992" w:type="dxa"/>
            <w:tcBorders>
              <w:top w:val="nil"/>
              <w:left w:val="nil"/>
              <w:bottom w:val="single" w:sz="4" w:space="0" w:color="auto"/>
              <w:right w:val="nil"/>
            </w:tcBorders>
            <w:vAlign w:val="bottom"/>
            <w:hideMark/>
          </w:tcPr>
          <w:p w14:paraId="38A00EC6" w14:textId="77777777" w:rsidR="00FE7F8B" w:rsidRDefault="00FE7F8B">
            <w:pPr>
              <w:pStyle w:val="TableTextFinancial"/>
              <w:jc w:val="right"/>
            </w:pPr>
            <w:r>
              <w:t>4.3</w:t>
            </w:r>
          </w:p>
        </w:tc>
        <w:tc>
          <w:tcPr>
            <w:tcW w:w="992" w:type="dxa"/>
            <w:tcBorders>
              <w:top w:val="nil"/>
              <w:left w:val="nil"/>
              <w:bottom w:val="single" w:sz="4" w:space="0" w:color="auto"/>
              <w:right w:val="nil"/>
            </w:tcBorders>
            <w:shd w:val="clear" w:color="auto" w:fill="F2F2F2" w:themeFill="background1" w:themeFillShade="F2"/>
            <w:vAlign w:val="bottom"/>
            <w:hideMark/>
          </w:tcPr>
          <w:p w14:paraId="6F63A342" w14:textId="77777777" w:rsidR="00FE7F8B" w:rsidRDefault="00FE7F8B">
            <w:pPr>
              <w:pStyle w:val="TableTextFinancial"/>
              <w:jc w:val="right"/>
            </w:pPr>
            <w:r>
              <w:t>4.6</w:t>
            </w:r>
          </w:p>
        </w:tc>
        <w:tc>
          <w:tcPr>
            <w:tcW w:w="992" w:type="dxa"/>
            <w:tcBorders>
              <w:top w:val="nil"/>
              <w:left w:val="nil"/>
              <w:bottom w:val="single" w:sz="4" w:space="0" w:color="auto"/>
              <w:right w:val="nil"/>
            </w:tcBorders>
            <w:vAlign w:val="bottom"/>
            <w:hideMark/>
          </w:tcPr>
          <w:p w14:paraId="5C7B194E" w14:textId="77777777" w:rsidR="00FE7F8B" w:rsidRDefault="00FE7F8B">
            <w:pPr>
              <w:pStyle w:val="TableTextFinancial"/>
              <w:jc w:val="right"/>
            </w:pPr>
            <w:r>
              <w:t>4.3</w:t>
            </w:r>
          </w:p>
        </w:tc>
      </w:tr>
      <w:tr w:rsidR="00FE7F8B" w14:paraId="6DDCB9ED" w14:textId="77777777" w:rsidTr="00FE7F8B">
        <w:tc>
          <w:tcPr>
            <w:tcW w:w="3407" w:type="dxa"/>
            <w:tcBorders>
              <w:top w:val="single" w:sz="4" w:space="0" w:color="auto"/>
              <w:left w:val="nil"/>
              <w:bottom w:val="nil"/>
              <w:right w:val="nil"/>
            </w:tcBorders>
            <w:vAlign w:val="bottom"/>
            <w:hideMark/>
          </w:tcPr>
          <w:p w14:paraId="3E054277" w14:textId="77777777" w:rsidR="00FE7F8B" w:rsidRDefault="00FE7F8B">
            <w:pPr>
              <w:pStyle w:val="Tabletextnoindent"/>
              <w:rPr>
                <w:b/>
              </w:rPr>
            </w:pPr>
            <w:r>
              <w:rPr>
                <w:b/>
              </w:rPr>
              <w:t>Minimum future lease payments</w:t>
            </w:r>
          </w:p>
        </w:tc>
        <w:tc>
          <w:tcPr>
            <w:tcW w:w="993" w:type="dxa"/>
            <w:tcBorders>
              <w:top w:val="single" w:sz="4" w:space="0" w:color="auto"/>
              <w:left w:val="nil"/>
              <w:bottom w:val="nil"/>
              <w:right w:val="nil"/>
            </w:tcBorders>
            <w:shd w:val="clear" w:color="auto" w:fill="F2F2F2" w:themeFill="background1" w:themeFillShade="F2"/>
            <w:vAlign w:val="bottom"/>
            <w:hideMark/>
          </w:tcPr>
          <w:p w14:paraId="6AD3B25C" w14:textId="77777777" w:rsidR="00FE7F8B" w:rsidRDefault="00FE7F8B">
            <w:pPr>
              <w:pStyle w:val="TableTextFinancial"/>
              <w:jc w:val="right"/>
              <w:rPr>
                <w:b/>
              </w:rPr>
            </w:pPr>
            <w:r>
              <w:rPr>
                <w:b/>
              </w:rPr>
              <w:t>317.8</w:t>
            </w:r>
          </w:p>
        </w:tc>
        <w:tc>
          <w:tcPr>
            <w:tcW w:w="992" w:type="dxa"/>
            <w:tcBorders>
              <w:top w:val="single" w:sz="4" w:space="0" w:color="auto"/>
              <w:left w:val="nil"/>
              <w:bottom w:val="nil"/>
              <w:right w:val="nil"/>
            </w:tcBorders>
            <w:vAlign w:val="bottom"/>
            <w:hideMark/>
          </w:tcPr>
          <w:p w14:paraId="566E592C" w14:textId="77777777" w:rsidR="00FE7F8B" w:rsidRDefault="00FE7F8B">
            <w:pPr>
              <w:pStyle w:val="TableTextFinancial"/>
              <w:jc w:val="right"/>
              <w:rPr>
                <w:b/>
              </w:rPr>
            </w:pPr>
            <w:r>
              <w:rPr>
                <w:b/>
              </w:rPr>
              <w:t>333.0</w:t>
            </w:r>
          </w:p>
        </w:tc>
        <w:tc>
          <w:tcPr>
            <w:tcW w:w="992" w:type="dxa"/>
            <w:tcBorders>
              <w:top w:val="single" w:sz="4" w:space="0" w:color="auto"/>
              <w:left w:val="nil"/>
              <w:bottom w:val="nil"/>
              <w:right w:val="nil"/>
            </w:tcBorders>
            <w:shd w:val="clear" w:color="auto" w:fill="F2F2F2" w:themeFill="background1" w:themeFillShade="F2"/>
            <w:vAlign w:val="bottom"/>
            <w:hideMark/>
          </w:tcPr>
          <w:p w14:paraId="625FE099" w14:textId="77777777" w:rsidR="00FE7F8B" w:rsidRDefault="00FE7F8B">
            <w:pPr>
              <w:pStyle w:val="TableTextFinancial"/>
              <w:jc w:val="right"/>
              <w:rPr>
                <w:b/>
              </w:rPr>
            </w:pPr>
            <w:r>
              <w:rPr>
                <w:b/>
              </w:rPr>
              <w:t>184.0</w:t>
            </w:r>
          </w:p>
        </w:tc>
        <w:tc>
          <w:tcPr>
            <w:tcW w:w="992" w:type="dxa"/>
            <w:tcBorders>
              <w:top w:val="single" w:sz="4" w:space="0" w:color="auto"/>
              <w:left w:val="nil"/>
              <w:bottom w:val="nil"/>
              <w:right w:val="nil"/>
            </w:tcBorders>
            <w:vAlign w:val="bottom"/>
            <w:hideMark/>
          </w:tcPr>
          <w:p w14:paraId="133831D7" w14:textId="77777777" w:rsidR="00FE7F8B" w:rsidRDefault="00FE7F8B">
            <w:pPr>
              <w:pStyle w:val="TableTextFinancial"/>
              <w:jc w:val="right"/>
              <w:rPr>
                <w:b/>
              </w:rPr>
            </w:pPr>
            <w:r>
              <w:rPr>
                <w:b/>
              </w:rPr>
              <w:t>187.6</w:t>
            </w:r>
          </w:p>
        </w:tc>
      </w:tr>
      <w:tr w:rsidR="00FE7F8B" w14:paraId="61C57582" w14:textId="77777777" w:rsidTr="00FE7F8B">
        <w:tc>
          <w:tcPr>
            <w:tcW w:w="3407" w:type="dxa"/>
            <w:tcBorders>
              <w:top w:val="nil"/>
              <w:left w:val="nil"/>
              <w:bottom w:val="single" w:sz="4" w:space="0" w:color="auto"/>
              <w:right w:val="nil"/>
            </w:tcBorders>
            <w:vAlign w:val="bottom"/>
            <w:hideMark/>
          </w:tcPr>
          <w:p w14:paraId="47D5BB79" w14:textId="77777777" w:rsidR="00FE7F8B" w:rsidRDefault="00FE7F8B">
            <w:pPr>
              <w:pStyle w:val="Tabletextnoindent"/>
              <w:spacing w:before="40" w:after="40"/>
            </w:pPr>
            <w:r>
              <w:t>Less future finance charges</w:t>
            </w:r>
          </w:p>
        </w:tc>
        <w:tc>
          <w:tcPr>
            <w:tcW w:w="993" w:type="dxa"/>
            <w:tcBorders>
              <w:top w:val="nil"/>
              <w:left w:val="nil"/>
              <w:bottom w:val="single" w:sz="4" w:space="0" w:color="auto"/>
              <w:right w:val="nil"/>
            </w:tcBorders>
            <w:shd w:val="clear" w:color="auto" w:fill="F2F2F2" w:themeFill="background1" w:themeFillShade="F2"/>
            <w:vAlign w:val="bottom"/>
            <w:hideMark/>
          </w:tcPr>
          <w:p w14:paraId="6D85ECE4" w14:textId="77777777" w:rsidR="00FE7F8B" w:rsidRDefault="00FE7F8B">
            <w:pPr>
              <w:pStyle w:val="TableTextFinancial"/>
              <w:jc w:val="right"/>
            </w:pPr>
            <w:r>
              <w:t>(133.8)</w:t>
            </w:r>
          </w:p>
        </w:tc>
        <w:tc>
          <w:tcPr>
            <w:tcW w:w="992" w:type="dxa"/>
            <w:tcBorders>
              <w:top w:val="nil"/>
              <w:left w:val="nil"/>
              <w:bottom w:val="single" w:sz="4" w:space="0" w:color="auto"/>
              <w:right w:val="nil"/>
            </w:tcBorders>
            <w:vAlign w:val="bottom"/>
            <w:hideMark/>
          </w:tcPr>
          <w:p w14:paraId="45DDE229" w14:textId="77777777" w:rsidR="00FE7F8B" w:rsidRDefault="00FE7F8B">
            <w:pPr>
              <w:pStyle w:val="TableTextFinancial"/>
              <w:jc w:val="right"/>
            </w:pPr>
            <w:r>
              <w:t>(145.3)</w:t>
            </w:r>
          </w:p>
        </w:tc>
        <w:tc>
          <w:tcPr>
            <w:tcW w:w="992" w:type="dxa"/>
            <w:tcBorders>
              <w:top w:val="nil"/>
              <w:left w:val="nil"/>
              <w:bottom w:val="single" w:sz="4" w:space="0" w:color="auto"/>
              <w:right w:val="nil"/>
            </w:tcBorders>
            <w:shd w:val="clear" w:color="auto" w:fill="F2F2F2" w:themeFill="background1" w:themeFillShade="F2"/>
            <w:vAlign w:val="bottom"/>
            <w:hideMark/>
          </w:tcPr>
          <w:p w14:paraId="6C3A1822"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0BBCB702" w14:textId="77777777" w:rsidR="00FE7F8B" w:rsidRDefault="00FE7F8B">
            <w:pPr>
              <w:pStyle w:val="TableTextFinancial"/>
              <w:jc w:val="right"/>
            </w:pPr>
            <w:r>
              <w:t>-</w:t>
            </w:r>
          </w:p>
        </w:tc>
      </w:tr>
      <w:tr w:rsidR="00FE7F8B" w14:paraId="175D94CA" w14:textId="77777777" w:rsidTr="00FE7F8B">
        <w:tc>
          <w:tcPr>
            <w:tcW w:w="3407" w:type="dxa"/>
            <w:tcBorders>
              <w:top w:val="single" w:sz="4" w:space="0" w:color="auto"/>
              <w:left w:val="nil"/>
              <w:bottom w:val="single" w:sz="4" w:space="0" w:color="auto"/>
              <w:right w:val="nil"/>
            </w:tcBorders>
            <w:vAlign w:val="bottom"/>
            <w:hideMark/>
          </w:tcPr>
          <w:p w14:paraId="6F39D564" w14:textId="77777777" w:rsidR="00FE7F8B" w:rsidRDefault="00FE7F8B">
            <w:pPr>
              <w:pStyle w:val="Tabletextnoindent"/>
              <w:rPr>
                <w:b/>
              </w:rPr>
            </w:pPr>
            <w:r>
              <w:rPr>
                <w:b/>
              </w:rPr>
              <w:t>Present value of minimum lease payments</w:t>
            </w:r>
          </w:p>
        </w:tc>
        <w:tc>
          <w:tcPr>
            <w:tcW w:w="993" w:type="dxa"/>
            <w:tcBorders>
              <w:top w:val="single" w:sz="4" w:space="0" w:color="auto"/>
              <w:left w:val="nil"/>
              <w:bottom w:val="single" w:sz="4" w:space="0" w:color="auto"/>
              <w:right w:val="nil"/>
            </w:tcBorders>
            <w:shd w:val="clear" w:color="auto" w:fill="F2F2F2" w:themeFill="background1" w:themeFillShade="F2"/>
            <w:vAlign w:val="bottom"/>
            <w:hideMark/>
          </w:tcPr>
          <w:p w14:paraId="18BC3D04" w14:textId="77777777" w:rsidR="00FE7F8B" w:rsidRDefault="00FE7F8B">
            <w:pPr>
              <w:pStyle w:val="TableTextFinancial"/>
              <w:jc w:val="right"/>
              <w:rPr>
                <w:b/>
              </w:rPr>
            </w:pPr>
            <w:r>
              <w:rPr>
                <w:b/>
              </w:rPr>
              <w:t>184.0</w:t>
            </w:r>
          </w:p>
        </w:tc>
        <w:tc>
          <w:tcPr>
            <w:tcW w:w="992" w:type="dxa"/>
            <w:tcBorders>
              <w:top w:val="single" w:sz="4" w:space="0" w:color="auto"/>
              <w:left w:val="nil"/>
              <w:bottom w:val="single" w:sz="4" w:space="0" w:color="auto"/>
              <w:right w:val="nil"/>
            </w:tcBorders>
            <w:vAlign w:val="bottom"/>
            <w:hideMark/>
          </w:tcPr>
          <w:p w14:paraId="087D7449" w14:textId="77777777" w:rsidR="00FE7F8B" w:rsidRDefault="00FE7F8B">
            <w:pPr>
              <w:pStyle w:val="TableTextFinancial"/>
              <w:jc w:val="right"/>
              <w:rPr>
                <w:b/>
              </w:rPr>
            </w:pPr>
            <w:r>
              <w:rPr>
                <w:b/>
              </w:rPr>
              <w:t>187.6</w:t>
            </w:r>
          </w:p>
        </w:tc>
        <w:tc>
          <w:tcPr>
            <w:tcW w:w="992" w:type="dxa"/>
            <w:tcBorders>
              <w:top w:val="single" w:sz="4" w:space="0" w:color="auto"/>
              <w:left w:val="nil"/>
              <w:bottom w:val="single" w:sz="4" w:space="0" w:color="auto"/>
              <w:right w:val="nil"/>
            </w:tcBorders>
            <w:shd w:val="clear" w:color="auto" w:fill="F2F2F2" w:themeFill="background1" w:themeFillShade="F2"/>
            <w:vAlign w:val="bottom"/>
            <w:hideMark/>
          </w:tcPr>
          <w:p w14:paraId="4FE2BFFA" w14:textId="77777777" w:rsidR="00FE7F8B" w:rsidRDefault="00FE7F8B">
            <w:pPr>
              <w:pStyle w:val="TableTextFinancial"/>
              <w:jc w:val="right"/>
              <w:rPr>
                <w:b/>
              </w:rPr>
            </w:pPr>
            <w:r>
              <w:rPr>
                <w:b/>
              </w:rPr>
              <w:t>184.0</w:t>
            </w:r>
          </w:p>
        </w:tc>
        <w:tc>
          <w:tcPr>
            <w:tcW w:w="992" w:type="dxa"/>
            <w:tcBorders>
              <w:top w:val="single" w:sz="4" w:space="0" w:color="auto"/>
              <w:left w:val="nil"/>
              <w:bottom w:val="single" w:sz="4" w:space="0" w:color="auto"/>
              <w:right w:val="nil"/>
            </w:tcBorders>
            <w:vAlign w:val="bottom"/>
            <w:hideMark/>
          </w:tcPr>
          <w:p w14:paraId="48EBC125" w14:textId="77777777" w:rsidR="00FE7F8B" w:rsidRDefault="00FE7F8B">
            <w:pPr>
              <w:pStyle w:val="TableTextFinancial"/>
              <w:jc w:val="right"/>
              <w:rPr>
                <w:b/>
              </w:rPr>
            </w:pPr>
            <w:r>
              <w:rPr>
                <w:b/>
              </w:rPr>
              <w:t>187.6</w:t>
            </w:r>
          </w:p>
        </w:tc>
      </w:tr>
      <w:tr w:rsidR="00FE7F8B" w14:paraId="39172A66" w14:textId="77777777" w:rsidTr="00FE7F8B">
        <w:tc>
          <w:tcPr>
            <w:tcW w:w="7376" w:type="dxa"/>
            <w:gridSpan w:val="5"/>
            <w:tcBorders>
              <w:top w:val="single" w:sz="4" w:space="0" w:color="auto"/>
              <w:left w:val="nil"/>
              <w:bottom w:val="nil"/>
              <w:right w:val="nil"/>
            </w:tcBorders>
            <w:vAlign w:val="bottom"/>
          </w:tcPr>
          <w:p w14:paraId="7C21D5E2" w14:textId="77777777" w:rsidR="00FE7F8B" w:rsidRDefault="00FE7F8B">
            <w:pPr>
              <w:pStyle w:val="TableTextFinancial"/>
            </w:pPr>
          </w:p>
        </w:tc>
      </w:tr>
      <w:tr w:rsidR="00FE7F8B" w14:paraId="0A702BC6" w14:textId="77777777" w:rsidTr="00FE7F8B">
        <w:tc>
          <w:tcPr>
            <w:tcW w:w="3407" w:type="dxa"/>
            <w:tcBorders>
              <w:top w:val="nil"/>
              <w:left w:val="nil"/>
              <w:bottom w:val="nil"/>
              <w:right w:val="nil"/>
            </w:tcBorders>
            <w:vAlign w:val="bottom"/>
            <w:hideMark/>
          </w:tcPr>
          <w:p w14:paraId="48C26917" w14:textId="77777777" w:rsidR="00FE7F8B" w:rsidRDefault="00FE7F8B">
            <w:pPr>
              <w:pStyle w:val="Tabletextnoindent"/>
              <w:rPr>
                <w:b/>
              </w:rPr>
            </w:pPr>
            <w:r>
              <w:rPr>
                <w:b/>
              </w:rPr>
              <w:t>Included in the financial statements as:</w:t>
            </w:r>
          </w:p>
        </w:tc>
        <w:tc>
          <w:tcPr>
            <w:tcW w:w="993" w:type="dxa"/>
            <w:tcBorders>
              <w:top w:val="nil"/>
              <w:left w:val="nil"/>
              <w:bottom w:val="nil"/>
              <w:right w:val="nil"/>
            </w:tcBorders>
            <w:vAlign w:val="bottom"/>
          </w:tcPr>
          <w:p w14:paraId="65466F9E" w14:textId="77777777" w:rsidR="00FE7F8B" w:rsidRDefault="00FE7F8B">
            <w:pPr>
              <w:pStyle w:val="TableTextFinancial"/>
              <w:jc w:val="right"/>
            </w:pPr>
          </w:p>
        </w:tc>
        <w:tc>
          <w:tcPr>
            <w:tcW w:w="992" w:type="dxa"/>
            <w:tcBorders>
              <w:top w:val="nil"/>
              <w:left w:val="nil"/>
              <w:bottom w:val="nil"/>
              <w:right w:val="nil"/>
            </w:tcBorders>
            <w:vAlign w:val="bottom"/>
          </w:tcPr>
          <w:p w14:paraId="5A34FF8D" w14:textId="77777777" w:rsidR="00FE7F8B" w:rsidRDefault="00FE7F8B">
            <w:pPr>
              <w:pStyle w:val="TableTextFinancial"/>
              <w:jc w:val="right"/>
            </w:pPr>
          </w:p>
        </w:tc>
        <w:tc>
          <w:tcPr>
            <w:tcW w:w="992" w:type="dxa"/>
            <w:tcBorders>
              <w:top w:val="nil"/>
              <w:left w:val="nil"/>
              <w:bottom w:val="nil"/>
              <w:right w:val="nil"/>
            </w:tcBorders>
            <w:vAlign w:val="bottom"/>
          </w:tcPr>
          <w:p w14:paraId="3E3CA76E" w14:textId="77777777" w:rsidR="00FE7F8B" w:rsidRDefault="00FE7F8B">
            <w:pPr>
              <w:pStyle w:val="TableTextFinancial"/>
              <w:jc w:val="right"/>
            </w:pPr>
          </w:p>
        </w:tc>
        <w:tc>
          <w:tcPr>
            <w:tcW w:w="992" w:type="dxa"/>
            <w:tcBorders>
              <w:top w:val="nil"/>
              <w:left w:val="nil"/>
              <w:bottom w:val="nil"/>
              <w:right w:val="nil"/>
            </w:tcBorders>
            <w:vAlign w:val="bottom"/>
          </w:tcPr>
          <w:p w14:paraId="37EFED52" w14:textId="77777777" w:rsidR="00FE7F8B" w:rsidRDefault="00FE7F8B">
            <w:pPr>
              <w:pStyle w:val="TableTextFinancial"/>
              <w:jc w:val="right"/>
            </w:pPr>
          </w:p>
        </w:tc>
      </w:tr>
      <w:tr w:rsidR="00FE7F8B" w14:paraId="0073E14B" w14:textId="77777777" w:rsidTr="00FE7F8B">
        <w:tc>
          <w:tcPr>
            <w:tcW w:w="3407" w:type="dxa"/>
            <w:tcBorders>
              <w:top w:val="nil"/>
              <w:left w:val="nil"/>
              <w:bottom w:val="nil"/>
              <w:right w:val="nil"/>
            </w:tcBorders>
            <w:vAlign w:val="bottom"/>
            <w:hideMark/>
          </w:tcPr>
          <w:p w14:paraId="0C4BFB43" w14:textId="77777777" w:rsidR="00FE7F8B" w:rsidRDefault="00FE7F8B">
            <w:pPr>
              <w:pStyle w:val="Tabletextnoindent"/>
              <w:spacing w:before="40" w:after="40"/>
            </w:pPr>
            <w:r>
              <w:t>Current borrowings finance lease liabilities (Note 13)</w:t>
            </w:r>
          </w:p>
        </w:tc>
        <w:tc>
          <w:tcPr>
            <w:tcW w:w="993" w:type="dxa"/>
            <w:tcBorders>
              <w:top w:val="nil"/>
              <w:left w:val="nil"/>
              <w:bottom w:val="nil"/>
              <w:right w:val="nil"/>
            </w:tcBorders>
            <w:shd w:val="clear" w:color="auto" w:fill="F2F2F2" w:themeFill="background1" w:themeFillShade="F2"/>
            <w:vAlign w:val="bottom"/>
            <w:hideMark/>
          </w:tcPr>
          <w:p w14:paraId="59F2F2E2"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585CB51F" w14:textId="77777777" w:rsidR="00FE7F8B" w:rsidRDefault="00FE7F8B">
            <w:pPr>
              <w:pStyle w:val="TableTextFinancial"/>
              <w:jc w:val="right"/>
            </w:pPr>
            <w:r>
              <w:t>-</w:t>
            </w:r>
          </w:p>
        </w:tc>
        <w:tc>
          <w:tcPr>
            <w:tcW w:w="992" w:type="dxa"/>
            <w:tcBorders>
              <w:top w:val="nil"/>
              <w:left w:val="nil"/>
              <w:bottom w:val="nil"/>
              <w:right w:val="nil"/>
            </w:tcBorders>
            <w:shd w:val="clear" w:color="auto" w:fill="F2F2F2" w:themeFill="background1" w:themeFillShade="F2"/>
            <w:vAlign w:val="bottom"/>
            <w:hideMark/>
          </w:tcPr>
          <w:p w14:paraId="779D4B1D" w14:textId="77777777" w:rsidR="00FE7F8B" w:rsidRDefault="00FE7F8B">
            <w:pPr>
              <w:pStyle w:val="TableTextFinancial"/>
              <w:jc w:val="right"/>
            </w:pPr>
            <w:r>
              <w:t>19.2</w:t>
            </w:r>
          </w:p>
        </w:tc>
        <w:tc>
          <w:tcPr>
            <w:tcW w:w="992" w:type="dxa"/>
            <w:tcBorders>
              <w:top w:val="nil"/>
              <w:left w:val="nil"/>
              <w:bottom w:val="nil"/>
              <w:right w:val="nil"/>
            </w:tcBorders>
            <w:vAlign w:val="bottom"/>
            <w:hideMark/>
          </w:tcPr>
          <w:p w14:paraId="6857841B" w14:textId="77777777" w:rsidR="00FE7F8B" w:rsidRDefault="00FE7F8B">
            <w:pPr>
              <w:pStyle w:val="TableTextFinancial"/>
              <w:jc w:val="right"/>
            </w:pPr>
            <w:r>
              <w:t>18.9</w:t>
            </w:r>
          </w:p>
        </w:tc>
      </w:tr>
      <w:tr w:rsidR="00FE7F8B" w14:paraId="3CB148A4" w14:textId="77777777" w:rsidTr="00FE7F8B">
        <w:tc>
          <w:tcPr>
            <w:tcW w:w="3407" w:type="dxa"/>
            <w:tcBorders>
              <w:top w:val="nil"/>
              <w:left w:val="nil"/>
              <w:bottom w:val="single" w:sz="4" w:space="0" w:color="auto"/>
              <w:right w:val="nil"/>
            </w:tcBorders>
            <w:vAlign w:val="bottom"/>
            <w:hideMark/>
          </w:tcPr>
          <w:p w14:paraId="7896B9C8" w14:textId="77777777" w:rsidR="00FE7F8B" w:rsidRDefault="00FE7F8B">
            <w:pPr>
              <w:pStyle w:val="Tabletextnoindent"/>
              <w:spacing w:before="40" w:after="40"/>
            </w:pPr>
            <w:r>
              <w:t>Non-current borrowings finance lease liabilities (Note 13)</w:t>
            </w:r>
          </w:p>
        </w:tc>
        <w:tc>
          <w:tcPr>
            <w:tcW w:w="993" w:type="dxa"/>
            <w:tcBorders>
              <w:top w:val="nil"/>
              <w:left w:val="nil"/>
              <w:bottom w:val="single" w:sz="4" w:space="0" w:color="auto"/>
              <w:right w:val="nil"/>
            </w:tcBorders>
            <w:shd w:val="clear" w:color="auto" w:fill="F2F2F2" w:themeFill="background1" w:themeFillShade="F2"/>
            <w:vAlign w:val="bottom"/>
            <w:hideMark/>
          </w:tcPr>
          <w:p w14:paraId="49622F0F" w14:textId="77777777" w:rsidR="00FE7F8B" w:rsidRDefault="00FE7F8B">
            <w:pPr>
              <w:pStyle w:val="TableTextFinancial"/>
              <w:jc w:val="right"/>
            </w:pPr>
            <w:r>
              <w:t>-</w:t>
            </w:r>
          </w:p>
        </w:tc>
        <w:tc>
          <w:tcPr>
            <w:tcW w:w="992" w:type="dxa"/>
            <w:tcBorders>
              <w:top w:val="nil"/>
              <w:left w:val="nil"/>
              <w:bottom w:val="single" w:sz="4" w:space="0" w:color="auto"/>
              <w:right w:val="nil"/>
            </w:tcBorders>
            <w:vAlign w:val="bottom"/>
            <w:hideMark/>
          </w:tcPr>
          <w:p w14:paraId="56B42C23" w14:textId="77777777" w:rsidR="00FE7F8B" w:rsidRDefault="00FE7F8B">
            <w:pPr>
              <w:pStyle w:val="TableTextFinancial"/>
              <w:jc w:val="right"/>
            </w:pPr>
            <w:r>
              <w:t>-</w:t>
            </w:r>
          </w:p>
        </w:tc>
        <w:tc>
          <w:tcPr>
            <w:tcW w:w="992" w:type="dxa"/>
            <w:tcBorders>
              <w:top w:val="nil"/>
              <w:left w:val="nil"/>
              <w:bottom w:val="single" w:sz="4" w:space="0" w:color="auto"/>
              <w:right w:val="nil"/>
            </w:tcBorders>
            <w:shd w:val="clear" w:color="auto" w:fill="F2F2F2" w:themeFill="background1" w:themeFillShade="F2"/>
            <w:vAlign w:val="bottom"/>
            <w:hideMark/>
          </w:tcPr>
          <w:p w14:paraId="590E24D0" w14:textId="77777777" w:rsidR="00FE7F8B" w:rsidRDefault="00FE7F8B">
            <w:pPr>
              <w:pStyle w:val="TableTextFinancial"/>
              <w:jc w:val="right"/>
            </w:pPr>
            <w:r>
              <w:t>164.8</w:t>
            </w:r>
          </w:p>
        </w:tc>
        <w:tc>
          <w:tcPr>
            <w:tcW w:w="992" w:type="dxa"/>
            <w:tcBorders>
              <w:top w:val="nil"/>
              <w:left w:val="nil"/>
              <w:bottom w:val="single" w:sz="4" w:space="0" w:color="auto"/>
              <w:right w:val="nil"/>
            </w:tcBorders>
            <w:vAlign w:val="bottom"/>
            <w:hideMark/>
          </w:tcPr>
          <w:p w14:paraId="0EA72133" w14:textId="77777777" w:rsidR="00FE7F8B" w:rsidRDefault="00FE7F8B">
            <w:pPr>
              <w:pStyle w:val="TableTextFinancial"/>
              <w:jc w:val="right"/>
            </w:pPr>
            <w:r>
              <w:t>168.7</w:t>
            </w:r>
          </w:p>
        </w:tc>
      </w:tr>
      <w:tr w:rsidR="00FE7F8B" w14:paraId="4F5A4BEF" w14:textId="77777777" w:rsidTr="00FE7F8B">
        <w:tc>
          <w:tcPr>
            <w:tcW w:w="3407" w:type="dxa"/>
            <w:tcBorders>
              <w:top w:val="single" w:sz="4" w:space="0" w:color="auto"/>
              <w:left w:val="nil"/>
              <w:bottom w:val="single" w:sz="4" w:space="0" w:color="auto"/>
              <w:right w:val="nil"/>
            </w:tcBorders>
            <w:vAlign w:val="bottom"/>
            <w:hideMark/>
          </w:tcPr>
          <w:p w14:paraId="783C8E5F" w14:textId="77777777" w:rsidR="00FE7F8B" w:rsidRDefault="00FE7F8B">
            <w:pPr>
              <w:pStyle w:val="Tabletextnoindent"/>
              <w:rPr>
                <w:b/>
              </w:rPr>
            </w:pPr>
            <w:r>
              <w:rPr>
                <w:b/>
              </w:rPr>
              <w:t>Total aggregate carrying amount of borrowings</w:t>
            </w:r>
          </w:p>
        </w:tc>
        <w:tc>
          <w:tcPr>
            <w:tcW w:w="993" w:type="dxa"/>
            <w:tcBorders>
              <w:top w:val="single" w:sz="4" w:space="0" w:color="auto"/>
              <w:left w:val="nil"/>
              <w:bottom w:val="single" w:sz="4" w:space="0" w:color="auto"/>
              <w:right w:val="nil"/>
            </w:tcBorders>
            <w:shd w:val="clear" w:color="auto" w:fill="F2F2F2" w:themeFill="background1" w:themeFillShade="F2"/>
            <w:vAlign w:val="bottom"/>
            <w:hideMark/>
          </w:tcPr>
          <w:p w14:paraId="462EC7B3" w14:textId="77777777" w:rsidR="00FE7F8B" w:rsidRDefault="00FE7F8B">
            <w:pPr>
              <w:pStyle w:val="TableTextFinancial"/>
              <w:jc w:val="right"/>
            </w:pPr>
            <w:r>
              <w:t>-</w:t>
            </w:r>
          </w:p>
        </w:tc>
        <w:tc>
          <w:tcPr>
            <w:tcW w:w="992" w:type="dxa"/>
            <w:tcBorders>
              <w:top w:val="single" w:sz="4" w:space="0" w:color="auto"/>
              <w:left w:val="nil"/>
              <w:bottom w:val="single" w:sz="4" w:space="0" w:color="auto"/>
              <w:right w:val="nil"/>
            </w:tcBorders>
            <w:vAlign w:val="bottom"/>
            <w:hideMark/>
          </w:tcPr>
          <w:p w14:paraId="0BAFFB2B" w14:textId="77777777" w:rsidR="00FE7F8B" w:rsidRDefault="00FE7F8B">
            <w:pPr>
              <w:pStyle w:val="TableTextFinancial"/>
              <w:jc w:val="right"/>
            </w:pPr>
            <w:r>
              <w:t>-</w:t>
            </w:r>
          </w:p>
        </w:tc>
        <w:tc>
          <w:tcPr>
            <w:tcW w:w="992" w:type="dxa"/>
            <w:tcBorders>
              <w:top w:val="single" w:sz="4" w:space="0" w:color="auto"/>
              <w:left w:val="nil"/>
              <w:bottom w:val="single" w:sz="4" w:space="0" w:color="auto"/>
              <w:right w:val="nil"/>
            </w:tcBorders>
            <w:shd w:val="clear" w:color="auto" w:fill="F2F2F2" w:themeFill="background1" w:themeFillShade="F2"/>
            <w:vAlign w:val="bottom"/>
            <w:hideMark/>
          </w:tcPr>
          <w:p w14:paraId="79434BA0" w14:textId="77777777" w:rsidR="00FE7F8B" w:rsidRDefault="00FE7F8B">
            <w:pPr>
              <w:pStyle w:val="TableTextFinancial"/>
              <w:jc w:val="right"/>
              <w:rPr>
                <w:b/>
              </w:rPr>
            </w:pPr>
            <w:r>
              <w:rPr>
                <w:b/>
              </w:rPr>
              <w:t>184.0</w:t>
            </w:r>
          </w:p>
        </w:tc>
        <w:tc>
          <w:tcPr>
            <w:tcW w:w="992" w:type="dxa"/>
            <w:tcBorders>
              <w:top w:val="single" w:sz="4" w:space="0" w:color="auto"/>
              <w:left w:val="nil"/>
              <w:bottom w:val="single" w:sz="4" w:space="0" w:color="auto"/>
              <w:right w:val="nil"/>
            </w:tcBorders>
            <w:vAlign w:val="bottom"/>
            <w:hideMark/>
          </w:tcPr>
          <w:p w14:paraId="25B9435F" w14:textId="77777777" w:rsidR="00FE7F8B" w:rsidRDefault="00FE7F8B">
            <w:pPr>
              <w:pStyle w:val="TableTextFinancial"/>
              <w:jc w:val="right"/>
              <w:rPr>
                <w:b/>
              </w:rPr>
            </w:pPr>
            <w:r>
              <w:rPr>
                <w:b/>
              </w:rPr>
              <w:t>187.6</w:t>
            </w:r>
          </w:p>
        </w:tc>
      </w:tr>
    </w:tbl>
    <w:p w14:paraId="561FE10C" w14:textId="77777777" w:rsidR="00FE7F8B" w:rsidRDefault="00FE7F8B" w:rsidP="00FE7F8B">
      <w:pPr>
        <w:pStyle w:val="Normalaftertable"/>
      </w:pPr>
      <w:r>
        <w:t>Lease liabilities are effectively secured as the rights to the leased assets revert to the lessor in the event of default.</w:t>
      </w:r>
    </w:p>
    <w:tbl>
      <w:tblPr>
        <w:tblW w:w="4929" w:type="pct"/>
        <w:tblInd w:w="108" w:type="dxa"/>
        <w:tblLook w:val="04A0" w:firstRow="1" w:lastRow="0" w:firstColumn="1" w:lastColumn="0" w:noHBand="0" w:noVBand="1"/>
      </w:tblPr>
      <w:tblGrid>
        <w:gridCol w:w="4953"/>
        <w:gridCol w:w="1264"/>
        <w:gridCol w:w="1264"/>
      </w:tblGrid>
      <w:tr w:rsidR="00FE7F8B" w14:paraId="4764B90D" w14:textId="77777777" w:rsidTr="00FE7F8B">
        <w:trPr>
          <w:trHeight w:val="240"/>
        </w:trPr>
        <w:tc>
          <w:tcPr>
            <w:tcW w:w="3310" w:type="pct"/>
            <w:shd w:val="clear" w:color="auto" w:fill="7F7F7F" w:themeFill="text1" w:themeFillTint="80"/>
            <w:vAlign w:val="bottom"/>
            <w:hideMark/>
          </w:tcPr>
          <w:p w14:paraId="20095F4E" w14:textId="77777777" w:rsidR="00FE7F8B" w:rsidRDefault="00FE7F8B"/>
        </w:tc>
        <w:tc>
          <w:tcPr>
            <w:tcW w:w="845" w:type="pct"/>
            <w:shd w:val="clear" w:color="auto" w:fill="7F7F7F" w:themeFill="text1" w:themeFillTint="80"/>
            <w:vAlign w:val="center"/>
            <w:hideMark/>
          </w:tcPr>
          <w:p w14:paraId="2299F3ED" w14:textId="77777777" w:rsidR="00FE7F8B" w:rsidRDefault="00FE7F8B">
            <w:pPr>
              <w:pStyle w:val="Tablecolumnheading"/>
              <w:jc w:val="center"/>
            </w:pPr>
            <w:r>
              <w:t>2016</w:t>
            </w:r>
            <w:r>
              <w:br/>
              <w:t>$m</w:t>
            </w:r>
          </w:p>
        </w:tc>
        <w:tc>
          <w:tcPr>
            <w:tcW w:w="845" w:type="pct"/>
            <w:shd w:val="clear" w:color="auto" w:fill="7F7F7F" w:themeFill="text1" w:themeFillTint="80"/>
            <w:vAlign w:val="center"/>
            <w:hideMark/>
          </w:tcPr>
          <w:p w14:paraId="072F949B" w14:textId="77777777" w:rsidR="00FE7F8B" w:rsidRDefault="00FE7F8B">
            <w:pPr>
              <w:pStyle w:val="Tablecolumnheading"/>
              <w:jc w:val="center"/>
            </w:pPr>
            <w:r>
              <w:t>2015</w:t>
            </w:r>
            <w:r>
              <w:br/>
              <w:t>$m</w:t>
            </w:r>
          </w:p>
        </w:tc>
      </w:tr>
      <w:tr w:rsidR="00FE7F8B" w14:paraId="65A8AD54" w14:textId="77777777" w:rsidTr="00FE7F8B">
        <w:trPr>
          <w:trHeight w:val="240"/>
        </w:trPr>
        <w:tc>
          <w:tcPr>
            <w:tcW w:w="3310" w:type="pct"/>
            <w:shd w:val="clear" w:color="auto" w:fill="FFFFFF"/>
            <w:hideMark/>
          </w:tcPr>
          <w:p w14:paraId="7E1C1125" w14:textId="77777777" w:rsidR="00FE7F8B" w:rsidRDefault="00FE7F8B">
            <w:pPr>
              <w:pStyle w:val="Tabletextnoindent"/>
              <w:rPr>
                <w:b/>
              </w:rPr>
            </w:pPr>
            <w:r>
              <w:rPr>
                <w:b/>
              </w:rPr>
              <w:t>Assets pledged as security</w:t>
            </w:r>
          </w:p>
        </w:tc>
        <w:tc>
          <w:tcPr>
            <w:tcW w:w="845" w:type="pct"/>
            <w:shd w:val="clear" w:color="auto" w:fill="F2F2F2" w:themeFill="background1" w:themeFillShade="F2"/>
            <w:noWrap/>
            <w:vAlign w:val="bottom"/>
          </w:tcPr>
          <w:p w14:paraId="15CAA816" w14:textId="77777777" w:rsidR="00FE7F8B" w:rsidRDefault="00FE7F8B">
            <w:pPr>
              <w:pStyle w:val="Tabletextnoindent"/>
              <w:jc w:val="right"/>
            </w:pPr>
          </w:p>
        </w:tc>
        <w:tc>
          <w:tcPr>
            <w:tcW w:w="845" w:type="pct"/>
            <w:shd w:val="clear" w:color="auto" w:fill="FFFFFF"/>
            <w:noWrap/>
            <w:vAlign w:val="bottom"/>
          </w:tcPr>
          <w:p w14:paraId="1A9F2059" w14:textId="77777777" w:rsidR="00FE7F8B" w:rsidRDefault="00FE7F8B">
            <w:pPr>
              <w:pStyle w:val="Tabletextnoindent"/>
              <w:jc w:val="right"/>
            </w:pPr>
          </w:p>
        </w:tc>
      </w:tr>
      <w:tr w:rsidR="00FE7F8B" w14:paraId="3C40C40A" w14:textId="77777777" w:rsidTr="00FE7F8B">
        <w:trPr>
          <w:trHeight w:val="240"/>
        </w:trPr>
        <w:tc>
          <w:tcPr>
            <w:tcW w:w="3310" w:type="pct"/>
            <w:shd w:val="clear" w:color="auto" w:fill="FFFFFF"/>
            <w:hideMark/>
          </w:tcPr>
          <w:p w14:paraId="130E55CC" w14:textId="77777777" w:rsidR="00FE7F8B" w:rsidRDefault="00FE7F8B">
            <w:pPr>
              <w:pStyle w:val="Tabletextnoindent"/>
            </w:pPr>
            <w:r>
              <w:t>Motor vehicles under finance lease</w:t>
            </w:r>
          </w:p>
        </w:tc>
        <w:tc>
          <w:tcPr>
            <w:tcW w:w="845" w:type="pct"/>
            <w:shd w:val="clear" w:color="auto" w:fill="F2F2F2" w:themeFill="background1" w:themeFillShade="F2"/>
            <w:noWrap/>
            <w:vAlign w:val="bottom"/>
            <w:hideMark/>
          </w:tcPr>
          <w:p w14:paraId="27FE2444" w14:textId="77777777" w:rsidR="00FE7F8B" w:rsidRDefault="00FE7F8B">
            <w:pPr>
              <w:pStyle w:val="Tabletextnoindent"/>
              <w:jc w:val="right"/>
            </w:pPr>
            <w:r>
              <w:rPr>
                <w:b/>
              </w:rPr>
              <w:t>8.3</w:t>
            </w:r>
          </w:p>
        </w:tc>
        <w:tc>
          <w:tcPr>
            <w:tcW w:w="845" w:type="pct"/>
            <w:shd w:val="clear" w:color="auto" w:fill="FFFFFF"/>
            <w:noWrap/>
            <w:vAlign w:val="bottom"/>
            <w:hideMark/>
          </w:tcPr>
          <w:p w14:paraId="5BC1FE2C" w14:textId="77777777" w:rsidR="00FE7F8B" w:rsidRDefault="00FE7F8B">
            <w:pPr>
              <w:pStyle w:val="Tabletextnoindent"/>
              <w:jc w:val="right"/>
            </w:pPr>
            <w:r>
              <w:t>7.4</w:t>
            </w:r>
          </w:p>
        </w:tc>
      </w:tr>
      <w:tr w:rsidR="00FE7F8B" w14:paraId="3F69681B" w14:textId="77777777" w:rsidTr="00FE7F8B">
        <w:trPr>
          <w:trHeight w:val="285"/>
        </w:trPr>
        <w:tc>
          <w:tcPr>
            <w:tcW w:w="3310" w:type="pct"/>
            <w:tcBorders>
              <w:top w:val="nil"/>
              <w:left w:val="nil"/>
              <w:bottom w:val="single" w:sz="4" w:space="0" w:color="auto"/>
              <w:right w:val="nil"/>
            </w:tcBorders>
            <w:hideMark/>
          </w:tcPr>
          <w:p w14:paraId="1BAD763F" w14:textId="77777777" w:rsidR="00FE7F8B" w:rsidRDefault="00FE7F8B">
            <w:pPr>
              <w:pStyle w:val="Tabletextnoindent"/>
            </w:pPr>
            <w:r>
              <w:t>Partnership Victoria in Schools assets</w:t>
            </w:r>
          </w:p>
        </w:tc>
        <w:tc>
          <w:tcPr>
            <w:tcW w:w="845" w:type="pct"/>
            <w:tcBorders>
              <w:top w:val="nil"/>
              <w:left w:val="nil"/>
              <w:bottom w:val="single" w:sz="4" w:space="0" w:color="auto"/>
              <w:right w:val="nil"/>
            </w:tcBorders>
            <w:shd w:val="clear" w:color="auto" w:fill="F2F2F2" w:themeFill="background1" w:themeFillShade="F2"/>
            <w:vAlign w:val="bottom"/>
            <w:hideMark/>
          </w:tcPr>
          <w:p w14:paraId="689E14B8" w14:textId="77777777" w:rsidR="00FE7F8B" w:rsidRDefault="00FE7F8B">
            <w:pPr>
              <w:pStyle w:val="Tabletextnoindent"/>
              <w:jc w:val="right"/>
            </w:pPr>
            <w:r>
              <w:rPr>
                <w:b/>
              </w:rPr>
              <w:t>148.7</w:t>
            </w:r>
          </w:p>
        </w:tc>
        <w:tc>
          <w:tcPr>
            <w:tcW w:w="845" w:type="pct"/>
            <w:tcBorders>
              <w:top w:val="nil"/>
              <w:left w:val="nil"/>
              <w:bottom w:val="single" w:sz="4" w:space="0" w:color="auto"/>
              <w:right w:val="nil"/>
            </w:tcBorders>
            <w:vAlign w:val="bottom"/>
            <w:hideMark/>
          </w:tcPr>
          <w:p w14:paraId="138DBBC6" w14:textId="77777777" w:rsidR="00FE7F8B" w:rsidRDefault="00FE7F8B">
            <w:pPr>
              <w:pStyle w:val="Tabletextnoindent"/>
              <w:jc w:val="right"/>
            </w:pPr>
            <w:r>
              <w:t>179.4</w:t>
            </w:r>
          </w:p>
        </w:tc>
      </w:tr>
      <w:tr w:rsidR="00FE7F8B" w14:paraId="6659B92B" w14:textId="77777777" w:rsidTr="00FE7F8B">
        <w:trPr>
          <w:trHeight w:val="330"/>
        </w:trPr>
        <w:tc>
          <w:tcPr>
            <w:tcW w:w="3310" w:type="pct"/>
            <w:tcBorders>
              <w:top w:val="single" w:sz="4" w:space="0" w:color="auto"/>
              <w:left w:val="nil"/>
              <w:bottom w:val="single" w:sz="4" w:space="0" w:color="auto"/>
              <w:right w:val="nil"/>
            </w:tcBorders>
            <w:noWrap/>
            <w:hideMark/>
          </w:tcPr>
          <w:p w14:paraId="49CBB118" w14:textId="77777777" w:rsidR="00FE7F8B" w:rsidRDefault="00FE7F8B">
            <w:pPr>
              <w:pStyle w:val="Tabletextnoindent"/>
              <w:rPr>
                <w:b/>
              </w:rPr>
            </w:pPr>
            <w:r>
              <w:rPr>
                <w:b/>
              </w:rPr>
              <w:t>Total assets pledged as security</w:t>
            </w:r>
          </w:p>
        </w:tc>
        <w:tc>
          <w:tcPr>
            <w:tcW w:w="845" w:type="pct"/>
            <w:tcBorders>
              <w:top w:val="single" w:sz="4" w:space="0" w:color="auto"/>
              <w:left w:val="nil"/>
              <w:bottom w:val="single" w:sz="4" w:space="0" w:color="auto"/>
              <w:right w:val="nil"/>
            </w:tcBorders>
            <w:shd w:val="clear" w:color="auto" w:fill="F2F2F2" w:themeFill="background1" w:themeFillShade="F2"/>
            <w:vAlign w:val="bottom"/>
            <w:hideMark/>
          </w:tcPr>
          <w:p w14:paraId="2655C508" w14:textId="77777777" w:rsidR="00FE7F8B" w:rsidRDefault="00FE7F8B">
            <w:pPr>
              <w:pStyle w:val="Tabletextnoindent"/>
              <w:jc w:val="right"/>
              <w:rPr>
                <w:b/>
              </w:rPr>
            </w:pPr>
            <w:r>
              <w:rPr>
                <w:b/>
              </w:rPr>
              <w:t>157.0</w:t>
            </w:r>
          </w:p>
        </w:tc>
        <w:tc>
          <w:tcPr>
            <w:tcW w:w="845" w:type="pct"/>
            <w:tcBorders>
              <w:top w:val="single" w:sz="4" w:space="0" w:color="auto"/>
              <w:left w:val="nil"/>
              <w:bottom w:val="single" w:sz="4" w:space="0" w:color="auto"/>
              <w:right w:val="nil"/>
            </w:tcBorders>
            <w:shd w:val="clear" w:color="auto" w:fill="FFFFFF"/>
            <w:vAlign w:val="bottom"/>
            <w:hideMark/>
          </w:tcPr>
          <w:p w14:paraId="4374792E" w14:textId="77777777" w:rsidR="00FE7F8B" w:rsidRDefault="00FE7F8B">
            <w:pPr>
              <w:pStyle w:val="Tabletextnoindent"/>
              <w:jc w:val="right"/>
              <w:rPr>
                <w:b/>
              </w:rPr>
            </w:pPr>
            <w:r>
              <w:t>186.8</w:t>
            </w:r>
          </w:p>
        </w:tc>
      </w:tr>
    </w:tbl>
    <w:p w14:paraId="1B219033" w14:textId="77777777" w:rsidR="00FE7F8B" w:rsidRDefault="00FE7F8B" w:rsidP="00FE7F8B">
      <w:pPr>
        <w:pStyle w:val="Normalaftertable"/>
      </w:pPr>
      <w:r>
        <w:t>In December 2008, the State of Victoria entered into a 26-year agreement with Axiom Education Victoria Pty Ltd, under the Partnerships Victoria policy, for the financing, design, construction, and maintenance of 12 schools. The schools were constructed on sites that were purchased by the Department. At the end of the lease period, the Department will continue to own all the assets.</w:t>
      </w:r>
    </w:p>
    <w:p w14:paraId="71A5A561" w14:textId="77777777" w:rsidR="00FE7F8B" w:rsidRDefault="00FE7F8B" w:rsidP="00FE7F8B">
      <w:pPr>
        <w:pStyle w:val="Normalaftertable"/>
      </w:pPr>
      <w:r>
        <w:t>All 12 schools have been opened since 2011 and the Department has assumed responsibility for education provision, staffing, curriculum and teacher practice, and a commitment in regard to these assets is recognised as a finance lease with related finance lease assets.</w:t>
      </w:r>
    </w:p>
    <w:p w14:paraId="7AC6648F" w14:textId="77777777" w:rsidR="00FE7F8B" w:rsidRDefault="00FE7F8B" w:rsidP="00AD641C">
      <w:pPr>
        <w:pStyle w:val="Heading2notes"/>
        <w:numPr>
          <w:ilvl w:val="0"/>
          <w:numId w:val="39"/>
        </w:numPr>
      </w:pPr>
      <w:bookmarkStart w:id="119" w:name="_Toc461176308"/>
      <w:bookmarkStart w:id="120" w:name="Responsiblepersons"/>
      <w:r>
        <w:t xml:space="preserve">Ministers and accountable officers </w:t>
      </w:r>
      <w:r>
        <w:br/>
        <w:t>(Responsible persons)</w:t>
      </w:r>
      <w:bookmarkEnd w:id="118"/>
      <w:bookmarkEnd w:id="119"/>
    </w:p>
    <w:p w14:paraId="280CB890" w14:textId="77777777" w:rsidR="00FE7F8B" w:rsidRDefault="00FE7F8B" w:rsidP="00FE7F8B">
      <w:r>
        <w:t xml:space="preserve">In accordance with the Ministerial Directions issued by the Minister for Finance under the </w:t>
      </w:r>
      <w:r>
        <w:rPr>
          <w:i/>
        </w:rPr>
        <w:t>Financial Management Act 1994</w:t>
      </w:r>
      <w:r>
        <w:t>, the following disclosures are made regarding responsible persons for the reporting period.</w:t>
      </w:r>
    </w:p>
    <w:p w14:paraId="0B113479" w14:textId="77777777" w:rsidR="00FE7F8B" w:rsidRDefault="00FE7F8B" w:rsidP="00AD641C">
      <w:pPr>
        <w:pStyle w:val="Heading3notesnumbered"/>
        <w:numPr>
          <w:ilvl w:val="0"/>
          <w:numId w:val="53"/>
        </w:numPr>
      </w:pPr>
      <w:r>
        <w:t>Names</w:t>
      </w:r>
    </w:p>
    <w:p w14:paraId="2E16B65D" w14:textId="77777777" w:rsidR="00FE7F8B" w:rsidRDefault="00FE7F8B" w:rsidP="00FE7F8B">
      <w:r>
        <w:t xml:space="preserve">The persons who held the positions of ministers and </w:t>
      </w:r>
      <w:proofErr w:type="gramStart"/>
      <w:r>
        <w:t>accountable</w:t>
      </w:r>
      <w:proofErr w:type="gramEnd"/>
      <w:r>
        <w:t xml:space="preserve"> officers in the Department are as follows:</w:t>
      </w:r>
    </w:p>
    <w:tbl>
      <w:tblPr>
        <w:tblW w:w="73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696"/>
        <w:gridCol w:w="2410"/>
        <w:gridCol w:w="2274"/>
      </w:tblGrid>
      <w:tr w:rsidR="00FE7F8B" w14:paraId="231ADD31" w14:textId="77777777" w:rsidTr="00FE7F8B">
        <w:tc>
          <w:tcPr>
            <w:tcW w:w="2694" w:type="dxa"/>
            <w:tcBorders>
              <w:top w:val="nil"/>
              <w:left w:val="nil"/>
              <w:bottom w:val="nil"/>
              <w:right w:val="nil"/>
            </w:tcBorders>
            <w:shd w:val="clear" w:color="auto" w:fill="7F7F7F" w:themeFill="text1" w:themeFillTint="80"/>
            <w:vAlign w:val="center"/>
            <w:hideMark/>
          </w:tcPr>
          <w:p w14:paraId="385ECE4D" w14:textId="77777777" w:rsidR="00FE7F8B" w:rsidRDefault="00FE7F8B">
            <w:pPr>
              <w:pStyle w:val="Tablecolumnheading"/>
            </w:pPr>
            <w:r>
              <w:t>Position</w:t>
            </w:r>
          </w:p>
        </w:tc>
        <w:tc>
          <w:tcPr>
            <w:tcW w:w="2409" w:type="dxa"/>
            <w:tcBorders>
              <w:top w:val="nil"/>
              <w:left w:val="nil"/>
              <w:bottom w:val="nil"/>
              <w:right w:val="nil"/>
            </w:tcBorders>
            <w:shd w:val="clear" w:color="auto" w:fill="7F7F7F" w:themeFill="text1" w:themeFillTint="80"/>
            <w:vAlign w:val="center"/>
            <w:hideMark/>
          </w:tcPr>
          <w:p w14:paraId="281D2283" w14:textId="77777777" w:rsidR="00FE7F8B" w:rsidRDefault="00FE7F8B">
            <w:pPr>
              <w:pStyle w:val="Tablecolumnheading"/>
            </w:pPr>
            <w:r>
              <w:t>Name</w:t>
            </w:r>
          </w:p>
        </w:tc>
        <w:tc>
          <w:tcPr>
            <w:tcW w:w="2273" w:type="dxa"/>
            <w:tcBorders>
              <w:top w:val="nil"/>
              <w:left w:val="nil"/>
              <w:bottom w:val="nil"/>
              <w:right w:val="nil"/>
            </w:tcBorders>
            <w:shd w:val="clear" w:color="auto" w:fill="7F7F7F" w:themeFill="text1" w:themeFillTint="80"/>
            <w:vAlign w:val="center"/>
            <w:hideMark/>
          </w:tcPr>
          <w:p w14:paraId="00C1BA75" w14:textId="77777777" w:rsidR="00FE7F8B" w:rsidRDefault="00FE7F8B">
            <w:pPr>
              <w:pStyle w:val="Tablecolumnheading"/>
            </w:pPr>
            <w:r>
              <w:t>Dates they were Minister/Secretary</w:t>
            </w:r>
          </w:p>
        </w:tc>
      </w:tr>
      <w:tr w:rsidR="00FE7F8B" w14:paraId="37B84BCE" w14:textId="77777777" w:rsidTr="00FE7F8B">
        <w:tc>
          <w:tcPr>
            <w:tcW w:w="2694" w:type="dxa"/>
            <w:tcBorders>
              <w:top w:val="nil"/>
              <w:left w:val="nil"/>
              <w:bottom w:val="nil"/>
              <w:right w:val="nil"/>
            </w:tcBorders>
            <w:hideMark/>
          </w:tcPr>
          <w:p w14:paraId="58A46D9A" w14:textId="77777777" w:rsidR="00FE7F8B" w:rsidRDefault="00FE7F8B">
            <w:pPr>
              <w:pStyle w:val="Tabletextnoindent"/>
            </w:pPr>
            <w:r>
              <w:t>Minister for Education</w:t>
            </w:r>
          </w:p>
        </w:tc>
        <w:tc>
          <w:tcPr>
            <w:tcW w:w="2409" w:type="dxa"/>
            <w:tcBorders>
              <w:top w:val="nil"/>
              <w:left w:val="nil"/>
              <w:bottom w:val="nil"/>
              <w:right w:val="nil"/>
            </w:tcBorders>
            <w:hideMark/>
          </w:tcPr>
          <w:p w14:paraId="370D9941" w14:textId="2D35A4E7" w:rsidR="00FE7F8B" w:rsidRDefault="00FE7F8B">
            <w:pPr>
              <w:pStyle w:val="Tabletextnoindent"/>
            </w:pPr>
            <w:r>
              <w:t>The Hon</w:t>
            </w:r>
            <w:r w:rsidR="00403363">
              <w:t>.</w:t>
            </w:r>
            <w:r>
              <w:t xml:space="preserve"> James </w:t>
            </w:r>
            <w:proofErr w:type="spellStart"/>
            <w:r>
              <w:t>Merlino</w:t>
            </w:r>
            <w:proofErr w:type="spellEnd"/>
            <w:r>
              <w:t xml:space="preserve"> MP</w:t>
            </w:r>
          </w:p>
        </w:tc>
        <w:tc>
          <w:tcPr>
            <w:tcW w:w="2273" w:type="dxa"/>
            <w:tcBorders>
              <w:top w:val="nil"/>
              <w:left w:val="nil"/>
              <w:bottom w:val="nil"/>
              <w:right w:val="nil"/>
            </w:tcBorders>
            <w:hideMark/>
          </w:tcPr>
          <w:p w14:paraId="1FBD2EC7" w14:textId="77777777" w:rsidR="00FE7F8B" w:rsidRDefault="00FE7F8B">
            <w:pPr>
              <w:pStyle w:val="Tabletextnoindent"/>
            </w:pPr>
            <w:r>
              <w:t>1 July 2015 to 30 June 2016</w:t>
            </w:r>
          </w:p>
        </w:tc>
      </w:tr>
      <w:tr w:rsidR="00FE7F8B" w14:paraId="1B5D667F" w14:textId="77777777" w:rsidTr="00FE7F8B">
        <w:tc>
          <w:tcPr>
            <w:tcW w:w="2694" w:type="dxa"/>
            <w:tcBorders>
              <w:top w:val="nil"/>
              <w:left w:val="nil"/>
              <w:bottom w:val="nil"/>
              <w:right w:val="nil"/>
            </w:tcBorders>
            <w:hideMark/>
          </w:tcPr>
          <w:p w14:paraId="3440EA90" w14:textId="77777777" w:rsidR="00FE7F8B" w:rsidRDefault="00FE7F8B">
            <w:pPr>
              <w:pStyle w:val="Tabletextnoindent"/>
            </w:pPr>
            <w:r>
              <w:t>Minister for Training and Skills (International Education)</w:t>
            </w:r>
          </w:p>
        </w:tc>
        <w:tc>
          <w:tcPr>
            <w:tcW w:w="2409" w:type="dxa"/>
            <w:tcBorders>
              <w:top w:val="nil"/>
              <w:left w:val="nil"/>
              <w:bottom w:val="nil"/>
              <w:right w:val="nil"/>
            </w:tcBorders>
            <w:hideMark/>
          </w:tcPr>
          <w:p w14:paraId="39737027" w14:textId="2E522C20" w:rsidR="00FE7F8B" w:rsidRDefault="00FE7F8B">
            <w:pPr>
              <w:pStyle w:val="Tabletextnoindent"/>
            </w:pPr>
            <w:r>
              <w:t>The Hon</w:t>
            </w:r>
            <w:r w:rsidR="00403363">
              <w:t>.</w:t>
            </w:r>
            <w:r>
              <w:t xml:space="preserve"> Steve Herbe</w:t>
            </w:r>
            <w:r w:rsidR="00CC327C">
              <w:t>r</w:t>
            </w:r>
            <w:r>
              <w:t>t MP</w:t>
            </w:r>
          </w:p>
        </w:tc>
        <w:tc>
          <w:tcPr>
            <w:tcW w:w="2273" w:type="dxa"/>
            <w:tcBorders>
              <w:top w:val="nil"/>
              <w:left w:val="nil"/>
              <w:bottom w:val="nil"/>
              <w:right w:val="nil"/>
            </w:tcBorders>
            <w:hideMark/>
          </w:tcPr>
          <w:p w14:paraId="1CA259D8" w14:textId="77777777" w:rsidR="00FE7F8B" w:rsidRDefault="00FE7F8B">
            <w:pPr>
              <w:pStyle w:val="Tabletextnoindent"/>
            </w:pPr>
            <w:r>
              <w:t>1 July 2015 to 30 June 2016</w:t>
            </w:r>
          </w:p>
        </w:tc>
      </w:tr>
      <w:tr w:rsidR="00FE7F8B" w14:paraId="6B7BAC0D" w14:textId="77777777" w:rsidTr="00FE7F8B">
        <w:tc>
          <w:tcPr>
            <w:tcW w:w="2694" w:type="dxa"/>
            <w:tcBorders>
              <w:top w:val="nil"/>
              <w:left w:val="nil"/>
              <w:bottom w:val="nil"/>
              <w:right w:val="nil"/>
            </w:tcBorders>
            <w:hideMark/>
          </w:tcPr>
          <w:p w14:paraId="6931E45C" w14:textId="77777777" w:rsidR="00FE7F8B" w:rsidRDefault="00FE7F8B">
            <w:pPr>
              <w:pStyle w:val="Tabletextnoindent"/>
            </w:pPr>
            <w:r>
              <w:t>Minister for Families and Children</w:t>
            </w:r>
          </w:p>
        </w:tc>
        <w:tc>
          <w:tcPr>
            <w:tcW w:w="2409" w:type="dxa"/>
            <w:tcBorders>
              <w:top w:val="nil"/>
              <w:left w:val="nil"/>
              <w:bottom w:val="nil"/>
              <w:right w:val="nil"/>
            </w:tcBorders>
            <w:hideMark/>
          </w:tcPr>
          <w:p w14:paraId="3A128F8A" w14:textId="4C5CDCD7" w:rsidR="00FE7F8B" w:rsidRDefault="00FE7F8B">
            <w:pPr>
              <w:pStyle w:val="Tabletextnoindent"/>
            </w:pPr>
            <w:r>
              <w:t>The Hon</w:t>
            </w:r>
            <w:r w:rsidR="00403363">
              <w:t>.</w:t>
            </w:r>
            <w:r>
              <w:t xml:space="preserve"> Jenny </w:t>
            </w:r>
            <w:proofErr w:type="spellStart"/>
            <w:r>
              <w:t>Mikakos</w:t>
            </w:r>
            <w:proofErr w:type="spellEnd"/>
            <w:r>
              <w:t xml:space="preserve"> MP</w:t>
            </w:r>
          </w:p>
        </w:tc>
        <w:tc>
          <w:tcPr>
            <w:tcW w:w="2273" w:type="dxa"/>
            <w:tcBorders>
              <w:top w:val="nil"/>
              <w:left w:val="nil"/>
              <w:bottom w:val="nil"/>
              <w:right w:val="nil"/>
            </w:tcBorders>
            <w:hideMark/>
          </w:tcPr>
          <w:p w14:paraId="75196D1B" w14:textId="77777777" w:rsidR="00FE7F8B" w:rsidRDefault="00FE7F8B">
            <w:pPr>
              <w:pStyle w:val="Tabletextnoindent"/>
            </w:pPr>
            <w:r>
              <w:t>1 July 2015 to 30 June 2016</w:t>
            </w:r>
          </w:p>
        </w:tc>
      </w:tr>
      <w:tr w:rsidR="00FE7F8B" w14:paraId="6A2C20ED" w14:textId="77777777" w:rsidTr="00FE7F8B">
        <w:tc>
          <w:tcPr>
            <w:tcW w:w="2694" w:type="dxa"/>
            <w:tcBorders>
              <w:top w:val="nil"/>
              <w:left w:val="nil"/>
              <w:bottom w:val="single" w:sz="4" w:space="0" w:color="auto"/>
              <w:right w:val="nil"/>
            </w:tcBorders>
            <w:hideMark/>
          </w:tcPr>
          <w:p w14:paraId="028469AF" w14:textId="77777777" w:rsidR="00FE7F8B" w:rsidRDefault="00FE7F8B">
            <w:pPr>
              <w:pStyle w:val="Tabletextnoindent"/>
            </w:pPr>
            <w:r>
              <w:t>Secretary</w:t>
            </w:r>
          </w:p>
        </w:tc>
        <w:tc>
          <w:tcPr>
            <w:tcW w:w="2409" w:type="dxa"/>
            <w:tcBorders>
              <w:top w:val="nil"/>
              <w:left w:val="nil"/>
              <w:bottom w:val="single" w:sz="4" w:space="0" w:color="auto"/>
              <w:right w:val="nil"/>
            </w:tcBorders>
            <w:hideMark/>
          </w:tcPr>
          <w:p w14:paraId="2CD714E6" w14:textId="77777777" w:rsidR="00FE7F8B" w:rsidRDefault="00FE7F8B">
            <w:pPr>
              <w:pStyle w:val="Tabletextnoindent"/>
            </w:pPr>
            <w:r>
              <w:t xml:space="preserve">Gill </w:t>
            </w:r>
            <w:proofErr w:type="spellStart"/>
            <w:r>
              <w:t>Callister</w:t>
            </w:r>
            <w:proofErr w:type="spellEnd"/>
          </w:p>
        </w:tc>
        <w:tc>
          <w:tcPr>
            <w:tcW w:w="2273" w:type="dxa"/>
            <w:tcBorders>
              <w:top w:val="nil"/>
              <w:left w:val="nil"/>
              <w:bottom w:val="single" w:sz="4" w:space="0" w:color="auto"/>
              <w:right w:val="nil"/>
            </w:tcBorders>
            <w:hideMark/>
          </w:tcPr>
          <w:p w14:paraId="5249897B" w14:textId="77777777" w:rsidR="00FE7F8B" w:rsidRDefault="00FE7F8B">
            <w:pPr>
              <w:pStyle w:val="Tabletextnoindent"/>
            </w:pPr>
            <w:r>
              <w:t>1 July 2015 to 30 June 2016</w:t>
            </w:r>
          </w:p>
        </w:tc>
      </w:tr>
    </w:tbl>
    <w:p w14:paraId="39F81DDB" w14:textId="77777777" w:rsidR="00FE7F8B" w:rsidRDefault="00FE7F8B" w:rsidP="00FE7F8B"/>
    <w:p w14:paraId="7E9E3AC3" w14:textId="481D4F63" w:rsidR="00FE7F8B" w:rsidRDefault="00FE7F8B" w:rsidP="00AD641C">
      <w:pPr>
        <w:pStyle w:val="Normallistbullet"/>
        <w:numPr>
          <w:ilvl w:val="0"/>
          <w:numId w:val="42"/>
        </w:numPr>
      </w:pPr>
      <w:r>
        <w:t>The Hon</w:t>
      </w:r>
      <w:r w:rsidR="00403363">
        <w:t>.</w:t>
      </w:r>
      <w:r>
        <w:t xml:space="preserve"> Steve Herbert MP acted in the office of the Minister for Education for the period of 21 to 30 September 2015, 30 October to 3 November 2015, 5 to 10 January 2016, and 25 to 29 March 2016.</w:t>
      </w:r>
    </w:p>
    <w:p w14:paraId="174153BD" w14:textId="1DE9DD10" w:rsidR="00FE7F8B" w:rsidRDefault="00FE7F8B" w:rsidP="00AD641C">
      <w:pPr>
        <w:pStyle w:val="Normallistbullet"/>
        <w:numPr>
          <w:ilvl w:val="0"/>
          <w:numId w:val="42"/>
        </w:numPr>
      </w:pPr>
      <w:r>
        <w:t>The Hon</w:t>
      </w:r>
      <w:r w:rsidR="00403363">
        <w:t>.</w:t>
      </w:r>
      <w:r>
        <w:t xml:space="preserve"> Jenny </w:t>
      </w:r>
      <w:proofErr w:type="spellStart"/>
      <w:r>
        <w:t>Mikakos</w:t>
      </w:r>
      <w:proofErr w:type="spellEnd"/>
      <w:r>
        <w:t xml:space="preserve"> MP acted in the office of the Minister for Education for the period of 28 December 2015 to 4 January 2016.</w:t>
      </w:r>
    </w:p>
    <w:p w14:paraId="403627BE" w14:textId="1A76D637" w:rsidR="00FE7F8B" w:rsidRDefault="00FE7F8B" w:rsidP="00AD641C">
      <w:pPr>
        <w:pStyle w:val="Normallistbullet"/>
        <w:numPr>
          <w:ilvl w:val="0"/>
          <w:numId w:val="42"/>
        </w:numPr>
      </w:pPr>
      <w:r>
        <w:t>The Hon</w:t>
      </w:r>
      <w:r w:rsidR="00403363">
        <w:t>.</w:t>
      </w:r>
      <w:r>
        <w:t xml:space="preserve"> James </w:t>
      </w:r>
      <w:proofErr w:type="spellStart"/>
      <w:r>
        <w:t>Merlino</w:t>
      </w:r>
      <w:proofErr w:type="spellEnd"/>
      <w:r>
        <w:t xml:space="preserve"> MP acted in the office of the Minister for Training and Skills for the period 1 to 9 July 2015, 10 to 31 January 2016, 11 to 18 May 2016 and 25 to 30 June 2016.</w:t>
      </w:r>
    </w:p>
    <w:p w14:paraId="789F72B2" w14:textId="5DC3DBC9" w:rsidR="00FE7F8B" w:rsidRDefault="00FE7F8B" w:rsidP="00AD641C">
      <w:pPr>
        <w:pStyle w:val="Normallistbullet"/>
        <w:numPr>
          <w:ilvl w:val="0"/>
          <w:numId w:val="42"/>
        </w:numPr>
      </w:pPr>
      <w:r>
        <w:t>The Hon</w:t>
      </w:r>
      <w:r w:rsidR="00403363">
        <w:t>.</w:t>
      </w:r>
      <w:r>
        <w:t xml:space="preserve"> Fiona Richardson MP acted in the office of the Minister for Training and Skills for the period 20 to 22 September 2015.</w:t>
      </w:r>
    </w:p>
    <w:p w14:paraId="18000C3B" w14:textId="17DB5ECC" w:rsidR="00FE7F8B" w:rsidRDefault="00FE7F8B" w:rsidP="00AD641C">
      <w:pPr>
        <w:pStyle w:val="Normallistbullet"/>
        <w:numPr>
          <w:ilvl w:val="0"/>
          <w:numId w:val="42"/>
        </w:numPr>
      </w:pPr>
      <w:r>
        <w:t>The Hon</w:t>
      </w:r>
      <w:r w:rsidR="00403363">
        <w:t>.</w:t>
      </w:r>
      <w:r>
        <w:t xml:space="preserve"> Jenny </w:t>
      </w:r>
      <w:proofErr w:type="spellStart"/>
      <w:r>
        <w:t>Mikakos</w:t>
      </w:r>
      <w:proofErr w:type="spellEnd"/>
      <w:r>
        <w:t xml:space="preserve"> MP acted in the office of the Minister for Training and Skills for the period 23 to 27 September 2015.</w:t>
      </w:r>
    </w:p>
    <w:p w14:paraId="54E1E6C2" w14:textId="6BC77B70" w:rsidR="00FE7F8B" w:rsidRDefault="00FE7F8B" w:rsidP="00AD641C">
      <w:pPr>
        <w:pStyle w:val="Normallistbullet"/>
        <w:numPr>
          <w:ilvl w:val="0"/>
          <w:numId w:val="42"/>
        </w:numPr>
      </w:pPr>
      <w:r>
        <w:t>The Hon</w:t>
      </w:r>
      <w:r w:rsidR="00403363">
        <w:t>.</w:t>
      </w:r>
      <w:r>
        <w:t xml:space="preserve"> Jill Hennessy MP acted in the office of the Minister for Families and Children for the period of 29 to 30 October 2015 and 30 March to 1 April 2016.</w:t>
      </w:r>
    </w:p>
    <w:p w14:paraId="795E8A92" w14:textId="0B5524BD" w:rsidR="00FE7F8B" w:rsidRDefault="00FE7F8B" w:rsidP="00AD641C">
      <w:pPr>
        <w:pStyle w:val="Normallistbullet"/>
        <w:numPr>
          <w:ilvl w:val="0"/>
          <w:numId w:val="42"/>
        </w:numPr>
      </w:pPr>
      <w:r>
        <w:t>The Hon</w:t>
      </w:r>
      <w:r w:rsidR="00403363">
        <w:t>.</w:t>
      </w:r>
      <w:r>
        <w:t xml:space="preserve"> Martin Foley MP acted in the office of the Minister for Families and Children for the period of 31 October to 8 November 2015 and 5 to 8 January 2016.</w:t>
      </w:r>
    </w:p>
    <w:p w14:paraId="3AF70B09" w14:textId="5FAA9599" w:rsidR="00FE7F8B" w:rsidRDefault="00FE7F8B" w:rsidP="00AD641C">
      <w:pPr>
        <w:pStyle w:val="Normallistbullet"/>
        <w:numPr>
          <w:ilvl w:val="0"/>
          <w:numId w:val="42"/>
        </w:numPr>
      </w:pPr>
      <w:r>
        <w:t>The Hon</w:t>
      </w:r>
      <w:r w:rsidR="00403363">
        <w:t>.</w:t>
      </w:r>
      <w:r>
        <w:t xml:space="preserve"> John </w:t>
      </w:r>
      <w:proofErr w:type="spellStart"/>
      <w:r>
        <w:t>Eren</w:t>
      </w:r>
      <w:proofErr w:type="spellEnd"/>
      <w:r>
        <w:t xml:space="preserve"> MP acted in the office of the Minister for Families and Children for the period of 13 to 26 July 2015.</w:t>
      </w:r>
    </w:p>
    <w:p w14:paraId="326F25D2" w14:textId="77777777" w:rsidR="00FE7F8B" w:rsidRDefault="00FE7F8B" w:rsidP="00AD641C">
      <w:pPr>
        <w:pStyle w:val="Normallistbullet"/>
        <w:numPr>
          <w:ilvl w:val="0"/>
          <w:numId w:val="42"/>
        </w:numPr>
      </w:pPr>
      <w:r>
        <w:t>Mr Craig Robertson, Deputy Secretary, Higher Education and Skills Group acted as Secretary from 24 to 31 December 2015.</w:t>
      </w:r>
    </w:p>
    <w:p w14:paraId="6D0AC30D" w14:textId="77777777" w:rsidR="00FE7F8B" w:rsidRDefault="00FE7F8B" w:rsidP="00AD641C">
      <w:pPr>
        <w:pStyle w:val="Normallistbullet"/>
        <w:numPr>
          <w:ilvl w:val="0"/>
          <w:numId w:val="42"/>
        </w:numPr>
      </w:pPr>
      <w:r>
        <w:t>Ms Katy Haire, Deputy Secretary, Early Childhood and School Education Group acted as Secretary from 1 to 18 January 2016 and 29 February to 7 March 2016.</w:t>
      </w:r>
    </w:p>
    <w:p w14:paraId="50E9BACA" w14:textId="77777777" w:rsidR="00FE7F8B" w:rsidRDefault="00FE7F8B" w:rsidP="00FE7F8B">
      <w:pPr>
        <w:pStyle w:val="ListBullet"/>
        <w:numPr>
          <w:ilvl w:val="0"/>
          <w:numId w:val="0"/>
        </w:numPr>
        <w:ind w:left="142" w:hanging="142"/>
      </w:pPr>
    </w:p>
    <w:p w14:paraId="31AFB4F8" w14:textId="77777777" w:rsidR="00FE7F8B" w:rsidRDefault="00FE7F8B" w:rsidP="00FE7F8B">
      <w:pPr>
        <w:spacing w:after="200" w:line="276" w:lineRule="auto"/>
      </w:pPr>
      <w:r>
        <w:br w:type="page"/>
      </w:r>
    </w:p>
    <w:p w14:paraId="3CBE62EA" w14:textId="77777777" w:rsidR="00FE7F8B" w:rsidRDefault="00FE7F8B" w:rsidP="00AD641C">
      <w:pPr>
        <w:pStyle w:val="Heading3notesnumbered"/>
        <w:numPr>
          <w:ilvl w:val="0"/>
          <w:numId w:val="53"/>
        </w:numPr>
      </w:pPr>
      <w:r>
        <w:t>Remuneration</w:t>
      </w:r>
    </w:p>
    <w:p w14:paraId="6EE57629" w14:textId="77777777" w:rsidR="00FE7F8B" w:rsidRDefault="00FE7F8B" w:rsidP="00FE7F8B">
      <w:r>
        <w:t xml:space="preserve">Remuneration received or receivable by the </w:t>
      </w:r>
      <w:proofErr w:type="gramStart"/>
      <w:r>
        <w:t>accountable</w:t>
      </w:r>
      <w:proofErr w:type="gramEnd"/>
      <w:r>
        <w:t xml:space="preserve"> officers in connection with the management of the Department during the reporting period was in the range:</w:t>
      </w:r>
    </w:p>
    <w:tbl>
      <w:tblPr>
        <w:tblW w:w="7380" w:type="dxa"/>
        <w:tblBorders>
          <w:bottom w:val="single" w:sz="4" w:space="0" w:color="auto"/>
        </w:tblBorders>
        <w:tblLayout w:type="fixed"/>
        <w:tblCellMar>
          <w:left w:w="0" w:type="dxa"/>
          <w:right w:w="0" w:type="dxa"/>
        </w:tblCellMar>
        <w:tblLook w:val="04A0" w:firstRow="1" w:lastRow="0" w:firstColumn="1" w:lastColumn="0" w:noHBand="0" w:noVBand="1"/>
      </w:tblPr>
      <w:tblGrid>
        <w:gridCol w:w="5247"/>
        <w:gridCol w:w="1135"/>
        <w:gridCol w:w="998"/>
      </w:tblGrid>
      <w:tr w:rsidR="00FE7F8B" w14:paraId="2B33E230" w14:textId="77777777" w:rsidTr="00FE7F8B">
        <w:tc>
          <w:tcPr>
            <w:tcW w:w="5245" w:type="dxa"/>
            <w:tcBorders>
              <w:top w:val="nil"/>
              <w:left w:val="nil"/>
              <w:bottom w:val="nil"/>
              <w:right w:val="nil"/>
            </w:tcBorders>
            <w:shd w:val="clear" w:color="auto" w:fill="7F7F7F" w:themeFill="text1" w:themeFillTint="80"/>
            <w:vAlign w:val="center"/>
            <w:hideMark/>
          </w:tcPr>
          <w:p w14:paraId="73F2E3D9" w14:textId="77777777" w:rsidR="00FE7F8B" w:rsidRDefault="00FE7F8B">
            <w:pPr>
              <w:pStyle w:val="Tablecolumnheading"/>
              <w:rPr>
                <w:lang w:eastAsia="en-AU"/>
              </w:rPr>
            </w:pPr>
            <w:r>
              <w:rPr>
                <w:lang w:eastAsia="en-AU"/>
              </w:rPr>
              <w:t>Income band ($)</w:t>
            </w:r>
          </w:p>
        </w:tc>
        <w:tc>
          <w:tcPr>
            <w:tcW w:w="1134" w:type="dxa"/>
            <w:tcBorders>
              <w:top w:val="nil"/>
              <w:left w:val="nil"/>
              <w:bottom w:val="nil"/>
              <w:right w:val="nil"/>
            </w:tcBorders>
            <w:shd w:val="clear" w:color="auto" w:fill="7F7F7F" w:themeFill="text1" w:themeFillTint="80"/>
            <w:vAlign w:val="center"/>
            <w:hideMark/>
          </w:tcPr>
          <w:p w14:paraId="481BFDD5" w14:textId="77777777" w:rsidR="00FE7F8B" w:rsidRDefault="00FE7F8B">
            <w:pPr>
              <w:pStyle w:val="Tablecolumnheading"/>
              <w:jc w:val="center"/>
              <w:rPr>
                <w:lang w:eastAsia="en-AU"/>
              </w:rPr>
            </w:pPr>
            <w:r>
              <w:rPr>
                <w:lang w:eastAsia="en-AU"/>
              </w:rPr>
              <w:t>2016   Number</w:t>
            </w:r>
          </w:p>
        </w:tc>
        <w:tc>
          <w:tcPr>
            <w:tcW w:w="997" w:type="dxa"/>
            <w:tcBorders>
              <w:top w:val="nil"/>
              <w:left w:val="nil"/>
              <w:bottom w:val="nil"/>
              <w:right w:val="nil"/>
            </w:tcBorders>
            <w:shd w:val="clear" w:color="auto" w:fill="7F7F7F" w:themeFill="text1" w:themeFillTint="80"/>
            <w:vAlign w:val="center"/>
            <w:hideMark/>
          </w:tcPr>
          <w:p w14:paraId="74E5B3E9" w14:textId="77777777" w:rsidR="00FE7F8B" w:rsidRDefault="00FE7F8B">
            <w:pPr>
              <w:pStyle w:val="Tablecolumnheading"/>
              <w:jc w:val="center"/>
              <w:rPr>
                <w:lang w:eastAsia="en-AU"/>
              </w:rPr>
            </w:pPr>
            <w:r>
              <w:rPr>
                <w:lang w:eastAsia="en-AU"/>
              </w:rPr>
              <w:t>2015 Number</w:t>
            </w:r>
          </w:p>
        </w:tc>
      </w:tr>
      <w:tr w:rsidR="00FE7F8B" w14:paraId="68F3E79B" w14:textId="77777777" w:rsidTr="00FE7F8B">
        <w:tc>
          <w:tcPr>
            <w:tcW w:w="5245" w:type="dxa"/>
            <w:tcBorders>
              <w:top w:val="nil"/>
              <w:left w:val="nil"/>
              <w:bottom w:val="nil"/>
              <w:right w:val="nil"/>
            </w:tcBorders>
            <w:hideMark/>
          </w:tcPr>
          <w:p w14:paraId="00791EB0" w14:textId="77777777" w:rsidR="00FE7F8B" w:rsidRDefault="00FE7F8B">
            <w:pPr>
              <w:pStyle w:val="Tabletextnoindent"/>
            </w:pPr>
            <w:r>
              <w:t>$480,000–$489,999</w:t>
            </w:r>
          </w:p>
        </w:tc>
        <w:tc>
          <w:tcPr>
            <w:tcW w:w="1134" w:type="dxa"/>
            <w:tcBorders>
              <w:top w:val="nil"/>
              <w:left w:val="nil"/>
              <w:bottom w:val="nil"/>
              <w:right w:val="nil"/>
            </w:tcBorders>
            <w:shd w:val="clear" w:color="auto" w:fill="F2F2F2" w:themeFill="background1" w:themeFillShade="F2"/>
            <w:hideMark/>
          </w:tcPr>
          <w:p w14:paraId="419AF1D9" w14:textId="77777777" w:rsidR="00FE7F8B" w:rsidRDefault="00FE7F8B">
            <w:pPr>
              <w:pStyle w:val="Tabletextnoindent"/>
              <w:jc w:val="right"/>
            </w:pPr>
            <w:r>
              <w:t>1</w:t>
            </w:r>
          </w:p>
        </w:tc>
        <w:tc>
          <w:tcPr>
            <w:tcW w:w="997" w:type="dxa"/>
            <w:tcBorders>
              <w:top w:val="nil"/>
              <w:left w:val="nil"/>
              <w:bottom w:val="nil"/>
              <w:right w:val="nil"/>
            </w:tcBorders>
            <w:hideMark/>
          </w:tcPr>
          <w:p w14:paraId="703CD63D" w14:textId="77777777" w:rsidR="00FE7F8B" w:rsidRDefault="00FE7F8B">
            <w:pPr>
              <w:pStyle w:val="Tabletextnoindent"/>
              <w:jc w:val="right"/>
            </w:pPr>
            <w:r>
              <w:t>-</w:t>
            </w:r>
          </w:p>
        </w:tc>
      </w:tr>
      <w:tr w:rsidR="00FE7F8B" w14:paraId="74EABBA7" w14:textId="77777777" w:rsidTr="00FE7F8B">
        <w:tc>
          <w:tcPr>
            <w:tcW w:w="5245" w:type="dxa"/>
            <w:tcBorders>
              <w:top w:val="nil"/>
              <w:left w:val="nil"/>
              <w:bottom w:val="nil"/>
              <w:right w:val="nil"/>
            </w:tcBorders>
            <w:hideMark/>
          </w:tcPr>
          <w:p w14:paraId="7009127A" w14:textId="77777777" w:rsidR="00FE7F8B" w:rsidRDefault="00FE7F8B">
            <w:pPr>
              <w:pStyle w:val="Tabletextnoindent"/>
            </w:pPr>
            <w:r>
              <w:t>$270,000–$279,999</w:t>
            </w:r>
          </w:p>
        </w:tc>
        <w:tc>
          <w:tcPr>
            <w:tcW w:w="1134" w:type="dxa"/>
            <w:tcBorders>
              <w:top w:val="nil"/>
              <w:left w:val="nil"/>
              <w:bottom w:val="nil"/>
              <w:right w:val="nil"/>
            </w:tcBorders>
            <w:shd w:val="clear" w:color="auto" w:fill="F2F2F2" w:themeFill="background1" w:themeFillShade="F2"/>
          </w:tcPr>
          <w:p w14:paraId="2716C51D" w14:textId="77777777" w:rsidR="00FE7F8B" w:rsidRDefault="00FE7F8B">
            <w:pPr>
              <w:pStyle w:val="Tabletextnoindent"/>
              <w:jc w:val="right"/>
            </w:pPr>
          </w:p>
        </w:tc>
        <w:tc>
          <w:tcPr>
            <w:tcW w:w="997" w:type="dxa"/>
            <w:tcBorders>
              <w:top w:val="nil"/>
              <w:left w:val="nil"/>
              <w:bottom w:val="nil"/>
              <w:right w:val="nil"/>
            </w:tcBorders>
            <w:hideMark/>
          </w:tcPr>
          <w:p w14:paraId="2F94A781" w14:textId="77777777" w:rsidR="00FE7F8B" w:rsidRDefault="00FE7F8B">
            <w:pPr>
              <w:pStyle w:val="Tabletextnoindent"/>
              <w:jc w:val="right"/>
            </w:pPr>
            <w:r>
              <w:t>1</w:t>
            </w:r>
          </w:p>
        </w:tc>
      </w:tr>
      <w:tr w:rsidR="00FE7F8B" w14:paraId="0E7F6573" w14:textId="77777777" w:rsidTr="00FE7F8B">
        <w:tc>
          <w:tcPr>
            <w:tcW w:w="5245" w:type="dxa"/>
            <w:tcBorders>
              <w:top w:val="nil"/>
              <w:left w:val="nil"/>
              <w:bottom w:val="single" w:sz="4" w:space="0" w:color="auto"/>
              <w:right w:val="nil"/>
            </w:tcBorders>
            <w:hideMark/>
          </w:tcPr>
          <w:p w14:paraId="6C2DF3EB" w14:textId="77777777" w:rsidR="00FE7F8B" w:rsidRDefault="00FE7F8B">
            <w:pPr>
              <w:pStyle w:val="Tabletextnoindent"/>
            </w:pPr>
            <w:r>
              <w:t>$210,000–$219,999</w:t>
            </w:r>
          </w:p>
        </w:tc>
        <w:tc>
          <w:tcPr>
            <w:tcW w:w="1134" w:type="dxa"/>
            <w:tcBorders>
              <w:top w:val="nil"/>
              <w:left w:val="nil"/>
              <w:bottom w:val="single" w:sz="4" w:space="0" w:color="auto"/>
              <w:right w:val="nil"/>
            </w:tcBorders>
            <w:shd w:val="clear" w:color="auto" w:fill="F2F2F2" w:themeFill="background1" w:themeFillShade="F2"/>
          </w:tcPr>
          <w:p w14:paraId="39F3811F" w14:textId="77777777" w:rsidR="00FE7F8B" w:rsidRDefault="00FE7F8B">
            <w:pPr>
              <w:pStyle w:val="Tabletextnoindent"/>
              <w:jc w:val="right"/>
            </w:pPr>
          </w:p>
        </w:tc>
        <w:tc>
          <w:tcPr>
            <w:tcW w:w="997" w:type="dxa"/>
            <w:tcBorders>
              <w:top w:val="nil"/>
              <w:left w:val="nil"/>
              <w:bottom w:val="single" w:sz="4" w:space="0" w:color="auto"/>
              <w:right w:val="nil"/>
            </w:tcBorders>
            <w:hideMark/>
          </w:tcPr>
          <w:p w14:paraId="4DAD5AC0" w14:textId="77777777" w:rsidR="00FE7F8B" w:rsidRDefault="00FE7F8B">
            <w:pPr>
              <w:pStyle w:val="Tabletextnoindent"/>
              <w:jc w:val="right"/>
            </w:pPr>
            <w:r>
              <w:t>1</w:t>
            </w:r>
          </w:p>
        </w:tc>
      </w:tr>
    </w:tbl>
    <w:p w14:paraId="48639D41" w14:textId="77777777" w:rsidR="00FE7F8B" w:rsidRDefault="00FE7F8B" w:rsidP="00FE7F8B">
      <w:pPr>
        <w:pStyle w:val="Normalaftertable"/>
      </w:pPr>
      <w:r>
        <w:t>Amounts relating to ministers are reported in the financial statements of the Department of Premier and Cabinet. For information regarding related party transactions of ministers, the register of members’ interests is publicly available from: www.parliament.vic.gov.au/publications/register of interests.</w:t>
      </w:r>
    </w:p>
    <w:p w14:paraId="3094B476" w14:textId="77777777" w:rsidR="00FE7F8B" w:rsidRDefault="00FE7F8B" w:rsidP="00AD641C">
      <w:pPr>
        <w:pStyle w:val="Heading3notesnumbered"/>
        <w:numPr>
          <w:ilvl w:val="0"/>
          <w:numId w:val="53"/>
        </w:numPr>
      </w:pPr>
      <w:r>
        <w:t>Related party transactions included in the reconciliation amount</w:t>
      </w:r>
    </w:p>
    <w:p w14:paraId="53DBD148" w14:textId="77777777" w:rsidR="00FE7F8B" w:rsidRDefault="00FE7F8B" w:rsidP="00FE7F8B">
      <w:r>
        <w:t>The Secretary is an ex-officio member of the boards of the Victorian Registration and Qualifications Authority and the Victorian Curriculum and Assessment Authority, to which the Department paid grants on normal commercial terms during the financial year. As these roles are ex-officio the Secretary receives no remuneration to perform these roles.</w:t>
      </w:r>
    </w:p>
    <w:p w14:paraId="32F89CC3" w14:textId="77777777" w:rsidR="00FE7F8B" w:rsidRDefault="00FE7F8B" w:rsidP="00FE7F8B">
      <w:r>
        <w:t>The Secretary is the president of The Institute of Public Administration Australia's Victorian Branch. The Institute of Public Administration Australia provides services to the Department on normal commercial terms.</w:t>
      </w:r>
    </w:p>
    <w:p w14:paraId="06A2A402" w14:textId="77777777" w:rsidR="00FE7F8B" w:rsidRDefault="00FE7F8B" w:rsidP="00FE7F8B">
      <w:r>
        <w:t>The Secretary is on the Advisory Board for the Melbourne Institute of Applied Economic and Social Research. The Secretary receives no remuneration for her role on this advisory board.</w:t>
      </w:r>
    </w:p>
    <w:tbl>
      <w:tblPr>
        <w:tblW w:w="5000" w:type="pct"/>
        <w:tblInd w:w="108" w:type="dxa"/>
        <w:tblLook w:val="04A0" w:firstRow="1" w:lastRow="0" w:firstColumn="1" w:lastColumn="0" w:noHBand="0" w:noVBand="1"/>
      </w:tblPr>
      <w:tblGrid>
        <w:gridCol w:w="5061"/>
        <w:gridCol w:w="1264"/>
        <w:gridCol w:w="1264"/>
      </w:tblGrid>
      <w:tr w:rsidR="00FE7F8B" w14:paraId="4AFE7D64" w14:textId="77777777" w:rsidTr="00FE7F8B">
        <w:trPr>
          <w:trHeight w:val="255"/>
        </w:trPr>
        <w:tc>
          <w:tcPr>
            <w:tcW w:w="3334" w:type="pct"/>
            <w:shd w:val="clear" w:color="auto" w:fill="7F7F7F" w:themeFill="text1" w:themeFillTint="80"/>
            <w:noWrap/>
            <w:vAlign w:val="bottom"/>
            <w:hideMark/>
          </w:tcPr>
          <w:p w14:paraId="287A98ED" w14:textId="77777777" w:rsidR="00FE7F8B" w:rsidRDefault="00FE7F8B"/>
        </w:tc>
        <w:tc>
          <w:tcPr>
            <w:tcW w:w="833" w:type="pct"/>
            <w:shd w:val="clear" w:color="auto" w:fill="7F7F7F" w:themeFill="text1" w:themeFillTint="80"/>
            <w:noWrap/>
            <w:vAlign w:val="bottom"/>
            <w:hideMark/>
          </w:tcPr>
          <w:p w14:paraId="0249786B" w14:textId="77777777" w:rsidR="00FE7F8B" w:rsidRDefault="00FE7F8B">
            <w:pPr>
              <w:pStyle w:val="Tablecolumnheading"/>
              <w:jc w:val="center"/>
              <w:rPr>
                <w:lang w:eastAsia="en-AU"/>
              </w:rPr>
            </w:pPr>
            <w:r>
              <w:rPr>
                <w:lang w:eastAsia="en-AU"/>
              </w:rPr>
              <w:t>2016</w:t>
            </w:r>
            <w:r>
              <w:rPr>
                <w:lang w:eastAsia="en-AU"/>
              </w:rPr>
              <w:br/>
              <w:t>$m</w:t>
            </w:r>
          </w:p>
        </w:tc>
        <w:tc>
          <w:tcPr>
            <w:tcW w:w="833" w:type="pct"/>
            <w:shd w:val="clear" w:color="auto" w:fill="7F7F7F" w:themeFill="text1" w:themeFillTint="80"/>
            <w:noWrap/>
            <w:vAlign w:val="bottom"/>
            <w:hideMark/>
          </w:tcPr>
          <w:p w14:paraId="579D5CD0" w14:textId="77777777" w:rsidR="00FE7F8B" w:rsidRDefault="00FE7F8B">
            <w:pPr>
              <w:pStyle w:val="Tablecolumnheading"/>
              <w:jc w:val="center"/>
              <w:rPr>
                <w:lang w:eastAsia="en-AU"/>
              </w:rPr>
            </w:pPr>
            <w:r>
              <w:rPr>
                <w:lang w:eastAsia="en-AU"/>
              </w:rPr>
              <w:t>2015</w:t>
            </w:r>
            <w:r>
              <w:rPr>
                <w:lang w:eastAsia="en-AU"/>
              </w:rPr>
              <w:br/>
              <w:t>$m</w:t>
            </w:r>
          </w:p>
        </w:tc>
      </w:tr>
      <w:tr w:rsidR="00FE7F8B" w14:paraId="5B1A1E13" w14:textId="77777777" w:rsidTr="00FE7F8B">
        <w:trPr>
          <w:trHeight w:val="255"/>
        </w:trPr>
        <w:tc>
          <w:tcPr>
            <w:tcW w:w="3334" w:type="pct"/>
            <w:shd w:val="clear" w:color="auto" w:fill="FFFFFF"/>
            <w:noWrap/>
            <w:vAlign w:val="bottom"/>
            <w:hideMark/>
          </w:tcPr>
          <w:p w14:paraId="201D5067" w14:textId="77777777" w:rsidR="00FE7F8B" w:rsidRDefault="00FE7F8B">
            <w:pPr>
              <w:pStyle w:val="Tabletextnoindent"/>
              <w:rPr>
                <w:b/>
              </w:rPr>
            </w:pPr>
            <w:r>
              <w:rPr>
                <w:b/>
              </w:rPr>
              <w:t>Grants paid during the year</w:t>
            </w:r>
          </w:p>
        </w:tc>
        <w:tc>
          <w:tcPr>
            <w:tcW w:w="833" w:type="pct"/>
            <w:shd w:val="clear" w:color="auto" w:fill="F2F2F2" w:themeFill="background1" w:themeFillShade="F2"/>
            <w:noWrap/>
            <w:vAlign w:val="bottom"/>
          </w:tcPr>
          <w:p w14:paraId="1FA2488D" w14:textId="77777777" w:rsidR="00FE7F8B" w:rsidRDefault="00FE7F8B">
            <w:pPr>
              <w:pStyle w:val="Tabletextnoindent"/>
              <w:jc w:val="right"/>
            </w:pPr>
          </w:p>
        </w:tc>
        <w:tc>
          <w:tcPr>
            <w:tcW w:w="833" w:type="pct"/>
            <w:shd w:val="clear" w:color="auto" w:fill="FFFFFF"/>
            <w:noWrap/>
            <w:vAlign w:val="bottom"/>
          </w:tcPr>
          <w:p w14:paraId="2FC6077D" w14:textId="77777777" w:rsidR="00FE7F8B" w:rsidRDefault="00FE7F8B">
            <w:pPr>
              <w:pStyle w:val="Tabletextnoindent"/>
              <w:jc w:val="right"/>
              <w:rPr>
                <w:b/>
              </w:rPr>
            </w:pPr>
          </w:p>
        </w:tc>
      </w:tr>
      <w:tr w:rsidR="00FE7F8B" w14:paraId="6B69FD52" w14:textId="77777777" w:rsidTr="00FE7F8B">
        <w:trPr>
          <w:trHeight w:val="255"/>
        </w:trPr>
        <w:tc>
          <w:tcPr>
            <w:tcW w:w="3334" w:type="pct"/>
            <w:shd w:val="clear" w:color="auto" w:fill="FFFFFF"/>
            <w:noWrap/>
            <w:vAlign w:val="bottom"/>
            <w:hideMark/>
          </w:tcPr>
          <w:p w14:paraId="1400ACAD" w14:textId="77777777" w:rsidR="00FE7F8B" w:rsidRDefault="00FE7F8B">
            <w:pPr>
              <w:pStyle w:val="Tabletextnoindent"/>
            </w:pPr>
            <w:r>
              <w:t xml:space="preserve">Victorian Registration and Qualifications Authority </w:t>
            </w:r>
          </w:p>
        </w:tc>
        <w:tc>
          <w:tcPr>
            <w:tcW w:w="833" w:type="pct"/>
            <w:shd w:val="clear" w:color="auto" w:fill="F2F2F2" w:themeFill="background1" w:themeFillShade="F2"/>
            <w:noWrap/>
            <w:vAlign w:val="bottom"/>
            <w:hideMark/>
          </w:tcPr>
          <w:p w14:paraId="78ED204B" w14:textId="77777777" w:rsidR="00FE7F8B" w:rsidRDefault="00FE7F8B">
            <w:pPr>
              <w:pStyle w:val="Tabletextnoindent"/>
              <w:jc w:val="right"/>
            </w:pPr>
            <w:r>
              <w:rPr>
                <w:b/>
              </w:rPr>
              <w:t>12.2</w:t>
            </w:r>
          </w:p>
        </w:tc>
        <w:tc>
          <w:tcPr>
            <w:tcW w:w="833" w:type="pct"/>
            <w:shd w:val="clear" w:color="auto" w:fill="FFFFFF"/>
            <w:noWrap/>
            <w:vAlign w:val="bottom"/>
            <w:hideMark/>
          </w:tcPr>
          <w:p w14:paraId="3BFCC6F8" w14:textId="77777777" w:rsidR="00FE7F8B" w:rsidRDefault="00FE7F8B">
            <w:pPr>
              <w:pStyle w:val="Tabletextnoindent"/>
              <w:jc w:val="right"/>
            </w:pPr>
            <w:r>
              <w:t>9.1</w:t>
            </w:r>
          </w:p>
        </w:tc>
      </w:tr>
      <w:tr w:rsidR="00FE7F8B" w14:paraId="5B96AFB0" w14:textId="77777777" w:rsidTr="00FE7F8B">
        <w:trPr>
          <w:trHeight w:val="255"/>
        </w:trPr>
        <w:tc>
          <w:tcPr>
            <w:tcW w:w="3334" w:type="pct"/>
            <w:shd w:val="clear" w:color="auto" w:fill="FFFFFF"/>
            <w:noWrap/>
            <w:vAlign w:val="bottom"/>
            <w:hideMark/>
          </w:tcPr>
          <w:p w14:paraId="5C281BD6" w14:textId="77777777" w:rsidR="00FE7F8B" w:rsidRDefault="00FE7F8B">
            <w:pPr>
              <w:pStyle w:val="Tabletextnoindent"/>
            </w:pPr>
            <w:r>
              <w:t xml:space="preserve">Victorian Curriculum and Assessment Authority </w:t>
            </w:r>
          </w:p>
        </w:tc>
        <w:tc>
          <w:tcPr>
            <w:tcW w:w="833" w:type="pct"/>
            <w:shd w:val="clear" w:color="auto" w:fill="F2F2F2" w:themeFill="background1" w:themeFillShade="F2"/>
            <w:noWrap/>
            <w:vAlign w:val="bottom"/>
            <w:hideMark/>
          </w:tcPr>
          <w:p w14:paraId="09C0D40F" w14:textId="77777777" w:rsidR="00FE7F8B" w:rsidRDefault="00FE7F8B">
            <w:pPr>
              <w:pStyle w:val="Tabletextnoindent"/>
              <w:jc w:val="right"/>
            </w:pPr>
            <w:r>
              <w:rPr>
                <w:b/>
              </w:rPr>
              <w:t>49.9</w:t>
            </w:r>
          </w:p>
        </w:tc>
        <w:tc>
          <w:tcPr>
            <w:tcW w:w="833" w:type="pct"/>
            <w:shd w:val="clear" w:color="auto" w:fill="FFFFFF"/>
            <w:noWrap/>
            <w:vAlign w:val="bottom"/>
            <w:hideMark/>
          </w:tcPr>
          <w:p w14:paraId="45940BD4" w14:textId="77777777" w:rsidR="00FE7F8B" w:rsidRDefault="00FE7F8B">
            <w:pPr>
              <w:pStyle w:val="Tabletextnoindent"/>
              <w:jc w:val="right"/>
            </w:pPr>
            <w:r>
              <w:t>47.3</w:t>
            </w:r>
          </w:p>
        </w:tc>
      </w:tr>
      <w:tr w:rsidR="00FE7F8B" w14:paraId="5A36854F" w14:textId="77777777" w:rsidTr="00FE7F8B">
        <w:trPr>
          <w:trHeight w:val="255"/>
        </w:trPr>
        <w:tc>
          <w:tcPr>
            <w:tcW w:w="3334" w:type="pct"/>
            <w:shd w:val="clear" w:color="auto" w:fill="FFFFFF"/>
            <w:noWrap/>
            <w:vAlign w:val="bottom"/>
            <w:hideMark/>
          </w:tcPr>
          <w:p w14:paraId="3EDECD74" w14:textId="77777777" w:rsidR="00FE7F8B" w:rsidRDefault="00FE7F8B">
            <w:pPr>
              <w:pStyle w:val="Tabletextnoindent"/>
            </w:pPr>
            <w:r>
              <w:rPr>
                <w:b/>
              </w:rPr>
              <w:t>Rent provided free of charge during the year</w:t>
            </w:r>
          </w:p>
        </w:tc>
        <w:tc>
          <w:tcPr>
            <w:tcW w:w="833" w:type="pct"/>
            <w:shd w:val="clear" w:color="auto" w:fill="F2F2F2" w:themeFill="background1" w:themeFillShade="F2"/>
            <w:noWrap/>
            <w:vAlign w:val="bottom"/>
          </w:tcPr>
          <w:p w14:paraId="047C9ECE" w14:textId="77777777" w:rsidR="00FE7F8B" w:rsidRDefault="00FE7F8B">
            <w:pPr>
              <w:pStyle w:val="Tabletextnoindent"/>
              <w:jc w:val="right"/>
            </w:pPr>
          </w:p>
        </w:tc>
        <w:tc>
          <w:tcPr>
            <w:tcW w:w="833" w:type="pct"/>
            <w:shd w:val="clear" w:color="auto" w:fill="FFFFFF"/>
            <w:noWrap/>
            <w:vAlign w:val="bottom"/>
          </w:tcPr>
          <w:p w14:paraId="3BE4F923" w14:textId="77777777" w:rsidR="00FE7F8B" w:rsidRDefault="00FE7F8B">
            <w:pPr>
              <w:pStyle w:val="Tabletextnoindent"/>
              <w:jc w:val="right"/>
              <w:rPr>
                <w:b/>
              </w:rPr>
            </w:pPr>
          </w:p>
        </w:tc>
      </w:tr>
      <w:tr w:rsidR="00FE7F8B" w14:paraId="297856FC" w14:textId="77777777" w:rsidTr="00FE7F8B">
        <w:trPr>
          <w:trHeight w:val="255"/>
        </w:trPr>
        <w:tc>
          <w:tcPr>
            <w:tcW w:w="3334" w:type="pct"/>
            <w:shd w:val="clear" w:color="auto" w:fill="FFFFFF"/>
            <w:noWrap/>
            <w:vAlign w:val="bottom"/>
            <w:hideMark/>
          </w:tcPr>
          <w:p w14:paraId="78A5207B" w14:textId="77777777" w:rsidR="00FE7F8B" w:rsidRDefault="00FE7F8B">
            <w:pPr>
              <w:pStyle w:val="Tabletextnoindent"/>
            </w:pPr>
            <w:r>
              <w:t xml:space="preserve">Victorian Registration and Qualifications Authority </w:t>
            </w:r>
          </w:p>
        </w:tc>
        <w:tc>
          <w:tcPr>
            <w:tcW w:w="833" w:type="pct"/>
            <w:shd w:val="clear" w:color="auto" w:fill="F2F2F2" w:themeFill="background1" w:themeFillShade="F2"/>
            <w:noWrap/>
            <w:vAlign w:val="bottom"/>
            <w:hideMark/>
          </w:tcPr>
          <w:p w14:paraId="71DC0764" w14:textId="77777777" w:rsidR="00FE7F8B" w:rsidRDefault="00FE7F8B">
            <w:pPr>
              <w:pStyle w:val="Tabletextnoindent"/>
              <w:jc w:val="right"/>
            </w:pPr>
            <w:r>
              <w:rPr>
                <w:b/>
              </w:rPr>
              <w:t>0.5</w:t>
            </w:r>
          </w:p>
        </w:tc>
        <w:tc>
          <w:tcPr>
            <w:tcW w:w="833" w:type="pct"/>
            <w:shd w:val="clear" w:color="auto" w:fill="FFFFFF"/>
            <w:noWrap/>
            <w:vAlign w:val="bottom"/>
            <w:hideMark/>
          </w:tcPr>
          <w:p w14:paraId="21147925" w14:textId="77777777" w:rsidR="00FE7F8B" w:rsidRDefault="00FE7F8B">
            <w:pPr>
              <w:pStyle w:val="Tabletextnoindent"/>
              <w:jc w:val="right"/>
            </w:pPr>
            <w:r>
              <w:t>0.5</w:t>
            </w:r>
          </w:p>
        </w:tc>
      </w:tr>
      <w:tr w:rsidR="00FE7F8B" w14:paraId="7143F73E" w14:textId="77777777" w:rsidTr="00FE7F8B">
        <w:trPr>
          <w:trHeight w:val="255"/>
        </w:trPr>
        <w:tc>
          <w:tcPr>
            <w:tcW w:w="3334" w:type="pct"/>
            <w:shd w:val="clear" w:color="auto" w:fill="FFFFFF"/>
            <w:noWrap/>
            <w:vAlign w:val="bottom"/>
            <w:hideMark/>
          </w:tcPr>
          <w:p w14:paraId="08ADD386" w14:textId="77777777" w:rsidR="00FE7F8B" w:rsidRDefault="00FE7F8B">
            <w:pPr>
              <w:pStyle w:val="Tabletextnoindent"/>
            </w:pPr>
            <w:r>
              <w:t xml:space="preserve">Victorian Curriculum and Assessment Authority </w:t>
            </w:r>
          </w:p>
        </w:tc>
        <w:tc>
          <w:tcPr>
            <w:tcW w:w="833" w:type="pct"/>
            <w:shd w:val="clear" w:color="auto" w:fill="F2F2F2" w:themeFill="background1" w:themeFillShade="F2"/>
            <w:noWrap/>
            <w:vAlign w:val="bottom"/>
            <w:hideMark/>
          </w:tcPr>
          <w:p w14:paraId="0F986438" w14:textId="77777777" w:rsidR="00FE7F8B" w:rsidRDefault="00FE7F8B">
            <w:pPr>
              <w:pStyle w:val="Tabletextnoindent"/>
              <w:jc w:val="right"/>
            </w:pPr>
            <w:r>
              <w:rPr>
                <w:b/>
              </w:rPr>
              <w:t>2.3</w:t>
            </w:r>
          </w:p>
        </w:tc>
        <w:tc>
          <w:tcPr>
            <w:tcW w:w="833" w:type="pct"/>
            <w:shd w:val="clear" w:color="auto" w:fill="FFFFFF"/>
            <w:noWrap/>
            <w:vAlign w:val="bottom"/>
            <w:hideMark/>
          </w:tcPr>
          <w:p w14:paraId="64497615" w14:textId="77777777" w:rsidR="00FE7F8B" w:rsidRDefault="00FE7F8B">
            <w:pPr>
              <w:pStyle w:val="Tabletextnoindent"/>
              <w:jc w:val="right"/>
            </w:pPr>
            <w:r>
              <w:t>2.3</w:t>
            </w:r>
          </w:p>
        </w:tc>
      </w:tr>
      <w:tr w:rsidR="00FE7F8B" w14:paraId="5685A062" w14:textId="77777777" w:rsidTr="00FE7F8B">
        <w:trPr>
          <w:trHeight w:val="255"/>
        </w:trPr>
        <w:tc>
          <w:tcPr>
            <w:tcW w:w="3334" w:type="pct"/>
            <w:shd w:val="clear" w:color="auto" w:fill="FFFFFF"/>
            <w:noWrap/>
            <w:vAlign w:val="bottom"/>
            <w:hideMark/>
          </w:tcPr>
          <w:p w14:paraId="5770E9C7" w14:textId="77777777" w:rsidR="00FE7F8B" w:rsidRDefault="00FE7F8B">
            <w:pPr>
              <w:pStyle w:val="Tabletextnoindent"/>
            </w:pPr>
            <w:r>
              <w:rPr>
                <w:b/>
              </w:rPr>
              <w:t>Payments made during the year</w:t>
            </w:r>
          </w:p>
        </w:tc>
        <w:tc>
          <w:tcPr>
            <w:tcW w:w="833" w:type="pct"/>
            <w:shd w:val="clear" w:color="auto" w:fill="F2F2F2" w:themeFill="background1" w:themeFillShade="F2"/>
            <w:noWrap/>
            <w:vAlign w:val="bottom"/>
          </w:tcPr>
          <w:p w14:paraId="21C552A2" w14:textId="77777777" w:rsidR="00FE7F8B" w:rsidRDefault="00FE7F8B">
            <w:pPr>
              <w:pStyle w:val="Tabletextnoindent"/>
              <w:jc w:val="right"/>
            </w:pPr>
          </w:p>
        </w:tc>
        <w:tc>
          <w:tcPr>
            <w:tcW w:w="833" w:type="pct"/>
            <w:shd w:val="clear" w:color="auto" w:fill="FFFFFF"/>
            <w:noWrap/>
            <w:vAlign w:val="bottom"/>
          </w:tcPr>
          <w:p w14:paraId="29FFD470" w14:textId="77777777" w:rsidR="00FE7F8B" w:rsidRDefault="00FE7F8B">
            <w:pPr>
              <w:pStyle w:val="Tabletextnoindent"/>
              <w:jc w:val="right"/>
              <w:rPr>
                <w:b/>
              </w:rPr>
            </w:pPr>
          </w:p>
        </w:tc>
      </w:tr>
      <w:tr w:rsidR="00FE7F8B" w14:paraId="264C97CF" w14:textId="77777777" w:rsidTr="00FE7F8B">
        <w:trPr>
          <w:trHeight w:val="255"/>
        </w:trPr>
        <w:tc>
          <w:tcPr>
            <w:tcW w:w="3334" w:type="pct"/>
            <w:tcBorders>
              <w:top w:val="nil"/>
              <w:left w:val="nil"/>
              <w:bottom w:val="single" w:sz="4" w:space="0" w:color="auto"/>
              <w:right w:val="nil"/>
            </w:tcBorders>
            <w:shd w:val="clear" w:color="auto" w:fill="FFFFFF"/>
            <w:noWrap/>
            <w:vAlign w:val="bottom"/>
            <w:hideMark/>
          </w:tcPr>
          <w:p w14:paraId="5F66A551" w14:textId="77777777" w:rsidR="00FE7F8B" w:rsidRDefault="00FE7F8B">
            <w:pPr>
              <w:pStyle w:val="Tabletextnoindent"/>
            </w:pPr>
            <w:r>
              <w:t>The Institute of Public Administration Australia Victoria</w:t>
            </w:r>
          </w:p>
        </w:tc>
        <w:tc>
          <w:tcPr>
            <w:tcW w:w="833" w:type="pct"/>
            <w:tcBorders>
              <w:top w:val="nil"/>
              <w:left w:val="nil"/>
              <w:bottom w:val="single" w:sz="4" w:space="0" w:color="auto"/>
              <w:right w:val="nil"/>
            </w:tcBorders>
            <w:shd w:val="clear" w:color="auto" w:fill="F2F2F2" w:themeFill="background1" w:themeFillShade="F2"/>
            <w:noWrap/>
            <w:vAlign w:val="bottom"/>
            <w:hideMark/>
          </w:tcPr>
          <w:p w14:paraId="7FE10CD5" w14:textId="77777777" w:rsidR="00FE7F8B" w:rsidRDefault="00FE7F8B">
            <w:pPr>
              <w:pStyle w:val="Tabletextnoindent"/>
              <w:jc w:val="right"/>
            </w:pPr>
            <w:r>
              <w:rPr>
                <w:b/>
              </w:rPr>
              <w:t>0.1</w:t>
            </w:r>
          </w:p>
        </w:tc>
        <w:tc>
          <w:tcPr>
            <w:tcW w:w="833" w:type="pct"/>
            <w:tcBorders>
              <w:top w:val="nil"/>
              <w:left w:val="nil"/>
              <w:bottom w:val="single" w:sz="4" w:space="0" w:color="auto"/>
              <w:right w:val="nil"/>
            </w:tcBorders>
            <w:shd w:val="clear" w:color="auto" w:fill="FFFFFF"/>
            <w:noWrap/>
            <w:vAlign w:val="bottom"/>
            <w:hideMark/>
          </w:tcPr>
          <w:p w14:paraId="77B6439B" w14:textId="77777777" w:rsidR="00FE7F8B" w:rsidRDefault="00FE7F8B">
            <w:pPr>
              <w:pStyle w:val="Tabletextnoindent"/>
              <w:jc w:val="right"/>
            </w:pPr>
            <w:r>
              <w:t>0.1</w:t>
            </w:r>
          </w:p>
        </w:tc>
      </w:tr>
    </w:tbl>
    <w:p w14:paraId="63689579" w14:textId="77777777" w:rsidR="00FE7F8B" w:rsidRDefault="00FE7F8B" w:rsidP="00AD641C">
      <w:pPr>
        <w:pStyle w:val="Heading3notesnumbered"/>
        <w:numPr>
          <w:ilvl w:val="0"/>
          <w:numId w:val="53"/>
        </w:numPr>
      </w:pPr>
      <w:r>
        <w:t>Other transactions</w:t>
      </w:r>
    </w:p>
    <w:p w14:paraId="3E3B226B" w14:textId="77777777" w:rsidR="00FE7F8B" w:rsidRDefault="00FE7F8B" w:rsidP="00FE7F8B">
      <w:r>
        <w:t>Other related transactions and loans requiring disclosures under the Directions of the Minister for Finance have been considered and there are no matters to report.</w:t>
      </w:r>
    </w:p>
    <w:p w14:paraId="7DA42614" w14:textId="77777777" w:rsidR="00FE7F8B" w:rsidRDefault="00FE7F8B" w:rsidP="00AD641C">
      <w:pPr>
        <w:pStyle w:val="Heading2notes"/>
        <w:numPr>
          <w:ilvl w:val="0"/>
          <w:numId w:val="39"/>
        </w:numPr>
      </w:pPr>
      <w:bookmarkStart w:id="121" w:name="_Toc461176309"/>
      <w:bookmarkStart w:id="122" w:name="_Ref399498317"/>
      <w:bookmarkStart w:id="123" w:name="_Ref399498242"/>
      <w:bookmarkStart w:id="124" w:name="_Toc399491076"/>
      <w:r>
        <w:t>Remuneration of executives and payments to other personnel (that is, contractors with significant management responsibilities)</w:t>
      </w:r>
      <w:bookmarkEnd w:id="121"/>
      <w:bookmarkEnd w:id="122"/>
      <w:bookmarkEnd w:id="123"/>
      <w:bookmarkEnd w:id="124"/>
    </w:p>
    <w:p w14:paraId="1D55CAD9" w14:textId="77777777" w:rsidR="00FE7F8B" w:rsidRDefault="00FE7F8B" w:rsidP="00AD641C">
      <w:pPr>
        <w:pStyle w:val="Heading3notesnumbered"/>
        <w:numPr>
          <w:ilvl w:val="0"/>
          <w:numId w:val="54"/>
        </w:numPr>
      </w:pPr>
      <w:r>
        <w:t>Remuneration of executives</w:t>
      </w:r>
    </w:p>
    <w:p w14:paraId="7F53AACA" w14:textId="77777777" w:rsidR="00FE7F8B" w:rsidRDefault="00FE7F8B" w:rsidP="00FE7F8B">
      <w:r>
        <w:t xml:space="preserve">The numbers of executive officers, other than Ministers and the Accountable Officer, whose total remuneration exceeded $100,000 during the reporting </w:t>
      </w:r>
      <w:proofErr w:type="gramStart"/>
      <w:r>
        <w:t>period</w:t>
      </w:r>
      <w:proofErr w:type="gramEnd"/>
      <w:r>
        <w:t xml:space="preserve"> are shown in the first two columns in the table below in their relevant income bands. The base remuneration of executive officers is shown in the third and fourth columns. Base remuneration is exclusive of bonus payments, long service leave payments, redundancy payments and retirement benefits. The total annualised employee equivalent provides a measure of full-time equivalent executive officers over the reporting period.</w:t>
      </w:r>
    </w:p>
    <w:p w14:paraId="47CBFDEB" w14:textId="77777777" w:rsidR="00FE7F8B" w:rsidRDefault="00FE7F8B" w:rsidP="00FE7F8B">
      <w:pPr>
        <w:spacing w:after="200" w:line="276" w:lineRule="auto"/>
      </w:pPr>
      <w:r>
        <w:br w:type="page"/>
      </w:r>
    </w:p>
    <w:tbl>
      <w:tblPr>
        <w:tblW w:w="7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6"/>
        <w:gridCol w:w="1139"/>
        <w:gridCol w:w="1135"/>
        <w:gridCol w:w="1135"/>
        <w:gridCol w:w="1135"/>
      </w:tblGrid>
      <w:tr w:rsidR="00FE7F8B" w14:paraId="5245B3B4" w14:textId="77777777" w:rsidTr="00FE7F8B">
        <w:tc>
          <w:tcPr>
            <w:tcW w:w="2835" w:type="dxa"/>
            <w:tcBorders>
              <w:top w:val="nil"/>
              <w:left w:val="nil"/>
              <w:bottom w:val="nil"/>
              <w:right w:val="nil"/>
            </w:tcBorders>
            <w:shd w:val="clear" w:color="auto" w:fill="7F7F7F" w:themeFill="text1" w:themeFillTint="80"/>
            <w:vAlign w:val="bottom"/>
          </w:tcPr>
          <w:p w14:paraId="77D907FE" w14:textId="77777777" w:rsidR="00FE7F8B" w:rsidRDefault="00FE7F8B">
            <w:pPr>
              <w:pStyle w:val="Tablecolumnheading"/>
              <w:jc w:val="center"/>
              <w:rPr>
                <w:lang w:eastAsia="en-AU"/>
              </w:rPr>
            </w:pPr>
          </w:p>
        </w:tc>
        <w:tc>
          <w:tcPr>
            <w:tcW w:w="2273" w:type="dxa"/>
            <w:gridSpan w:val="2"/>
            <w:tcBorders>
              <w:top w:val="nil"/>
              <w:left w:val="nil"/>
              <w:bottom w:val="nil"/>
              <w:right w:val="nil"/>
            </w:tcBorders>
            <w:shd w:val="clear" w:color="auto" w:fill="7F7F7F" w:themeFill="text1" w:themeFillTint="80"/>
            <w:vAlign w:val="bottom"/>
            <w:hideMark/>
          </w:tcPr>
          <w:p w14:paraId="5C14A37E" w14:textId="77777777" w:rsidR="00FE7F8B" w:rsidRDefault="00FE7F8B">
            <w:pPr>
              <w:pStyle w:val="Tablecolumnheading"/>
              <w:jc w:val="center"/>
              <w:rPr>
                <w:lang w:eastAsia="en-AU"/>
              </w:rPr>
            </w:pPr>
            <w:r>
              <w:rPr>
                <w:lang w:eastAsia="en-AU"/>
              </w:rPr>
              <w:t>Total remuneration</w:t>
            </w:r>
          </w:p>
        </w:tc>
        <w:tc>
          <w:tcPr>
            <w:tcW w:w="2268" w:type="dxa"/>
            <w:gridSpan w:val="2"/>
            <w:tcBorders>
              <w:top w:val="nil"/>
              <w:left w:val="nil"/>
              <w:bottom w:val="nil"/>
              <w:right w:val="nil"/>
            </w:tcBorders>
            <w:shd w:val="clear" w:color="auto" w:fill="7F7F7F" w:themeFill="text1" w:themeFillTint="80"/>
            <w:vAlign w:val="bottom"/>
            <w:hideMark/>
          </w:tcPr>
          <w:p w14:paraId="1ED0FB4E" w14:textId="77777777" w:rsidR="00FE7F8B" w:rsidRDefault="00FE7F8B">
            <w:pPr>
              <w:pStyle w:val="Tablecolumnheading"/>
              <w:jc w:val="center"/>
              <w:rPr>
                <w:lang w:eastAsia="en-AU"/>
              </w:rPr>
            </w:pPr>
            <w:r>
              <w:rPr>
                <w:lang w:eastAsia="en-AU"/>
              </w:rPr>
              <w:t>Base remuneration</w:t>
            </w:r>
          </w:p>
        </w:tc>
      </w:tr>
      <w:tr w:rsidR="00FE7F8B" w14:paraId="40D34C41" w14:textId="77777777" w:rsidTr="00FE7F8B">
        <w:tc>
          <w:tcPr>
            <w:tcW w:w="2835" w:type="dxa"/>
            <w:tcBorders>
              <w:top w:val="nil"/>
              <w:left w:val="nil"/>
              <w:bottom w:val="nil"/>
              <w:right w:val="nil"/>
            </w:tcBorders>
            <w:shd w:val="clear" w:color="auto" w:fill="7F7F7F" w:themeFill="text1" w:themeFillTint="80"/>
            <w:vAlign w:val="bottom"/>
          </w:tcPr>
          <w:p w14:paraId="570BEE76" w14:textId="77777777" w:rsidR="00FE7F8B" w:rsidRDefault="00FE7F8B">
            <w:pPr>
              <w:pStyle w:val="Tablecolumnheading"/>
              <w:jc w:val="center"/>
              <w:rPr>
                <w:lang w:eastAsia="en-AU"/>
              </w:rPr>
            </w:pPr>
          </w:p>
        </w:tc>
        <w:tc>
          <w:tcPr>
            <w:tcW w:w="1139" w:type="dxa"/>
            <w:tcBorders>
              <w:top w:val="nil"/>
              <w:left w:val="nil"/>
              <w:bottom w:val="nil"/>
              <w:right w:val="nil"/>
            </w:tcBorders>
            <w:shd w:val="clear" w:color="auto" w:fill="7F7F7F" w:themeFill="text1" w:themeFillTint="80"/>
            <w:vAlign w:val="bottom"/>
            <w:hideMark/>
          </w:tcPr>
          <w:p w14:paraId="7FC7F82F" w14:textId="77777777" w:rsidR="00FE7F8B" w:rsidRDefault="00FE7F8B">
            <w:pPr>
              <w:pStyle w:val="Tablecolumnheading"/>
              <w:jc w:val="center"/>
              <w:rPr>
                <w:lang w:eastAsia="en-AU"/>
              </w:rPr>
            </w:pPr>
            <w:r>
              <w:rPr>
                <w:lang w:eastAsia="en-AU"/>
              </w:rPr>
              <w:t>2016</w:t>
            </w:r>
          </w:p>
        </w:tc>
        <w:tc>
          <w:tcPr>
            <w:tcW w:w="1134" w:type="dxa"/>
            <w:tcBorders>
              <w:top w:val="nil"/>
              <w:left w:val="nil"/>
              <w:bottom w:val="nil"/>
              <w:right w:val="nil"/>
            </w:tcBorders>
            <w:shd w:val="clear" w:color="auto" w:fill="7F7F7F" w:themeFill="text1" w:themeFillTint="80"/>
            <w:vAlign w:val="bottom"/>
            <w:hideMark/>
          </w:tcPr>
          <w:p w14:paraId="358922AE" w14:textId="77777777" w:rsidR="00FE7F8B" w:rsidRDefault="00FE7F8B">
            <w:pPr>
              <w:pStyle w:val="Tablecolumnheading"/>
              <w:jc w:val="center"/>
              <w:rPr>
                <w:lang w:eastAsia="en-AU"/>
              </w:rPr>
            </w:pPr>
            <w:r>
              <w:rPr>
                <w:lang w:eastAsia="en-AU"/>
              </w:rPr>
              <w:t>2015</w:t>
            </w:r>
            <w:r>
              <w:rPr>
                <w:vertAlign w:val="superscript"/>
                <w:lang w:eastAsia="en-AU"/>
              </w:rPr>
              <w:t>1</w:t>
            </w:r>
          </w:p>
        </w:tc>
        <w:tc>
          <w:tcPr>
            <w:tcW w:w="1134" w:type="dxa"/>
            <w:tcBorders>
              <w:top w:val="nil"/>
              <w:left w:val="nil"/>
              <w:bottom w:val="nil"/>
              <w:right w:val="nil"/>
            </w:tcBorders>
            <w:shd w:val="clear" w:color="auto" w:fill="7F7F7F" w:themeFill="text1" w:themeFillTint="80"/>
            <w:vAlign w:val="bottom"/>
            <w:hideMark/>
          </w:tcPr>
          <w:p w14:paraId="69042D92" w14:textId="77777777" w:rsidR="00FE7F8B" w:rsidRDefault="00FE7F8B">
            <w:pPr>
              <w:pStyle w:val="Tablecolumnheading"/>
              <w:jc w:val="center"/>
              <w:rPr>
                <w:lang w:eastAsia="en-AU"/>
              </w:rPr>
            </w:pPr>
            <w:r>
              <w:rPr>
                <w:lang w:eastAsia="en-AU"/>
              </w:rPr>
              <w:t>2016</w:t>
            </w:r>
          </w:p>
        </w:tc>
        <w:tc>
          <w:tcPr>
            <w:tcW w:w="1134" w:type="dxa"/>
            <w:tcBorders>
              <w:top w:val="nil"/>
              <w:left w:val="nil"/>
              <w:bottom w:val="nil"/>
              <w:right w:val="nil"/>
            </w:tcBorders>
            <w:shd w:val="clear" w:color="auto" w:fill="7F7F7F" w:themeFill="text1" w:themeFillTint="80"/>
            <w:vAlign w:val="bottom"/>
            <w:hideMark/>
          </w:tcPr>
          <w:p w14:paraId="60553B5D" w14:textId="77777777" w:rsidR="00FE7F8B" w:rsidRDefault="00FE7F8B">
            <w:pPr>
              <w:pStyle w:val="Tablecolumnheading"/>
              <w:jc w:val="center"/>
              <w:rPr>
                <w:lang w:eastAsia="en-AU"/>
              </w:rPr>
            </w:pPr>
            <w:r>
              <w:rPr>
                <w:lang w:eastAsia="en-AU"/>
              </w:rPr>
              <w:t>2015</w:t>
            </w:r>
            <w:r>
              <w:rPr>
                <w:rStyle w:val="FootnoteReference"/>
              </w:rPr>
              <w:t>1</w:t>
            </w:r>
          </w:p>
        </w:tc>
      </w:tr>
      <w:tr w:rsidR="00FE7F8B" w14:paraId="00D23858" w14:textId="77777777" w:rsidTr="00FE7F8B">
        <w:tc>
          <w:tcPr>
            <w:tcW w:w="2835" w:type="dxa"/>
            <w:tcBorders>
              <w:top w:val="nil"/>
              <w:left w:val="nil"/>
              <w:bottom w:val="nil"/>
              <w:right w:val="nil"/>
            </w:tcBorders>
            <w:shd w:val="clear" w:color="auto" w:fill="7F7F7F" w:themeFill="text1" w:themeFillTint="80"/>
            <w:vAlign w:val="bottom"/>
            <w:hideMark/>
          </w:tcPr>
          <w:p w14:paraId="052141EB" w14:textId="77777777" w:rsidR="00FE7F8B" w:rsidRDefault="00FE7F8B">
            <w:pPr>
              <w:pStyle w:val="Tablecolumnheading"/>
              <w:jc w:val="center"/>
              <w:rPr>
                <w:lang w:eastAsia="en-AU"/>
              </w:rPr>
            </w:pPr>
            <w:r>
              <w:rPr>
                <w:lang w:eastAsia="en-AU"/>
              </w:rPr>
              <w:t>Income Band ($)</w:t>
            </w:r>
          </w:p>
        </w:tc>
        <w:tc>
          <w:tcPr>
            <w:tcW w:w="1139" w:type="dxa"/>
            <w:tcBorders>
              <w:top w:val="nil"/>
              <w:left w:val="nil"/>
              <w:bottom w:val="nil"/>
              <w:right w:val="nil"/>
            </w:tcBorders>
            <w:shd w:val="clear" w:color="auto" w:fill="7F7F7F" w:themeFill="text1" w:themeFillTint="80"/>
            <w:vAlign w:val="bottom"/>
            <w:hideMark/>
          </w:tcPr>
          <w:p w14:paraId="67EA81DA" w14:textId="77777777" w:rsidR="00FE7F8B" w:rsidRDefault="00FE7F8B">
            <w:pPr>
              <w:pStyle w:val="Tablecolumnheading"/>
              <w:jc w:val="center"/>
              <w:rPr>
                <w:lang w:eastAsia="en-AU"/>
              </w:rPr>
            </w:pPr>
            <w:r>
              <w:rPr>
                <w:lang w:eastAsia="en-AU"/>
              </w:rPr>
              <w:t>Number</w:t>
            </w:r>
          </w:p>
        </w:tc>
        <w:tc>
          <w:tcPr>
            <w:tcW w:w="1134" w:type="dxa"/>
            <w:tcBorders>
              <w:top w:val="nil"/>
              <w:left w:val="nil"/>
              <w:bottom w:val="nil"/>
              <w:right w:val="nil"/>
            </w:tcBorders>
            <w:shd w:val="clear" w:color="auto" w:fill="7F7F7F" w:themeFill="text1" w:themeFillTint="80"/>
            <w:vAlign w:val="bottom"/>
            <w:hideMark/>
          </w:tcPr>
          <w:p w14:paraId="2A846BDA" w14:textId="77777777" w:rsidR="00FE7F8B" w:rsidRDefault="00FE7F8B">
            <w:pPr>
              <w:pStyle w:val="Tablecolumnheading"/>
              <w:jc w:val="center"/>
              <w:rPr>
                <w:lang w:eastAsia="en-AU"/>
              </w:rPr>
            </w:pPr>
            <w:r>
              <w:rPr>
                <w:lang w:eastAsia="en-AU"/>
              </w:rPr>
              <w:t>Number</w:t>
            </w:r>
          </w:p>
        </w:tc>
        <w:tc>
          <w:tcPr>
            <w:tcW w:w="1134" w:type="dxa"/>
            <w:tcBorders>
              <w:top w:val="nil"/>
              <w:left w:val="nil"/>
              <w:bottom w:val="nil"/>
              <w:right w:val="nil"/>
            </w:tcBorders>
            <w:shd w:val="clear" w:color="auto" w:fill="7F7F7F" w:themeFill="text1" w:themeFillTint="80"/>
            <w:vAlign w:val="bottom"/>
            <w:hideMark/>
          </w:tcPr>
          <w:p w14:paraId="352A5400" w14:textId="77777777" w:rsidR="00FE7F8B" w:rsidRDefault="00FE7F8B">
            <w:pPr>
              <w:pStyle w:val="Tablecolumnheading"/>
              <w:jc w:val="center"/>
              <w:rPr>
                <w:lang w:eastAsia="en-AU"/>
              </w:rPr>
            </w:pPr>
            <w:r>
              <w:rPr>
                <w:lang w:eastAsia="en-AU"/>
              </w:rPr>
              <w:t>Number</w:t>
            </w:r>
          </w:p>
        </w:tc>
        <w:tc>
          <w:tcPr>
            <w:tcW w:w="1134" w:type="dxa"/>
            <w:tcBorders>
              <w:top w:val="nil"/>
              <w:left w:val="nil"/>
              <w:bottom w:val="nil"/>
              <w:right w:val="nil"/>
            </w:tcBorders>
            <w:shd w:val="clear" w:color="auto" w:fill="7F7F7F" w:themeFill="text1" w:themeFillTint="80"/>
            <w:vAlign w:val="bottom"/>
            <w:hideMark/>
          </w:tcPr>
          <w:p w14:paraId="33E55A9E" w14:textId="77777777" w:rsidR="00FE7F8B" w:rsidRDefault="00FE7F8B">
            <w:pPr>
              <w:pStyle w:val="Tablecolumnheading"/>
              <w:jc w:val="center"/>
              <w:rPr>
                <w:lang w:eastAsia="en-AU"/>
              </w:rPr>
            </w:pPr>
            <w:r>
              <w:rPr>
                <w:lang w:eastAsia="en-AU"/>
              </w:rPr>
              <w:t>Number</w:t>
            </w:r>
          </w:p>
        </w:tc>
      </w:tr>
      <w:tr w:rsidR="00FE7F8B" w14:paraId="25B8CF46" w14:textId="77777777" w:rsidTr="00FE7F8B">
        <w:tc>
          <w:tcPr>
            <w:tcW w:w="2835" w:type="dxa"/>
            <w:tcBorders>
              <w:top w:val="nil"/>
              <w:left w:val="nil"/>
              <w:bottom w:val="nil"/>
              <w:right w:val="nil"/>
            </w:tcBorders>
            <w:vAlign w:val="center"/>
            <w:hideMark/>
          </w:tcPr>
          <w:p w14:paraId="1BC82C63" w14:textId="77777777" w:rsidR="00FE7F8B" w:rsidRDefault="00FE7F8B">
            <w:pPr>
              <w:pStyle w:val="TableTextFinancial"/>
            </w:pPr>
            <w:r>
              <w:t>$40,000–$49,999</w:t>
            </w:r>
          </w:p>
        </w:tc>
        <w:tc>
          <w:tcPr>
            <w:tcW w:w="1139" w:type="dxa"/>
            <w:tcBorders>
              <w:top w:val="nil"/>
              <w:left w:val="nil"/>
              <w:bottom w:val="nil"/>
              <w:right w:val="nil"/>
            </w:tcBorders>
            <w:vAlign w:val="bottom"/>
            <w:hideMark/>
          </w:tcPr>
          <w:p w14:paraId="695B9014"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78B34ADB"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114BB82F"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20E5AA09" w14:textId="77777777" w:rsidR="00FE7F8B" w:rsidRDefault="00FE7F8B">
            <w:pPr>
              <w:pStyle w:val="TableTextFinancial"/>
              <w:jc w:val="center"/>
            </w:pPr>
            <w:r>
              <w:rPr>
                <w:sz w:val="18"/>
                <w:szCs w:val="18"/>
                <w:lang w:val="en-US"/>
              </w:rPr>
              <w:t>1</w:t>
            </w:r>
          </w:p>
        </w:tc>
      </w:tr>
      <w:tr w:rsidR="00FE7F8B" w14:paraId="7DA6A9FA" w14:textId="77777777" w:rsidTr="00FE7F8B">
        <w:tc>
          <w:tcPr>
            <w:tcW w:w="2835" w:type="dxa"/>
            <w:tcBorders>
              <w:top w:val="nil"/>
              <w:left w:val="nil"/>
              <w:bottom w:val="nil"/>
              <w:right w:val="nil"/>
            </w:tcBorders>
            <w:vAlign w:val="center"/>
            <w:hideMark/>
          </w:tcPr>
          <w:p w14:paraId="3DF46627" w14:textId="77777777" w:rsidR="00FE7F8B" w:rsidRDefault="00FE7F8B">
            <w:pPr>
              <w:pStyle w:val="TableTextFinancial"/>
            </w:pPr>
            <w:r>
              <w:t>$50,000–$59,999</w:t>
            </w:r>
          </w:p>
        </w:tc>
        <w:tc>
          <w:tcPr>
            <w:tcW w:w="1139" w:type="dxa"/>
            <w:tcBorders>
              <w:top w:val="nil"/>
              <w:left w:val="nil"/>
              <w:bottom w:val="nil"/>
              <w:right w:val="nil"/>
            </w:tcBorders>
            <w:vAlign w:val="bottom"/>
            <w:hideMark/>
          </w:tcPr>
          <w:p w14:paraId="63FFC912"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66D1AEBF"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1529D538"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00E5742E" w14:textId="77777777" w:rsidR="00FE7F8B" w:rsidRDefault="00FE7F8B">
            <w:pPr>
              <w:pStyle w:val="TableTextFinancial"/>
              <w:jc w:val="center"/>
            </w:pPr>
            <w:r>
              <w:rPr>
                <w:sz w:val="18"/>
                <w:szCs w:val="18"/>
                <w:lang w:val="en-US"/>
              </w:rPr>
              <w:t>-</w:t>
            </w:r>
          </w:p>
        </w:tc>
      </w:tr>
      <w:tr w:rsidR="00FE7F8B" w14:paraId="20EEB9CD" w14:textId="77777777" w:rsidTr="00FE7F8B">
        <w:tc>
          <w:tcPr>
            <w:tcW w:w="2835" w:type="dxa"/>
            <w:tcBorders>
              <w:top w:val="nil"/>
              <w:left w:val="nil"/>
              <w:bottom w:val="nil"/>
              <w:right w:val="nil"/>
            </w:tcBorders>
            <w:vAlign w:val="center"/>
            <w:hideMark/>
          </w:tcPr>
          <w:p w14:paraId="7DD3CE89" w14:textId="77777777" w:rsidR="00FE7F8B" w:rsidRDefault="00FE7F8B">
            <w:pPr>
              <w:pStyle w:val="TableTextFinancial"/>
            </w:pPr>
            <w:r>
              <w:t>$60,000–$69,999</w:t>
            </w:r>
          </w:p>
        </w:tc>
        <w:tc>
          <w:tcPr>
            <w:tcW w:w="1139" w:type="dxa"/>
            <w:tcBorders>
              <w:top w:val="nil"/>
              <w:left w:val="nil"/>
              <w:bottom w:val="nil"/>
              <w:right w:val="nil"/>
            </w:tcBorders>
            <w:vAlign w:val="bottom"/>
            <w:hideMark/>
          </w:tcPr>
          <w:p w14:paraId="41A746BF"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4951D34B"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6323D024"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6FF4E47E" w14:textId="77777777" w:rsidR="00FE7F8B" w:rsidRDefault="00FE7F8B">
            <w:pPr>
              <w:pStyle w:val="TableTextFinancial"/>
              <w:jc w:val="center"/>
            </w:pPr>
            <w:r>
              <w:rPr>
                <w:sz w:val="18"/>
                <w:szCs w:val="18"/>
                <w:lang w:val="en-US"/>
              </w:rPr>
              <w:t>-</w:t>
            </w:r>
          </w:p>
        </w:tc>
      </w:tr>
      <w:tr w:rsidR="00FE7F8B" w14:paraId="4F073991" w14:textId="77777777" w:rsidTr="00FE7F8B">
        <w:tc>
          <w:tcPr>
            <w:tcW w:w="2835" w:type="dxa"/>
            <w:tcBorders>
              <w:top w:val="nil"/>
              <w:left w:val="nil"/>
              <w:bottom w:val="nil"/>
              <w:right w:val="nil"/>
            </w:tcBorders>
            <w:vAlign w:val="center"/>
            <w:hideMark/>
          </w:tcPr>
          <w:p w14:paraId="015AA30D" w14:textId="77777777" w:rsidR="00FE7F8B" w:rsidRDefault="00FE7F8B">
            <w:pPr>
              <w:pStyle w:val="TableTextFinancial"/>
            </w:pPr>
            <w:r>
              <w:t>$100,000–$109,999</w:t>
            </w:r>
          </w:p>
        </w:tc>
        <w:tc>
          <w:tcPr>
            <w:tcW w:w="1139" w:type="dxa"/>
            <w:tcBorders>
              <w:top w:val="nil"/>
              <w:left w:val="nil"/>
              <w:bottom w:val="nil"/>
              <w:right w:val="nil"/>
            </w:tcBorders>
            <w:vAlign w:val="bottom"/>
            <w:hideMark/>
          </w:tcPr>
          <w:p w14:paraId="0D2DD855"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32D0E79C"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13520987" w14:textId="77777777" w:rsidR="00FE7F8B" w:rsidRDefault="00FE7F8B">
            <w:pPr>
              <w:pStyle w:val="TableTextFinancial"/>
              <w:jc w:val="center"/>
            </w:pPr>
            <w:r>
              <w:rPr>
                <w:sz w:val="18"/>
                <w:szCs w:val="18"/>
                <w:lang w:val="en-US"/>
              </w:rPr>
              <w:t>8</w:t>
            </w:r>
          </w:p>
        </w:tc>
        <w:tc>
          <w:tcPr>
            <w:tcW w:w="1134" w:type="dxa"/>
            <w:tcBorders>
              <w:top w:val="nil"/>
              <w:left w:val="nil"/>
              <w:bottom w:val="nil"/>
              <w:right w:val="nil"/>
            </w:tcBorders>
            <w:vAlign w:val="bottom"/>
            <w:hideMark/>
          </w:tcPr>
          <w:p w14:paraId="4D444490" w14:textId="77777777" w:rsidR="00FE7F8B" w:rsidRDefault="00FE7F8B">
            <w:pPr>
              <w:pStyle w:val="TableTextFinancial"/>
              <w:jc w:val="center"/>
            </w:pPr>
            <w:r>
              <w:rPr>
                <w:sz w:val="18"/>
                <w:szCs w:val="18"/>
                <w:lang w:val="en-US"/>
              </w:rPr>
              <w:t>-</w:t>
            </w:r>
          </w:p>
        </w:tc>
      </w:tr>
      <w:tr w:rsidR="00FE7F8B" w14:paraId="1F9BF52B" w14:textId="77777777" w:rsidTr="00FE7F8B">
        <w:tc>
          <w:tcPr>
            <w:tcW w:w="2835" w:type="dxa"/>
            <w:tcBorders>
              <w:top w:val="nil"/>
              <w:left w:val="nil"/>
              <w:bottom w:val="nil"/>
              <w:right w:val="nil"/>
            </w:tcBorders>
            <w:vAlign w:val="center"/>
            <w:hideMark/>
          </w:tcPr>
          <w:p w14:paraId="63384B63" w14:textId="77777777" w:rsidR="00FE7F8B" w:rsidRDefault="00FE7F8B">
            <w:pPr>
              <w:pStyle w:val="TableTextFinancial"/>
            </w:pPr>
            <w:r>
              <w:t>$110,000–$119,999</w:t>
            </w:r>
          </w:p>
        </w:tc>
        <w:tc>
          <w:tcPr>
            <w:tcW w:w="1139" w:type="dxa"/>
            <w:tcBorders>
              <w:top w:val="nil"/>
              <w:left w:val="nil"/>
              <w:bottom w:val="nil"/>
              <w:right w:val="nil"/>
            </w:tcBorders>
            <w:vAlign w:val="bottom"/>
            <w:hideMark/>
          </w:tcPr>
          <w:p w14:paraId="01B0FB65" w14:textId="77777777" w:rsidR="00FE7F8B" w:rsidRDefault="00FE7F8B">
            <w:pPr>
              <w:pStyle w:val="TableTextFinancial"/>
              <w:jc w:val="center"/>
            </w:pPr>
            <w:r>
              <w:rPr>
                <w:sz w:val="18"/>
                <w:szCs w:val="18"/>
                <w:lang w:val="en-US"/>
              </w:rPr>
              <w:t>6</w:t>
            </w:r>
          </w:p>
        </w:tc>
        <w:tc>
          <w:tcPr>
            <w:tcW w:w="1134" w:type="dxa"/>
            <w:tcBorders>
              <w:top w:val="nil"/>
              <w:left w:val="nil"/>
              <w:bottom w:val="nil"/>
              <w:right w:val="nil"/>
            </w:tcBorders>
            <w:vAlign w:val="bottom"/>
            <w:hideMark/>
          </w:tcPr>
          <w:p w14:paraId="7DA910C7"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59F5A040"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3F118EB1" w14:textId="77777777" w:rsidR="00FE7F8B" w:rsidRDefault="00FE7F8B">
            <w:pPr>
              <w:pStyle w:val="TableTextFinancial"/>
              <w:jc w:val="center"/>
            </w:pPr>
            <w:r>
              <w:rPr>
                <w:sz w:val="18"/>
                <w:szCs w:val="18"/>
                <w:lang w:val="en-US"/>
              </w:rPr>
              <w:t>-</w:t>
            </w:r>
          </w:p>
        </w:tc>
      </w:tr>
      <w:tr w:rsidR="00FE7F8B" w14:paraId="4AB18FC1" w14:textId="77777777" w:rsidTr="00FE7F8B">
        <w:tc>
          <w:tcPr>
            <w:tcW w:w="2835" w:type="dxa"/>
            <w:tcBorders>
              <w:top w:val="nil"/>
              <w:left w:val="nil"/>
              <w:bottom w:val="nil"/>
              <w:right w:val="nil"/>
            </w:tcBorders>
            <w:vAlign w:val="center"/>
            <w:hideMark/>
          </w:tcPr>
          <w:p w14:paraId="3D19366F" w14:textId="77777777" w:rsidR="00FE7F8B" w:rsidRDefault="00FE7F8B">
            <w:pPr>
              <w:pStyle w:val="TableTextFinancial"/>
            </w:pPr>
            <w:r>
              <w:t>$120,000–$129,999</w:t>
            </w:r>
          </w:p>
        </w:tc>
        <w:tc>
          <w:tcPr>
            <w:tcW w:w="1139" w:type="dxa"/>
            <w:tcBorders>
              <w:top w:val="nil"/>
              <w:left w:val="nil"/>
              <w:bottom w:val="nil"/>
              <w:right w:val="nil"/>
            </w:tcBorders>
            <w:vAlign w:val="bottom"/>
            <w:hideMark/>
          </w:tcPr>
          <w:p w14:paraId="0B4A0290"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315117AB"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0F05CE4B"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6CC7DE8C" w14:textId="77777777" w:rsidR="00FE7F8B" w:rsidRDefault="00FE7F8B">
            <w:pPr>
              <w:pStyle w:val="TableTextFinancial"/>
              <w:jc w:val="center"/>
            </w:pPr>
            <w:r>
              <w:rPr>
                <w:sz w:val="18"/>
                <w:szCs w:val="18"/>
                <w:lang w:val="en-US"/>
              </w:rPr>
              <w:t>1</w:t>
            </w:r>
          </w:p>
        </w:tc>
      </w:tr>
      <w:tr w:rsidR="00FE7F8B" w14:paraId="279F5F21" w14:textId="77777777" w:rsidTr="00FE7F8B">
        <w:tc>
          <w:tcPr>
            <w:tcW w:w="2835" w:type="dxa"/>
            <w:tcBorders>
              <w:top w:val="nil"/>
              <w:left w:val="nil"/>
              <w:bottom w:val="nil"/>
              <w:right w:val="nil"/>
            </w:tcBorders>
            <w:vAlign w:val="center"/>
            <w:hideMark/>
          </w:tcPr>
          <w:p w14:paraId="18E4B25C" w14:textId="77777777" w:rsidR="00FE7F8B" w:rsidRDefault="00FE7F8B">
            <w:pPr>
              <w:pStyle w:val="TableTextFinancial"/>
            </w:pPr>
            <w:r>
              <w:t>$130,000–$139,999</w:t>
            </w:r>
          </w:p>
        </w:tc>
        <w:tc>
          <w:tcPr>
            <w:tcW w:w="1139" w:type="dxa"/>
            <w:tcBorders>
              <w:top w:val="nil"/>
              <w:left w:val="nil"/>
              <w:bottom w:val="nil"/>
              <w:right w:val="nil"/>
            </w:tcBorders>
            <w:vAlign w:val="bottom"/>
            <w:hideMark/>
          </w:tcPr>
          <w:p w14:paraId="189B45B2"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17CD8214"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4203E686"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2AAF716E" w14:textId="77777777" w:rsidR="00FE7F8B" w:rsidRDefault="00FE7F8B">
            <w:pPr>
              <w:pStyle w:val="TableTextFinancial"/>
              <w:jc w:val="center"/>
            </w:pPr>
            <w:r>
              <w:rPr>
                <w:sz w:val="18"/>
                <w:szCs w:val="18"/>
                <w:lang w:val="en-US"/>
              </w:rPr>
              <w:t>4</w:t>
            </w:r>
          </w:p>
        </w:tc>
      </w:tr>
      <w:tr w:rsidR="00FE7F8B" w14:paraId="2C3276B3" w14:textId="77777777" w:rsidTr="00FE7F8B">
        <w:tc>
          <w:tcPr>
            <w:tcW w:w="2835" w:type="dxa"/>
            <w:tcBorders>
              <w:top w:val="nil"/>
              <w:left w:val="nil"/>
              <w:bottom w:val="nil"/>
              <w:right w:val="nil"/>
            </w:tcBorders>
            <w:vAlign w:val="center"/>
            <w:hideMark/>
          </w:tcPr>
          <w:p w14:paraId="28114A7C" w14:textId="77777777" w:rsidR="00FE7F8B" w:rsidRDefault="00FE7F8B">
            <w:pPr>
              <w:pStyle w:val="TableTextFinancial"/>
            </w:pPr>
            <w:r>
              <w:t>$140,000–$149,999</w:t>
            </w:r>
          </w:p>
        </w:tc>
        <w:tc>
          <w:tcPr>
            <w:tcW w:w="1139" w:type="dxa"/>
            <w:tcBorders>
              <w:top w:val="nil"/>
              <w:left w:val="nil"/>
              <w:bottom w:val="nil"/>
              <w:right w:val="nil"/>
            </w:tcBorders>
            <w:vAlign w:val="bottom"/>
            <w:hideMark/>
          </w:tcPr>
          <w:p w14:paraId="3A633430"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0AD5F7AC" w14:textId="77777777" w:rsidR="00FE7F8B" w:rsidRDefault="00FE7F8B">
            <w:pPr>
              <w:pStyle w:val="TableTextFinancial"/>
              <w:jc w:val="center"/>
            </w:pPr>
            <w:r>
              <w:rPr>
                <w:sz w:val="18"/>
                <w:szCs w:val="18"/>
                <w:lang w:val="en-US"/>
              </w:rPr>
              <w:t>6</w:t>
            </w:r>
          </w:p>
        </w:tc>
        <w:tc>
          <w:tcPr>
            <w:tcW w:w="1134" w:type="dxa"/>
            <w:tcBorders>
              <w:top w:val="nil"/>
              <w:left w:val="nil"/>
              <w:bottom w:val="nil"/>
              <w:right w:val="nil"/>
            </w:tcBorders>
            <w:vAlign w:val="bottom"/>
            <w:hideMark/>
          </w:tcPr>
          <w:p w14:paraId="4D8B39FB"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713C2A5F" w14:textId="77777777" w:rsidR="00FE7F8B" w:rsidRDefault="00FE7F8B">
            <w:pPr>
              <w:pStyle w:val="TableTextFinancial"/>
              <w:jc w:val="center"/>
            </w:pPr>
            <w:r>
              <w:rPr>
                <w:sz w:val="18"/>
                <w:szCs w:val="18"/>
                <w:lang w:val="en-US"/>
              </w:rPr>
              <w:t>4</w:t>
            </w:r>
          </w:p>
        </w:tc>
      </w:tr>
      <w:tr w:rsidR="00FE7F8B" w14:paraId="3B1CC797" w14:textId="77777777" w:rsidTr="00FE7F8B">
        <w:tc>
          <w:tcPr>
            <w:tcW w:w="2835" w:type="dxa"/>
            <w:tcBorders>
              <w:top w:val="nil"/>
              <w:left w:val="nil"/>
              <w:bottom w:val="nil"/>
              <w:right w:val="nil"/>
            </w:tcBorders>
            <w:vAlign w:val="center"/>
            <w:hideMark/>
          </w:tcPr>
          <w:p w14:paraId="270071FE" w14:textId="77777777" w:rsidR="00FE7F8B" w:rsidRDefault="00FE7F8B">
            <w:pPr>
              <w:pStyle w:val="TableTextFinancial"/>
            </w:pPr>
            <w:r>
              <w:t>$150,000–$159,999</w:t>
            </w:r>
          </w:p>
        </w:tc>
        <w:tc>
          <w:tcPr>
            <w:tcW w:w="1139" w:type="dxa"/>
            <w:tcBorders>
              <w:top w:val="nil"/>
              <w:left w:val="nil"/>
              <w:bottom w:val="nil"/>
              <w:right w:val="nil"/>
            </w:tcBorders>
            <w:vAlign w:val="bottom"/>
            <w:hideMark/>
          </w:tcPr>
          <w:p w14:paraId="5721E341"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4A18277A"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1BAF5E9F"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31CDB16F" w14:textId="77777777" w:rsidR="00FE7F8B" w:rsidRDefault="00FE7F8B">
            <w:pPr>
              <w:pStyle w:val="TableTextFinancial"/>
              <w:jc w:val="center"/>
            </w:pPr>
            <w:r>
              <w:rPr>
                <w:sz w:val="18"/>
                <w:szCs w:val="18"/>
                <w:lang w:val="en-US"/>
              </w:rPr>
              <w:t>10</w:t>
            </w:r>
          </w:p>
        </w:tc>
      </w:tr>
      <w:tr w:rsidR="00FE7F8B" w14:paraId="3738C9D9" w14:textId="77777777" w:rsidTr="00FE7F8B">
        <w:tc>
          <w:tcPr>
            <w:tcW w:w="2835" w:type="dxa"/>
            <w:tcBorders>
              <w:top w:val="nil"/>
              <w:left w:val="nil"/>
              <w:bottom w:val="nil"/>
              <w:right w:val="nil"/>
            </w:tcBorders>
            <w:vAlign w:val="center"/>
            <w:hideMark/>
          </w:tcPr>
          <w:p w14:paraId="5A21C4A5" w14:textId="77777777" w:rsidR="00FE7F8B" w:rsidRDefault="00FE7F8B">
            <w:pPr>
              <w:pStyle w:val="TableTextFinancial"/>
            </w:pPr>
            <w:r>
              <w:t>$160,000–$169,999</w:t>
            </w:r>
          </w:p>
        </w:tc>
        <w:tc>
          <w:tcPr>
            <w:tcW w:w="1139" w:type="dxa"/>
            <w:tcBorders>
              <w:top w:val="nil"/>
              <w:left w:val="nil"/>
              <w:bottom w:val="nil"/>
              <w:right w:val="nil"/>
            </w:tcBorders>
            <w:vAlign w:val="bottom"/>
            <w:hideMark/>
          </w:tcPr>
          <w:p w14:paraId="5C81D125"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7B416529"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16D2C53E" w14:textId="77777777" w:rsidR="00FE7F8B" w:rsidRDefault="00FE7F8B">
            <w:pPr>
              <w:pStyle w:val="TableTextFinancial"/>
              <w:jc w:val="center"/>
            </w:pPr>
            <w:r>
              <w:rPr>
                <w:sz w:val="18"/>
                <w:szCs w:val="18"/>
                <w:lang w:val="en-US"/>
              </w:rPr>
              <w:t>8</w:t>
            </w:r>
          </w:p>
        </w:tc>
        <w:tc>
          <w:tcPr>
            <w:tcW w:w="1134" w:type="dxa"/>
            <w:tcBorders>
              <w:top w:val="nil"/>
              <w:left w:val="nil"/>
              <w:bottom w:val="nil"/>
              <w:right w:val="nil"/>
            </w:tcBorders>
            <w:vAlign w:val="bottom"/>
            <w:hideMark/>
          </w:tcPr>
          <w:p w14:paraId="2EE58C01" w14:textId="77777777" w:rsidR="00FE7F8B" w:rsidRDefault="00FE7F8B">
            <w:pPr>
              <w:pStyle w:val="TableTextFinancial"/>
              <w:jc w:val="center"/>
            </w:pPr>
            <w:r>
              <w:rPr>
                <w:sz w:val="18"/>
                <w:szCs w:val="18"/>
                <w:lang w:val="en-US"/>
              </w:rPr>
              <w:t>4</w:t>
            </w:r>
          </w:p>
        </w:tc>
      </w:tr>
      <w:tr w:rsidR="00FE7F8B" w14:paraId="3DB94D5F" w14:textId="77777777" w:rsidTr="00FE7F8B">
        <w:tc>
          <w:tcPr>
            <w:tcW w:w="2835" w:type="dxa"/>
            <w:tcBorders>
              <w:top w:val="nil"/>
              <w:left w:val="nil"/>
              <w:bottom w:val="nil"/>
              <w:right w:val="nil"/>
            </w:tcBorders>
            <w:vAlign w:val="center"/>
            <w:hideMark/>
          </w:tcPr>
          <w:p w14:paraId="18A44840" w14:textId="77777777" w:rsidR="00FE7F8B" w:rsidRDefault="00FE7F8B">
            <w:pPr>
              <w:pStyle w:val="TableTextFinancial"/>
            </w:pPr>
            <w:r>
              <w:t>$170,000–$179,999</w:t>
            </w:r>
          </w:p>
        </w:tc>
        <w:tc>
          <w:tcPr>
            <w:tcW w:w="1139" w:type="dxa"/>
            <w:tcBorders>
              <w:top w:val="nil"/>
              <w:left w:val="nil"/>
              <w:bottom w:val="nil"/>
              <w:right w:val="nil"/>
            </w:tcBorders>
            <w:vAlign w:val="bottom"/>
            <w:hideMark/>
          </w:tcPr>
          <w:p w14:paraId="71747E7D" w14:textId="77777777" w:rsidR="00FE7F8B" w:rsidRDefault="00FE7F8B">
            <w:pPr>
              <w:pStyle w:val="TableTextFinancial"/>
              <w:jc w:val="center"/>
            </w:pPr>
            <w:r>
              <w:rPr>
                <w:sz w:val="18"/>
                <w:szCs w:val="18"/>
                <w:lang w:val="en-US"/>
              </w:rPr>
              <w:t>6</w:t>
            </w:r>
          </w:p>
        </w:tc>
        <w:tc>
          <w:tcPr>
            <w:tcW w:w="1134" w:type="dxa"/>
            <w:tcBorders>
              <w:top w:val="nil"/>
              <w:left w:val="nil"/>
              <w:bottom w:val="nil"/>
              <w:right w:val="nil"/>
            </w:tcBorders>
            <w:vAlign w:val="bottom"/>
            <w:hideMark/>
          </w:tcPr>
          <w:p w14:paraId="1D2566F1" w14:textId="77777777" w:rsidR="00FE7F8B" w:rsidRDefault="00FE7F8B">
            <w:pPr>
              <w:pStyle w:val="TableTextFinancial"/>
              <w:jc w:val="center"/>
            </w:pPr>
            <w:r>
              <w:rPr>
                <w:sz w:val="18"/>
                <w:szCs w:val="18"/>
                <w:lang w:val="en-US"/>
              </w:rPr>
              <w:t>7</w:t>
            </w:r>
          </w:p>
        </w:tc>
        <w:tc>
          <w:tcPr>
            <w:tcW w:w="1134" w:type="dxa"/>
            <w:tcBorders>
              <w:top w:val="nil"/>
              <w:left w:val="nil"/>
              <w:bottom w:val="nil"/>
              <w:right w:val="nil"/>
            </w:tcBorders>
            <w:vAlign w:val="bottom"/>
            <w:hideMark/>
          </w:tcPr>
          <w:p w14:paraId="3EEAE3D3"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5432D8F0" w14:textId="77777777" w:rsidR="00FE7F8B" w:rsidRDefault="00FE7F8B">
            <w:pPr>
              <w:pStyle w:val="TableTextFinancial"/>
              <w:jc w:val="center"/>
            </w:pPr>
            <w:r>
              <w:rPr>
                <w:sz w:val="18"/>
                <w:szCs w:val="18"/>
                <w:lang w:val="en-US"/>
              </w:rPr>
              <w:t>6</w:t>
            </w:r>
          </w:p>
        </w:tc>
      </w:tr>
      <w:tr w:rsidR="00FE7F8B" w14:paraId="259762E4" w14:textId="77777777" w:rsidTr="00FE7F8B">
        <w:tc>
          <w:tcPr>
            <w:tcW w:w="2835" w:type="dxa"/>
            <w:tcBorders>
              <w:top w:val="nil"/>
              <w:left w:val="nil"/>
              <w:bottom w:val="nil"/>
              <w:right w:val="nil"/>
            </w:tcBorders>
            <w:vAlign w:val="center"/>
            <w:hideMark/>
          </w:tcPr>
          <w:p w14:paraId="08DA1BB8" w14:textId="77777777" w:rsidR="00FE7F8B" w:rsidRDefault="00FE7F8B">
            <w:pPr>
              <w:pStyle w:val="TableTextFinancial"/>
            </w:pPr>
            <w:r>
              <w:t>$180,000-$189,999</w:t>
            </w:r>
          </w:p>
        </w:tc>
        <w:tc>
          <w:tcPr>
            <w:tcW w:w="1139" w:type="dxa"/>
            <w:tcBorders>
              <w:top w:val="nil"/>
              <w:left w:val="nil"/>
              <w:bottom w:val="nil"/>
              <w:right w:val="nil"/>
            </w:tcBorders>
            <w:vAlign w:val="bottom"/>
            <w:hideMark/>
          </w:tcPr>
          <w:p w14:paraId="32660C08"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0FE84C80" w14:textId="77777777" w:rsidR="00FE7F8B" w:rsidRDefault="00FE7F8B">
            <w:pPr>
              <w:pStyle w:val="TableTextFinancial"/>
              <w:jc w:val="center"/>
            </w:pPr>
            <w:r>
              <w:rPr>
                <w:sz w:val="18"/>
                <w:szCs w:val="18"/>
                <w:lang w:val="en-US"/>
              </w:rPr>
              <w:t>8</w:t>
            </w:r>
          </w:p>
        </w:tc>
        <w:tc>
          <w:tcPr>
            <w:tcW w:w="1134" w:type="dxa"/>
            <w:tcBorders>
              <w:top w:val="nil"/>
              <w:left w:val="nil"/>
              <w:bottom w:val="nil"/>
              <w:right w:val="nil"/>
            </w:tcBorders>
            <w:vAlign w:val="bottom"/>
            <w:hideMark/>
          </w:tcPr>
          <w:p w14:paraId="5DCB89D0"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6472DD0F" w14:textId="77777777" w:rsidR="00FE7F8B" w:rsidRDefault="00FE7F8B">
            <w:pPr>
              <w:pStyle w:val="TableTextFinancial"/>
              <w:jc w:val="center"/>
            </w:pPr>
            <w:r>
              <w:rPr>
                <w:sz w:val="18"/>
                <w:szCs w:val="18"/>
                <w:lang w:val="en-US"/>
              </w:rPr>
              <w:t>5</w:t>
            </w:r>
          </w:p>
        </w:tc>
      </w:tr>
      <w:tr w:rsidR="00FE7F8B" w14:paraId="3892A294" w14:textId="77777777" w:rsidTr="00FE7F8B">
        <w:tc>
          <w:tcPr>
            <w:tcW w:w="2835" w:type="dxa"/>
            <w:tcBorders>
              <w:top w:val="nil"/>
              <w:left w:val="nil"/>
              <w:bottom w:val="nil"/>
              <w:right w:val="nil"/>
            </w:tcBorders>
            <w:vAlign w:val="center"/>
            <w:hideMark/>
          </w:tcPr>
          <w:p w14:paraId="3BB98185" w14:textId="77777777" w:rsidR="00FE7F8B" w:rsidRDefault="00FE7F8B">
            <w:pPr>
              <w:pStyle w:val="TableTextFinancial"/>
            </w:pPr>
            <w:r>
              <w:t>$190,000–$199,999</w:t>
            </w:r>
          </w:p>
        </w:tc>
        <w:tc>
          <w:tcPr>
            <w:tcW w:w="1139" w:type="dxa"/>
            <w:tcBorders>
              <w:top w:val="nil"/>
              <w:left w:val="nil"/>
              <w:bottom w:val="nil"/>
              <w:right w:val="nil"/>
            </w:tcBorders>
            <w:vAlign w:val="bottom"/>
            <w:hideMark/>
          </w:tcPr>
          <w:p w14:paraId="56AAAA1A"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6C4C78AA"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4CBE0E10"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322E62D7" w14:textId="77777777" w:rsidR="00FE7F8B" w:rsidRDefault="00FE7F8B">
            <w:pPr>
              <w:pStyle w:val="TableTextFinancial"/>
              <w:jc w:val="center"/>
            </w:pPr>
            <w:r>
              <w:rPr>
                <w:sz w:val="18"/>
                <w:szCs w:val="18"/>
                <w:lang w:val="en-US"/>
              </w:rPr>
              <w:t>7</w:t>
            </w:r>
          </w:p>
        </w:tc>
      </w:tr>
      <w:tr w:rsidR="00FE7F8B" w14:paraId="71785F4F" w14:textId="77777777" w:rsidTr="00FE7F8B">
        <w:tc>
          <w:tcPr>
            <w:tcW w:w="2835" w:type="dxa"/>
            <w:tcBorders>
              <w:top w:val="nil"/>
              <w:left w:val="nil"/>
              <w:bottom w:val="nil"/>
              <w:right w:val="nil"/>
            </w:tcBorders>
            <w:vAlign w:val="center"/>
            <w:hideMark/>
          </w:tcPr>
          <w:p w14:paraId="6C73E4C0" w14:textId="77777777" w:rsidR="00FE7F8B" w:rsidRDefault="00FE7F8B">
            <w:pPr>
              <w:pStyle w:val="TableTextFinancial"/>
            </w:pPr>
            <w:r>
              <w:t>$200,000–$209,999</w:t>
            </w:r>
          </w:p>
        </w:tc>
        <w:tc>
          <w:tcPr>
            <w:tcW w:w="1139" w:type="dxa"/>
            <w:tcBorders>
              <w:top w:val="nil"/>
              <w:left w:val="nil"/>
              <w:bottom w:val="nil"/>
              <w:right w:val="nil"/>
            </w:tcBorders>
            <w:vAlign w:val="bottom"/>
            <w:hideMark/>
          </w:tcPr>
          <w:p w14:paraId="351B838D"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7B927DFA"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3DF7E425"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69F830E3" w14:textId="77777777" w:rsidR="00FE7F8B" w:rsidRDefault="00FE7F8B">
            <w:pPr>
              <w:pStyle w:val="TableTextFinancial"/>
              <w:jc w:val="center"/>
            </w:pPr>
            <w:r>
              <w:rPr>
                <w:sz w:val="18"/>
                <w:szCs w:val="18"/>
                <w:lang w:val="en-US"/>
              </w:rPr>
              <w:t>9</w:t>
            </w:r>
          </w:p>
        </w:tc>
      </w:tr>
      <w:tr w:rsidR="00FE7F8B" w14:paraId="00BF484C" w14:textId="77777777" w:rsidTr="00FE7F8B">
        <w:tc>
          <w:tcPr>
            <w:tcW w:w="2835" w:type="dxa"/>
            <w:tcBorders>
              <w:top w:val="nil"/>
              <w:left w:val="nil"/>
              <w:bottom w:val="nil"/>
              <w:right w:val="nil"/>
            </w:tcBorders>
            <w:vAlign w:val="center"/>
            <w:hideMark/>
          </w:tcPr>
          <w:p w14:paraId="31ED5AA7" w14:textId="77777777" w:rsidR="00FE7F8B" w:rsidRDefault="00FE7F8B">
            <w:pPr>
              <w:pStyle w:val="TableTextFinancial"/>
            </w:pPr>
            <w:r>
              <w:t>$210,000–$219,999</w:t>
            </w:r>
          </w:p>
        </w:tc>
        <w:tc>
          <w:tcPr>
            <w:tcW w:w="1139" w:type="dxa"/>
            <w:tcBorders>
              <w:top w:val="nil"/>
              <w:left w:val="nil"/>
              <w:bottom w:val="nil"/>
              <w:right w:val="nil"/>
            </w:tcBorders>
            <w:vAlign w:val="bottom"/>
            <w:hideMark/>
          </w:tcPr>
          <w:p w14:paraId="79BB835E" w14:textId="77777777" w:rsidR="00FE7F8B" w:rsidRDefault="00FE7F8B">
            <w:pPr>
              <w:pStyle w:val="TableTextFinancial"/>
              <w:jc w:val="center"/>
            </w:pPr>
            <w:r>
              <w:rPr>
                <w:sz w:val="18"/>
                <w:szCs w:val="18"/>
                <w:lang w:val="en-US"/>
              </w:rPr>
              <w:t>7</w:t>
            </w:r>
          </w:p>
        </w:tc>
        <w:tc>
          <w:tcPr>
            <w:tcW w:w="1134" w:type="dxa"/>
            <w:tcBorders>
              <w:top w:val="nil"/>
              <w:left w:val="nil"/>
              <w:bottom w:val="nil"/>
              <w:right w:val="nil"/>
            </w:tcBorders>
            <w:vAlign w:val="bottom"/>
            <w:hideMark/>
          </w:tcPr>
          <w:p w14:paraId="29ABB106" w14:textId="77777777" w:rsidR="00FE7F8B" w:rsidRDefault="00FE7F8B">
            <w:pPr>
              <w:pStyle w:val="TableTextFinancial"/>
              <w:jc w:val="center"/>
            </w:pPr>
            <w:r>
              <w:rPr>
                <w:sz w:val="18"/>
                <w:szCs w:val="18"/>
                <w:lang w:val="en-US"/>
              </w:rPr>
              <w:t>12</w:t>
            </w:r>
          </w:p>
        </w:tc>
        <w:tc>
          <w:tcPr>
            <w:tcW w:w="1134" w:type="dxa"/>
            <w:tcBorders>
              <w:top w:val="nil"/>
              <w:left w:val="nil"/>
              <w:bottom w:val="nil"/>
              <w:right w:val="nil"/>
            </w:tcBorders>
            <w:vAlign w:val="bottom"/>
            <w:hideMark/>
          </w:tcPr>
          <w:p w14:paraId="3AB30108" w14:textId="77777777" w:rsidR="00FE7F8B" w:rsidRDefault="00FE7F8B">
            <w:pPr>
              <w:pStyle w:val="TableTextFinancial"/>
              <w:jc w:val="center"/>
            </w:pPr>
            <w:r>
              <w:rPr>
                <w:sz w:val="18"/>
                <w:szCs w:val="18"/>
                <w:lang w:val="en-US"/>
              </w:rPr>
              <w:t>7</w:t>
            </w:r>
          </w:p>
        </w:tc>
        <w:tc>
          <w:tcPr>
            <w:tcW w:w="1134" w:type="dxa"/>
            <w:tcBorders>
              <w:top w:val="nil"/>
              <w:left w:val="nil"/>
              <w:bottom w:val="nil"/>
              <w:right w:val="nil"/>
            </w:tcBorders>
            <w:vAlign w:val="bottom"/>
            <w:hideMark/>
          </w:tcPr>
          <w:p w14:paraId="003B5F2F" w14:textId="77777777" w:rsidR="00FE7F8B" w:rsidRDefault="00FE7F8B">
            <w:pPr>
              <w:pStyle w:val="TableTextFinancial"/>
              <w:jc w:val="center"/>
            </w:pPr>
            <w:r>
              <w:rPr>
                <w:sz w:val="18"/>
                <w:szCs w:val="18"/>
                <w:lang w:val="en-US"/>
              </w:rPr>
              <w:t>3</w:t>
            </w:r>
          </w:p>
        </w:tc>
      </w:tr>
      <w:tr w:rsidR="00FE7F8B" w14:paraId="0CC03D7F" w14:textId="77777777" w:rsidTr="00FE7F8B">
        <w:tc>
          <w:tcPr>
            <w:tcW w:w="2835" w:type="dxa"/>
            <w:tcBorders>
              <w:top w:val="nil"/>
              <w:left w:val="nil"/>
              <w:bottom w:val="nil"/>
              <w:right w:val="nil"/>
            </w:tcBorders>
            <w:vAlign w:val="center"/>
            <w:hideMark/>
          </w:tcPr>
          <w:p w14:paraId="45454442" w14:textId="77777777" w:rsidR="00FE7F8B" w:rsidRDefault="00FE7F8B">
            <w:pPr>
              <w:pStyle w:val="TableTextFinancial"/>
            </w:pPr>
            <w:r>
              <w:t>$220,000–$229,999</w:t>
            </w:r>
          </w:p>
        </w:tc>
        <w:tc>
          <w:tcPr>
            <w:tcW w:w="1139" w:type="dxa"/>
            <w:tcBorders>
              <w:top w:val="nil"/>
              <w:left w:val="nil"/>
              <w:bottom w:val="nil"/>
              <w:right w:val="nil"/>
            </w:tcBorders>
            <w:vAlign w:val="bottom"/>
            <w:hideMark/>
          </w:tcPr>
          <w:p w14:paraId="0D58661E"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1352464C"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565F8A54"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2A4AA59D" w14:textId="77777777" w:rsidR="00FE7F8B" w:rsidRDefault="00FE7F8B">
            <w:pPr>
              <w:pStyle w:val="TableTextFinancial"/>
              <w:jc w:val="center"/>
            </w:pPr>
            <w:r>
              <w:rPr>
                <w:sz w:val="18"/>
                <w:szCs w:val="18"/>
                <w:lang w:val="en-US"/>
              </w:rPr>
              <w:t>2</w:t>
            </w:r>
          </w:p>
        </w:tc>
      </w:tr>
      <w:tr w:rsidR="00FE7F8B" w14:paraId="7074DD1B" w14:textId="77777777" w:rsidTr="00FE7F8B">
        <w:tc>
          <w:tcPr>
            <w:tcW w:w="2835" w:type="dxa"/>
            <w:tcBorders>
              <w:top w:val="nil"/>
              <w:left w:val="nil"/>
              <w:bottom w:val="nil"/>
              <w:right w:val="nil"/>
            </w:tcBorders>
            <w:vAlign w:val="center"/>
            <w:hideMark/>
          </w:tcPr>
          <w:p w14:paraId="4603F339" w14:textId="77777777" w:rsidR="00FE7F8B" w:rsidRDefault="00FE7F8B">
            <w:pPr>
              <w:pStyle w:val="TableTextFinancial"/>
            </w:pPr>
            <w:r>
              <w:t>$230,000–$239,999</w:t>
            </w:r>
          </w:p>
        </w:tc>
        <w:tc>
          <w:tcPr>
            <w:tcW w:w="1139" w:type="dxa"/>
            <w:tcBorders>
              <w:top w:val="nil"/>
              <w:left w:val="nil"/>
              <w:bottom w:val="nil"/>
              <w:right w:val="nil"/>
            </w:tcBorders>
            <w:vAlign w:val="bottom"/>
            <w:hideMark/>
          </w:tcPr>
          <w:p w14:paraId="2096B37E"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50709DD2"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0B637236"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01212AD5" w14:textId="77777777" w:rsidR="00FE7F8B" w:rsidRDefault="00FE7F8B">
            <w:pPr>
              <w:pStyle w:val="TableTextFinancial"/>
              <w:jc w:val="center"/>
            </w:pPr>
            <w:r>
              <w:rPr>
                <w:sz w:val="18"/>
                <w:szCs w:val="18"/>
                <w:lang w:val="en-US"/>
              </w:rPr>
              <w:t>5</w:t>
            </w:r>
          </w:p>
        </w:tc>
      </w:tr>
      <w:tr w:rsidR="00FE7F8B" w14:paraId="6669F4BC" w14:textId="77777777" w:rsidTr="00FE7F8B">
        <w:tc>
          <w:tcPr>
            <w:tcW w:w="2835" w:type="dxa"/>
            <w:tcBorders>
              <w:top w:val="nil"/>
              <w:left w:val="nil"/>
              <w:bottom w:val="nil"/>
              <w:right w:val="nil"/>
            </w:tcBorders>
            <w:vAlign w:val="center"/>
            <w:hideMark/>
          </w:tcPr>
          <w:p w14:paraId="4E5349B3" w14:textId="77777777" w:rsidR="00FE7F8B" w:rsidRDefault="00FE7F8B">
            <w:pPr>
              <w:pStyle w:val="TableTextFinancial"/>
            </w:pPr>
            <w:r>
              <w:t>$240,000–$249,999</w:t>
            </w:r>
          </w:p>
        </w:tc>
        <w:tc>
          <w:tcPr>
            <w:tcW w:w="1139" w:type="dxa"/>
            <w:tcBorders>
              <w:top w:val="nil"/>
              <w:left w:val="nil"/>
              <w:bottom w:val="nil"/>
              <w:right w:val="nil"/>
            </w:tcBorders>
            <w:vAlign w:val="bottom"/>
            <w:hideMark/>
          </w:tcPr>
          <w:p w14:paraId="6C3F24D4"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4D74B9D3" w14:textId="77777777" w:rsidR="00FE7F8B" w:rsidRDefault="00FE7F8B">
            <w:pPr>
              <w:pStyle w:val="TableTextFinancial"/>
              <w:jc w:val="center"/>
            </w:pPr>
            <w:r>
              <w:rPr>
                <w:sz w:val="18"/>
                <w:szCs w:val="18"/>
                <w:lang w:val="en-US"/>
              </w:rPr>
              <w:t>8</w:t>
            </w:r>
          </w:p>
        </w:tc>
        <w:tc>
          <w:tcPr>
            <w:tcW w:w="1134" w:type="dxa"/>
            <w:tcBorders>
              <w:top w:val="nil"/>
              <w:left w:val="nil"/>
              <w:bottom w:val="nil"/>
              <w:right w:val="nil"/>
            </w:tcBorders>
            <w:vAlign w:val="bottom"/>
            <w:hideMark/>
          </w:tcPr>
          <w:p w14:paraId="1209A135"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167A21A8" w14:textId="77777777" w:rsidR="00FE7F8B" w:rsidRDefault="00FE7F8B">
            <w:pPr>
              <w:pStyle w:val="TableTextFinancial"/>
              <w:jc w:val="center"/>
            </w:pPr>
            <w:r>
              <w:rPr>
                <w:sz w:val="18"/>
                <w:szCs w:val="18"/>
                <w:lang w:val="en-US"/>
              </w:rPr>
              <w:t>3</w:t>
            </w:r>
          </w:p>
        </w:tc>
      </w:tr>
      <w:tr w:rsidR="00FE7F8B" w14:paraId="67CDF9D2" w14:textId="77777777" w:rsidTr="00FE7F8B">
        <w:tc>
          <w:tcPr>
            <w:tcW w:w="2835" w:type="dxa"/>
            <w:tcBorders>
              <w:top w:val="nil"/>
              <w:left w:val="nil"/>
              <w:bottom w:val="nil"/>
              <w:right w:val="nil"/>
            </w:tcBorders>
            <w:vAlign w:val="center"/>
            <w:hideMark/>
          </w:tcPr>
          <w:p w14:paraId="09DEADD0" w14:textId="77777777" w:rsidR="00FE7F8B" w:rsidRDefault="00FE7F8B">
            <w:pPr>
              <w:pStyle w:val="TableTextFinancial"/>
            </w:pPr>
            <w:r>
              <w:t>$250,000–$259,999</w:t>
            </w:r>
          </w:p>
        </w:tc>
        <w:tc>
          <w:tcPr>
            <w:tcW w:w="1139" w:type="dxa"/>
            <w:tcBorders>
              <w:top w:val="nil"/>
              <w:left w:val="nil"/>
              <w:bottom w:val="nil"/>
              <w:right w:val="nil"/>
            </w:tcBorders>
            <w:vAlign w:val="bottom"/>
            <w:hideMark/>
          </w:tcPr>
          <w:p w14:paraId="3EBEAC0D"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33DB3DFF"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7CE64037" w14:textId="77777777" w:rsidR="00FE7F8B" w:rsidRDefault="00FE7F8B">
            <w:pPr>
              <w:pStyle w:val="TableTextFinancial"/>
              <w:jc w:val="center"/>
            </w:pPr>
            <w:r>
              <w:rPr>
                <w:sz w:val="18"/>
                <w:szCs w:val="18"/>
                <w:lang w:val="en-US"/>
              </w:rPr>
              <w:t>3</w:t>
            </w:r>
          </w:p>
        </w:tc>
        <w:tc>
          <w:tcPr>
            <w:tcW w:w="1134" w:type="dxa"/>
            <w:tcBorders>
              <w:top w:val="nil"/>
              <w:left w:val="nil"/>
              <w:bottom w:val="nil"/>
              <w:right w:val="nil"/>
            </w:tcBorders>
            <w:vAlign w:val="bottom"/>
            <w:hideMark/>
          </w:tcPr>
          <w:p w14:paraId="283A835B" w14:textId="77777777" w:rsidR="00FE7F8B" w:rsidRDefault="00FE7F8B">
            <w:pPr>
              <w:pStyle w:val="TableTextFinancial"/>
              <w:jc w:val="center"/>
            </w:pPr>
            <w:r>
              <w:rPr>
                <w:sz w:val="18"/>
                <w:szCs w:val="18"/>
                <w:lang w:val="en-US"/>
              </w:rPr>
              <w:t>1</w:t>
            </w:r>
          </w:p>
        </w:tc>
      </w:tr>
      <w:tr w:rsidR="00FE7F8B" w14:paraId="0D66A3F5" w14:textId="77777777" w:rsidTr="00FE7F8B">
        <w:tc>
          <w:tcPr>
            <w:tcW w:w="2835" w:type="dxa"/>
            <w:tcBorders>
              <w:top w:val="nil"/>
              <w:left w:val="nil"/>
              <w:bottom w:val="nil"/>
              <w:right w:val="nil"/>
            </w:tcBorders>
            <w:vAlign w:val="center"/>
            <w:hideMark/>
          </w:tcPr>
          <w:p w14:paraId="63F5DD3B" w14:textId="77777777" w:rsidR="00FE7F8B" w:rsidRDefault="00FE7F8B">
            <w:pPr>
              <w:pStyle w:val="TableTextFinancial"/>
            </w:pPr>
            <w:r>
              <w:t>$260,000–$269,999</w:t>
            </w:r>
          </w:p>
        </w:tc>
        <w:tc>
          <w:tcPr>
            <w:tcW w:w="1139" w:type="dxa"/>
            <w:tcBorders>
              <w:top w:val="nil"/>
              <w:left w:val="nil"/>
              <w:bottom w:val="nil"/>
              <w:right w:val="nil"/>
            </w:tcBorders>
            <w:vAlign w:val="bottom"/>
            <w:hideMark/>
          </w:tcPr>
          <w:p w14:paraId="6A350882" w14:textId="77777777" w:rsidR="00FE7F8B" w:rsidRDefault="00FE7F8B">
            <w:pPr>
              <w:pStyle w:val="TableTextFinancial"/>
              <w:jc w:val="center"/>
            </w:pPr>
            <w:r>
              <w:rPr>
                <w:sz w:val="18"/>
                <w:szCs w:val="18"/>
                <w:lang w:val="en-US"/>
              </w:rPr>
              <w:t>5</w:t>
            </w:r>
          </w:p>
        </w:tc>
        <w:tc>
          <w:tcPr>
            <w:tcW w:w="1134" w:type="dxa"/>
            <w:tcBorders>
              <w:top w:val="nil"/>
              <w:left w:val="nil"/>
              <w:bottom w:val="nil"/>
              <w:right w:val="nil"/>
            </w:tcBorders>
            <w:vAlign w:val="bottom"/>
            <w:hideMark/>
          </w:tcPr>
          <w:p w14:paraId="0F944888"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46AF5310"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4F12557E" w14:textId="77777777" w:rsidR="00FE7F8B" w:rsidRDefault="00FE7F8B">
            <w:pPr>
              <w:pStyle w:val="TableTextFinancial"/>
              <w:jc w:val="center"/>
            </w:pPr>
            <w:r>
              <w:rPr>
                <w:sz w:val="18"/>
                <w:szCs w:val="18"/>
                <w:lang w:val="en-US"/>
              </w:rPr>
              <w:t>1</w:t>
            </w:r>
          </w:p>
        </w:tc>
      </w:tr>
      <w:tr w:rsidR="00FE7F8B" w14:paraId="719D52A8" w14:textId="77777777" w:rsidTr="00FE7F8B">
        <w:tc>
          <w:tcPr>
            <w:tcW w:w="2835" w:type="dxa"/>
            <w:tcBorders>
              <w:top w:val="nil"/>
              <w:left w:val="nil"/>
              <w:bottom w:val="nil"/>
              <w:right w:val="nil"/>
            </w:tcBorders>
            <w:vAlign w:val="center"/>
            <w:hideMark/>
          </w:tcPr>
          <w:p w14:paraId="35ACB809" w14:textId="77777777" w:rsidR="00FE7F8B" w:rsidRDefault="00FE7F8B">
            <w:pPr>
              <w:pStyle w:val="TableTextFinancial"/>
            </w:pPr>
            <w:r>
              <w:t>$270,000–$279,999</w:t>
            </w:r>
          </w:p>
        </w:tc>
        <w:tc>
          <w:tcPr>
            <w:tcW w:w="1139" w:type="dxa"/>
            <w:tcBorders>
              <w:top w:val="nil"/>
              <w:left w:val="nil"/>
              <w:bottom w:val="nil"/>
              <w:right w:val="nil"/>
            </w:tcBorders>
            <w:vAlign w:val="bottom"/>
            <w:hideMark/>
          </w:tcPr>
          <w:p w14:paraId="3E1CF66E" w14:textId="77777777" w:rsidR="00FE7F8B" w:rsidRDefault="00FE7F8B">
            <w:pPr>
              <w:pStyle w:val="TableTextFinancial"/>
              <w:jc w:val="center"/>
            </w:pPr>
            <w:r>
              <w:rPr>
                <w:sz w:val="18"/>
                <w:szCs w:val="18"/>
                <w:lang w:val="en-US"/>
              </w:rPr>
              <w:t>4</w:t>
            </w:r>
          </w:p>
        </w:tc>
        <w:tc>
          <w:tcPr>
            <w:tcW w:w="1134" w:type="dxa"/>
            <w:tcBorders>
              <w:top w:val="nil"/>
              <w:left w:val="nil"/>
              <w:bottom w:val="nil"/>
              <w:right w:val="nil"/>
            </w:tcBorders>
            <w:vAlign w:val="bottom"/>
            <w:hideMark/>
          </w:tcPr>
          <w:p w14:paraId="7826A689"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7DCFC808" w14:textId="77777777" w:rsidR="00FE7F8B" w:rsidRDefault="00FE7F8B">
            <w:pPr>
              <w:pStyle w:val="TableTextFinancial"/>
              <w:jc w:val="center"/>
            </w:pPr>
            <w:r>
              <w:rPr>
                <w:sz w:val="18"/>
                <w:szCs w:val="18"/>
                <w:lang w:val="en-US"/>
              </w:rPr>
              <w:t>2</w:t>
            </w:r>
          </w:p>
        </w:tc>
        <w:tc>
          <w:tcPr>
            <w:tcW w:w="1134" w:type="dxa"/>
            <w:tcBorders>
              <w:top w:val="nil"/>
              <w:left w:val="nil"/>
              <w:bottom w:val="nil"/>
              <w:right w:val="nil"/>
            </w:tcBorders>
            <w:vAlign w:val="bottom"/>
            <w:hideMark/>
          </w:tcPr>
          <w:p w14:paraId="2739DB43" w14:textId="77777777" w:rsidR="00FE7F8B" w:rsidRDefault="00FE7F8B">
            <w:pPr>
              <w:pStyle w:val="TableTextFinancial"/>
              <w:jc w:val="center"/>
            </w:pPr>
            <w:r>
              <w:rPr>
                <w:sz w:val="18"/>
                <w:szCs w:val="18"/>
                <w:lang w:val="en-US"/>
              </w:rPr>
              <w:t>1</w:t>
            </w:r>
          </w:p>
        </w:tc>
      </w:tr>
      <w:tr w:rsidR="00FE7F8B" w14:paraId="0780E4B5" w14:textId="77777777" w:rsidTr="00FE7F8B">
        <w:tc>
          <w:tcPr>
            <w:tcW w:w="2835" w:type="dxa"/>
            <w:tcBorders>
              <w:top w:val="nil"/>
              <w:left w:val="nil"/>
              <w:bottom w:val="nil"/>
              <w:right w:val="nil"/>
            </w:tcBorders>
            <w:vAlign w:val="center"/>
            <w:hideMark/>
          </w:tcPr>
          <w:p w14:paraId="3B78F583" w14:textId="77777777" w:rsidR="00FE7F8B" w:rsidRDefault="00FE7F8B">
            <w:pPr>
              <w:pStyle w:val="TableTextFinancial"/>
            </w:pPr>
            <w:r>
              <w:t>$280,000–$289,999</w:t>
            </w:r>
          </w:p>
        </w:tc>
        <w:tc>
          <w:tcPr>
            <w:tcW w:w="1139" w:type="dxa"/>
            <w:tcBorders>
              <w:top w:val="nil"/>
              <w:left w:val="nil"/>
              <w:bottom w:val="nil"/>
              <w:right w:val="nil"/>
            </w:tcBorders>
            <w:vAlign w:val="bottom"/>
            <w:hideMark/>
          </w:tcPr>
          <w:p w14:paraId="2A6F6D72"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0FC67380"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4B49BB1C"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669BF131" w14:textId="77777777" w:rsidR="00FE7F8B" w:rsidRDefault="00FE7F8B">
            <w:pPr>
              <w:pStyle w:val="TableTextFinancial"/>
              <w:jc w:val="center"/>
            </w:pPr>
            <w:r>
              <w:rPr>
                <w:sz w:val="18"/>
                <w:szCs w:val="18"/>
                <w:lang w:val="en-US"/>
              </w:rPr>
              <w:t>-</w:t>
            </w:r>
          </w:p>
        </w:tc>
      </w:tr>
      <w:tr w:rsidR="00FE7F8B" w14:paraId="7DF884ED" w14:textId="77777777" w:rsidTr="00FE7F8B">
        <w:tc>
          <w:tcPr>
            <w:tcW w:w="2835" w:type="dxa"/>
            <w:tcBorders>
              <w:top w:val="nil"/>
              <w:left w:val="nil"/>
              <w:bottom w:val="nil"/>
              <w:right w:val="nil"/>
            </w:tcBorders>
            <w:vAlign w:val="center"/>
            <w:hideMark/>
          </w:tcPr>
          <w:p w14:paraId="76D2A98D" w14:textId="77777777" w:rsidR="00FE7F8B" w:rsidRDefault="00FE7F8B">
            <w:pPr>
              <w:pStyle w:val="TableTextFinancial"/>
            </w:pPr>
            <w:r>
              <w:t>$290,000–$299,999</w:t>
            </w:r>
          </w:p>
        </w:tc>
        <w:tc>
          <w:tcPr>
            <w:tcW w:w="1139" w:type="dxa"/>
            <w:tcBorders>
              <w:top w:val="nil"/>
              <w:left w:val="nil"/>
              <w:bottom w:val="nil"/>
              <w:right w:val="nil"/>
            </w:tcBorders>
            <w:vAlign w:val="bottom"/>
            <w:hideMark/>
          </w:tcPr>
          <w:p w14:paraId="0ABF701A"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6D3C3BE2"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3AD22DE9"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2C381132" w14:textId="77777777" w:rsidR="00FE7F8B" w:rsidRDefault="00FE7F8B">
            <w:pPr>
              <w:pStyle w:val="TableTextFinancial"/>
              <w:jc w:val="center"/>
            </w:pPr>
            <w:r>
              <w:rPr>
                <w:sz w:val="18"/>
                <w:szCs w:val="18"/>
                <w:lang w:val="en-US"/>
              </w:rPr>
              <w:t>1</w:t>
            </w:r>
          </w:p>
        </w:tc>
      </w:tr>
      <w:tr w:rsidR="00FE7F8B" w14:paraId="5639EC8F" w14:textId="77777777" w:rsidTr="00FE7F8B">
        <w:tc>
          <w:tcPr>
            <w:tcW w:w="2835" w:type="dxa"/>
            <w:tcBorders>
              <w:top w:val="nil"/>
              <w:left w:val="nil"/>
              <w:bottom w:val="nil"/>
              <w:right w:val="nil"/>
            </w:tcBorders>
            <w:vAlign w:val="center"/>
            <w:hideMark/>
          </w:tcPr>
          <w:p w14:paraId="4210692A" w14:textId="77777777" w:rsidR="00FE7F8B" w:rsidRDefault="00FE7F8B">
            <w:pPr>
              <w:pStyle w:val="TableTextFinancial"/>
            </w:pPr>
            <w:r>
              <w:t>$300,000–$309,999</w:t>
            </w:r>
          </w:p>
        </w:tc>
        <w:tc>
          <w:tcPr>
            <w:tcW w:w="1139" w:type="dxa"/>
            <w:tcBorders>
              <w:top w:val="nil"/>
              <w:left w:val="nil"/>
              <w:bottom w:val="nil"/>
              <w:right w:val="nil"/>
            </w:tcBorders>
            <w:vAlign w:val="bottom"/>
            <w:hideMark/>
          </w:tcPr>
          <w:p w14:paraId="0A9F4DD9"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1C7A2C4A"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1601DE0A"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60AFE03A" w14:textId="77777777" w:rsidR="00FE7F8B" w:rsidRDefault="00FE7F8B">
            <w:pPr>
              <w:pStyle w:val="TableTextFinancial"/>
              <w:jc w:val="center"/>
            </w:pPr>
            <w:r>
              <w:rPr>
                <w:sz w:val="18"/>
                <w:szCs w:val="18"/>
                <w:lang w:val="en-US"/>
              </w:rPr>
              <w:t>-</w:t>
            </w:r>
          </w:p>
        </w:tc>
      </w:tr>
      <w:tr w:rsidR="00FE7F8B" w14:paraId="712DCC65" w14:textId="77777777" w:rsidTr="00FE7F8B">
        <w:tc>
          <w:tcPr>
            <w:tcW w:w="2835" w:type="dxa"/>
            <w:tcBorders>
              <w:top w:val="nil"/>
              <w:left w:val="nil"/>
              <w:bottom w:val="nil"/>
              <w:right w:val="nil"/>
            </w:tcBorders>
            <w:vAlign w:val="center"/>
            <w:hideMark/>
          </w:tcPr>
          <w:p w14:paraId="0734FB7A" w14:textId="77777777" w:rsidR="00FE7F8B" w:rsidRDefault="00FE7F8B">
            <w:pPr>
              <w:pStyle w:val="TableTextFinancial"/>
            </w:pPr>
            <w:r>
              <w:t>$310,000–$319,999</w:t>
            </w:r>
          </w:p>
        </w:tc>
        <w:tc>
          <w:tcPr>
            <w:tcW w:w="1139" w:type="dxa"/>
            <w:tcBorders>
              <w:top w:val="nil"/>
              <w:left w:val="nil"/>
              <w:bottom w:val="nil"/>
              <w:right w:val="nil"/>
            </w:tcBorders>
            <w:vAlign w:val="bottom"/>
            <w:hideMark/>
          </w:tcPr>
          <w:p w14:paraId="16A01C6A"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176EBE9D"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0E93580B"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45A54AA7" w14:textId="77777777" w:rsidR="00FE7F8B" w:rsidRDefault="00FE7F8B">
            <w:pPr>
              <w:pStyle w:val="TableTextFinancial"/>
              <w:jc w:val="center"/>
            </w:pPr>
            <w:r>
              <w:rPr>
                <w:sz w:val="18"/>
                <w:szCs w:val="18"/>
                <w:lang w:val="en-US"/>
              </w:rPr>
              <w:t>-</w:t>
            </w:r>
          </w:p>
        </w:tc>
      </w:tr>
      <w:tr w:rsidR="00FE7F8B" w14:paraId="128B365C" w14:textId="77777777" w:rsidTr="00FE7F8B">
        <w:tc>
          <w:tcPr>
            <w:tcW w:w="2835" w:type="dxa"/>
            <w:tcBorders>
              <w:top w:val="nil"/>
              <w:left w:val="nil"/>
              <w:bottom w:val="nil"/>
              <w:right w:val="nil"/>
            </w:tcBorders>
            <w:vAlign w:val="center"/>
            <w:hideMark/>
          </w:tcPr>
          <w:p w14:paraId="050735D5" w14:textId="77777777" w:rsidR="00FE7F8B" w:rsidRDefault="00FE7F8B">
            <w:pPr>
              <w:pStyle w:val="TableTextFinancial"/>
            </w:pPr>
            <w:r>
              <w:t>$330,000–$339,000</w:t>
            </w:r>
          </w:p>
        </w:tc>
        <w:tc>
          <w:tcPr>
            <w:tcW w:w="1139" w:type="dxa"/>
            <w:tcBorders>
              <w:top w:val="nil"/>
              <w:left w:val="nil"/>
              <w:bottom w:val="nil"/>
              <w:right w:val="nil"/>
            </w:tcBorders>
            <w:vAlign w:val="bottom"/>
            <w:hideMark/>
          </w:tcPr>
          <w:p w14:paraId="00A8D8AA"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688CB2A5"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78AE4951"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513FAAE0" w14:textId="77777777" w:rsidR="00FE7F8B" w:rsidRDefault="00FE7F8B">
            <w:pPr>
              <w:pStyle w:val="TableTextFinancial"/>
              <w:jc w:val="center"/>
            </w:pPr>
            <w:r>
              <w:rPr>
                <w:sz w:val="18"/>
                <w:szCs w:val="18"/>
                <w:lang w:val="en-US"/>
              </w:rPr>
              <w:t>1</w:t>
            </w:r>
          </w:p>
        </w:tc>
      </w:tr>
      <w:tr w:rsidR="00FE7F8B" w14:paraId="4129C14D" w14:textId="77777777" w:rsidTr="00FE7F8B">
        <w:tc>
          <w:tcPr>
            <w:tcW w:w="2835" w:type="dxa"/>
            <w:tcBorders>
              <w:top w:val="nil"/>
              <w:left w:val="nil"/>
              <w:bottom w:val="nil"/>
              <w:right w:val="nil"/>
            </w:tcBorders>
            <w:vAlign w:val="center"/>
            <w:hideMark/>
          </w:tcPr>
          <w:p w14:paraId="01B118E1" w14:textId="77777777" w:rsidR="00FE7F8B" w:rsidRDefault="00FE7F8B">
            <w:pPr>
              <w:pStyle w:val="TableTextFinancial"/>
            </w:pPr>
            <w:r>
              <w:t>$350,000–$359,999</w:t>
            </w:r>
          </w:p>
        </w:tc>
        <w:tc>
          <w:tcPr>
            <w:tcW w:w="1139" w:type="dxa"/>
            <w:tcBorders>
              <w:top w:val="nil"/>
              <w:left w:val="nil"/>
              <w:bottom w:val="nil"/>
              <w:right w:val="nil"/>
            </w:tcBorders>
            <w:vAlign w:val="bottom"/>
            <w:hideMark/>
          </w:tcPr>
          <w:p w14:paraId="02141EB9"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58EB4E6A"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562C139D"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73F961CC" w14:textId="77777777" w:rsidR="00FE7F8B" w:rsidRDefault="00FE7F8B">
            <w:pPr>
              <w:pStyle w:val="TableTextFinancial"/>
              <w:jc w:val="center"/>
            </w:pPr>
            <w:r>
              <w:rPr>
                <w:sz w:val="18"/>
                <w:szCs w:val="18"/>
                <w:lang w:val="en-US"/>
              </w:rPr>
              <w:t>1</w:t>
            </w:r>
          </w:p>
        </w:tc>
      </w:tr>
      <w:tr w:rsidR="00FE7F8B" w14:paraId="145F4A53" w14:textId="77777777" w:rsidTr="00FE7F8B">
        <w:tc>
          <w:tcPr>
            <w:tcW w:w="2835" w:type="dxa"/>
            <w:tcBorders>
              <w:top w:val="nil"/>
              <w:left w:val="nil"/>
              <w:bottom w:val="nil"/>
              <w:right w:val="nil"/>
            </w:tcBorders>
            <w:vAlign w:val="center"/>
            <w:hideMark/>
          </w:tcPr>
          <w:p w14:paraId="79E979EA" w14:textId="77777777" w:rsidR="00FE7F8B" w:rsidRDefault="00FE7F8B">
            <w:pPr>
              <w:pStyle w:val="TableTextFinancial"/>
            </w:pPr>
            <w:r>
              <w:t>$370,000–$379,999</w:t>
            </w:r>
          </w:p>
        </w:tc>
        <w:tc>
          <w:tcPr>
            <w:tcW w:w="1139" w:type="dxa"/>
            <w:tcBorders>
              <w:top w:val="nil"/>
              <w:left w:val="nil"/>
              <w:bottom w:val="nil"/>
              <w:right w:val="nil"/>
            </w:tcBorders>
            <w:vAlign w:val="bottom"/>
            <w:hideMark/>
          </w:tcPr>
          <w:p w14:paraId="0CF70923"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7C263264" w14:textId="77777777" w:rsidR="00FE7F8B" w:rsidRDefault="00FE7F8B">
            <w:pPr>
              <w:pStyle w:val="TableTextFinancial"/>
              <w:jc w:val="center"/>
            </w:pPr>
            <w:r>
              <w:rPr>
                <w:sz w:val="18"/>
                <w:szCs w:val="18"/>
                <w:lang w:val="en-US"/>
              </w:rPr>
              <w:t>1</w:t>
            </w:r>
          </w:p>
        </w:tc>
        <w:tc>
          <w:tcPr>
            <w:tcW w:w="1134" w:type="dxa"/>
            <w:tcBorders>
              <w:top w:val="nil"/>
              <w:left w:val="nil"/>
              <w:bottom w:val="nil"/>
              <w:right w:val="nil"/>
            </w:tcBorders>
            <w:vAlign w:val="bottom"/>
            <w:hideMark/>
          </w:tcPr>
          <w:p w14:paraId="60682CBF" w14:textId="77777777" w:rsidR="00FE7F8B" w:rsidRDefault="00FE7F8B">
            <w:pPr>
              <w:pStyle w:val="TableTextFinancial"/>
              <w:jc w:val="center"/>
            </w:pPr>
            <w:r>
              <w:rPr>
                <w:sz w:val="18"/>
                <w:szCs w:val="18"/>
                <w:lang w:val="en-US"/>
              </w:rPr>
              <w:t>-</w:t>
            </w:r>
          </w:p>
        </w:tc>
        <w:tc>
          <w:tcPr>
            <w:tcW w:w="1134" w:type="dxa"/>
            <w:tcBorders>
              <w:top w:val="nil"/>
              <w:left w:val="nil"/>
              <w:bottom w:val="nil"/>
              <w:right w:val="nil"/>
            </w:tcBorders>
            <w:vAlign w:val="bottom"/>
            <w:hideMark/>
          </w:tcPr>
          <w:p w14:paraId="1789967F" w14:textId="77777777" w:rsidR="00FE7F8B" w:rsidRDefault="00FE7F8B">
            <w:pPr>
              <w:pStyle w:val="TableTextFinancial"/>
              <w:jc w:val="center"/>
            </w:pPr>
            <w:r>
              <w:rPr>
                <w:sz w:val="18"/>
                <w:szCs w:val="18"/>
                <w:lang w:val="en-US"/>
              </w:rPr>
              <w:t>-</w:t>
            </w:r>
          </w:p>
        </w:tc>
      </w:tr>
      <w:tr w:rsidR="00FE7F8B" w14:paraId="49939B05" w14:textId="77777777" w:rsidTr="00FE7F8B">
        <w:tc>
          <w:tcPr>
            <w:tcW w:w="2835" w:type="dxa"/>
            <w:tcBorders>
              <w:top w:val="nil"/>
              <w:left w:val="nil"/>
              <w:bottom w:val="single" w:sz="4" w:space="0" w:color="auto"/>
              <w:right w:val="nil"/>
            </w:tcBorders>
            <w:vAlign w:val="center"/>
            <w:hideMark/>
          </w:tcPr>
          <w:p w14:paraId="26B310DF" w14:textId="77777777" w:rsidR="00FE7F8B" w:rsidRDefault="00FE7F8B">
            <w:pPr>
              <w:pStyle w:val="TableTextFinancial"/>
            </w:pPr>
            <w:r>
              <w:t>$830,000–$839,999</w:t>
            </w:r>
          </w:p>
        </w:tc>
        <w:tc>
          <w:tcPr>
            <w:tcW w:w="1139" w:type="dxa"/>
            <w:tcBorders>
              <w:top w:val="nil"/>
              <w:left w:val="nil"/>
              <w:bottom w:val="single" w:sz="4" w:space="0" w:color="auto"/>
              <w:right w:val="nil"/>
            </w:tcBorders>
            <w:vAlign w:val="bottom"/>
            <w:hideMark/>
          </w:tcPr>
          <w:p w14:paraId="3E9AEFC3" w14:textId="77777777" w:rsidR="00FE7F8B" w:rsidRDefault="00FE7F8B">
            <w:pPr>
              <w:pStyle w:val="TableTextFinancial"/>
              <w:jc w:val="center"/>
            </w:pPr>
            <w:r>
              <w:rPr>
                <w:sz w:val="18"/>
                <w:szCs w:val="18"/>
                <w:lang w:val="en-US"/>
              </w:rPr>
              <w:t>-</w:t>
            </w:r>
          </w:p>
        </w:tc>
        <w:tc>
          <w:tcPr>
            <w:tcW w:w="1134" w:type="dxa"/>
            <w:tcBorders>
              <w:top w:val="nil"/>
              <w:left w:val="nil"/>
              <w:bottom w:val="single" w:sz="4" w:space="0" w:color="auto"/>
              <w:right w:val="nil"/>
            </w:tcBorders>
            <w:vAlign w:val="bottom"/>
            <w:hideMark/>
          </w:tcPr>
          <w:p w14:paraId="58ECE0E2" w14:textId="77777777" w:rsidR="00FE7F8B" w:rsidRDefault="00FE7F8B">
            <w:pPr>
              <w:pStyle w:val="TableTextFinancial"/>
              <w:jc w:val="center"/>
            </w:pPr>
            <w:r>
              <w:rPr>
                <w:sz w:val="18"/>
                <w:szCs w:val="18"/>
                <w:lang w:val="en-US"/>
              </w:rPr>
              <w:t>1</w:t>
            </w:r>
          </w:p>
        </w:tc>
        <w:tc>
          <w:tcPr>
            <w:tcW w:w="1134" w:type="dxa"/>
            <w:tcBorders>
              <w:top w:val="nil"/>
              <w:left w:val="nil"/>
              <w:bottom w:val="single" w:sz="4" w:space="0" w:color="auto"/>
              <w:right w:val="nil"/>
            </w:tcBorders>
            <w:vAlign w:val="bottom"/>
            <w:hideMark/>
          </w:tcPr>
          <w:p w14:paraId="127C1E2A" w14:textId="77777777" w:rsidR="00FE7F8B" w:rsidRDefault="00FE7F8B">
            <w:pPr>
              <w:pStyle w:val="TableTextFinancial"/>
              <w:jc w:val="center"/>
            </w:pPr>
            <w:r>
              <w:rPr>
                <w:sz w:val="18"/>
                <w:szCs w:val="18"/>
                <w:lang w:val="en-US"/>
              </w:rPr>
              <w:t>-</w:t>
            </w:r>
          </w:p>
        </w:tc>
        <w:tc>
          <w:tcPr>
            <w:tcW w:w="1134" w:type="dxa"/>
            <w:tcBorders>
              <w:top w:val="nil"/>
              <w:left w:val="nil"/>
              <w:bottom w:val="single" w:sz="4" w:space="0" w:color="auto"/>
              <w:right w:val="nil"/>
            </w:tcBorders>
            <w:vAlign w:val="bottom"/>
            <w:hideMark/>
          </w:tcPr>
          <w:p w14:paraId="3E9DDF7D" w14:textId="77777777" w:rsidR="00FE7F8B" w:rsidRDefault="00FE7F8B">
            <w:pPr>
              <w:pStyle w:val="TableTextFinancial"/>
              <w:jc w:val="center"/>
            </w:pPr>
            <w:r>
              <w:rPr>
                <w:sz w:val="18"/>
                <w:szCs w:val="18"/>
                <w:lang w:val="en-US"/>
              </w:rPr>
              <w:t>-</w:t>
            </w:r>
          </w:p>
        </w:tc>
      </w:tr>
      <w:tr w:rsidR="00FE7F8B" w14:paraId="2A30AC36" w14:textId="77777777" w:rsidTr="00FE7F8B">
        <w:tc>
          <w:tcPr>
            <w:tcW w:w="283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EAEFC23" w14:textId="77777777" w:rsidR="00FE7F8B" w:rsidRDefault="00FE7F8B">
            <w:pPr>
              <w:pStyle w:val="TableTextFinancial"/>
              <w:rPr>
                <w:b/>
              </w:rPr>
            </w:pPr>
            <w:r>
              <w:rPr>
                <w:b/>
              </w:rPr>
              <w:t>Total Number</w:t>
            </w:r>
          </w:p>
        </w:tc>
        <w:tc>
          <w:tcPr>
            <w:tcW w:w="1139"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5A0BA514" w14:textId="77777777" w:rsidR="00FE7F8B" w:rsidRDefault="00FE7F8B">
            <w:pPr>
              <w:pStyle w:val="TableTextFinancial"/>
              <w:jc w:val="center"/>
              <w:rPr>
                <w:b/>
              </w:rPr>
            </w:pPr>
            <w:r>
              <w:rPr>
                <w:b/>
              </w:rPr>
              <w:t>71</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BC8CC5B" w14:textId="77777777" w:rsidR="00FE7F8B" w:rsidRDefault="00FE7F8B">
            <w:pPr>
              <w:pStyle w:val="TableTextFinancial"/>
              <w:jc w:val="center"/>
              <w:rPr>
                <w:b/>
              </w:rPr>
            </w:pPr>
            <w:r>
              <w:rPr>
                <w:b/>
              </w:rPr>
              <w:t>70</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1547B9A" w14:textId="77777777" w:rsidR="00FE7F8B" w:rsidRDefault="00FE7F8B">
            <w:pPr>
              <w:pStyle w:val="TableTextFinancial"/>
              <w:jc w:val="center"/>
              <w:rPr>
                <w:b/>
              </w:rPr>
            </w:pPr>
            <w:r>
              <w:rPr>
                <w:b/>
              </w:rPr>
              <w:t>71</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111693CC" w14:textId="77777777" w:rsidR="00FE7F8B" w:rsidRDefault="00FE7F8B">
            <w:pPr>
              <w:pStyle w:val="TableTextFinancial"/>
              <w:jc w:val="center"/>
              <w:rPr>
                <w:b/>
              </w:rPr>
            </w:pPr>
            <w:r>
              <w:rPr>
                <w:b/>
              </w:rPr>
              <w:t>70</w:t>
            </w:r>
          </w:p>
        </w:tc>
      </w:tr>
      <w:tr w:rsidR="00FE7F8B" w14:paraId="0F9A6C2A" w14:textId="77777777" w:rsidTr="00FE7F8B">
        <w:tc>
          <w:tcPr>
            <w:tcW w:w="2835" w:type="dxa"/>
            <w:tcBorders>
              <w:top w:val="single" w:sz="4" w:space="0" w:color="auto"/>
              <w:left w:val="nil"/>
              <w:bottom w:val="single" w:sz="4" w:space="0" w:color="auto"/>
              <w:right w:val="nil"/>
            </w:tcBorders>
            <w:vAlign w:val="bottom"/>
            <w:hideMark/>
          </w:tcPr>
          <w:p w14:paraId="284B68D0" w14:textId="77777777" w:rsidR="00FE7F8B" w:rsidRDefault="00FE7F8B">
            <w:pPr>
              <w:pStyle w:val="TableTextFinancial"/>
              <w:rPr>
                <w:b/>
              </w:rPr>
            </w:pPr>
            <w:r>
              <w:rPr>
                <w:b/>
              </w:rPr>
              <w:t>Total annualised employee equivalents</w:t>
            </w:r>
          </w:p>
        </w:tc>
        <w:tc>
          <w:tcPr>
            <w:tcW w:w="1139" w:type="dxa"/>
            <w:tcBorders>
              <w:top w:val="single" w:sz="4" w:space="0" w:color="auto"/>
              <w:left w:val="nil"/>
              <w:bottom w:val="single" w:sz="4" w:space="0" w:color="auto"/>
              <w:right w:val="nil"/>
            </w:tcBorders>
            <w:vAlign w:val="bottom"/>
            <w:hideMark/>
          </w:tcPr>
          <w:p w14:paraId="7000BB31" w14:textId="77777777" w:rsidR="00FE7F8B" w:rsidRDefault="00FE7F8B">
            <w:pPr>
              <w:pStyle w:val="TableTextFinancial"/>
              <w:jc w:val="center"/>
              <w:rPr>
                <w:b/>
              </w:rPr>
            </w:pPr>
            <w:r>
              <w:rPr>
                <w:b/>
              </w:rPr>
              <w:t>61.9</w:t>
            </w:r>
          </w:p>
        </w:tc>
        <w:tc>
          <w:tcPr>
            <w:tcW w:w="1134" w:type="dxa"/>
            <w:tcBorders>
              <w:top w:val="single" w:sz="4" w:space="0" w:color="auto"/>
              <w:left w:val="nil"/>
              <w:bottom w:val="single" w:sz="4" w:space="0" w:color="auto"/>
              <w:right w:val="nil"/>
            </w:tcBorders>
            <w:vAlign w:val="bottom"/>
            <w:hideMark/>
          </w:tcPr>
          <w:p w14:paraId="671A3984" w14:textId="77777777" w:rsidR="00FE7F8B" w:rsidRDefault="00FE7F8B">
            <w:pPr>
              <w:pStyle w:val="TableTextFinancial"/>
              <w:jc w:val="center"/>
              <w:rPr>
                <w:b/>
              </w:rPr>
            </w:pPr>
            <w:r>
              <w:rPr>
                <w:b/>
              </w:rPr>
              <w:t>66.7</w:t>
            </w:r>
          </w:p>
        </w:tc>
        <w:tc>
          <w:tcPr>
            <w:tcW w:w="1134" w:type="dxa"/>
            <w:tcBorders>
              <w:top w:val="single" w:sz="4" w:space="0" w:color="auto"/>
              <w:left w:val="nil"/>
              <w:bottom w:val="single" w:sz="4" w:space="0" w:color="auto"/>
              <w:right w:val="nil"/>
            </w:tcBorders>
            <w:vAlign w:val="bottom"/>
            <w:hideMark/>
          </w:tcPr>
          <w:p w14:paraId="741D5A63" w14:textId="77777777" w:rsidR="00FE7F8B" w:rsidRDefault="00FE7F8B">
            <w:pPr>
              <w:pStyle w:val="TableTextFinancial"/>
              <w:jc w:val="center"/>
              <w:rPr>
                <w:b/>
              </w:rPr>
            </w:pPr>
            <w:r>
              <w:rPr>
                <w:b/>
              </w:rPr>
              <w:t>61.9</w:t>
            </w:r>
          </w:p>
        </w:tc>
        <w:tc>
          <w:tcPr>
            <w:tcW w:w="1134" w:type="dxa"/>
            <w:tcBorders>
              <w:top w:val="single" w:sz="4" w:space="0" w:color="auto"/>
              <w:left w:val="nil"/>
              <w:bottom w:val="single" w:sz="4" w:space="0" w:color="auto"/>
              <w:right w:val="nil"/>
            </w:tcBorders>
            <w:vAlign w:val="bottom"/>
            <w:hideMark/>
          </w:tcPr>
          <w:p w14:paraId="25217536" w14:textId="77777777" w:rsidR="00FE7F8B" w:rsidRDefault="00FE7F8B">
            <w:pPr>
              <w:pStyle w:val="TableTextFinancial"/>
              <w:jc w:val="center"/>
              <w:rPr>
                <w:b/>
              </w:rPr>
            </w:pPr>
            <w:r>
              <w:rPr>
                <w:b/>
              </w:rPr>
              <w:t>66.7</w:t>
            </w:r>
          </w:p>
        </w:tc>
      </w:tr>
      <w:tr w:rsidR="00FE7F8B" w14:paraId="7EE138B2" w14:textId="77777777" w:rsidTr="00FE7F8B">
        <w:tc>
          <w:tcPr>
            <w:tcW w:w="2835"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32344F0A" w14:textId="77777777" w:rsidR="00FE7F8B" w:rsidRDefault="00FE7F8B">
            <w:pPr>
              <w:pStyle w:val="TableTextFinancial"/>
              <w:rPr>
                <w:b/>
              </w:rPr>
            </w:pPr>
            <w:r>
              <w:rPr>
                <w:b/>
              </w:rPr>
              <w:t>Total remuneration $m</w:t>
            </w:r>
          </w:p>
        </w:tc>
        <w:tc>
          <w:tcPr>
            <w:tcW w:w="1139"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1BC90CED" w14:textId="77777777" w:rsidR="00FE7F8B" w:rsidRDefault="00FE7F8B">
            <w:pPr>
              <w:pStyle w:val="TableTextFinancial"/>
              <w:jc w:val="center"/>
              <w:rPr>
                <w:b/>
              </w:rPr>
            </w:pPr>
            <w:r>
              <w:rPr>
                <w:b/>
              </w:rPr>
              <w:t>13.7</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0B018EDB" w14:textId="77777777" w:rsidR="00FE7F8B" w:rsidRDefault="00FE7F8B">
            <w:pPr>
              <w:pStyle w:val="TableTextFinancial"/>
              <w:jc w:val="center"/>
              <w:rPr>
                <w:b/>
              </w:rPr>
            </w:pPr>
            <w:r>
              <w:rPr>
                <w:b/>
              </w:rPr>
              <w:t>15.1</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55D22839" w14:textId="77777777" w:rsidR="00FE7F8B" w:rsidRDefault="00FE7F8B">
            <w:pPr>
              <w:pStyle w:val="TableTextFinancial"/>
              <w:jc w:val="center"/>
              <w:rPr>
                <w:b/>
              </w:rPr>
            </w:pPr>
            <w:r>
              <w:rPr>
                <w:b/>
              </w:rPr>
              <w:t>12.6</w:t>
            </w:r>
          </w:p>
        </w:tc>
        <w:tc>
          <w:tcPr>
            <w:tcW w:w="1134" w:type="dxa"/>
            <w:tcBorders>
              <w:top w:val="single" w:sz="4" w:space="0" w:color="auto"/>
              <w:left w:val="nil"/>
              <w:bottom w:val="single" w:sz="4" w:space="0" w:color="auto"/>
              <w:right w:val="nil"/>
            </w:tcBorders>
            <w:tcMar>
              <w:top w:w="28" w:type="dxa"/>
              <w:left w:w="0" w:type="dxa"/>
              <w:bottom w:w="0" w:type="dxa"/>
              <w:right w:w="0" w:type="dxa"/>
            </w:tcMar>
            <w:vAlign w:val="bottom"/>
            <w:hideMark/>
          </w:tcPr>
          <w:p w14:paraId="7A5DE32D" w14:textId="77777777" w:rsidR="00FE7F8B" w:rsidRDefault="00FE7F8B">
            <w:pPr>
              <w:pStyle w:val="TableTextFinancial"/>
              <w:jc w:val="center"/>
              <w:rPr>
                <w:b/>
              </w:rPr>
            </w:pPr>
            <w:r>
              <w:rPr>
                <w:b/>
              </w:rPr>
              <w:t>13.5</w:t>
            </w:r>
          </w:p>
        </w:tc>
      </w:tr>
    </w:tbl>
    <w:p w14:paraId="2148EE8A" w14:textId="77777777" w:rsidR="00FE7F8B" w:rsidRDefault="00FE7F8B" w:rsidP="00BB1129">
      <w:pPr>
        <w:pStyle w:val="DETFootnoteTextforobjectivestablesOHStable"/>
        <w:spacing w:before="120"/>
        <w:rPr>
          <w:sz w:val="16"/>
        </w:rPr>
      </w:pPr>
      <w:r>
        <w:t>1 The 2015 comparatives have been adjusted to reflect the removal of data relating to the Victorian Registration and Qualifications Authority (2 executive officers), and the Victorian Curriculum and Assessment Authority (6 executive officers), both of which report this data in their respective annual reports. This maintains parity with data presented in 2016.</w:t>
      </w:r>
    </w:p>
    <w:p w14:paraId="05F3F0F0" w14:textId="77777777" w:rsidR="00FE7F8B" w:rsidRDefault="00FE7F8B" w:rsidP="00AD641C">
      <w:pPr>
        <w:pStyle w:val="Heading3notesnumbered"/>
        <w:numPr>
          <w:ilvl w:val="0"/>
          <w:numId w:val="54"/>
        </w:numPr>
      </w:pPr>
      <w:bookmarkStart w:id="125" w:name="disclosecontractorssigresp"/>
      <w:r>
        <w:t>Payments to other personnel (that is, contractors with significant management responsibilities)</w:t>
      </w:r>
      <w:bookmarkEnd w:id="125"/>
    </w:p>
    <w:p w14:paraId="7A6EE1A1" w14:textId="77777777" w:rsidR="00FE7F8B" w:rsidRDefault="00FE7F8B" w:rsidP="00FE7F8B">
      <w:r>
        <w:t>The following disclosures are made in relation to other personnel of the Department of Education and Training, i.e. contractors charged with significant management responsibilities.</w:t>
      </w:r>
    </w:p>
    <w:p w14:paraId="0AD2D168" w14:textId="3793CFE4" w:rsidR="00BB1129" w:rsidRDefault="00FE7F8B" w:rsidP="00FE7F8B">
      <w:r>
        <w:t>Payments have been made to contractors with significant management responsibilities, which are disclosed in the $</w:t>
      </w:r>
      <w:r w:rsidR="00B12BD5">
        <w:t>10,</w:t>
      </w:r>
      <w:r>
        <w:t>000 expense band. These contractors are responsible for planning, directing or controlling, directly or indirectly, of the Department’s activities.</w:t>
      </w:r>
    </w:p>
    <w:p w14:paraId="5CC5A89A" w14:textId="77777777" w:rsidR="00BB1129" w:rsidRDefault="00BB1129">
      <w:pPr>
        <w:spacing w:after="200" w:line="276" w:lineRule="auto"/>
      </w:pPr>
      <w:r>
        <w:br w:type="page"/>
      </w:r>
    </w:p>
    <w:tbl>
      <w:tblPr>
        <w:tblW w:w="5000" w:type="pct"/>
        <w:tblLook w:val="04A0" w:firstRow="1" w:lastRow="0" w:firstColumn="1" w:lastColumn="0" w:noHBand="0" w:noVBand="1"/>
      </w:tblPr>
      <w:tblGrid>
        <w:gridCol w:w="5360"/>
        <w:gridCol w:w="1079"/>
        <w:gridCol w:w="1150"/>
      </w:tblGrid>
      <w:tr w:rsidR="00FE7F8B" w14:paraId="1FC3E0B2" w14:textId="77777777" w:rsidTr="00FE7F8B">
        <w:trPr>
          <w:trHeight w:val="240"/>
        </w:trPr>
        <w:tc>
          <w:tcPr>
            <w:tcW w:w="3531" w:type="pct"/>
            <w:shd w:val="clear" w:color="auto" w:fill="7F7F7F" w:themeFill="text1" w:themeFillTint="80"/>
            <w:noWrap/>
            <w:vAlign w:val="center"/>
            <w:hideMark/>
          </w:tcPr>
          <w:p w14:paraId="54B83642" w14:textId="77777777" w:rsidR="00FE7F8B" w:rsidRDefault="00FE7F8B"/>
        </w:tc>
        <w:tc>
          <w:tcPr>
            <w:tcW w:w="1469" w:type="pct"/>
            <w:gridSpan w:val="2"/>
            <w:shd w:val="clear" w:color="auto" w:fill="7F7F7F" w:themeFill="text1" w:themeFillTint="80"/>
            <w:noWrap/>
            <w:vAlign w:val="center"/>
            <w:hideMark/>
          </w:tcPr>
          <w:p w14:paraId="3A0653A6" w14:textId="77777777" w:rsidR="00FE7F8B" w:rsidRDefault="00FE7F8B">
            <w:pPr>
              <w:pStyle w:val="Tablecolumnheading"/>
              <w:jc w:val="center"/>
              <w:rPr>
                <w:lang w:eastAsia="en-AU"/>
              </w:rPr>
            </w:pPr>
            <w:r>
              <w:rPr>
                <w:lang w:eastAsia="en-AU"/>
              </w:rPr>
              <w:t>Total expenses</w:t>
            </w:r>
            <w:r>
              <w:rPr>
                <w:lang w:eastAsia="en-AU"/>
              </w:rPr>
              <w:br/>
              <w:t>(exclusive of GST)</w:t>
            </w:r>
          </w:p>
        </w:tc>
      </w:tr>
      <w:tr w:rsidR="00FE7F8B" w14:paraId="662FF4B1" w14:textId="77777777" w:rsidTr="00FE7F8B">
        <w:trPr>
          <w:trHeight w:val="240"/>
        </w:trPr>
        <w:tc>
          <w:tcPr>
            <w:tcW w:w="3531" w:type="pct"/>
            <w:shd w:val="clear" w:color="auto" w:fill="7F7F7F" w:themeFill="text1" w:themeFillTint="80"/>
            <w:noWrap/>
            <w:vAlign w:val="bottom"/>
            <w:hideMark/>
          </w:tcPr>
          <w:p w14:paraId="388FDAE4" w14:textId="77777777" w:rsidR="00FE7F8B" w:rsidRDefault="00FE7F8B">
            <w:pPr>
              <w:pStyle w:val="Tablecolumnheading"/>
              <w:rPr>
                <w:lang w:eastAsia="en-AU"/>
              </w:rPr>
            </w:pPr>
            <w:r>
              <w:rPr>
                <w:lang w:eastAsia="en-AU"/>
              </w:rPr>
              <w:t>Expenses band ($)</w:t>
            </w:r>
          </w:p>
        </w:tc>
        <w:tc>
          <w:tcPr>
            <w:tcW w:w="711" w:type="pct"/>
            <w:shd w:val="clear" w:color="auto" w:fill="7F7F7F" w:themeFill="text1" w:themeFillTint="80"/>
            <w:vAlign w:val="bottom"/>
            <w:hideMark/>
          </w:tcPr>
          <w:p w14:paraId="01CD2896" w14:textId="77777777" w:rsidR="00FE7F8B" w:rsidRDefault="00FE7F8B">
            <w:pPr>
              <w:pStyle w:val="Tablecolumnheading"/>
              <w:jc w:val="center"/>
              <w:rPr>
                <w:lang w:eastAsia="en-AU"/>
              </w:rPr>
            </w:pPr>
            <w:r>
              <w:t>2016 Number</w:t>
            </w:r>
          </w:p>
        </w:tc>
        <w:tc>
          <w:tcPr>
            <w:tcW w:w="758" w:type="pct"/>
            <w:shd w:val="clear" w:color="auto" w:fill="7F7F7F" w:themeFill="text1" w:themeFillTint="80"/>
            <w:vAlign w:val="bottom"/>
            <w:hideMark/>
          </w:tcPr>
          <w:p w14:paraId="369AA81B" w14:textId="77777777" w:rsidR="00FE7F8B" w:rsidRDefault="00FE7F8B">
            <w:pPr>
              <w:pStyle w:val="Tablecolumnheading"/>
              <w:jc w:val="center"/>
              <w:rPr>
                <w:lang w:eastAsia="en-AU"/>
              </w:rPr>
            </w:pPr>
            <w:r>
              <w:t>2015 Number</w:t>
            </w:r>
          </w:p>
        </w:tc>
      </w:tr>
      <w:tr w:rsidR="00FE7F8B" w14:paraId="51666028" w14:textId="77777777" w:rsidTr="00FE7F8B">
        <w:trPr>
          <w:trHeight w:val="240"/>
        </w:trPr>
        <w:tc>
          <w:tcPr>
            <w:tcW w:w="3531" w:type="pct"/>
            <w:noWrap/>
            <w:vAlign w:val="bottom"/>
            <w:hideMark/>
          </w:tcPr>
          <w:p w14:paraId="58CB15D2" w14:textId="77777777" w:rsidR="00FE7F8B" w:rsidRDefault="00FE7F8B">
            <w:pPr>
              <w:pStyle w:val="Tabletextnoindent"/>
            </w:pPr>
            <w:r>
              <w:t>$130,000–$139,999</w:t>
            </w:r>
          </w:p>
        </w:tc>
        <w:tc>
          <w:tcPr>
            <w:tcW w:w="711" w:type="pct"/>
            <w:shd w:val="clear" w:color="auto" w:fill="F2F2F2" w:themeFill="background1" w:themeFillShade="F2"/>
            <w:noWrap/>
            <w:vAlign w:val="bottom"/>
            <w:hideMark/>
          </w:tcPr>
          <w:p w14:paraId="02110C3C" w14:textId="77777777" w:rsidR="00FE7F8B" w:rsidRDefault="00FE7F8B">
            <w:pPr>
              <w:pStyle w:val="Tabletextnoindent"/>
              <w:jc w:val="right"/>
            </w:pPr>
            <w:r>
              <w:t>1</w:t>
            </w:r>
          </w:p>
        </w:tc>
        <w:tc>
          <w:tcPr>
            <w:tcW w:w="758" w:type="pct"/>
            <w:noWrap/>
            <w:vAlign w:val="bottom"/>
            <w:hideMark/>
          </w:tcPr>
          <w:p w14:paraId="630EFF56" w14:textId="77777777" w:rsidR="00FE7F8B" w:rsidRDefault="00FE7F8B">
            <w:pPr>
              <w:pStyle w:val="Tabletextnoindent"/>
              <w:jc w:val="right"/>
            </w:pPr>
            <w:r>
              <w:t>-</w:t>
            </w:r>
          </w:p>
        </w:tc>
      </w:tr>
      <w:tr w:rsidR="00FE7F8B" w14:paraId="45D63876" w14:textId="77777777" w:rsidTr="00FE7F8B">
        <w:trPr>
          <w:trHeight w:val="240"/>
        </w:trPr>
        <w:tc>
          <w:tcPr>
            <w:tcW w:w="3531" w:type="pct"/>
            <w:tcBorders>
              <w:top w:val="nil"/>
              <w:left w:val="nil"/>
              <w:bottom w:val="single" w:sz="4" w:space="0" w:color="auto"/>
              <w:right w:val="nil"/>
            </w:tcBorders>
            <w:noWrap/>
            <w:vAlign w:val="bottom"/>
            <w:hideMark/>
          </w:tcPr>
          <w:p w14:paraId="5F83CE2C" w14:textId="77777777" w:rsidR="00FE7F8B" w:rsidRDefault="00FE7F8B">
            <w:pPr>
              <w:pStyle w:val="Tabletextnoindent"/>
            </w:pPr>
            <w:r>
              <w:t>$250,000–$ 259,999</w:t>
            </w:r>
          </w:p>
        </w:tc>
        <w:tc>
          <w:tcPr>
            <w:tcW w:w="711" w:type="pct"/>
            <w:tcBorders>
              <w:top w:val="nil"/>
              <w:left w:val="nil"/>
              <w:bottom w:val="single" w:sz="4" w:space="0" w:color="auto"/>
              <w:right w:val="nil"/>
            </w:tcBorders>
            <w:shd w:val="clear" w:color="auto" w:fill="F2F2F2" w:themeFill="background1" w:themeFillShade="F2"/>
            <w:noWrap/>
            <w:vAlign w:val="bottom"/>
            <w:hideMark/>
          </w:tcPr>
          <w:p w14:paraId="5E89608C" w14:textId="77777777" w:rsidR="00FE7F8B" w:rsidRDefault="00FE7F8B">
            <w:pPr>
              <w:pStyle w:val="Tabletextnoindent"/>
              <w:jc w:val="right"/>
            </w:pPr>
            <w:r>
              <w:t>-</w:t>
            </w:r>
          </w:p>
        </w:tc>
        <w:tc>
          <w:tcPr>
            <w:tcW w:w="758" w:type="pct"/>
            <w:tcBorders>
              <w:top w:val="nil"/>
              <w:left w:val="nil"/>
              <w:bottom w:val="single" w:sz="4" w:space="0" w:color="auto"/>
              <w:right w:val="nil"/>
            </w:tcBorders>
            <w:noWrap/>
            <w:vAlign w:val="bottom"/>
            <w:hideMark/>
          </w:tcPr>
          <w:p w14:paraId="5749D0A5" w14:textId="77777777" w:rsidR="00FE7F8B" w:rsidRDefault="00FE7F8B">
            <w:pPr>
              <w:pStyle w:val="Tabletextnoindent"/>
              <w:jc w:val="right"/>
            </w:pPr>
            <w:r>
              <w:t>1</w:t>
            </w:r>
          </w:p>
        </w:tc>
      </w:tr>
      <w:tr w:rsidR="00FE7F8B" w14:paraId="0EF52ED3" w14:textId="77777777" w:rsidTr="00FE7F8B">
        <w:trPr>
          <w:trHeight w:val="255"/>
        </w:trPr>
        <w:tc>
          <w:tcPr>
            <w:tcW w:w="3531" w:type="pct"/>
            <w:tcBorders>
              <w:top w:val="single" w:sz="4" w:space="0" w:color="auto"/>
              <w:left w:val="nil"/>
              <w:bottom w:val="single" w:sz="4" w:space="0" w:color="auto"/>
              <w:right w:val="nil"/>
            </w:tcBorders>
            <w:noWrap/>
            <w:vAlign w:val="bottom"/>
            <w:hideMark/>
          </w:tcPr>
          <w:p w14:paraId="4640DDA2" w14:textId="77777777" w:rsidR="00FE7F8B" w:rsidRDefault="00FE7F8B">
            <w:pPr>
              <w:pStyle w:val="Tabletextnoindent"/>
              <w:rPr>
                <w:b/>
              </w:rPr>
            </w:pPr>
            <w:r>
              <w:rPr>
                <w:b/>
              </w:rPr>
              <w:t>Total expenses (exclusive of GST) $m</w:t>
            </w:r>
          </w:p>
        </w:tc>
        <w:tc>
          <w:tcPr>
            <w:tcW w:w="711" w:type="pct"/>
            <w:tcBorders>
              <w:top w:val="single" w:sz="4" w:space="0" w:color="auto"/>
              <w:left w:val="nil"/>
              <w:bottom w:val="single" w:sz="4" w:space="0" w:color="auto"/>
              <w:right w:val="nil"/>
            </w:tcBorders>
            <w:shd w:val="clear" w:color="auto" w:fill="F2F2F2" w:themeFill="background1" w:themeFillShade="F2"/>
            <w:noWrap/>
            <w:vAlign w:val="bottom"/>
            <w:hideMark/>
          </w:tcPr>
          <w:p w14:paraId="418376BA" w14:textId="77777777" w:rsidR="00FE7F8B" w:rsidRDefault="00FE7F8B">
            <w:pPr>
              <w:pStyle w:val="Tabletextnoindent"/>
              <w:jc w:val="right"/>
              <w:rPr>
                <w:b/>
              </w:rPr>
            </w:pPr>
            <w:r>
              <w:rPr>
                <w:b/>
              </w:rPr>
              <w:t>0.1</w:t>
            </w:r>
          </w:p>
        </w:tc>
        <w:tc>
          <w:tcPr>
            <w:tcW w:w="758" w:type="pct"/>
            <w:tcBorders>
              <w:top w:val="single" w:sz="4" w:space="0" w:color="auto"/>
              <w:left w:val="nil"/>
              <w:bottom w:val="single" w:sz="4" w:space="0" w:color="auto"/>
              <w:right w:val="nil"/>
            </w:tcBorders>
            <w:noWrap/>
            <w:vAlign w:val="bottom"/>
            <w:hideMark/>
          </w:tcPr>
          <w:p w14:paraId="6B6EA678" w14:textId="77777777" w:rsidR="00FE7F8B" w:rsidRDefault="00FE7F8B">
            <w:pPr>
              <w:pStyle w:val="Tabletextnoindent"/>
              <w:jc w:val="right"/>
              <w:rPr>
                <w:b/>
              </w:rPr>
            </w:pPr>
            <w:r>
              <w:rPr>
                <w:b/>
              </w:rPr>
              <w:t>0.3</w:t>
            </w:r>
          </w:p>
        </w:tc>
      </w:tr>
      <w:bookmarkEnd w:id="120"/>
    </w:tbl>
    <w:p w14:paraId="6F121769" w14:textId="77777777" w:rsidR="00FE7F8B" w:rsidRDefault="00FE7F8B" w:rsidP="00FE7F8B">
      <w:pPr>
        <w:spacing w:after="200" w:line="276" w:lineRule="auto"/>
        <w:rPr>
          <w:rFonts w:cs="Arial"/>
          <w:bCs/>
          <w:iCs/>
          <w:sz w:val="28"/>
          <w:szCs w:val="28"/>
        </w:rPr>
      </w:pPr>
      <w:r>
        <w:br w:type="page"/>
      </w:r>
      <w:bookmarkStart w:id="126" w:name="_Toc399491077"/>
      <w:bookmarkStart w:id="127" w:name="_Ref399424132"/>
    </w:p>
    <w:p w14:paraId="24191148" w14:textId="77777777" w:rsidR="00FE7F8B" w:rsidRDefault="00FE7F8B" w:rsidP="00AD641C">
      <w:pPr>
        <w:pStyle w:val="Heading2notes"/>
        <w:numPr>
          <w:ilvl w:val="0"/>
          <w:numId w:val="39"/>
        </w:numPr>
      </w:pPr>
      <w:bookmarkStart w:id="128" w:name="_Toc461176310"/>
      <w:r>
        <w:t>Contingent assets and contingent liabilities</w:t>
      </w:r>
      <w:bookmarkEnd w:id="126"/>
      <w:bookmarkEnd w:id="127"/>
      <w:bookmarkEnd w:id="128"/>
    </w:p>
    <w:p w14:paraId="70B8ADA0" w14:textId="77777777" w:rsidR="00FE7F8B" w:rsidRDefault="00FE7F8B" w:rsidP="00FE7F8B">
      <w:r>
        <w:t>The Department does not have any quantifiable or unquantifiable contingent assets.</w:t>
      </w:r>
    </w:p>
    <w:p w14:paraId="77E9D559" w14:textId="77777777" w:rsidR="00FE7F8B" w:rsidRDefault="00FE7F8B" w:rsidP="00FE7F8B">
      <w:r>
        <w:t>Details and estimates of maximum amounts of contingent liabilities are as follows:</w:t>
      </w:r>
    </w:p>
    <w:p w14:paraId="60AAABD8" w14:textId="77777777" w:rsidR="00FE7F8B" w:rsidRDefault="00FE7F8B" w:rsidP="00AD641C">
      <w:pPr>
        <w:pStyle w:val="Heading3notesnumbered"/>
        <w:numPr>
          <w:ilvl w:val="0"/>
          <w:numId w:val="55"/>
        </w:numPr>
      </w:pPr>
      <w:r>
        <w:t>Quantifiable contingent liabilities</w:t>
      </w:r>
    </w:p>
    <w:p w14:paraId="0E8F68B2" w14:textId="77777777" w:rsidR="00FE7F8B" w:rsidRDefault="00FE7F8B" w:rsidP="00FE7F8B">
      <w:pPr>
        <w:pStyle w:val="Caption"/>
      </w:pPr>
      <w:r>
        <w:t xml:space="preserve">Table </w:t>
      </w:r>
      <w:fldSimple w:instr=" SEQ Table \* ARABIC ">
        <w:r w:rsidR="00B60957">
          <w:rPr>
            <w:noProof/>
          </w:rPr>
          <w:t>15</w:t>
        </w:r>
      </w:fldSimple>
      <w:r>
        <w:t>—Quantifiable contingent liabilities</w:t>
      </w:r>
    </w:p>
    <w:tbl>
      <w:tblPr>
        <w:tblW w:w="5000" w:type="pct"/>
        <w:tblLook w:val="04A0" w:firstRow="1" w:lastRow="0" w:firstColumn="1" w:lastColumn="0" w:noHBand="0" w:noVBand="1"/>
      </w:tblPr>
      <w:tblGrid>
        <w:gridCol w:w="5313"/>
        <w:gridCol w:w="1138"/>
        <w:gridCol w:w="1138"/>
      </w:tblGrid>
      <w:tr w:rsidR="00FE7F8B" w14:paraId="2A9E8CCD" w14:textId="77777777" w:rsidTr="00FE7F8B">
        <w:trPr>
          <w:trHeight w:val="240"/>
        </w:trPr>
        <w:tc>
          <w:tcPr>
            <w:tcW w:w="3500" w:type="pct"/>
            <w:shd w:val="clear" w:color="auto" w:fill="7F7F7F" w:themeFill="text1" w:themeFillTint="80"/>
            <w:noWrap/>
            <w:vAlign w:val="bottom"/>
            <w:hideMark/>
          </w:tcPr>
          <w:p w14:paraId="2EB0255E" w14:textId="77777777" w:rsidR="00FE7F8B" w:rsidRDefault="00FE7F8B">
            <w:pPr>
              <w:pStyle w:val="Tablecolumnheading"/>
            </w:pPr>
            <w:r>
              <w:t>Quantifiable contingent liabilities</w:t>
            </w:r>
          </w:p>
        </w:tc>
        <w:tc>
          <w:tcPr>
            <w:tcW w:w="750" w:type="pct"/>
            <w:shd w:val="clear" w:color="auto" w:fill="7F7F7F" w:themeFill="text1" w:themeFillTint="80"/>
            <w:vAlign w:val="bottom"/>
            <w:hideMark/>
          </w:tcPr>
          <w:p w14:paraId="36966389" w14:textId="77777777" w:rsidR="00FE7F8B" w:rsidRDefault="00FE7F8B">
            <w:pPr>
              <w:pStyle w:val="Tablecolumnheading"/>
              <w:jc w:val="center"/>
            </w:pPr>
            <w:r>
              <w:t>2016</w:t>
            </w:r>
            <w:r>
              <w:br/>
              <w:t>$m</w:t>
            </w:r>
          </w:p>
        </w:tc>
        <w:tc>
          <w:tcPr>
            <w:tcW w:w="750" w:type="pct"/>
            <w:shd w:val="clear" w:color="auto" w:fill="7F7F7F" w:themeFill="text1" w:themeFillTint="80"/>
            <w:vAlign w:val="bottom"/>
            <w:hideMark/>
          </w:tcPr>
          <w:p w14:paraId="4275572F" w14:textId="77777777" w:rsidR="00FE7F8B" w:rsidRDefault="00FE7F8B">
            <w:pPr>
              <w:pStyle w:val="Tablecolumnheading"/>
              <w:jc w:val="center"/>
            </w:pPr>
            <w:r>
              <w:t>2015</w:t>
            </w:r>
            <w:r>
              <w:br/>
              <w:t>$m</w:t>
            </w:r>
          </w:p>
        </w:tc>
      </w:tr>
      <w:tr w:rsidR="00FE7F8B" w14:paraId="07829635" w14:textId="77777777" w:rsidTr="00FE7F8B">
        <w:trPr>
          <w:trHeight w:val="240"/>
        </w:trPr>
        <w:tc>
          <w:tcPr>
            <w:tcW w:w="3500" w:type="pct"/>
            <w:shd w:val="clear" w:color="auto" w:fill="FFFFFF"/>
            <w:noWrap/>
            <w:vAlign w:val="bottom"/>
            <w:hideMark/>
          </w:tcPr>
          <w:p w14:paraId="1F8C6F70" w14:textId="77777777" w:rsidR="00FE7F8B" w:rsidRDefault="00FE7F8B">
            <w:pPr>
              <w:pStyle w:val="Tabletextnoindent"/>
            </w:pPr>
            <w:r>
              <w:t xml:space="preserve">Claims for damages </w:t>
            </w:r>
          </w:p>
        </w:tc>
        <w:tc>
          <w:tcPr>
            <w:tcW w:w="750" w:type="pct"/>
            <w:shd w:val="clear" w:color="auto" w:fill="F2F2F2" w:themeFill="background1" w:themeFillShade="F2"/>
            <w:vAlign w:val="bottom"/>
            <w:hideMark/>
          </w:tcPr>
          <w:p w14:paraId="699BE2CB" w14:textId="77777777" w:rsidR="00FE7F8B" w:rsidRDefault="00FE7F8B">
            <w:pPr>
              <w:pStyle w:val="Tabletextnoindent"/>
              <w:jc w:val="right"/>
            </w:pPr>
            <w:r>
              <w:rPr>
                <w:b/>
              </w:rPr>
              <w:t>18.8</w:t>
            </w:r>
          </w:p>
        </w:tc>
        <w:tc>
          <w:tcPr>
            <w:tcW w:w="750" w:type="pct"/>
            <w:shd w:val="clear" w:color="auto" w:fill="FFFFFF"/>
            <w:vAlign w:val="bottom"/>
            <w:hideMark/>
          </w:tcPr>
          <w:p w14:paraId="1C586E0C" w14:textId="77777777" w:rsidR="00FE7F8B" w:rsidRDefault="00FE7F8B">
            <w:pPr>
              <w:pStyle w:val="Tabletextnoindent"/>
              <w:jc w:val="right"/>
            </w:pPr>
            <w:r>
              <w:t>48.5</w:t>
            </w:r>
          </w:p>
        </w:tc>
      </w:tr>
      <w:tr w:rsidR="00FE7F8B" w14:paraId="246B0BD1" w14:textId="77777777" w:rsidTr="00FE7F8B">
        <w:trPr>
          <w:trHeight w:val="240"/>
        </w:trPr>
        <w:tc>
          <w:tcPr>
            <w:tcW w:w="3500" w:type="pct"/>
            <w:tcBorders>
              <w:top w:val="nil"/>
              <w:left w:val="nil"/>
              <w:bottom w:val="single" w:sz="4" w:space="0" w:color="auto"/>
              <w:right w:val="nil"/>
            </w:tcBorders>
            <w:shd w:val="clear" w:color="auto" w:fill="FFFFFF"/>
            <w:noWrap/>
            <w:vAlign w:val="bottom"/>
            <w:hideMark/>
          </w:tcPr>
          <w:p w14:paraId="37C92C8C" w14:textId="77777777" w:rsidR="00FE7F8B" w:rsidRDefault="00FE7F8B">
            <w:pPr>
              <w:pStyle w:val="Tabletextnoindent"/>
            </w:pPr>
            <w:r>
              <w:t>TAFE Structural Adjustment Fund (TSAF) arrangement</w:t>
            </w:r>
            <w:r>
              <w:rPr>
                <w:rStyle w:val="FootnoteReference"/>
              </w:rPr>
              <w:t>1</w:t>
            </w:r>
          </w:p>
        </w:tc>
        <w:tc>
          <w:tcPr>
            <w:tcW w:w="750" w:type="pct"/>
            <w:tcBorders>
              <w:top w:val="nil"/>
              <w:left w:val="nil"/>
              <w:bottom w:val="single" w:sz="4" w:space="0" w:color="auto"/>
              <w:right w:val="nil"/>
            </w:tcBorders>
            <w:shd w:val="clear" w:color="auto" w:fill="F2F2F2" w:themeFill="background1" w:themeFillShade="F2"/>
            <w:vAlign w:val="bottom"/>
            <w:hideMark/>
          </w:tcPr>
          <w:p w14:paraId="3BBEC0AA" w14:textId="77777777" w:rsidR="00FE7F8B" w:rsidRDefault="00FE7F8B">
            <w:pPr>
              <w:pStyle w:val="Tabletextnoindent"/>
              <w:jc w:val="right"/>
              <w:rPr>
                <w:b/>
              </w:rPr>
            </w:pPr>
            <w:r>
              <w:rPr>
                <w:b/>
              </w:rPr>
              <w:t>-</w:t>
            </w:r>
          </w:p>
        </w:tc>
        <w:tc>
          <w:tcPr>
            <w:tcW w:w="750" w:type="pct"/>
            <w:tcBorders>
              <w:top w:val="nil"/>
              <w:left w:val="nil"/>
              <w:bottom w:val="single" w:sz="4" w:space="0" w:color="auto"/>
              <w:right w:val="nil"/>
            </w:tcBorders>
            <w:shd w:val="clear" w:color="auto" w:fill="FFFFFF"/>
            <w:vAlign w:val="bottom"/>
            <w:hideMark/>
          </w:tcPr>
          <w:p w14:paraId="1FF21061" w14:textId="77777777" w:rsidR="00FE7F8B" w:rsidRDefault="00FE7F8B">
            <w:pPr>
              <w:pStyle w:val="Tabletextnoindent"/>
              <w:jc w:val="right"/>
            </w:pPr>
            <w:r>
              <w:t>82.0</w:t>
            </w:r>
          </w:p>
        </w:tc>
      </w:tr>
      <w:tr w:rsidR="00FE7F8B" w14:paraId="38AD38AC" w14:textId="77777777" w:rsidTr="00FE7F8B">
        <w:trPr>
          <w:trHeight w:val="330"/>
        </w:trPr>
        <w:tc>
          <w:tcPr>
            <w:tcW w:w="3500" w:type="pct"/>
            <w:tcBorders>
              <w:top w:val="single" w:sz="4" w:space="0" w:color="auto"/>
              <w:left w:val="nil"/>
              <w:bottom w:val="single" w:sz="4" w:space="0" w:color="auto"/>
              <w:right w:val="nil"/>
            </w:tcBorders>
            <w:shd w:val="clear" w:color="auto" w:fill="FFFFFF"/>
            <w:noWrap/>
            <w:hideMark/>
          </w:tcPr>
          <w:p w14:paraId="39B11BB4" w14:textId="77777777" w:rsidR="00FE7F8B" w:rsidRDefault="00FE7F8B">
            <w:pPr>
              <w:pStyle w:val="Tabletextnoindent"/>
              <w:rPr>
                <w:b/>
              </w:rPr>
            </w:pPr>
            <w:r>
              <w:rPr>
                <w:b/>
              </w:rPr>
              <w:t>Total quantifiable contingent liabilities</w:t>
            </w:r>
          </w:p>
        </w:tc>
        <w:tc>
          <w:tcPr>
            <w:tcW w:w="750" w:type="pct"/>
            <w:tcBorders>
              <w:top w:val="single" w:sz="4" w:space="0" w:color="auto"/>
              <w:left w:val="nil"/>
              <w:bottom w:val="single" w:sz="4" w:space="0" w:color="auto"/>
              <w:right w:val="nil"/>
            </w:tcBorders>
            <w:shd w:val="clear" w:color="auto" w:fill="F2F2F2" w:themeFill="background1" w:themeFillShade="F2"/>
            <w:vAlign w:val="bottom"/>
            <w:hideMark/>
          </w:tcPr>
          <w:p w14:paraId="5A80ACDE" w14:textId="77777777" w:rsidR="00FE7F8B" w:rsidRDefault="00FE7F8B">
            <w:pPr>
              <w:pStyle w:val="Tabletextnoindent"/>
              <w:jc w:val="right"/>
              <w:rPr>
                <w:b/>
              </w:rPr>
            </w:pPr>
            <w:r>
              <w:rPr>
                <w:b/>
              </w:rPr>
              <w:t>18.8</w:t>
            </w:r>
          </w:p>
        </w:tc>
        <w:tc>
          <w:tcPr>
            <w:tcW w:w="750" w:type="pct"/>
            <w:tcBorders>
              <w:top w:val="single" w:sz="4" w:space="0" w:color="auto"/>
              <w:left w:val="nil"/>
              <w:bottom w:val="single" w:sz="4" w:space="0" w:color="auto"/>
              <w:right w:val="nil"/>
            </w:tcBorders>
            <w:shd w:val="clear" w:color="auto" w:fill="FFFFFF"/>
            <w:vAlign w:val="bottom"/>
            <w:hideMark/>
          </w:tcPr>
          <w:p w14:paraId="1574B0BE" w14:textId="77777777" w:rsidR="00FE7F8B" w:rsidRDefault="00FE7F8B">
            <w:pPr>
              <w:pStyle w:val="Tabletextnoindent"/>
              <w:jc w:val="right"/>
              <w:rPr>
                <w:b/>
              </w:rPr>
            </w:pPr>
            <w:r>
              <w:rPr>
                <w:b/>
              </w:rPr>
              <w:t>130.5</w:t>
            </w:r>
          </w:p>
        </w:tc>
      </w:tr>
    </w:tbl>
    <w:p w14:paraId="6863FB8B" w14:textId="40F26158" w:rsidR="00FE7F8B" w:rsidRPr="00BB1129" w:rsidRDefault="00FE7F8B" w:rsidP="00BB1129">
      <w:pPr>
        <w:pStyle w:val="DETFootnoteTextforobjectivestablesOHStable"/>
        <w:spacing w:before="120"/>
      </w:pPr>
      <w:r w:rsidRPr="00BB1129">
        <w:t>1The Department has entered into funding agreements with TAFEs. The release of these funds is contingent on the TAFEs demonstrating that they have achieved agreed milestones in 2014-15. The funding related to 2015</w:t>
      </w:r>
      <w:r w:rsidR="00155353" w:rsidRPr="00BB1129">
        <w:t>–</w:t>
      </w:r>
      <w:r w:rsidRPr="00BB1129">
        <w:t>16 is disclosed as other expenditure commitments in Note 22(d).</w:t>
      </w:r>
    </w:p>
    <w:p w14:paraId="5EB5F443" w14:textId="77777777" w:rsidR="00FE7F8B" w:rsidRDefault="00FE7F8B" w:rsidP="00AD641C">
      <w:pPr>
        <w:pStyle w:val="Heading3notesnumbered"/>
        <w:numPr>
          <w:ilvl w:val="0"/>
          <w:numId w:val="55"/>
        </w:numPr>
      </w:pPr>
      <w:r>
        <w:t>Unquantifiable contingent liabilities</w:t>
      </w:r>
    </w:p>
    <w:p w14:paraId="05689658" w14:textId="77777777" w:rsidR="00FE7F8B" w:rsidRDefault="00FE7F8B" w:rsidP="00FE7F8B">
      <w:r>
        <w:t>The Department has a number of unquantifiable contingent liabilities as follows.</w:t>
      </w:r>
    </w:p>
    <w:p w14:paraId="185C65F1" w14:textId="77777777" w:rsidR="00FE7F8B" w:rsidRDefault="00FE7F8B" w:rsidP="00FE7F8B">
      <w:r>
        <w:t>Indemnities are provided by the Department to:</w:t>
      </w:r>
    </w:p>
    <w:p w14:paraId="2BBF9C54" w14:textId="77777777" w:rsidR="00FE7F8B" w:rsidRDefault="00FE7F8B" w:rsidP="00155353">
      <w:pPr>
        <w:pStyle w:val="DETNormallistbullet"/>
      </w:pPr>
      <w:r>
        <w:t xml:space="preserve">Volunteer school workers and volunteer student workers: </w:t>
      </w:r>
      <w:r>
        <w:rPr>
          <w:i/>
        </w:rPr>
        <w:t>The Education and Training Reform Act 2006</w:t>
      </w:r>
      <w:r>
        <w:t xml:space="preserve"> provides a specific indemnity for personal injuries suffered by volunteer school workers and volunteer student workers arising out of or in the course of engaging in school work or community work respectively.</w:t>
      </w:r>
    </w:p>
    <w:p w14:paraId="70DD0AD2" w14:textId="77777777" w:rsidR="00FE7F8B" w:rsidRDefault="00FE7F8B" w:rsidP="00155353">
      <w:pPr>
        <w:pStyle w:val="DETNormallistbullet"/>
      </w:pPr>
      <w:r>
        <w:t xml:space="preserve">Members of school councils: </w:t>
      </w:r>
      <w:r>
        <w:rPr>
          <w:i/>
        </w:rPr>
        <w:t>The Education and Training Reform Act 2006</w:t>
      </w:r>
      <w:r>
        <w:t xml:space="preserve"> </w:t>
      </w:r>
      <w:proofErr w:type="gramStart"/>
      <w:r>
        <w:t>provides</w:t>
      </w:r>
      <w:proofErr w:type="gramEnd"/>
      <w:r>
        <w:t xml:space="preserve"> an indemnity to members of school councils for any legal liability, whether in contract, negligence or defamation.</w:t>
      </w:r>
    </w:p>
    <w:p w14:paraId="6AF4FEFE" w14:textId="77777777" w:rsidR="00FE7F8B" w:rsidRDefault="00FE7F8B" w:rsidP="00155353">
      <w:pPr>
        <w:pStyle w:val="DETNormallistbullet"/>
      </w:pPr>
      <w:r>
        <w:t>Teachers: If a teacher is named as a defendant in a student personal injury claim, any costs and damages will generally be paid by the Department provided the teacher was not drunk, under the influence of illicit drugs or engaging in a criminal offence and the behaviour was not outrageous and was related to their employment.</w:t>
      </w:r>
    </w:p>
    <w:p w14:paraId="53E734E8" w14:textId="77777777" w:rsidR="00FE7F8B" w:rsidRDefault="00FE7F8B" w:rsidP="00155353">
      <w:pPr>
        <w:pStyle w:val="DETNormallistbullet"/>
      </w:pPr>
      <w:r>
        <w:t>School councils: The Department will usually indemnify school councils in claims of common law negligence, and will often indemnify in relation to employment disputes, for the cost of settlement and legal representation. The Department will take into account the impact of payment upon the school’s educational program and any insurance cover for the school council, and will likely indemnify if the Department is satisfied that:</w:t>
      </w:r>
    </w:p>
    <w:p w14:paraId="67E59201" w14:textId="77777777" w:rsidR="00FE7F8B" w:rsidRDefault="00FE7F8B" w:rsidP="00AD641C">
      <w:pPr>
        <w:pStyle w:val="DETNormallistbullet"/>
        <w:numPr>
          <w:ilvl w:val="1"/>
          <w:numId w:val="59"/>
        </w:numPr>
      </w:pPr>
      <w:r>
        <w:t>the school council acted in good faith and according to issued guidelines and directions; and</w:t>
      </w:r>
    </w:p>
    <w:p w14:paraId="6D1F1584" w14:textId="77777777" w:rsidR="00FE7F8B" w:rsidRDefault="00FE7F8B" w:rsidP="00AD641C">
      <w:pPr>
        <w:pStyle w:val="DETNormallistbullet"/>
        <w:numPr>
          <w:ilvl w:val="1"/>
          <w:numId w:val="59"/>
        </w:numPr>
      </w:pPr>
      <w:proofErr w:type="gramStart"/>
      <w:r>
        <w:t>the</w:t>
      </w:r>
      <w:proofErr w:type="gramEnd"/>
      <w:r>
        <w:t xml:space="preserve"> school council has insufficient funds to pay the claim.</w:t>
      </w:r>
    </w:p>
    <w:p w14:paraId="5C894B08" w14:textId="77777777" w:rsidR="00FE7F8B" w:rsidRDefault="00FE7F8B" w:rsidP="00FE7F8B">
      <w:pPr>
        <w:spacing w:after="200" w:line="276" w:lineRule="auto"/>
      </w:pPr>
      <w:r>
        <w:br w:type="page"/>
      </w:r>
    </w:p>
    <w:p w14:paraId="1A106945" w14:textId="77777777" w:rsidR="00FE7F8B" w:rsidRDefault="00FE7F8B" w:rsidP="00AD641C">
      <w:pPr>
        <w:pStyle w:val="Heading2notes"/>
        <w:numPr>
          <w:ilvl w:val="0"/>
          <w:numId w:val="39"/>
        </w:numPr>
      </w:pPr>
      <w:bookmarkStart w:id="129" w:name="_Toc461176311"/>
      <w:bookmarkStart w:id="130" w:name="_Toc399491078"/>
      <w:bookmarkStart w:id="131" w:name="_Ref399424118"/>
      <w:r>
        <w:t>Commitments for expenditure</w:t>
      </w:r>
      <w:bookmarkEnd w:id="129"/>
      <w:bookmarkEnd w:id="130"/>
      <w:bookmarkEnd w:id="131"/>
    </w:p>
    <w:p w14:paraId="02A33D1C" w14:textId="77777777" w:rsidR="00FE7F8B" w:rsidRDefault="00FE7F8B" w:rsidP="00FE7F8B">
      <w:r>
        <w:t>The following commitments have not been recognised as liabilities in the financial statements. All amounts shown in this note are nominal amounts inclusive of GST.</w:t>
      </w:r>
    </w:p>
    <w:p w14:paraId="4B6C01C2" w14:textId="77777777" w:rsidR="00FE7F8B" w:rsidRDefault="00FE7F8B" w:rsidP="00AD641C">
      <w:pPr>
        <w:pStyle w:val="Heading3notesnumbered"/>
        <w:numPr>
          <w:ilvl w:val="0"/>
          <w:numId w:val="56"/>
        </w:numPr>
      </w:pPr>
      <w:bookmarkStart w:id="132" w:name="_Ref399424185"/>
      <w:r>
        <w:t>Service concession (public–private partnership)-related commitments</w:t>
      </w:r>
      <w:bookmarkEnd w:id="132"/>
    </w:p>
    <w:p w14:paraId="098C5E3A" w14:textId="77777777" w:rsidR="00FE7F8B" w:rsidRDefault="00FE7F8B" w:rsidP="00FE7F8B">
      <w:pPr>
        <w:pStyle w:val="Heading4notes"/>
        <w:rPr>
          <w:lang w:eastAsia="en-AU"/>
        </w:rPr>
      </w:pPr>
      <w:r>
        <w:rPr>
          <w:lang w:eastAsia="en-AU"/>
        </w:rPr>
        <w:t>Commissioned public-private partnership</w:t>
      </w:r>
    </w:p>
    <w:p w14:paraId="69078D04" w14:textId="77777777" w:rsidR="00FE7F8B" w:rsidRDefault="00FE7F8B" w:rsidP="00FE7F8B">
      <w:r>
        <w:t>The Department entered into a 26-year public-private partnership arrangement under Partnerships Victoria in Schools. The portions of the payments that relate to the right to use the assets are accounted for as finance leases and are disclosed in Note 13.</w:t>
      </w:r>
    </w:p>
    <w:p w14:paraId="61B9CA43" w14:textId="77777777" w:rsidR="00FE7F8B" w:rsidRDefault="00FE7F8B" w:rsidP="00FE7F8B">
      <w:r>
        <w:t>The Department pays a base charge for delivery of contracted services (subject to the performance criteria set out in the agreement). Where the contract is amended to provide for additional services, such as an extension to the facilities, which are at the Department’s discretion, this is charged at a rate agreed between the Department and the consortium. The nominal amounts for the operating and maintenance commitment below represents the charges payable under the agreement at the end of the reporting period.</w:t>
      </w:r>
    </w:p>
    <w:p w14:paraId="2F915730" w14:textId="77777777" w:rsidR="00FE7F8B" w:rsidRDefault="00FE7F8B" w:rsidP="00FE7F8B">
      <w:pPr>
        <w:pStyle w:val="Heading4notes"/>
        <w:rPr>
          <w:lang w:eastAsia="en-AU"/>
        </w:rPr>
      </w:pPr>
      <w:r>
        <w:rPr>
          <w:lang w:eastAsia="en-AU"/>
        </w:rPr>
        <w:t>Uncommissioned public-private partnership</w:t>
      </w:r>
    </w:p>
    <w:p w14:paraId="75CAA706" w14:textId="77777777" w:rsidR="00FE7F8B" w:rsidRDefault="00FE7F8B" w:rsidP="00FE7F8B">
      <w:r>
        <w:t>In October 2015, the State of Victoria entered into a 25-year agreement with Learning Communities Victoria under the new Schools Public-Private Partnership (PPP) Project. 15 schools will open in 2017 and 2018 school years. Under the PPP model, Learning Communities Victoria is responsible for the finance, design, construction, and maintenance of the new schools over a 25-year period. The Department retains school ownership and responsibility for delivering educational service. The construction projects are yet to commence as at June 2016.</w:t>
      </w:r>
    </w:p>
    <w:p w14:paraId="7A76822B" w14:textId="77777777" w:rsidR="00FE7F8B" w:rsidRDefault="00FE7F8B" w:rsidP="00FE7F8B">
      <w:r>
        <w:t>The total commitments for public private partnerships are as follows:</w:t>
      </w:r>
    </w:p>
    <w:tbl>
      <w:tblPr>
        <w:tblW w:w="7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997"/>
        <w:gridCol w:w="1135"/>
        <w:gridCol w:w="1135"/>
        <w:gridCol w:w="1267"/>
        <w:gridCol w:w="1003"/>
        <w:gridCol w:w="993"/>
      </w:tblGrid>
      <w:tr w:rsidR="00FE7F8B" w14:paraId="1CBB86AC" w14:textId="77777777" w:rsidTr="00FE7F8B">
        <w:tc>
          <w:tcPr>
            <w:tcW w:w="1995" w:type="dxa"/>
            <w:tcBorders>
              <w:top w:val="nil"/>
              <w:left w:val="nil"/>
              <w:bottom w:val="nil"/>
              <w:right w:val="nil"/>
            </w:tcBorders>
            <w:shd w:val="clear" w:color="auto" w:fill="7F7F7F" w:themeFill="text1" w:themeFillTint="80"/>
            <w:vAlign w:val="bottom"/>
          </w:tcPr>
          <w:p w14:paraId="2F6CA887" w14:textId="77777777" w:rsidR="00FE7F8B" w:rsidRDefault="00FE7F8B">
            <w:pPr>
              <w:pStyle w:val="Tablecolumnheading"/>
              <w:jc w:val="center"/>
              <w:rPr>
                <w:lang w:eastAsia="en-AU"/>
              </w:rPr>
            </w:pPr>
          </w:p>
        </w:tc>
        <w:tc>
          <w:tcPr>
            <w:tcW w:w="1134" w:type="dxa"/>
            <w:tcBorders>
              <w:top w:val="nil"/>
              <w:left w:val="nil"/>
              <w:bottom w:val="nil"/>
              <w:right w:val="nil"/>
            </w:tcBorders>
            <w:shd w:val="clear" w:color="auto" w:fill="7F7F7F" w:themeFill="text1" w:themeFillTint="80"/>
            <w:vAlign w:val="bottom"/>
          </w:tcPr>
          <w:p w14:paraId="768A1516" w14:textId="77777777" w:rsidR="00FE7F8B" w:rsidRDefault="00FE7F8B">
            <w:pPr>
              <w:pStyle w:val="Tablecolumnheading"/>
              <w:jc w:val="center"/>
              <w:rPr>
                <w:lang w:eastAsia="en-AU"/>
              </w:rPr>
            </w:pPr>
          </w:p>
        </w:tc>
        <w:tc>
          <w:tcPr>
            <w:tcW w:w="2400" w:type="dxa"/>
            <w:gridSpan w:val="2"/>
            <w:tcBorders>
              <w:top w:val="nil"/>
              <w:left w:val="nil"/>
              <w:bottom w:val="nil"/>
              <w:right w:val="nil"/>
            </w:tcBorders>
            <w:shd w:val="clear" w:color="auto" w:fill="7F7F7F" w:themeFill="text1" w:themeFillTint="80"/>
            <w:vAlign w:val="bottom"/>
            <w:hideMark/>
          </w:tcPr>
          <w:p w14:paraId="2A57E93A" w14:textId="77777777" w:rsidR="00FE7F8B" w:rsidRDefault="00FE7F8B">
            <w:pPr>
              <w:pStyle w:val="Tablecolumnheading"/>
              <w:jc w:val="center"/>
              <w:rPr>
                <w:sz w:val="16"/>
                <w:lang w:eastAsia="en-AU"/>
              </w:rPr>
            </w:pPr>
            <w:r>
              <w:rPr>
                <w:sz w:val="16"/>
                <w:lang w:eastAsia="en-AU"/>
              </w:rPr>
              <w:t>Other Commitments</w:t>
            </w:r>
          </w:p>
        </w:tc>
        <w:tc>
          <w:tcPr>
            <w:tcW w:w="1994" w:type="dxa"/>
            <w:gridSpan w:val="2"/>
            <w:tcBorders>
              <w:top w:val="nil"/>
              <w:left w:val="nil"/>
              <w:bottom w:val="nil"/>
              <w:right w:val="nil"/>
            </w:tcBorders>
            <w:shd w:val="clear" w:color="auto" w:fill="7F7F7F" w:themeFill="text1" w:themeFillTint="80"/>
            <w:vAlign w:val="bottom"/>
            <w:hideMark/>
          </w:tcPr>
          <w:p w14:paraId="099B0FD8" w14:textId="77777777" w:rsidR="00FE7F8B" w:rsidRDefault="00FE7F8B">
            <w:pPr>
              <w:pStyle w:val="Tablecolumnheading"/>
              <w:jc w:val="center"/>
              <w:rPr>
                <w:sz w:val="16"/>
                <w:lang w:eastAsia="en-AU"/>
              </w:rPr>
            </w:pPr>
            <w:r>
              <w:rPr>
                <w:sz w:val="16"/>
                <w:lang w:eastAsia="en-AU"/>
              </w:rPr>
              <w:t>Other Commitments</w:t>
            </w:r>
          </w:p>
        </w:tc>
      </w:tr>
      <w:tr w:rsidR="00FE7F8B" w14:paraId="0CC14C7E" w14:textId="77777777" w:rsidTr="00FE7F8B">
        <w:tc>
          <w:tcPr>
            <w:tcW w:w="1995" w:type="dxa"/>
            <w:tcBorders>
              <w:top w:val="nil"/>
              <w:left w:val="nil"/>
              <w:bottom w:val="nil"/>
              <w:right w:val="nil"/>
            </w:tcBorders>
            <w:shd w:val="clear" w:color="auto" w:fill="7F7F7F" w:themeFill="text1" w:themeFillTint="80"/>
            <w:vAlign w:val="bottom"/>
          </w:tcPr>
          <w:p w14:paraId="612A269C" w14:textId="77777777" w:rsidR="00FE7F8B" w:rsidRDefault="00FE7F8B">
            <w:pPr>
              <w:pStyle w:val="Tablecolumnheading"/>
              <w:jc w:val="center"/>
              <w:rPr>
                <w:lang w:eastAsia="en-AU"/>
              </w:rPr>
            </w:pPr>
          </w:p>
        </w:tc>
        <w:tc>
          <w:tcPr>
            <w:tcW w:w="1134" w:type="dxa"/>
            <w:tcBorders>
              <w:top w:val="nil"/>
              <w:left w:val="nil"/>
              <w:bottom w:val="nil"/>
              <w:right w:val="nil"/>
            </w:tcBorders>
            <w:shd w:val="clear" w:color="auto" w:fill="7F7F7F" w:themeFill="text1" w:themeFillTint="80"/>
            <w:vAlign w:val="bottom"/>
          </w:tcPr>
          <w:p w14:paraId="29181C5E" w14:textId="77777777" w:rsidR="00FE7F8B" w:rsidRDefault="00FE7F8B">
            <w:pPr>
              <w:pStyle w:val="Tablecolumnheading"/>
              <w:jc w:val="center"/>
              <w:rPr>
                <w:lang w:eastAsia="en-AU"/>
              </w:rPr>
            </w:pPr>
          </w:p>
        </w:tc>
        <w:tc>
          <w:tcPr>
            <w:tcW w:w="1134" w:type="dxa"/>
            <w:tcBorders>
              <w:top w:val="nil"/>
              <w:left w:val="nil"/>
              <w:bottom w:val="nil"/>
              <w:right w:val="nil"/>
            </w:tcBorders>
            <w:shd w:val="clear" w:color="auto" w:fill="7F7F7F" w:themeFill="text1" w:themeFillTint="80"/>
            <w:vAlign w:val="bottom"/>
            <w:hideMark/>
          </w:tcPr>
          <w:p w14:paraId="1D0518FE" w14:textId="77777777" w:rsidR="00FE7F8B" w:rsidRDefault="00FE7F8B">
            <w:pPr>
              <w:pStyle w:val="Tablecolumnheading"/>
              <w:jc w:val="center"/>
              <w:rPr>
                <w:sz w:val="16"/>
                <w:lang w:eastAsia="en-AU"/>
              </w:rPr>
            </w:pPr>
            <w:r>
              <w:rPr>
                <w:sz w:val="16"/>
                <w:lang w:eastAsia="en-AU"/>
              </w:rPr>
              <w:t>Present value 2016</w:t>
            </w:r>
            <w:r>
              <w:rPr>
                <w:sz w:val="16"/>
                <w:lang w:eastAsia="en-AU"/>
              </w:rPr>
              <w:br/>
              <w:t>$m</w:t>
            </w:r>
          </w:p>
        </w:tc>
        <w:tc>
          <w:tcPr>
            <w:tcW w:w="1266" w:type="dxa"/>
            <w:tcBorders>
              <w:top w:val="nil"/>
              <w:left w:val="nil"/>
              <w:bottom w:val="nil"/>
              <w:right w:val="nil"/>
            </w:tcBorders>
            <w:shd w:val="clear" w:color="auto" w:fill="7F7F7F" w:themeFill="text1" w:themeFillTint="80"/>
            <w:vAlign w:val="bottom"/>
            <w:hideMark/>
          </w:tcPr>
          <w:p w14:paraId="679C8FC1" w14:textId="77777777" w:rsidR="00FE7F8B" w:rsidRDefault="00FE7F8B">
            <w:pPr>
              <w:pStyle w:val="Tablecolumnheading"/>
              <w:jc w:val="center"/>
              <w:rPr>
                <w:sz w:val="16"/>
                <w:lang w:eastAsia="en-AU"/>
              </w:rPr>
            </w:pPr>
            <w:r>
              <w:rPr>
                <w:sz w:val="16"/>
                <w:lang w:eastAsia="en-AU"/>
              </w:rPr>
              <w:t>Nominal value 2016</w:t>
            </w:r>
            <w:r>
              <w:rPr>
                <w:sz w:val="16"/>
                <w:lang w:eastAsia="en-AU"/>
              </w:rPr>
              <w:br/>
              <w:t>$m</w:t>
            </w:r>
          </w:p>
        </w:tc>
        <w:tc>
          <w:tcPr>
            <w:tcW w:w="1002" w:type="dxa"/>
            <w:tcBorders>
              <w:top w:val="nil"/>
              <w:left w:val="nil"/>
              <w:bottom w:val="nil"/>
              <w:right w:val="nil"/>
            </w:tcBorders>
            <w:shd w:val="clear" w:color="auto" w:fill="7F7F7F" w:themeFill="text1" w:themeFillTint="80"/>
            <w:vAlign w:val="bottom"/>
            <w:hideMark/>
          </w:tcPr>
          <w:p w14:paraId="7C43C3E3" w14:textId="77777777" w:rsidR="00FE7F8B" w:rsidRDefault="00FE7F8B">
            <w:pPr>
              <w:pStyle w:val="Tablecolumnheading"/>
              <w:jc w:val="center"/>
              <w:rPr>
                <w:sz w:val="16"/>
                <w:lang w:eastAsia="en-AU"/>
              </w:rPr>
            </w:pPr>
            <w:r>
              <w:rPr>
                <w:sz w:val="16"/>
                <w:lang w:eastAsia="en-AU"/>
              </w:rPr>
              <w:t>Present value 2015</w:t>
            </w:r>
            <w:r>
              <w:rPr>
                <w:sz w:val="16"/>
                <w:lang w:eastAsia="en-AU"/>
              </w:rPr>
              <w:br/>
              <w:t>$m</w:t>
            </w:r>
          </w:p>
        </w:tc>
        <w:tc>
          <w:tcPr>
            <w:tcW w:w="992" w:type="dxa"/>
            <w:tcBorders>
              <w:top w:val="nil"/>
              <w:left w:val="nil"/>
              <w:bottom w:val="nil"/>
              <w:right w:val="nil"/>
            </w:tcBorders>
            <w:shd w:val="clear" w:color="auto" w:fill="7F7F7F" w:themeFill="text1" w:themeFillTint="80"/>
            <w:vAlign w:val="bottom"/>
            <w:hideMark/>
          </w:tcPr>
          <w:p w14:paraId="4EBEE76E" w14:textId="77777777" w:rsidR="00FE7F8B" w:rsidRDefault="00FE7F8B">
            <w:pPr>
              <w:pStyle w:val="Tablecolumnheading"/>
              <w:jc w:val="center"/>
              <w:rPr>
                <w:sz w:val="16"/>
                <w:lang w:eastAsia="en-AU"/>
              </w:rPr>
            </w:pPr>
            <w:r>
              <w:rPr>
                <w:sz w:val="16"/>
                <w:lang w:eastAsia="en-AU"/>
              </w:rPr>
              <w:t>Nominal value 2015</w:t>
            </w:r>
            <w:r>
              <w:rPr>
                <w:sz w:val="16"/>
                <w:lang w:eastAsia="en-AU"/>
              </w:rPr>
              <w:br/>
              <w:t>$m</w:t>
            </w:r>
          </w:p>
        </w:tc>
      </w:tr>
      <w:tr w:rsidR="00FE7F8B" w14:paraId="13434DC7" w14:textId="77777777" w:rsidTr="00FE7F8B">
        <w:tc>
          <w:tcPr>
            <w:tcW w:w="7523" w:type="dxa"/>
            <w:gridSpan w:val="6"/>
            <w:tcBorders>
              <w:top w:val="nil"/>
              <w:left w:val="nil"/>
              <w:bottom w:val="nil"/>
              <w:right w:val="nil"/>
            </w:tcBorders>
            <w:vAlign w:val="bottom"/>
            <w:hideMark/>
          </w:tcPr>
          <w:p w14:paraId="6EA035F8" w14:textId="77777777" w:rsidR="00FE7F8B" w:rsidRDefault="00FE7F8B">
            <w:pPr>
              <w:pStyle w:val="TableTextFinancial"/>
            </w:pPr>
            <w:r>
              <w:rPr>
                <w:b/>
              </w:rPr>
              <w:t>Commissioned public private partnerships—other commitments</w:t>
            </w:r>
          </w:p>
        </w:tc>
      </w:tr>
      <w:tr w:rsidR="00FE7F8B" w14:paraId="038BEAF7" w14:textId="77777777" w:rsidTr="00FE7F8B">
        <w:tc>
          <w:tcPr>
            <w:tcW w:w="1995" w:type="dxa"/>
            <w:tcBorders>
              <w:top w:val="nil"/>
              <w:left w:val="nil"/>
              <w:bottom w:val="single" w:sz="4" w:space="0" w:color="auto"/>
              <w:right w:val="nil"/>
            </w:tcBorders>
            <w:vAlign w:val="bottom"/>
            <w:hideMark/>
          </w:tcPr>
          <w:p w14:paraId="180B8750" w14:textId="04F4DA69" w:rsidR="00FE7F8B" w:rsidRDefault="00FE7F8B" w:rsidP="00CC327C">
            <w:pPr>
              <w:pStyle w:val="Tabletextnoindent"/>
            </w:pPr>
            <w:r>
              <w:t>Partnerships Victoria in Schools—Operation</w:t>
            </w:r>
            <w:r w:rsidR="00CC327C">
              <w:t>s,</w:t>
            </w:r>
            <w:r>
              <w:t xml:space="preserve"> maintenance and contingent rental commitments</w:t>
            </w:r>
          </w:p>
        </w:tc>
        <w:tc>
          <w:tcPr>
            <w:tcW w:w="1134" w:type="dxa"/>
            <w:tcBorders>
              <w:top w:val="nil"/>
              <w:left w:val="nil"/>
              <w:bottom w:val="single" w:sz="4" w:space="0" w:color="auto"/>
              <w:right w:val="nil"/>
            </w:tcBorders>
            <w:vAlign w:val="bottom"/>
          </w:tcPr>
          <w:p w14:paraId="0D52CE80" w14:textId="77777777" w:rsidR="00FE7F8B" w:rsidRDefault="00FE7F8B">
            <w:pPr>
              <w:pStyle w:val="TableTextFinancial"/>
            </w:pPr>
          </w:p>
        </w:tc>
        <w:tc>
          <w:tcPr>
            <w:tcW w:w="1134" w:type="dxa"/>
            <w:tcBorders>
              <w:top w:val="nil"/>
              <w:left w:val="nil"/>
              <w:bottom w:val="single" w:sz="4" w:space="0" w:color="auto"/>
              <w:right w:val="nil"/>
            </w:tcBorders>
            <w:vAlign w:val="bottom"/>
            <w:hideMark/>
          </w:tcPr>
          <w:p w14:paraId="3CC8AE16" w14:textId="77777777" w:rsidR="00FE7F8B" w:rsidRDefault="00FE7F8B">
            <w:pPr>
              <w:pStyle w:val="TableTextFinancial"/>
              <w:jc w:val="center"/>
            </w:pPr>
            <w:r>
              <w:t>174.4</w:t>
            </w:r>
          </w:p>
        </w:tc>
        <w:tc>
          <w:tcPr>
            <w:tcW w:w="1266" w:type="dxa"/>
            <w:tcBorders>
              <w:top w:val="nil"/>
              <w:left w:val="nil"/>
              <w:bottom w:val="single" w:sz="4" w:space="0" w:color="auto"/>
              <w:right w:val="nil"/>
            </w:tcBorders>
            <w:vAlign w:val="bottom"/>
            <w:hideMark/>
          </w:tcPr>
          <w:p w14:paraId="79CB548F" w14:textId="77777777" w:rsidR="00FE7F8B" w:rsidRDefault="00FE7F8B">
            <w:pPr>
              <w:pStyle w:val="TableTextFinancial"/>
              <w:jc w:val="center"/>
            </w:pPr>
            <w:r>
              <w:t>388.6</w:t>
            </w:r>
          </w:p>
        </w:tc>
        <w:tc>
          <w:tcPr>
            <w:tcW w:w="1002" w:type="dxa"/>
            <w:tcBorders>
              <w:top w:val="nil"/>
              <w:left w:val="nil"/>
              <w:bottom w:val="single" w:sz="4" w:space="0" w:color="auto"/>
              <w:right w:val="nil"/>
            </w:tcBorders>
            <w:vAlign w:val="bottom"/>
            <w:hideMark/>
          </w:tcPr>
          <w:p w14:paraId="0877F899" w14:textId="77777777" w:rsidR="00FE7F8B" w:rsidRDefault="00FE7F8B">
            <w:pPr>
              <w:pStyle w:val="TableTextFinancial"/>
              <w:jc w:val="center"/>
            </w:pPr>
            <w:r>
              <w:t>171.4</w:t>
            </w:r>
          </w:p>
        </w:tc>
        <w:tc>
          <w:tcPr>
            <w:tcW w:w="992" w:type="dxa"/>
            <w:tcBorders>
              <w:top w:val="nil"/>
              <w:left w:val="nil"/>
              <w:bottom w:val="single" w:sz="4" w:space="0" w:color="auto"/>
              <w:right w:val="nil"/>
            </w:tcBorders>
            <w:vAlign w:val="bottom"/>
            <w:hideMark/>
          </w:tcPr>
          <w:p w14:paraId="7D88C8CA" w14:textId="77777777" w:rsidR="00FE7F8B" w:rsidRDefault="00FE7F8B">
            <w:pPr>
              <w:pStyle w:val="TableTextFinancial"/>
              <w:jc w:val="center"/>
            </w:pPr>
            <w:r>
              <w:t>397.8</w:t>
            </w:r>
          </w:p>
        </w:tc>
      </w:tr>
      <w:tr w:rsidR="00FE7F8B" w14:paraId="609A3045" w14:textId="77777777" w:rsidTr="00FE7F8B">
        <w:tc>
          <w:tcPr>
            <w:tcW w:w="1995" w:type="dxa"/>
            <w:tcBorders>
              <w:top w:val="single" w:sz="4" w:space="0" w:color="auto"/>
              <w:left w:val="nil"/>
              <w:bottom w:val="nil"/>
              <w:right w:val="nil"/>
            </w:tcBorders>
            <w:vAlign w:val="bottom"/>
            <w:hideMark/>
          </w:tcPr>
          <w:p w14:paraId="29C1C9B1" w14:textId="77777777" w:rsidR="00FE7F8B" w:rsidRDefault="00FE7F8B">
            <w:pPr>
              <w:pStyle w:val="Tabletextnoindent"/>
              <w:rPr>
                <w:b/>
              </w:rPr>
            </w:pPr>
            <w:r>
              <w:rPr>
                <w:b/>
              </w:rPr>
              <w:t>Sub-total</w:t>
            </w:r>
          </w:p>
        </w:tc>
        <w:tc>
          <w:tcPr>
            <w:tcW w:w="1134" w:type="dxa"/>
            <w:tcBorders>
              <w:top w:val="single" w:sz="4" w:space="0" w:color="auto"/>
              <w:left w:val="nil"/>
              <w:bottom w:val="nil"/>
              <w:right w:val="nil"/>
            </w:tcBorders>
            <w:vAlign w:val="bottom"/>
          </w:tcPr>
          <w:p w14:paraId="0A635B7A" w14:textId="77777777" w:rsidR="00FE7F8B" w:rsidRDefault="00FE7F8B">
            <w:pPr>
              <w:pStyle w:val="TableTextFinancial"/>
            </w:pPr>
          </w:p>
        </w:tc>
        <w:tc>
          <w:tcPr>
            <w:tcW w:w="1134" w:type="dxa"/>
            <w:tcBorders>
              <w:top w:val="single" w:sz="4" w:space="0" w:color="auto"/>
              <w:left w:val="nil"/>
              <w:bottom w:val="nil"/>
              <w:right w:val="nil"/>
            </w:tcBorders>
            <w:vAlign w:val="bottom"/>
            <w:hideMark/>
          </w:tcPr>
          <w:p w14:paraId="20B9186F" w14:textId="77777777" w:rsidR="00FE7F8B" w:rsidRDefault="00FE7F8B">
            <w:pPr>
              <w:pStyle w:val="TableTextFinancial"/>
              <w:jc w:val="center"/>
              <w:rPr>
                <w:b/>
              </w:rPr>
            </w:pPr>
            <w:r>
              <w:rPr>
                <w:b/>
              </w:rPr>
              <w:t>174.4</w:t>
            </w:r>
          </w:p>
        </w:tc>
        <w:tc>
          <w:tcPr>
            <w:tcW w:w="1266" w:type="dxa"/>
            <w:tcBorders>
              <w:top w:val="single" w:sz="4" w:space="0" w:color="auto"/>
              <w:left w:val="nil"/>
              <w:bottom w:val="nil"/>
              <w:right w:val="nil"/>
            </w:tcBorders>
            <w:vAlign w:val="bottom"/>
            <w:hideMark/>
          </w:tcPr>
          <w:p w14:paraId="77EB2E3E" w14:textId="77777777" w:rsidR="00FE7F8B" w:rsidRDefault="00FE7F8B">
            <w:pPr>
              <w:pStyle w:val="TableTextFinancial"/>
              <w:jc w:val="center"/>
              <w:rPr>
                <w:b/>
              </w:rPr>
            </w:pPr>
            <w:r>
              <w:rPr>
                <w:b/>
              </w:rPr>
              <w:t>388.6</w:t>
            </w:r>
          </w:p>
        </w:tc>
        <w:tc>
          <w:tcPr>
            <w:tcW w:w="1002" w:type="dxa"/>
            <w:tcBorders>
              <w:top w:val="single" w:sz="4" w:space="0" w:color="auto"/>
              <w:left w:val="nil"/>
              <w:bottom w:val="nil"/>
              <w:right w:val="nil"/>
            </w:tcBorders>
            <w:vAlign w:val="bottom"/>
            <w:hideMark/>
          </w:tcPr>
          <w:p w14:paraId="1459EB26" w14:textId="77777777" w:rsidR="00FE7F8B" w:rsidRDefault="00FE7F8B">
            <w:pPr>
              <w:pStyle w:val="TableTextFinancial"/>
              <w:jc w:val="center"/>
              <w:rPr>
                <w:b/>
              </w:rPr>
            </w:pPr>
            <w:r>
              <w:rPr>
                <w:b/>
              </w:rPr>
              <w:t>171.4</w:t>
            </w:r>
          </w:p>
        </w:tc>
        <w:tc>
          <w:tcPr>
            <w:tcW w:w="992" w:type="dxa"/>
            <w:tcBorders>
              <w:top w:val="single" w:sz="4" w:space="0" w:color="auto"/>
              <w:left w:val="nil"/>
              <w:bottom w:val="nil"/>
              <w:right w:val="nil"/>
            </w:tcBorders>
            <w:vAlign w:val="bottom"/>
            <w:hideMark/>
          </w:tcPr>
          <w:p w14:paraId="589ED690" w14:textId="77777777" w:rsidR="00FE7F8B" w:rsidRDefault="00FE7F8B">
            <w:pPr>
              <w:pStyle w:val="TableTextFinancial"/>
              <w:jc w:val="center"/>
              <w:rPr>
                <w:b/>
              </w:rPr>
            </w:pPr>
            <w:r>
              <w:rPr>
                <w:b/>
              </w:rPr>
              <w:t>397.8</w:t>
            </w:r>
          </w:p>
        </w:tc>
      </w:tr>
      <w:tr w:rsidR="00FE7F8B" w14:paraId="4D13FC60" w14:textId="77777777" w:rsidTr="00FE7F8B">
        <w:tc>
          <w:tcPr>
            <w:tcW w:w="1995" w:type="dxa"/>
            <w:tcBorders>
              <w:top w:val="nil"/>
              <w:left w:val="nil"/>
              <w:bottom w:val="nil"/>
              <w:right w:val="nil"/>
            </w:tcBorders>
            <w:shd w:val="clear" w:color="auto" w:fill="7F7F7F" w:themeFill="text1" w:themeFillTint="80"/>
            <w:vAlign w:val="bottom"/>
          </w:tcPr>
          <w:p w14:paraId="163ABEBB" w14:textId="77777777" w:rsidR="00FE7F8B" w:rsidRDefault="00FE7F8B">
            <w:pPr>
              <w:pStyle w:val="Tablecolumnheading"/>
              <w:jc w:val="center"/>
              <w:rPr>
                <w:lang w:eastAsia="en-AU"/>
              </w:rPr>
            </w:pPr>
          </w:p>
        </w:tc>
        <w:tc>
          <w:tcPr>
            <w:tcW w:w="1134" w:type="dxa"/>
            <w:tcBorders>
              <w:top w:val="nil"/>
              <w:left w:val="nil"/>
              <w:bottom w:val="nil"/>
              <w:right w:val="nil"/>
            </w:tcBorders>
            <w:shd w:val="clear" w:color="auto" w:fill="7F7F7F" w:themeFill="text1" w:themeFillTint="80"/>
            <w:vAlign w:val="bottom"/>
            <w:hideMark/>
          </w:tcPr>
          <w:p w14:paraId="66B3C27B" w14:textId="77777777" w:rsidR="00FE7F8B" w:rsidRDefault="00FE7F8B">
            <w:pPr>
              <w:pStyle w:val="Tablecolumnheading"/>
              <w:jc w:val="center"/>
              <w:rPr>
                <w:sz w:val="16"/>
                <w:lang w:eastAsia="en-AU"/>
              </w:rPr>
            </w:pPr>
            <w:r>
              <w:rPr>
                <w:sz w:val="16"/>
                <w:lang w:eastAsia="en-AU"/>
              </w:rPr>
              <w:t>Minimum lease payments</w:t>
            </w:r>
          </w:p>
        </w:tc>
        <w:tc>
          <w:tcPr>
            <w:tcW w:w="1134" w:type="dxa"/>
            <w:tcBorders>
              <w:top w:val="nil"/>
              <w:left w:val="nil"/>
              <w:bottom w:val="nil"/>
              <w:right w:val="nil"/>
            </w:tcBorders>
            <w:shd w:val="clear" w:color="auto" w:fill="7F7F7F" w:themeFill="text1" w:themeFillTint="80"/>
            <w:vAlign w:val="bottom"/>
            <w:hideMark/>
          </w:tcPr>
          <w:p w14:paraId="1938CB84" w14:textId="77777777" w:rsidR="00FE7F8B" w:rsidRDefault="00FE7F8B">
            <w:pPr>
              <w:pStyle w:val="Tablecolumnheading"/>
              <w:jc w:val="center"/>
              <w:rPr>
                <w:sz w:val="16"/>
                <w:lang w:eastAsia="en-AU"/>
              </w:rPr>
            </w:pPr>
            <w:r>
              <w:rPr>
                <w:sz w:val="16"/>
                <w:lang w:eastAsia="en-AU"/>
              </w:rPr>
              <w:t>Other commitments</w:t>
            </w:r>
          </w:p>
        </w:tc>
        <w:tc>
          <w:tcPr>
            <w:tcW w:w="1266" w:type="dxa"/>
            <w:tcBorders>
              <w:top w:val="nil"/>
              <w:left w:val="nil"/>
              <w:bottom w:val="nil"/>
              <w:right w:val="nil"/>
            </w:tcBorders>
            <w:shd w:val="clear" w:color="auto" w:fill="7F7F7F" w:themeFill="text1" w:themeFillTint="80"/>
            <w:vAlign w:val="bottom"/>
            <w:hideMark/>
          </w:tcPr>
          <w:p w14:paraId="32E450D5" w14:textId="77777777" w:rsidR="00FE7F8B" w:rsidRDefault="00FE7F8B">
            <w:pPr>
              <w:pStyle w:val="Tablecolumnheading"/>
              <w:jc w:val="center"/>
              <w:rPr>
                <w:sz w:val="16"/>
                <w:lang w:eastAsia="en-AU"/>
              </w:rPr>
            </w:pPr>
            <w:r>
              <w:rPr>
                <w:sz w:val="16"/>
                <w:lang w:eastAsia="en-AU"/>
              </w:rPr>
              <w:t>Total commitments</w:t>
            </w:r>
            <w:r>
              <w:rPr>
                <w:rStyle w:val="FootnoteReference"/>
                <w:sz w:val="16"/>
              </w:rPr>
              <w:t>1</w:t>
            </w:r>
          </w:p>
        </w:tc>
        <w:tc>
          <w:tcPr>
            <w:tcW w:w="1002" w:type="dxa"/>
            <w:tcBorders>
              <w:top w:val="nil"/>
              <w:left w:val="nil"/>
              <w:bottom w:val="nil"/>
              <w:right w:val="nil"/>
            </w:tcBorders>
            <w:shd w:val="clear" w:color="auto" w:fill="7F7F7F" w:themeFill="text1" w:themeFillTint="80"/>
            <w:vAlign w:val="bottom"/>
          </w:tcPr>
          <w:p w14:paraId="7BFDD8F6"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bottom"/>
          </w:tcPr>
          <w:p w14:paraId="5479508C" w14:textId="77777777" w:rsidR="00FE7F8B" w:rsidRDefault="00FE7F8B">
            <w:pPr>
              <w:pStyle w:val="Tablecolumnheading"/>
              <w:jc w:val="center"/>
              <w:rPr>
                <w:lang w:eastAsia="en-AU"/>
              </w:rPr>
            </w:pPr>
          </w:p>
        </w:tc>
      </w:tr>
      <w:tr w:rsidR="00FE7F8B" w14:paraId="7C046087" w14:textId="77777777" w:rsidTr="00FE7F8B">
        <w:tc>
          <w:tcPr>
            <w:tcW w:w="1995" w:type="dxa"/>
            <w:tcBorders>
              <w:top w:val="nil"/>
              <w:left w:val="nil"/>
              <w:bottom w:val="nil"/>
              <w:right w:val="nil"/>
            </w:tcBorders>
            <w:shd w:val="clear" w:color="auto" w:fill="7F7F7F" w:themeFill="text1" w:themeFillTint="80"/>
            <w:vAlign w:val="bottom"/>
          </w:tcPr>
          <w:p w14:paraId="12C5CFD6" w14:textId="77777777" w:rsidR="00FE7F8B" w:rsidRDefault="00FE7F8B">
            <w:pPr>
              <w:pStyle w:val="Tablecolumnheading"/>
              <w:jc w:val="center"/>
              <w:rPr>
                <w:lang w:eastAsia="en-AU"/>
              </w:rPr>
            </w:pPr>
          </w:p>
        </w:tc>
        <w:tc>
          <w:tcPr>
            <w:tcW w:w="1134" w:type="dxa"/>
            <w:tcBorders>
              <w:top w:val="nil"/>
              <w:left w:val="nil"/>
              <w:bottom w:val="nil"/>
              <w:right w:val="nil"/>
            </w:tcBorders>
            <w:shd w:val="clear" w:color="auto" w:fill="7F7F7F" w:themeFill="text1" w:themeFillTint="80"/>
            <w:vAlign w:val="bottom"/>
            <w:hideMark/>
          </w:tcPr>
          <w:p w14:paraId="49C2F9DE" w14:textId="77777777" w:rsidR="00FE7F8B" w:rsidRDefault="00FE7F8B">
            <w:pPr>
              <w:pStyle w:val="Tablecolumnheading"/>
              <w:jc w:val="center"/>
              <w:rPr>
                <w:sz w:val="16"/>
                <w:lang w:eastAsia="en-AU"/>
              </w:rPr>
            </w:pPr>
            <w:r>
              <w:rPr>
                <w:sz w:val="16"/>
                <w:lang w:eastAsia="en-AU"/>
              </w:rPr>
              <w:t>Discounted value</w:t>
            </w:r>
            <w:r>
              <w:rPr>
                <w:sz w:val="16"/>
                <w:lang w:eastAsia="en-AU"/>
              </w:rPr>
              <w:br/>
              <w:t>$m</w:t>
            </w:r>
          </w:p>
        </w:tc>
        <w:tc>
          <w:tcPr>
            <w:tcW w:w="1134" w:type="dxa"/>
            <w:tcBorders>
              <w:top w:val="nil"/>
              <w:left w:val="nil"/>
              <w:bottom w:val="nil"/>
              <w:right w:val="nil"/>
            </w:tcBorders>
            <w:shd w:val="clear" w:color="auto" w:fill="7F7F7F" w:themeFill="text1" w:themeFillTint="80"/>
            <w:vAlign w:val="bottom"/>
            <w:hideMark/>
          </w:tcPr>
          <w:p w14:paraId="57F88B2B" w14:textId="77777777" w:rsidR="00FE7F8B" w:rsidRDefault="00FE7F8B">
            <w:pPr>
              <w:pStyle w:val="Tablecolumnheading"/>
              <w:jc w:val="center"/>
              <w:rPr>
                <w:sz w:val="16"/>
                <w:lang w:eastAsia="en-AU"/>
              </w:rPr>
            </w:pPr>
            <w:r>
              <w:rPr>
                <w:sz w:val="16"/>
                <w:lang w:eastAsia="en-AU"/>
              </w:rPr>
              <w:t>Present value</w:t>
            </w:r>
            <w:r>
              <w:rPr>
                <w:sz w:val="16"/>
                <w:lang w:eastAsia="en-AU"/>
              </w:rPr>
              <w:br/>
              <w:t>$m</w:t>
            </w:r>
          </w:p>
        </w:tc>
        <w:tc>
          <w:tcPr>
            <w:tcW w:w="1266" w:type="dxa"/>
            <w:tcBorders>
              <w:top w:val="nil"/>
              <w:left w:val="nil"/>
              <w:bottom w:val="nil"/>
              <w:right w:val="nil"/>
            </w:tcBorders>
            <w:shd w:val="clear" w:color="auto" w:fill="7F7F7F" w:themeFill="text1" w:themeFillTint="80"/>
            <w:vAlign w:val="bottom"/>
            <w:hideMark/>
          </w:tcPr>
          <w:p w14:paraId="74FFE26F" w14:textId="77777777" w:rsidR="00FE7F8B" w:rsidRDefault="00FE7F8B">
            <w:pPr>
              <w:pStyle w:val="Tablecolumnheading"/>
              <w:jc w:val="center"/>
              <w:rPr>
                <w:sz w:val="16"/>
                <w:lang w:eastAsia="en-AU"/>
              </w:rPr>
            </w:pPr>
            <w:r>
              <w:rPr>
                <w:sz w:val="16"/>
                <w:lang w:eastAsia="en-AU"/>
              </w:rPr>
              <w:t>Nominal value</w:t>
            </w:r>
            <w:r>
              <w:rPr>
                <w:sz w:val="16"/>
                <w:lang w:eastAsia="en-AU"/>
              </w:rPr>
              <w:br/>
              <w:t>$m</w:t>
            </w:r>
          </w:p>
        </w:tc>
        <w:tc>
          <w:tcPr>
            <w:tcW w:w="1002" w:type="dxa"/>
            <w:tcBorders>
              <w:top w:val="nil"/>
              <w:left w:val="nil"/>
              <w:bottom w:val="nil"/>
              <w:right w:val="nil"/>
            </w:tcBorders>
            <w:shd w:val="clear" w:color="auto" w:fill="7F7F7F" w:themeFill="text1" w:themeFillTint="80"/>
            <w:vAlign w:val="bottom"/>
          </w:tcPr>
          <w:p w14:paraId="179EB928" w14:textId="77777777" w:rsidR="00FE7F8B" w:rsidRDefault="00FE7F8B">
            <w:pPr>
              <w:pStyle w:val="Tablecolumnheading"/>
              <w:jc w:val="center"/>
              <w:rPr>
                <w:lang w:eastAsia="en-AU"/>
              </w:rPr>
            </w:pPr>
          </w:p>
        </w:tc>
        <w:tc>
          <w:tcPr>
            <w:tcW w:w="992" w:type="dxa"/>
            <w:tcBorders>
              <w:top w:val="nil"/>
              <w:left w:val="nil"/>
              <w:bottom w:val="nil"/>
              <w:right w:val="nil"/>
            </w:tcBorders>
            <w:shd w:val="clear" w:color="auto" w:fill="7F7F7F" w:themeFill="text1" w:themeFillTint="80"/>
            <w:vAlign w:val="bottom"/>
          </w:tcPr>
          <w:p w14:paraId="3F31FEAF" w14:textId="77777777" w:rsidR="00FE7F8B" w:rsidRDefault="00FE7F8B">
            <w:pPr>
              <w:pStyle w:val="Tablecolumnheading"/>
              <w:jc w:val="center"/>
              <w:rPr>
                <w:lang w:eastAsia="en-AU"/>
              </w:rPr>
            </w:pPr>
          </w:p>
        </w:tc>
      </w:tr>
      <w:tr w:rsidR="00FE7F8B" w14:paraId="1F794ECA" w14:textId="77777777" w:rsidTr="00FE7F8B">
        <w:tc>
          <w:tcPr>
            <w:tcW w:w="7523" w:type="dxa"/>
            <w:gridSpan w:val="6"/>
            <w:tcBorders>
              <w:top w:val="nil"/>
              <w:left w:val="nil"/>
              <w:bottom w:val="nil"/>
              <w:right w:val="nil"/>
            </w:tcBorders>
            <w:vAlign w:val="bottom"/>
            <w:hideMark/>
          </w:tcPr>
          <w:p w14:paraId="4EF81CE5" w14:textId="77777777" w:rsidR="00FE7F8B" w:rsidRDefault="00FE7F8B">
            <w:pPr>
              <w:pStyle w:val="TableTextFinancial"/>
            </w:pPr>
            <w:r>
              <w:rPr>
                <w:b/>
              </w:rPr>
              <w:t>Uncommissioned public private partnerships—total commitments</w:t>
            </w:r>
            <w:r>
              <w:rPr>
                <w:b/>
                <w:vertAlign w:val="superscript"/>
              </w:rPr>
              <w:t>2</w:t>
            </w:r>
          </w:p>
        </w:tc>
      </w:tr>
      <w:tr w:rsidR="00FE7F8B" w14:paraId="5A4CC548" w14:textId="77777777" w:rsidTr="00FE7F8B">
        <w:tc>
          <w:tcPr>
            <w:tcW w:w="1995" w:type="dxa"/>
            <w:tcBorders>
              <w:top w:val="nil"/>
              <w:left w:val="nil"/>
              <w:bottom w:val="single" w:sz="4" w:space="0" w:color="auto"/>
              <w:right w:val="nil"/>
            </w:tcBorders>
            <w:vAlign w:val="bottom"/>
            <w:hideMark/>
          </w:tcPr>
          <w:p w14:paraId="0BD06DCF" w14:textId="77777777" w:rsidR="00FE7F8B" w:rsidRDefault="00FE7F8B">
            <w:pPr>
              <w:pStyle w:val="Tabletextnoindent"/>
            </w:pPr>
            <w:r>
              <w:t>New Schools PPP</w:t>
            </w:r>
          </w:p>
        </w:tc>
        <w:tc>
          <w:tcPr>
            <w:tcW w:w="1134" w:type="dxa"/>
            <w:tcBorders>
              <w:top w:val="nil"/>
              <w:left w:val="nil"/>
              <w:bottom w:val="single" w:sz="4" w:space="0" w:color="auto"/>
              <w:right w:val="nil"/>
            </w:tcBorders>
            <w:vAlign w:val="bottom"/>
            <w:hideMark/>
          </w:tcPr>
          <w:p w14:paraId="56114A2E" w14:textId="77777777" w:rsidR="00FE7F8B" w:rsidRDefault="00FE7F8B">
            <w:pPr>
              <w:pStyle w:val="TableTextFinancial"/>
              <w:jc w:val="right"/>
            </w:pPr>
            <w:r>
              <w:t>393.6</w:t>
            </w:r>
          </w:p>
        </w:tc>
        <w:tc>
          <w:tcPr>
            <w:tcW w:w="1134" w:type="dxa"/>
            <w:tcBorders>
              <w:top w:val="nil"/>
              <w:left w:val="nil"/>
              <w:bottom w:val="single" w:sz="4" w:space="0" w:color="auto"/>
              <w:right w:val="nil"/>
            </w:tcBorders>
            <w:vAlign w:val="bottom"/>
            <w:hideMark/>
          </w:tcPr>
          <w:p w14:paraId="7057B873" w14:textId="77777777" w:rsidR="00FE7F8B" w:rsidRDefault="00FE7F8B">
            <w:pPr>
              <w:pStyle w:val="TableTextFinancial"/>
              <w:jc w:val="right"/>
            </w:pPr>
            <w:r>
              <w:t>176.0</w:t>
            </w:r>
          </w:p>
        </w:tc>
        <w:tc>
          <w:tcPr>
            <w:tcW w:w="1266" w:type="dxa"/>
            <w:tcBorders>
              <w:top w:val="nil"/>
              <w:left w:val="nil"/>
              <w:bottom w:val="single" w:sz="4" w:space="0" w:color="auto"/>
              <w:right w:val="nil"/>
            </w:tcBorders>
            <w:vAlign w:val="bottom"/>
            <w:hideMark/>
          </w:tcPr>
          <w:p w14:paraId="704C09A3" w14:textId="77777777" w:rsidR="00FE7F8B" w:rsidRDefault="00FE7F8B">
            <w:pPr>
              <w:pStyle w:val="TableTextFinancial"/>
              <w:jc w:val="right"/>
            </w:pPr>
            <w:r>
              <w:t>1,088.0</w:t>
            </w:r>
          </w:p>
        </w:tc>
        <w:tc>
          <w:tcPr>
            <w:tcW w:w="1002" w:type="dxa"/>
            <w:tcBorders>
              <w:top w:val="nil"/>
              <w:left w:val="nil"/>
              <w:bottom w:val="single" w:sz="4" w:space="0" w:color="auto"/>
              <w:right w:val="nil"/>
            </w:tcBorders>
            <w:vAlign w:val="bottom"/>
            <w:hideMark/>
          </w:tcPr>
          <w:p w14:paraId="301AA7C7" w14:textId="77777777" w:rsidR="00FE7F8B" w:rsidRDefault="00FE7F8B">
            <w:pPr>
              <w:pStyle w:val="TableTextFinancial"/>
              <w:jc w:val="right"/>
            </w:pPr>
            <w:r>
              <w:rPr>
                <w:color w:val="FFFFFF"/>
              </w:rPr>
              <w:t>-</w:t>
            </w:r>
          </w:p>
        </w:tc>
        <w:tc>
          <w:tcPr>
            <w:tcW w:w="992" w:type="dxa"/>
            <w:tcBorders>
              <w:top w:val="nil"/>
              <w:left w:val="nil"/>
              <w:bottom w:val="single" w:sz="4" w:space="0" w:color="auto"/>
              <w:right w:val="nil"/>
            </w:tcBorders>
            <w:vAlign w:val="bottom"/>
            <w:hideMark/>
          </w:tcPr>
          <w:p w14:paraId="09A356FC" w14:textId="77777777" w:rsidR="00FE7F8B" w:rsidRDefault="00FE7F8B">
            <w:pPr>
              <w:pStyle w:val="TableTextFinancial"/>
              <w:jc w:val="right"/>
            </w:pPr>
            <w:r>
              <w:rPr>
                <w:color w:val="FFFFFF"/>
              </w:rPr>
              <w:t>-</w:t>
            </w:r>
          </w:p>
        </w:tc>
      </w:tr>
      <w:tr w:rsidR="00FE7F8B" w14:paraId="07617537" w14:textId="77777777" w:rsidTr="00FE7F8B">
        <w:tc>
          <w:tcPr>
            <w:tcW w:w="1995" w:type="dxa"/>
            <w:tcBorders>
              <w:top w:val="single" w:sz="4" w:space="0" w:color="auto"/>
              <w:left w:val="nil"/>
              <w:bottom w:val="single" w:sz="4" w:space="0" w:color="auto"/>
              <w:right w:val="nil"/>
            </w:tcBorders>
            <w:vAlign w:val="bottom"/>
            <w:hideMark/>
          </w:tcPr>
          <w:p w14:paraId="4E393CCA" w14:textId="77777777" w:rsidR="00FE7F8B" w:rsidRDefault="00FE7F8B">
            <w:pPr>
              <w:pStyle w:val="Tabletextnoindent"/>
              <w:rPr>
                <w:b/>
              </w:rPr>
            </w:pPr>
            <w:r>
              <w:rPr>
                <w:b/>
              </w:rPr>
              <w:t>Sub-total</w:t>
            </w:r>
          </w:p>
        </w:tc>
        <w:tc>
          <w:tcPr>
            <w:tcW w:w="1134" w:type="dxa"/>
            <w:tcBorders>
              <w:top w:val="single" w:sz="4" w:space="0" w:color="auto"/>
              <w:left w:val="nil"/>
              <w:bottom w:val="single" w:sz="4" w:space="0" w:color="auto"/>
              <w:right w:val="nil"/>
            </w:tcBorders>
            <w:vAlign w:val="bottom"/>
            <w:hideMark/>
          </w:tcPr>
          <w:p w14:paraId="04DDDEDD" w14:textId="77777777" w:rsidR="00FE7F8B" w:rsidRDefault="00FE7F8B">
            <w:pPr>
              <w:pStyle w:val="TableTextFinancial"/>
              <w:jc w:val="right"/>
            </w:pPr>
            <w:r>
              <w:t>393.6</w:t>
            </w:r>
          </w:p>
        </w:tc>
        <w:tc>
          <w:tcPr>
            <w:tcW w:w="1134" w:type="dxa"/>
            <w:tcBorders>
              <w:top w:val="single" w:sz="4" w:space="0" w:color="auto"/>
              <w:left w:val="nil"/>
              <w:bottom w:val="single" w:sz="4" w:space="0" w:color="auto"/>
              <w:right w:val="nil"/>
            </w:tcBorders>
            <w:vAlign w:val="bottom"/>
            <w:hideMark/>
          </w:tcPr>
          <w:p w14:paraId="4EBB70B8" w14:textId="77777777" w:rsidR="00FE7F8B" w:rsidRDefault="00FE7F8B">
            <w:pPr>
              <w:pStyle w:val="TableTextFinancial"/>
              <w:jc w:val="right"/>
            </w:pPr>
            <w:r>
              <w:t>176.0</w:t>
            </w:r>
          </w:p>
        </w:tc>
        <w:tc>
          <w:tcPr>
            <w:tcW w:w="1266" w:type="dxa"/>
            <w:tcBorders>
              <w:top w:val="single" w:sz="4" w:space="0" w:color="auto"/>
              <w:left w:val="nil"/>
              <w:bottom w:val="single" w:sz="4" w:space="0" w:color="auto"/>
              <w:right w:val="nil"/>
            </w:tcBorders>
            <w:vAlign w:val="bottom"/>
            <w:hideMark/>
          </w:tcPr>
          <w:p w14:paraId="07E011AC" w14:textId="77777777" w:rsidR="00FE7F8B" w:rsidRDefault="00FE7F8B">
            <w:pPr>
              <w:pStyle w:val="TableTextFinancial"/>
              <w:jc w:val="right"/>
            </w:pPr>
            <w:r>
              <w:t>1,088.0</w:t>
            </w:r>
          </w:p>
        </w:tc>
        <w:tc>
          <w:tcPr>
            <w:tcW w:w="1002" w:type="dxa"/>
            <w:tcBorders>
              <w:top w:val="single" w:sz="4" w:space="0" w:color="auto"/>
              <w:left w:val="nil"/>
              <w:bottom w:val="single" w:sz="4" w:space="0" w:color="auto"/>
              <w:right w:val="nil"/>
            </w:tcBorders>
            <w:vAlign w:val="bottom"/>
            <w:hideMark/>
          </w:tcPr>
          <w:p w14:paraId="3A12AA42" w14:textId="77777777" w:rsidR="00FE7F8B" w:rsidRDefault="00FE7F8B">
            <w:pPr>
              <w:pStyle w:val="TableTextFinancial"/>
              <w:jc w:val="right"/>
            </w:pPr>
            <w:r>
              <w:rPr>
                <w:color w:val="FFFFFF"/>
              </w:rPr>
              <w:t>-</w:t>
            </w:r>
          </w:p>
        </w:tc>
        <w:tc>
          <w:tcPr>
            <w:tcW w:w="992" w:type="dxa"/>
            <w:tcBorders>
              <w:top w:val="single" w:sz="4" w:space="0" w:color="auto"/>
              <w:left w:val="nil"/>
              <w:bottom w:val="single" w:sz="4" w:space="0" w:color="auto"/>
              <w:right w:val="nil"/>
            </w:tcBorders>
            <w:vAlign w:val="bottom"/>
            <w:hideMark/>
          </w:tcPr>
          <w:p w14:paraId="791A7758" w14:textId="77777777" w:rsidR="00FE7F8B" w:rsidRDefault="00FE7F8B">
            <w:pPr>
              <w:pStyle w:val="TableTextFinancial"/>
              <w:jc w:val="right"/>
            </w:pPr>
            <w:r>
              <w:rPr>
                <w:color w:val="FFFFFF"/>
              </w:rPr>
              <w:t>-</w:t>
            </w:r>
          </w:p>
        </w:tc>
      </w:tr>
      <w:tr w:rsidR="00FE7F8B" w14:paraId="6C4CAFBC" w14:textId="77777777" w:rsidTr="00FE7F8B">
        <w:tc>
          <w:tcPr>
            <w:tcW w:w="1995" w:type="dxa"/>
            <w:tcBorders>
              <w:top w:val="single" w:sz="4" w:space="0" w:color="auto"/>
              <w:left w:val="nil"/>
              <w:bottom w:val="single" w:sz="4" w:space="0" w:color="auto"/>
              <w:right w:val="nil"/>
            </w:tcBorders>
            <w:vAlign w:val="bottom"/>
            <w:hideMark/>
          </w:tcPr>
          <w:p w14:paraId="40DA7767" w14:textId="77777777" w:rsidR="00FE7F8B" w:rsidRDefault="00FE7F8B">
            <w:pPr>
              <w:pStyle w:val="Tabletextnoindent"/>
              <w:rPr>
                <w:b/>
              </w:rPr>
            </w:pPr>
            <w:r>
              <w:rPr>
                <w:b/>
              </w:rPr>
              <w:t>Total commitments for public private partnerships</w:t>
            </w:r>
          </w:p>
        </w:tc>
        <w:tc>
          <w:tcPr>
            <w:tcW w:w="1134" w:type="dxa"/>
            <w:tcBorders>
              <w:top w:val="single" w:sz="4" w:space="0" w:color="auto"/>
              <w:left w:val="nil"/>
              <w:bottom w:val="single" w:sz="4" w:space="0" w:color="auto"/>
              <w:right w:val="nil"/>
            </w:tcBorders>
            <w:vAlign w:val="bottom"/>
            <w:hideMark/>
          </w:tcPr>
          <w:p w14:paraId="18237BA5" w14:textId="77777777" w:rsidR="00FE7F8B" w:rsidRDefault="00FE7F8B">
            <w:pPr>
              <w:pStyle w:val="TableTextFinancial"/>
              <w:jc w:val="right"/>
              <w:rPr>
                <w:b/>
              </w:rPr>
            </w:pPr>
            <w:r>
              <w:rPr>
                <w:b/>
              </w:rPr>
              <w:t>393.6</w:t>
            </w:r>
          </w:p>
        </w:tc>
        <w:tc>
          <w:tcPr>
            <w:tcW w:w="1134" w:type="dxa"/>
            <w:tcBorders>
              <w:top w:val="single" w:sz="4" w:space="0" w:color="auto"/>
              <w:left w:val="nil"/>
              <w:bottom w:val="single" w:sz="4" w:space="0" w:color="auto"/>
              <w:right w:val="nil"/>
            </w:tcBorders>
            <w:vAlign w:val="bottom"/>
            <w:hideMark/>
          </w:tcPr>
          <w:p w14:paraId="244B1886" w14:textId="77777777" w:rsidR="00FE7F8B" w:rsidRDefault="00FE7F8B">
            <w:pPr>
              <w:pStyle w:val="TableTextFinancial"/>
              <w:jc w:val="right"/>
              <w:rPr>
                <w:b/>
              </w:rPr>
            </w:pPr>
            <w:r>
              <w:rPr>
                <w:b/>
              </w:rPr>
              <w:t>350.4</w:t>
            </w:r>
          </w:p>
        </w:tc>
        <w:tc>
          <w:tcPr>
            <w:tcW w:w="1266" w:type="dxa"/>
            <w:tcBorders>
              <w:top w:val="single" w:sz="4" w:space="0" w:color="auto"/>
              <w:left w:val="nil"/>
              <w:bottom w:val="single" w:sz="4" w:space="0" w:color="auto"/>
              <w:right w:val="nil"/>
            </w:tcBorders>
            <w:vAlign w:val="bottom"/>
            <w:hideMark/>
          </w:tcPr>
          <w:p w14:paraId="6FF88D44" w14:textId="77777777" w:rsidR="00FE7F8B" w:rsidRDefault="00FE7F8B">
            <w:pPr>
              <w:pStyle w:val="TableTextFinancial"/>
              <w:jc w:val="right"/>
              <w:rPr>
                <w:b/>
              </w:rPr>
            </w:pPr>
            <w:r>
              <w:rPr>
                <w:b/>
              </w:rPr>
              <w:t>1,476.6</w:t>
            </w:r>
          </w:p>
        </w:tc>
        <w:tc>
          <w:tcPr>
            <w:tcW w:w="1002" w:type="dxa"/>
            <w:tcBorders>
              <w:top w:val="single" w:sz="4" w:space="0" w:color="auto"/>
              <w:left w:val="nil"/>
              <w:bottom w:val="single" w:sz="4" w:space="0" w:color="auto"/>
              <w:right w:val="nil"/>
            </w:tcBorders>
            <w:vAlign w:val="bottom"/>
            <w:hideMark/>
          </w:tcPr>
          <w:p w14:paraId="2D505993" w14:textId="77777777" w:rsidR="00FE7F8B" w:rsidRDefault="00FE7F8B">
            <w:pPr>
              <w:pStyle w:val="TableTextFinancial"/>
              <w:jc w:val="center"/>
              <w:rPr>
                <w:b/>
              </w:rPr>
            </w:pPr>
            <w:r>
              <w:rPr>
                <w:b/>
              </w:rPr>
              <w:t>171.4</w:t>
            </w:r>
          </w:p>
        </w:tc>
        <w:tc>
          <w:tcPr>
            <w:tcW w:w="992" w:type="dxa"/>
            <w:tcBorders>
              <w:top w:val="single" w:sz="4" w:space="0" w:color="auto"/>
              <w:left w:val="nil"/>
              <w:bottom w:val="single" w:sz="4" w:space="0" w:color="auto"/>
              <w:right w:val="nil"/>
            </w:tcBorders>
            <w:vAlign w:val="bottom"/>
            <w:hideMark/>
          </w:tcPr>
          <w:p w14:paraId="7E891738" w14:textId="77777777" w:rsidR="00FE7F8B" w:rsidRDefault="00FE7F8B">
            <w:pPr>
              <w:pStyle w:val="TableTextFinancial"/>
              <w:jc w:val="center"/>
              <w:rPr>
                <w:b/>
              </w:rPr>
            </w:pPr>
            <w:r>
              <w:rPr>
                <w:b/>
              </w:rPr>
              <w:t>397.8</w:t>
            </w:r>
          </w:p>
        </w:tc>
      </w:tr>
    </w:tbl>
    <w:p w14:paraId="54FEAAD1" w14:textId="77777777" w:rsidR="00FE7F8B" w:rsidRDefault="00FE7F8B" w:rsidP="007D34C9">
      <w:pPr>
        <w:pStyle w:val="DETFootnoteTextforobjectivestablesOHStable"/>
        <w:spacing w:before="120"/>
        <w:rPr>
          <w:sz w:val="13"/>
        </w:rPr>
      </w:pPr>
      <w:r>
        <w:t>1 Total commitment will not equal the sum of the minimum lease payments and other commitments because they are discounted, whereas total commitments are at nominal value.</w:t>
      </w:r>
    </w:p>
    <w:p w14:paraId="48EC06F1" w14:textId="77777777" w:rsidR="00FE7F8B" w:rsidRDefault="00FE7F8B" w:rsidP="00155353">
      <w:pPr>
        <w:pStyle w:val="DETFootnoteTextforobjectivestablesOHStable"/>
      </w:pPr>
      <w:r>
        <w:rPr>
          <w:vertAlign w:val="superscript"/>
        </w:rPr>
        <w:t>2</w:t>
      </w:r>
      <w:r>
        <w:t xml:space="preserve"> Figures exclude Operating Phase Insurance because the quantum of these costs is unknown until the schools are operational.</w:t>
      </w:r>
    </w:p>
    <w:p w14:paraId="21D31E6C" w14:textId="77777777" w:rsidR="00FE7F8B" w:rsidRDefault="00FE7F8B" w:rsidP="00FE7F8B">
      <w:pPr>
        <w:spacing w:after="200" w:line="276" w:lineRule="auto"/>
      </w:pPr>
      <w:r>
        <w:br w:type="page"/>
        <w:t>Total commitments are payable as follows:</w:t>
      </w:r>
    </w:p>
    <w:tbl>
      <w:tblPr>
        <w:tblW w:w="5000" w:type="pct"/>
        <w:tblLook w:val="04A0" w:firstRow="1" w:lastRow="0" w:firstColumn="1" w:lastColumn="0" w:noHBand="0" w:noVBand="1"/>
      </w:tblPr>
      <w:tblGrid>
        <w:gridCol w:w="5461"/>
        <w:gridCol w:w="1078"/>
        <w:gridCol w:w="1050"/>
      </w:tblGrid>
      <w:tr w:rsidR="00FE7F8B" w14:paraId="07D2D407" w14:textId="77777777" w:rsidTr="00FE7F8B">
        <w:trPr>
          <w:trHeight w:val="330"/>
        </w:trPr>
        <w:tc>
          <w:tcPr>
            <w:tcW w:w="3598" w:type="pct"/>
            <w:shd w:val="clear" w:color="auto" w:fill="7F7F7F" w:themeFill="text1" w:themeFillTint="80"/>
            <w:vAlign w:val="center"/>
          </w:tcPr>
          <w:p w14:paraId="3B42EB07" w14:textId="77777777" w:rsidR="00FE7F8B" w:rsidRDefault="00FE7F8B">
            <w:pPr>
              <w:pStyle w:val="Tablecolumnheading"/>
              <w:rPr>
                <w:lang w:eastAsia="en-AU"/>
              </w:rPr>
            </w:pPr>
          </w:p>
        </w:tc>
        <w:tc>
          <w:tcPr>
            <w:tcW w:w="710" w:type="pct"/>
            <w:shd w:val="clear" w:color="auto" w:fill="7F7F7F" w:themeFill="text1" w:themeFillTint="80"/>
            <w:vAlign w:val="bottom"/>
            <w:hideMark/>
          </w:tcPr>
          <w:p w14:paraId="113F4490" w14:textId="77777777" w:rsidR="00FE7F8B" w:rsidRDefault="00FE7F8B">
            <w:pPr>
              <w:pStyle w:val="Tablecolumnheading"/>
              <w:jc w:val="center"/>
              <w:rPr>
                <w:lang w:eastAsia="en-AU"/>
              </w:rPr>
            </w:pPr>
            <w:r>
              <w:t>2016</w:t>
            </w:r>
            <w:r>
              <w:br/>
              <w:t>$m</w:t>
            </w:r>
          </w:p>
        </w:tc>
        <w:tc>
          <w:tcPr>
            <w:tcW w:w="692" w:type="pct"/>
            <w:shd w:val="clear" w:color="auto" w:fill="7F7F7F" w:themeFill="text1" w:themeFillTint="80"/>
            <w:vAlign w:val="bottom"/>
            <w:hideMark/>
          </w:tcPr>
          <w:p w14:paraId="4335F3B2" w14:textId="77777777" w:rsidR="00FE7F8B" w:rsidRDefault="00FE7F8B">
            <w:pPr>
              <w:pStyle w:val="Tablecolumnheading"/>
              <w:jc w:val="center"/>
              <w:rPr>
                <w:lang w:eastAsia="en-AU"/>
              </w:rPr>
            </w:pPr>
            <w:r>
              <w:t>2015</w:t>
            </w:r>
            <w:r>
              <w:br/>
              <w:t>$m</w:t>
            </w:r>
          </w:p>
        </w:tc>
      </w:tr>
      <w:tr w:rsidR="00FE7F8B" w14:paraId="1D662D32" w14:textId="77777777" w:rsidTr="00FE7F8B">
        <w:trPr>
          <w:trHeight w:val="240"/>
        </w:trPr>
        <w:tc>
          <w:tcPr>
            <w:tcW w:w="3598" w:type="pct"/>
            <w:shd w:val="clear" w:color="auto" w:fill="FFFFFF"/>
            <w:hideMark/>
          </w:tcPr>
          <w:p w14:paraId="3E1CB449" w14:textId="77777777" w:rsidR="00FE7F8B" w:rsidRDefault="00FE7F8B">
            <w:pPr>
              <w:pStyle w:val="Tabletextnoindent"/>
            </w:pPr>
            <w:r>
              <w:t>Within one year</w:t>
            </w:r>
          </w:p>
        </w:tc>
        <w:tc>
          <w:tcPr>
            <w:tcW w:w="710" w:type="pct"/>
            <w:shd w:val="clear" w:color="auto" w:fill="F2F2F2" w:themeFill="background1" w:themeFillShade="F2"/>
            <w:vAlign w:val="bottom"/>
            <w:hideMark/>
          </w:tcPr>
          <w:p w14:paraId="6E3D20A5" w14:textId="77777777" w:rsidR="00FE7F8B" w:rsidRDefault="00FE7F8B">
            <w:pPr>
              <w:pStyle w:val="TableTextFinancial"/>
              <w:jc w:val="right"/>
              <w:rPr>
                <w:b/>
              </w:rPr>
            </w:pPr>
            <w:r>
              <w:rPr>
                <w:b/>
              </w:rPr>
              <w:t>23.1</w:t>
            </w:r>
          </w:p>
        </w:tc>
        <w:tc>
          <w:tcPr>
            <w:tcW w:w="692" w:type="pct"/>
            <w:vAlign w:val="bottom"/>
            <w:hideMark/>
          </w:tcPr>
          <w:p w14:paraId="3A1A48C3" w14:textId="77777777" w:rsidR="00FE7F8B" w:rsidRDefault="00FE7F8B">
            <w:pPr>
              <w:pStyle w:val="TableTextFinancial"/>
              <w:jc w:val="right"/>
            </w:pPr>
            <w:r>
              <w:t>11.9</w:t>
            </w:r>
          </w:p>
        </w:tc>
      </w:tr>
      <w:tr w:rsidR="00FE7F8B" w14:paraId="1611AA35" w14:textId="77777777" w:rsidTr="00FE7F8B">
        <w:trPr>
          <w:trHeight w:val="240"/>
        </w:trPr>
        <w:tc>
          <w:tcPr>
            <w:tcW w:w="3598" w:type="pct"/>
            <w:shd w:val="clear" w:color="auto" w:fill="FFFFFF"/>
            <w:vAlign w:val="bottom"/>
            <w:hideMark/>
          </w:tcPr>
          <w:p w14:paraId="73E08E29" w14:textId="77777777" w:rsidR="00FE7F8B" w:rsidRDefault="00FE7F8B">
            <w:pPr>
              <w:pStyle w:val="Tabletextnoindent"/>
            </w:pPr>
            <w:r>
              <w:t>Later than one year but not later than five years</w:t>
            </w:r>
          </w:p>
        </w:tc>
        <w:tc>
          <w:tcPr>
            <w:tcW w:w="710" w:type="pct"/>
            <w:shd w:val="clear" w:color="auto" w:fill="F2F2F2" w:themeFill="background1" w:themeFillShade="F2"/>
            <w:vAlign w:val="bottom"/>
            <w:hideMark/>
          </w:tcPr>
          <w:p w14:paraId="08BAA12D" w14:textId="77777777" w:rsidR="00FE7F8B" w:rsidRDefault="00FE7F8B">
            <w:pPr>
              <w:pStyle w:val="TableTextFinancial"/>
              <w:jc w:val="right"/>
              <w:rPr>
                <w:b/>
              </w:rPr>
            </w:pPr>
            <w:r>
              <w:rPr>
                <w:b/>
              </w:rPr>
              <w:t>195.9</w:t>
            </w:r>
          </w:p>
        </w:tc>
        <w:tc>
          <w:tcPr>
            <w:tcW w:w="692" w:type="pct"/>
            <w:vAlign w:val="bottom"/>
            <w:hideMark/>
          </w:tcPr>
          <w:p w14:paraId="7AC5EC93" w14:textId="77777777" w:rsidR="00FE7F8B" w:rsidRDefault="00FE7F8B">
            <w:pPr>
              <w:pStyle w:val="TableTextFinancial"/>
              <w:jc w:val="right"/>
            </w:pPr>
            <w:r>
              <w:t>52.8</w:t>
            </w:r>
          </w:p>
        </w:tc>
      </w:tr>
      <w:tr w:rsidR="00FE7F8B" w14:paraId="4C6B2B27" w14:textId="77777777" w:rsidTr="00FE7F8B">
        <w:trPr>
          <w:trHeight w:val="240"/>
        </w:trPr>
        <w:tc>
          <w:tcPr>
            <w:tcW w:w="3598" w:type="pct"/>
            <w:tcBorders>
              <w:top w:val="nil"/>
              <w:left w:val="nil"/>
              <w:bottom w:val="single" w:sz="4" w:space="0" w:color="auto"/>
              <w:right w:val="nil"/>
            </w:tcBorders>
            <w:shd w:val="clear" w:color="auto" w:fill="FFFFFF"/>
            <w:vAlign w:val="bottom"/>
            <w:hideMark/>
          </w:tcPr>
          <w:p w14:paraId="3EBB6ED3" w14:textId="77777777" w:rsidR="00FE7F8B" w:rsidRDefault="00FE7F8B">
            <w:pPr>
              <w:pStyle w:val="Tabletextnoindent"/>
            </w:pPr>
            <w:r>
              <w:t>Later than five years</w:t>
            </w:r>
          </w:p>
        </w:tc>
        <w:tc>
          <w:tcPr>
            <w:tcW w:w="710" w:type="pct"/>
            <w:tcBorders>
              <w:top w:val="nil"/>
              <w:left w:val="nil"/>
              <w:bottom w:val="single" w:sz="4" w:space="0" w:color="auto"/>
              <w:right w:val="nil"/>
            </w:tcBorders>
            <w:shd w:val="clear" w:color="auto" w:fill="F2F2F2" w:themeFill="background1" w:themeFillShade="F2"/>
            <w:vAlign w:val="bottom"/>
            <w:hideMark/>
          </w:tcPr>
          <w:p w14:paraId="379757A4" w14:textId="77777777" w:rsidR="00FE7F8B" w:rsidRDefault="00FE7F8B">
            <w:pPr>
              <w:pStyle w:val="TableTextFinancial"/>
              <w:jc w:val="right"/>
              <w:rPr>
                <w:b/>
              </w:rPr>
            </w:pPr>
            <w:r>
              <w:rPr>
                <w:b/>
              </w:rPr>
              <w:t>1,257.7</w:t>
            </w:r>
          </w:p>
        </w:tc>
        <w:tc>
          <w:tcPr>
            <w:tcW w:w="692" w:type="pct"/>
            <w:tcBorders>
              <w:top w:val="nil"/>
              <w:left w:val="nil"/>
              <w:bottom w:val="single" w:sz="4" w:space="0" w:color="auto"/>
              <w:right w:val="nil"/>
            </w:tcBorders>
            <w:vAlign w:val="bottom"/>
            <w:hideMark/>
          </w:tcPr>
          <w:p w14:paraId="4409F0E4" w14:textId="77777777" w:rsidR="00FE7F8B" w:rsidRDefault="00FE7F8B">
            <w:pPr>
              <w:pStyle w:val="TableTextFinancial"/>
              <w:jc w:val="right"/>
            </w:pPr>
            <w:r>
              <w:t>333.1</w:t>
            </w:r>
          </w:p>
        </w:tc>
      </w:tr>
      <w:tr w:rsidR="00FE7F8B" w14:paraId="4F204371" w14:textId="77777777" w:rsidTr="00FE7F8B">
        <w:trPr>
          <w:trHeight w:val="330"/>
        </w:trPr>
        <w:tc>
          <w:tcPr>
            <w:tcW w:w="3598" w:type="pct"/>
            <w:tcBorders>
              <w:top w:val="single" w:sz="4" w:space="0" w:color="auto"/>
              <w:left w:val="nil"/>
              <w:bottom w:val="single" w:sz="4" w:space="0" w:color="auto"/>
              <w:right w:val="nil"/>
            </w:tcBorders>
            <w:shd w:val="clear" w:color="auto" w:fill="FFFFFF"/>
            <w:noWrap/>
            <w:vAlign w:val="center"/>
            <w:hideMark/>
          </w:tcPr>
          <w:p w14:paraId="46634638" w14:textId="77777777" w:rsidR="00FE7F8B" w:rsidRDefault="00FE7F8B">
            <w:pPr>
              <w:pStyle w:val="Tabletextnoindent"/>
              <w:rPr>
                <w:b/>
              </w:rPr>
            </w:pPr>
            <w:r>
              <w:rPr>
                <w:b/>
              </w:rPr>
              <w:t xml:space="preserve">Total operation and maintenance commitments </w:t>
            </w:r>
          </w:p>
        </w:tc>
        <w:tc>
          <w:tcPr>
            <w:tcW w:w="710" w:type="pct"/>
            <w:tcBorders>
              <w:top w:val="single" w:sz="4" w:space="0" w:color="auto"/>
              <w:left w:val="nil"/>
              <w:bottom w:val="single" w:sz="4" w:space="0" w:color="auto"/>
              <w:right w:val="nil"/>
            </w:tcBorders>
            <w:shd w:val="clear" w:color="auto" w:fill="F2F2F2" w:themeFill="background1" w:themeFillShade="F2"/>
            <w:vAlign w:val="bottom"/>
            <w:hideMark/>
          </w:tcPr>
          <w:p w14:paraId="69899E05" w14:textId="77777777" w:rsidR="00FE7F8B" w:rsidRDefault="00FE7F8B">
            <w:pPr>
              <w:pStyle w:val="TableTextFinancial"/>
              <w:jc w:val="right"/>
              <w:rPr>
                <w:b/>
              </w:rPr>
            </w:pPr>
            <w:r>
              <w:rPr>
                <w:b/>
              </w:rPr>
              <w:t>1,476.6</w:t>
            </w:r>
          </w:p>
        </w:tc>
        <w:tc>
          <w:tcPr>
            <w:tcW w:w="692" w:type="pct"/>
            <w:tcBorders>
              <w:top w:val="single" w:sz="4" w:space="0" w:color="auto"/>
              <w:left w:val="nil"/>
              <w:bottom w:val="single" w:sz="4" w:space="0" w:color="auto"/>
              <w:right w:val="nil"/>
            </w:tcBorders>
            <w:shd w:val="clear" w:color="auto" w:fill="FFFFFF"/>
            <w:vAlign w:val="bottom"/>
            <w:hideMark/>
          </w:tcPr>
          <w:p w14:paraId="5F801130" w14:textId="77777777" w:rsidR="00FE7F8B" w:rsidRDefault="00FE7F8B">
            <w:pPr>
              <w:pStyle w:val="TableTextFinancial"/>
              <w:jc w:val="right"/>
              <w:rPr>
                <w:b/>
              </w:rPr>
            </w:pPr>
            <w:r>
              <w:rPr>
                <w:b/>
              </w:rPr>
              <w:t>397.8</w:t>
            </w:r>
          </w:p>
        </w:tc>
      </w:tr>
    </w:tbl>
    <w:p w14:paraId="23C81A33" w14:textId="77777777" w:rsidR="00FE7F8B" w:rsidRDefault="00FE7F8B" w:rsidP="00AD641C">
      <w:pPr>
        <w:pStyle w:val="Heading3notesnumbered"/>
        <w:numPr>
          <w:ilvl w:val="0"/>
          <w:numId w:val="40"/>
        </w:numPr>
      </w:pPr>
      <w:r>
        <w:t>Capital commitments</w:t>
      </w:r>
    </w:p>
    <w:p w14:paraId="4EA1C954" w14:textId="77777777" w:rsidR="00FE7F8B" w:rsidRDefault="00FE7F8B" w:rsidP="00FE7F8B">
      <w:r>
        <w:t>Commitments for the acquisition of buildings, plant and equipment contracted for at the reporting date but not recognised as liabilities as follows:</w:t>
      </w:r>
    </w:p>
    <w:tbl>
      <w:tblPr>
        <w:tblW w:w="5000" w:type="pct"/>
        <w:tblLook w:val="04A0" w:firstRow="1" w:lastRow="0" w:firstColumn="1" w:lastColumn="0" w:noHBand="0" w:noVBand="1"/>
      </w:tblPr>
      <w:tblGrid>
        <w:gridCol w:w="5461"/>
        <w:gridCol w:w="1078"/>
        <w:gridCol w:w="1050"/>
      </w:tblGrid>
      <w:tr w:rsidR="00FE7F8B" w14:paraId="07A90E32" w14:textId="77777777" w:rsidTr="00FE7F8B">
        <w:trPr>
          <w:trHeight w:val="240"/>
        </w:trPr>
        <w:tc>
          <w:tcPr>
            <w:tcW w:w="3598" w:type="pct"/>
            <w:shd w:val="clear" w:color="auto" w:fill="7F7F7F" w:themeFill="text1" w:themeFillTint="80"/>
          </w:tcPr>
          <w:p w14:paraId="2FB57B33" w14:textId="77777777" w:rsidR="00FE7F8B" w:rsidRDefault="00FE7F8B">
            <w:pPr>
              <w:pStyle w:val="Tablecolumnheading"/>
            </w:pPr>
          </w:p>
        </w:tc>
        <w:tc>
          <w:tcPr>
            <w:tcW w:w="710" w:type="pct"/>
            <w:shd w:val="clear" w:color="auto" w:fill="7F7F7F" w:themeFill="text1" w:themeFillTint="80"/>
            <w:vAlign w:val="bottom"/>
            <w:hideMark/>
          </w:tcPr>
          <w:p w14:paraId="60442BA4" w14:textId="77777777" w:rsidR="00FE7F8B" w:rsidRDefault="00FE7F8B">
            <w:pPr>
              <w:pStyle w:val="Tablecolumnheading"/>
              <w:jc w:val="center"/>
            </w:pPr>
            <w:r>
              <w:t>2016</w:t>
            </w:r>
            <w:r>
              <w:br/>
              <w:t>$m</w:t>
            </w:r>
          </w:p>
        </w:tc>
        <w:tc>
          <w:tcPr>
            <w:tcW w:w="692" w:type="pct"/>
            <w:shd w:val="clear" w:color="auto" w:fill="7F7F7F" w:themeFill="text1" w:themeFillTint="80"/>
            <w:vAlign w:val="bottom"/>
            <w:hideMark/>
          </w:tcPr>
          <w:p w14:paraId="324B23CC" w14:textId="77777777" w:rsidR="00FE7F8B" w:rsidRDefault="00FE7F8B">
            <w:pPr>
              <w:pStyle w:val="Tablecolumnheading"/>
              <w:jc w:val="center"/>
            </w:pPr>
            <w:r>
              <w:t>2015</w:t>
            </w:r>
            <w:r>
              <w:rPr>
                <w:vertAlign w:val="superscript"/>
              </w:rPr>
              <w:t>1</w:t>
            </w:r>
            <w:r>
              <w:br/>
              <w:t>$m</w:t>
            </w:r>
          </w:p>
        </w:tc>
      </w:tr>
      <w:tr w:rsidR="00FE7F8B" w14:paraId="625092DF" w14:textId="77777777" w:rsidTr="00FE7F8B">
        <w:trPr>
          <w:trHeight w:val="240"/>
        </w:trPr>
        <w:tc>
          <w:tcPr>
            <w:tcW w:w="3598" w:type="pct"/>
            <w:hideMark/>
          </w:tcPr>
          <w:p w14:paraId="7B9259C5" w14:textId="77777777" w:rsidR="00FE7F8B" w:rsidRDefault="00FE7F8B">
            <w:pPr>
              <w:pStyle w:val="Tabletextnoindent"/>
              <w:rPr>
                <w:b/>
              </w:rPr>
            </w:pPr>
            <w:r>
              <w:rPr>
                <w:b/>
              </w:rPr>
              <w:t>Capital commitments</w:t>
            </w:r>
          </w:p>
        </w:tc>
        <w:tc>
          <w:tcPr>
            <w:tcW w:w="710" w:type="pct"/>
            <w:shd w:val="clear" w:color="auto" w:fill="F2F2F2" w:themeFill="background1" w:themeFillShade="F2"/>
          </w:tcPr>
          <w:p w14:paraId="388AD0F4" w14:textId="77777777" w:rsidR="00FE7F8B" w:rsidRDefault="00FE7F8B">
            <w:pPr>
              <w:pStyle w:val="Tabletextnoindent"/>
              <w:jc w:val="right"/>
              <w:rPr>
                <w:b/>
              </w:rPr>
            </w:pPr>
          </w:p>
        </w:tc>
        <w:tc>
          <w:tcPr>
            <w:tcW w:w="692" w:type="pct"/>
          </w:tcPr>
          <w:p w14:paraId="407EFA2E" w14:textId="77777777" w:rsidR="00FE7F8B" w:rsidRDefault="00FE7F8B">
            <w:pPr>
              <w:pStyle w:val="Tabletextnoindent"/>
              <w:jc w:val="right"/>
              <w:rPr>
                <w:b/>
              </w:rPr>
            </w:pPr>
          </w:p>
        </w:tc>
      </w:tr>
      <w:tr w:rsidR="00FE7F8B" w14:paraId="2BDD2154" w14:textId="77777777" w:rsidTr="00FE7F8B">
        <w:trPr>
          <w:trHeight w:val="240"/>
        </w:trPr>
        <w:tc>
          <w:tcPr>
            <w:tcW w:w="3598" w:type="pct"/>
            <w:hideMark/>
          </w:tcPr>
          <w:p w14:paraId="481F5EE3" w14:textId="77777777" w:rsidR="00FE7F8B" w:rsidRDefault="00FE7F8B">
            <w:pPr>
              <w:pStyle w:val="Tabletextnoindent"/>
              <w:spacing w:before="40"/>
            </w:pPr>
            <w:r>
              <w:t>Commitments for the acquisition of buildings, plant and equipment contracted for at the reporting date but not recognised as liabilities, payable as follows:</w:t>
            </w:r>
          </w:p>
        </w:tc>
        <w:tc>
          <w:tcPr>
            <w:tcW w:w="710" w:type="pct"/>
            <w:shd w:val="clear" w:color="auto" w:fill="F2F2F2" w:themeFill="background1" w:themeFillShade="F2"/>
          </w:tcPr>
          <w:p w14:paraId="7687F730" w14:textId="77777777" w:rsidR="00FE7F8B" w:rsidRDefault="00FE7F8B">
            <w:pPr>
              <w:pStyle w:val="Tabletextnoindent"/>
              <w:spacing w:before="40"/>
              <w:jc w:val="right"/>
            </w:pPr>
          </w:p>
        </w:tc>
        <w:tc>
          <w:tcPr>
            <w:tcW w:w="692" w:type="pct"/>
          </w:tcPr>
          <w:p w14:paraId="5922ECA3" w14:textId="77777777" w:rsidR="00FE7F8B" w:rsidRDefault="00FE7F8B">
            <w:pPr>
              <w:pStyle w:val="Tabletextnoindent"/>
              <w:spacing w:before="40"/>
              <w:jc w:val="right"/>
            </w:pPr>
          </w:p>
        </w:tc>
      </w:tr>
      <w:tr w:rsidR="00FE7F8B" w14:paraId="0A925035" w14:textId="77777777" w:rsidTr="00FE7F8B">
        <w:trPr>
          <w:trHeight w:val="240"/>
        </w:trPr>
        <w:tc>
          <w:tcPr>
            <w:tcW w:w="3598" w:type="pct"/>
            <w:hideMark/>
          </w:tcPr>
          <w:p w14:paraId="5D544D82" w14:textId="77777777" w:rsidR="00FE7F8B" w:rsidRDefault="00FE7F8B">
            <w:pPr>
              <w:pStyle w:val="Tabletextnoindent"/>
              <w:spacing w:before="40"/>
            </w:pPr>
            <w:r>
              <w:t>Within one year</w:t>
            </w:r>
          </w:p>
        </w:tc>
        <w:tc>
          <w:tcPr>
            <w:tcW w:w="710" w:type="pct"/>
            <w:shd w:val="clear" w:color="auto" w:fill="F2F2F2" w:themeFill="background1" w:themeFillShade="F2"/>
            <w:vAlign w:val="bottom"/>
            <w:hideMark/>
          </w:tcPr>
          <w:p w14:paraId="062E64B3" w14:textId="77777777" w:rsidR="00FE7F8B" w:rsidRDefault="00FE7F8B">
            <w:pPr>
              <w:pStyle w:val="Tabletextnoindent"/>
              <w:spacing w:before="40"/>
              <w:jc w:val="right"/>
            </w:pPr>
            <w:r>
              <w:rPr>
                <w:b/>
                <w:sz w:val="18"/>
              </w:rPr>
              <w:t>133.0</w:t>
            </w:r>
          </w:p>
        </w:tc>
        <w:tc>
          <w:tcPr>
            <w:tcW w:w="692" w:type="pct"/>
            <w:vAlign w:val="bottom"/>
            <w:hideMark/>
          </w:tcPr>
          <w:p w14:paraId="3CD9CCCB" w14:textId="77777777" w:rsidR="00FE7F8B" w:rsidRDefault="00FE7F8B">
            <w:pPr>
              <w:pStyle w:val="Tabletextnoindent"/>
              <w:spacing w:before="40"/>
              <w:jc w:val="right"/>
            </w:pPr>
            <w:r>
              <w:rPr>
                <w:sz w:val="18"/>
              </w:rPr>
              <w:t>49.2</w:t>
            </w:r>
          </w:p>
        </w:tc>
      </w:tr>
      <w:tr w:rsidR="00FE7F8B" w14:paraId="3316268E" w14:textId="77777777" w:rsidTr="00FE7F8B">
        <w:trPr>
          <w:trHeight w:val="240"/>
        </w:trPr>
        <w:tc>
          <w:tcPr>
            <w:tcW w:w="3598" w:type="pct"/>
            <w:tcBorders>
              <w:top w:val="nil"/>
              <w:left w:val="nil"/>
              <w:bottom w:val="single" w:sz="4" w:space="0" w:color="auto"/>
              <w:right w:val="nil"/>
            </w:tcBorders>
            <w:hideMark/>
          </w:tcPr>
          <w:p w14:paraId="2A1BA72B" w14:textId="77777777" w:rsidR="00FE7F8B" w:rsidRDefault="00FE7F8B">
            <w:pPr>
              <w:pStyle w:val="Tabletextnoindent"/>
              <w:spacing w:before="40"/>
            </w:pPr>
            <w:r>
              <w:t>Later than one year but not later than five years</w:t>
            </w:r>
          </w:p>
        </w:tc>
        <w:tc>
          <w:tcPr>
            <w:tcW w:w="710" w:type="pct"/>
            <w:tcBorders>
              <w:top w:val="nil"/>
              <w:left w:val="nil"/>
              <w:bottom w:val="single" w:sz="4" w:space="0" w:color="auto"/>
              <w:right w:val="nil"/>
            </w:tcBorders>
            <w:shd w:val="clear" w:color="auto" w:fill="F2F2F2" w:themeFill="background1" w:themeFillShade="F2"/>
            <w:vAlign w:val="bottom"/>
            <w:hideMark/>
          </w:tcPr>
          <w:p w14:paraId="01E8F304" w14:textId="77777777" w:rsidR="00FE7F8B" w:rsidRDefault="00FE7F8B">
            <w:pPr>
              <w:pStyle w:val="Tabletextnoindent"/>
              <w:spacing w:before="40"/>
              <w:jc w:val="right"/>
            </w:pPr>
            <w:r>
              <w:rPr>
                <w:b/>
                <w:sz w:val="18"/>
              </w:rPr>
              <w:t>17.2</w:t>
            </w:r>
          </w:p>
        </w:tc>
        <w:tc>
          <w:tcPr>
            <w:tcW w:w="692" w:type="pct"/>
            <w:tcBorders>
              <w:top w:val="nil"/>
              <w:left w:val="nil"/>
              <w:bottom w:val="single" w:sz="4" w:space="0" w:color="auto"/>
              <w:right w:val="nil"/>
            </w:tcBorders>
            <w:vAlign w:val="bottom"/>
            <w:hideMark/>
          </w:tcPr>
          <w:p w14:paraId="60BFA47D" w14:textId="77777777" w:rsidR="00FE7F8B" w:rsidRDefault="00FE7F8B">
            <w:pPr>
              <w:pStyle w:val="Tabletextnoindent"/>
              <w:spacing w:before="40"/>
              <w:jc w:val="right"/>
            </w:pPr>
            <w:r>
              <w:rPr>
                <w:sz w:val="18"/>
              </w:rPr>
              <w:t>2.0</w:t>
            </w:r>
          </w:p>
        </w:tc>
      </w:tr>
      <w:tr w:rsidR="00FE7F8B" w14:paraId="0DEAA0EB" w14:textId="77777777" w:rsidTr="00FE7F8B">
        <w:trPr>
          <w:trHeight w:val="330"/>
        </w:trPr>
        <w:tc>
          <w:tcPr>
            <w:tcW w:w="3598" w:type="pct"/>
            <w:tcBorders>
              <w:top w:val="single" w:sz="4" w:space="0" w:color="auto"/>
              <w:left w:val="nil"/>
              <w:bottom w:val="single" w:sz="4" w:space="0" w:color="auto"/>
              <w:right w:val="nil"/>
            </w:tcBorders>
            <w:vAlign w:val="center"/>
            <w:hideMark/>
          </w:tcPr>
          <w:p w14:paraId="73D1E994" w14:textId="77777777" w:rsidR="00FE7F8B" w:rsidRDefault="00FE7F8B">
            <w:pPr>
              <w:pStyle w:val="Tabletextnoindent"/>
              <w:rPr>
                <w:b/>
              </w:rPr>
            </w:pPr>
            <w:r>
              <w:rPr>
                <w:b/>
              </w:rPr>
              <w:t>Total capital commitments</w:t>
            </w:r>
          </w:p>
        </w:tc>
        <w:tc>
          <w:tcPr>
            <w:tcW w:w="710" w:type="pct"/>
            <w:tcBorders>
              <w:top w:val="single" w:sz="4" w:space="0" w:color="auto"/>
              <w:left w:val="nil"/>
              <w:bottom w:val="single" w:sz="4" w:space="0" w:color="auto"/>
              <w:right w:val="nil"/>
            </w:tcBorders>
            <w:shd w:val="clear" w:color="auto" w:fill="F2F2F2" w:themeFill="background1" w:themeFillShade="F2"/>
            <w:vAlign w:val="bottom"/>
            <w:hideMark/>
          </w:tcPr>
          <w:p w14:paraId="56FAC45B" w14:textId="77777777" w:rsidR="00FE7F8B" w:rsidRDefault="00FE7F8B">
            <w:pPr>
              <w:pStyle w:val="Tabletextnoindent"/>
              <w:jc w:val="right"/>
              <w:rPr>
                <w:b/>
              </w:rPr>
            </w:pPr>
            <w:r>
              <w:rPr>
                <w:b/>
                <w:sz w:val="18"/>
              </w:rPr>
              <w:t>150.2</w:t>
            </w:r>
          </w:p>
        </w:tc>
        <w:tc>
          <w:tcPr>
            <w:tcW w:w="692" w:type="pct"/>
            <w:tcBorders>
              <w:top w:val="single" w:sz="4" w:space="0" w:color="auto"/>
              <w:left w:val="nil"/>
              <w:bottom w:val="single" w:sz="4" w:space="0" w:color="auto"/>
              <w:right w:val="nil"/>
            </w:tcBorders>
            <w:vAlign w:val="bottom"/>
            <w:hideMark/>
          </w:tcPr>
          <w:p w14:paraId="6D4BBEFB" w14:textId="77777777" w:rsidR="00FE7F8B" w:rsidRDefault="00FE7F8B">
            <w:pPr>
              <w:pStyle w:val="Tabletextnoindent"/>
              <w:jc w:val="right"/>
              <w:rPr>
                <w:b/>
              </w:rPr>
            </w:pPr>
            <w:r>
              <w:rPr>
                <w:b/>
                <w:sz w:val="18"/>
              </w:rPr>
              <w:t>51.2</w:t>
            </w:r>
          </w:p>
        </w:tc>
      </w:tr>
    </w:tbl>
    <w:p w14:paraId="7D2C030D" w14:textId="77777777" w:rsidR="00FE7F8B" w:rsidRDefault="00FE7F8B" w:rsidP="007D34C9">
      <w:pPr>
        <w:pStyle w:val="DETFootnoteTextforobjectivestablesOHStable"/>
        <w:spacing w:before="120"/>
        <w:rPr>
          <w:rFonts w:ascii="Times New Roman" w:hAnsi="Times New Roman"/>
          <w:sz w:val="24"/>
          <w:szCs w:val="24"/>
        </w:rPr>
      </w:pPr>
      <w:r>
        <w:t>1 Due to the limitation of available information, capital commitments for 2015 were based on estimated unspent budgets as at June 2015.</w:t>
      </w:r>
    </w:p>
    <w:p w14:paraId="1C7E05F5" w14:textId="77777777" w:rsidR="00FE7F8B" w:rsidRDefault="00FE7F8B" w:rsidP="00AD641C">
      <w:pPr>
        <w:pStyle w:val="Heading3notesnumbered"/>
        <w:numPr>
          <w:ilvl w:val="0"/>
          <w:numId w:val="40"/>
        </w:numPr>
      </w:pPr>
      <w:r>
        <w:t>Operating leases</w:t>
      </w:r>
    </w:p>
    <w:p w14:paraId="29B741C6" w14:textId="77777777" w:rsidR="00FE7F8B" w:rsidRDefault="00FE7F8B" w:rsidP="00FE7F8B">
      <w:r>
        <w:t>The Department and schools lease equipment including photocopiers, computers, motor vehicles and property with varying lease terms. All operating lease contracts contain market review clauses in the event that the Department exercises its option to renew. The Department does not have a contractual option to purchase the leased assets at the expiry of the lease period.</w:t>
      </w:r>
    </w:p>
    <w:p w14:paraId="7663247D" w14:textId="77777777" w:rsidR="00FE7F8B" w:rsidRDefault="00FE7F8B" w:rsidP="00FE7F8B">
      <w:r>
        <w:t>Commitments for minimum lease payments in relation to non-cancellable operating leases but not recognised as liabilities, are payable as follows:</w:t>
      </w:r>
    </w:p>
    <w:tbl>
      <w:tblPr>
        <w:tblW w:w="7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392"/>
        <w:gridCol w:w="1135"/>
        <w:gridCol w:w="142"/>
        <w:gridCol w:w="861"/>
      </w:tblGrid>
      <w:tr w:rsidR="00FE7F8B" w14:paraId="641AB7E8" w14:textId="77777777" w:rsidTr="00FE7F8B">
        <w:tc>
          <w:tcPr>
            <w:tcW w:w="5387" w:type="dxa"/>
            <w:tcBorders>
              <w:top w:val="nil"/>
              <w:left w:val="nil"/>
              <w:bottom w:val="nil"/>
              <w:right w:val="nil"/>
            </w:tcBorders>
            <w:shd w:val="clear" w:color="auto" w:fill="7F7F7F" w:themeFill="text1" w:themeFillTint="80"/>
            <w:vAlign w:val="bottom"/>
          </w:tcPr>
          <w:p w14:paraId="547BCE43" w14:textId="77777777" w:rsidR="00FE7F8B" w:rsidRDefault="00FE7F8B">
            <w:pPr>
              <w:pStyle w:val="Tablecolumnheading"/>
              <w:jc w:val="center"/>
              <w:rPr>
                <w:lang w:eastAsia="en-AU"/>
              </w:rPr>
            </w:pPr>
          </w:p>
        </w:tc>
        <w:tc>
          <w:tcPr>
            <w:tcW w:w="1276" w:type="dxa"/>
            <w:gridSpan w:val="2"/>
            <w:tcBorders>
              <w:top w:val="nil"/>
              <w:left w:val="nil"/>
              <w:bottom w:val="nil"/>
              <w:right w:val="nil"/>
            </w:tcBorders>
            <w:shd w:val="clear" w:color="auto" w:fill="7F7F7F" w:themeFill="text1" w:themeFillTint="80"/>
            <w:vAlign w:val="bottom"/>
            <w:hideMark/>
          </w:tcPr>
          <w:p w14:paraId="2CA4CE1C" w14:textId="77777777" w:rsidR="00FE7F8B" w:rsidRDefault="00FE7F8B">
            <w:pPr>
              <w:pStyle w:val="Tablecolumnheading"/>
              <w:jc w:val="center"/>
              <w:rPr>
                <w:lang w:eastAsia="en-AU"/>
              </w:rPr>
            </w:pPr>
            <w:r>
              <w:rPr>
                <w:lang w:eastAsia="en-AU"/>
              </w:rPr>
              <w:t>2016</w:t>
            </w:r>
            <w:r>
              <w:rPr>
                <w:lang w:eastAsia="en-AU"/>
              </w:rPr>
              <w:br/>
              <w:t>$m</w:t>
            </w:r>
          </w:p>
        </w:tc>
        <w:tc>
          <w:tcPr>
            <w:tcW w:w="860" w:type="dxa"/>
            <w:tcBorders>
              <w:top w:val="nil"/>
              <w:left w:val="nil"/>
              <w:bottom w:val="nil"/>
              <w:right w:val="nil"/>
            </w:tcBorders>
            <w:shd w:val="clear" w:color="auto" w:fill="7F7F7F" w:themeFill="text1" w:themeFillTint="80"/>
            <w:vAlign w:val="bottom"/>
            <w:hideMark/>
          </w:tcPr>
          <w:p w14:paraId="4983E5FB" w14:textId="77777777" w:rsidR="00FE7F8B" w:rsidRDefault="00FE7F8B">
            <w:pPr>
              <w:pStyle w:val="Tablecolumnheading"/>
              <w:jc w:val="center"/>
              <w:rPr>
                <w:lang w:eastAsia="en-AU"/>
              </w:rPr>
            </w:pPr>
            <w:r>
              <w:rPr>
                <w:lang w:eastAsia="en-AU"/>
              </w:rPr>
              <w:t>2015</w:t>
            </w:r>
            <w:r>
              <w:rPr>
                <w:lang w:eastAsia="en-AU"/>
              </w:rPr>
              <w:br/>
              <w:t>$m</w:t>
            </w:r>
          </w:p>
        </w:tc>
      </w:tr>
      <w:tr w:rsidR="00FE7F8B" w14:paraId="24A71FB2" w14:textId="77777777" w:rsidTr="00FE7F8B">
        <w:tc>
          <w:tcPr>
            <w:tcW w:w="5387" w:type="dxa"/>
            <w:tcBorders>
              <w:top w:val="nil"/>
              <w:left w:val="nil"/>
              <w:bottom w:val="nil"/>
              <w:right w:val="nil"/>
            </w:tcBorders>
            <w:vAlign w:val="bottom"/>
            <w:hideMark/>
          </w:tcPr>
          <w:p w14:paraId="700E246F" w14:textId="77777777" w:rsidR="00FE7F8B" w:rsidRDefault="00FE7F8B">
            <w:pPr>
              <w:pStyle w:val="Tabletextnoindent"/>
              <w:spacing w:before="40"/>
            </w:pPr>
            <w:r>
              <w:t>Within one year</w:t>
            </w:r>
          </w:p>
        </w:tc>
        <w:tc>
          <w:tcPr>
            <w:tcW w:w="1134" w:type="dxa"/>
            <w:tcBorders>
              <w:top w:val="nil"/>
              <w:left w:val="nil"/>
              <w:bottom w:val="nil"/>
              <w:right w:val="nil"/>
            </w:tcBorders>
            <w:shd w:val="clear" w:color="auto" w:fill="F2F2F2" w:themeFill="background1" w:themeFillShade="F2"/>
            <w:vAlign w:val="bottom"/>
            <w:hideMark/>
          </w:tcPr>
          <w:p w14:paraId="69989867" w14:textId="77777777" w:rsidR="00FE7F8B" w:rsidRDefault="00FE7F8B">
            <w:pPr>
              <w:pStyle w:val="TableTextFinancial"/>
              <w:jc w:val="right"/>
              <w:rPr>
                <w:b/>
              </w:rPr>
            </w:pPr>
            <w:r>
              <w:rPr>
                <w:b/>
              </w:rPr>
              <w:t>12.2</w:t>
            </w:r>
          </w:p>
        </w:tc>
        <w:tc>
          <w:tcPr>
            <w:tcW w:w="1002" w:type="dxa"/>
            <w:gridSpan w:val="2"/>
            <w:tcBorders>
              <w:top w:val="nil"/>
              <w:left w:val="nil"/>
              <w:bottom w:val="nil"/>
              <w:right w:val="nil"/>
            </w:tcBorders>
            <w:vAlign w:val="bottom"/>
            <w:hideMark/>
          </w:tcPr>
          <w:p w14:paraId="1E1B9EC8" w14:textId="77777777" w:rsidR="00FE7F8B" w:rsidRDefault="00FE7F8B">
            <w:pPr>
              <w:pStyle w:val="TableTextFinancial"/>
              <w:jc w:val="right"/>
            </w:pPr>
            <w:r>
              <w:t>11.0</w:t>
            </w:r>
          </w:p>
        </w:tc>
      </w:tr>
      <w:tr w:rsidR="00FE7F8B" w14:paraId="79FE103E" w14:textId="77777777" w:rsidTr="00FE7F8B">
        <w:tc>
          <w:tcPr>
            <w:tcW w:w="5387" w:type="dxa"/>
            <w:tcBorders>
              <w:top w:val="nil"/>
              <w:left w:val="nil"/>
              <w:bottom w:val="nil"/>
              <w:right w:val="nil"/>
            </w:tcBorders>
            <w:vAlign w:val="bottom"/>
            <w:hideMark/>
          </w:tcPr>
          <w:p w14:paraId="3A77BC9E" w14:textId="77777777" w:rsidR="00FE7F8B" w:rsidRDefault="00FE7F8B">
            <w:pPr>
              <w:pStyle w:val="Tabletextnoindent"/>
              <w:spacing w:before="40"/>
            </w:pPr>
            <w:r>
              <w:t>Later than one year but not later than five years</w:t>
            </w:r>
          </w:p>
        </w:tc>
        <w:tc>
          <w:tcPr>
            <w:tcW w:w="1134" w:type="dxa"/>
            <w:tcBorders>
              <w:top w:val="nil"/>
              <w:left w:val="nil"/>
              <w:bottom w:val="nil"/>
              <w:right w:val="nil"/>
            </w:tcBorders>
            <w:shd w:val="clear" w:color="auto" w:fill="F2F2F2" w:themeFill="background1" w:themeFillShade="F2"/>
            <w:vAlign w:val="bottom"/>
            <w:hideMark/>
          </w:tcPr>
          <w:p w14:paraId="1E8BC1C8" w14:textId="77777777" w:rsidR="00FE7F8B" w:rsidRDefault="00FE7F8B">
            <w:pPr>
              <w:pStyle w:val="TableTextFinancial"/>
              <w:jc w:val="right"/>
              <w:rPr>
                <w:b/>
              </w:rPr>
            </w:pPr>
            <w:r>
              <w:rPr>
                <w:b/>
              </w:rPr>
              <w:t>21.4</w:t>
            </w:r>
          </w:p>
        </w:tc>
        <w:tc>
          <w:tcPr>
            <w:tcW w:w="1002" w:type="dxa"/>
            <w:gridSpan w:val="2"/>
            <w:tcBorders>
              <w:top w:val="nil"/>
              <w:left w:val="nil"/>
              <w:bottom w:val="nil"/>
              <w:right w:val="nil"/>
            </w:tcBorders>
            <w:vAlign w:val="bottom"/>
            <w:hideMark/>
          </w:tcPr>
          <w:p w14:paraId="7295DAF6" w14:textId="77777777" w:rsidR="00FE7F8B" w:rsidRDefault="00FE7F8B">
            <w:pPr>
              <w:pStyle w:val="TableTextFinancial"/>
              <w:jc w:val="right"/>
            </w:pPr>
            <w:r>
              <w:t>22.0</w:t>
            </w:r>
          </w:p>
        </w:tc>
      </w:tr>
      <w:tr w:rsidR="00FE7F8B" w14:paraId="0630BF1C" w14:textId="77777777" w:rsidTr="00FE7F8B">
        <w:tc>
          <w:tcPr>
            <w:tcW w:w="5387" w:type="dxa"/>
            <w:tcBorders>
              <w:top w:val="nil"/>
              <w:left w:val="nil"/>
              <w:bottom w:val="single" w:sz="4" w:space="0" w:color="auto"/>
              <w:right w:val="nil"/>
            </w:tcBorders>
            <w:vAlign w:val="bottom"/>
            <w:hideMark/>
          </w:tcPr>
          <w:p w14:paraId="22C2048D" w14:textId="77777777" w:rsidR="00FE7F8B" w:rsidRDefault="00FE7F8B">
            <w:pPr>
              <w:pStyle w:val="Tabletextnoindent"/>
              <w:spacing w:before="40"/>
            </w:pPr>
            <w:r>
              <w:t>Later than five years</w:t>
            </w:r>
          </w:p>
        </w:tc>
        <w:tc>
          <w:tcPr>
            <w:tcW w:w="1134" w:type="dxa"/>
            <w:tcBorders>
              <w:top w:val="nil"/>
              <w:left w:val="nil"/>
              <w:bottom w:val="single" w:sz="4" w:space="0" w:color="auto"/>
              <w:right w:val="nil"/>
            </w:tcBorders>
            <w:shd w:val="clear" w:color="auto" w:fill="F2F2F2" w:themeFill="background1" w:themeFillShade="F2"/>
            <w:vAlign w:val="bottom"/>
            <w:hideMark/>
          </w:tcPr>
          <w:p w14:paraId="0835499A" w14:textId="77777777" w:rsidR="00FE7F8B" w:rsidRDefault="00FE7F8B">
            <w:pPr>
              <w:pStyle w:val="TableTextFinancial"/>
              <w:jc w:val="right"/>
              <w:rPr>
                <w:b/>
              </w:rPr>
            </w:pPr>
            <w:r>
              <w:rPr>
                <w:b/>
              </w:rPr>
              <w:t>43.1</w:t>
            </w:r>
          </w:p>
        </w:tc>
        <w:tc>
          <w:tcPr>
            <w:tcW w:w="1002" w:type="dxa"/>
            <w:gridSpan w:val="2"/>
            <w:tcBorders>
              <w:top w:val="nil"/>
              <w:left w:val="nil"/>
              <w:bottom w:val="single" w:sz="4" w:space="0" w:color="auto"/>
              <w:right w:val="nil"/>
            </w:tcBorders>
            <w:vAlign w:val="bottom"/>
            <w:hideMark/>
          </w:tcPr>
          <w:p w14:paraId="7F554B25" w14:textId="77777777" w:rsidR="00FE7F8B" w:rsidRDefault="00FE7F8B">
            <w:pPr>
              <w:pStyle w:val="TableTextFinancial"/>
              <w:jc w:val="right"/>
            </w:pPr>
            <w:r>
              <w:t>39.2</w:t>
            </w:r>
          </w:p>
        </w:tc>
      </w:tr>
      <w:tr w:rsidR="00FE7F8B" w14:paraId="755CE3C8" w14:textId="77777777" w:rsidTr="00FE7F8B">
        <w:tc>
          <w:tcPr>
            <w:tcW w:w="5387" w:type="dxa"/>
            <w:tcBorders>
              <w:top w:val="single" w:sz="4" w:space="0" w:color="auto"/>
              <w:left w:val="nil"/>
              <w:bottom w:val="single" w:sz="4" w:space="0" w:color="auto"/>
              <w:right w:val="nil"/>
            </w:tcBorders>
            <w:vAlign w:val="bottom"/>
            <w:hideMark/>
          </w:tcPr>
          <w:p w14:paraId="1720419B" w14:textId="77777777" w:rsidR="00FE7F8B" w:rsidRDefault="00FE7F8B">
            <w:pPr>
              <w:pStyle w:val="Tabletextnoindent"/>
              <w:rPr>
                <w:b/>
              </w:rPr>
            </w:pPr>
            <w:r>
              <w:rPr>
                <w:b/>
              </w:rPr>
              <w:t>Total operating leases commitments</w:t>
            </w:r>
          </w:p>
        </w:tc>
        <w:tc>
          <w:tcPr>
            <w:tcW w:w="1134" w:type="dxa"/>
            <w:tcBorders>
              <w:top w:val="single" w:sz="4" w:space="0" w:color="auto"/>
              <w:left w:val="nil"/>
              <w:bottom w:val="single" w:sz="4" w:space="0" w:color="auto"/>
              <w:right w:val="nil"/>
            </w:tcBorders>
            <w:shd w:val="clear" w:color="auto" w:fill="F2F2F2" w:themeFill="background1" w:themeFillShade="F2"/>
            <w:vAlign w:val="bottom"/>
            <w:hideMark/>
          </w:tcPr>
          <w:p w14:paraId="4B81A622" w14:textId="77777777" w:rsidR="00FE7F8B" w:rsidRDefault="00FE7F8B">
            <w:pPr>
              <w:pStyle w:val="TableTextFinancial"/>
              <w:jc w:val="right"/>
              <w:rPr>
                <w:b/>
              </w:rPr>
            </w:pPr>
            <w:r>
              <w:rPr>
                <w:b/>
              </w:rPr>
              <w:t>76.7</w:t>
            </w:r>
          </w:p>
        </w:tc>
        <w:tc>
          <w:tcPr>
            <w:tcW w:w="1002" w:type="dxa"/>
            <w:gridSpan w:val="2"/>
            <w:tcBorders>
              <w:top w:val="single" w:sz="4" w:space="0" w:color="auto"/>
              <w:left w:val="nil"/>
              <w:bottom w:val="single" w:sz="4" w:space="0" w:color="auto"/>
              <w:right w:val="nil"/>
            </w:tcBorders>
            <w:vAlign w:val="bottom"/>
            <w:hideMark/>
          </w:tcPr>
          <w:p w14:paraId="47CF437D" w14:textId="77777777" w:rsidR="00FE7F8B" w:rsidRDefault="00FE7F8B">
            <w:pPr>
              <w:pStyle w:val="TableTextFinancial"/>
              <w:jc w:val="right"/>
              <w:rPr>
                <w:b/>
              </w:rPr>
            </w:pPr>
            <w:r>
              <w:rPr>
                <w:b/>
              </w:rPr>
              <w:t>72.3</w:t>
            </w:r>
          </w:p>
        </w:tc>
      </w:tr>
    </w:tbl>
    <w:p w14:paraId="079B538A" w14:textId="77777777" w:rsidR="00FE7F8B" w:rsidRDefault="00FE7F8B" w:rsidP="00FE7F8B">
      <w:pPr>
        <w:spacing w:after="200" w:line="276" w:lineRule="auto"/>
        <w:rPr>
          <w:rFonts w:eastAsia="Calibri"/>
          <w:color w:val="auto"/>
          <w:sz w:val="14"/>
          <w:szCs w:val="20"/>
          <w:vertAlign w:val="superscript"/>
        </w:rPr>
      </w:pPr>
      <w:r>
        <w:br w:type="page"/>
      </w:r>
    </w:p>
    <w:p w14:paraId="6CE08D8D" w14:textId="77777777" w:rsidR="00FE7F8B" w:rsidRDefault="00FE7F8B" w:rsidP="00AD641C">
      <w:pPr>
        <w:pStyle w:val="Heading3notesnumbered"/>
        <w:numPr>
          <w:ilvl w:val="0"/>
          <w:numId w:val="40"/>
        </w:numPr>
      </w:pPr>
      <w:r>
        <w:t>Other expenditure commitments</w:t>
      </w:r>
    </w:p>
    <w:p w14:paraId="7DA351CE" w14:textId="77777777" w:rsidR="00FE7F8B" w:rsidRDefault="00FE7F8B" w:rsidP="00FE7F8B">
      <w:pPr>
        <w:rPr>
          <w:rFonts w:ascii="Times New Roman" w:hAnsi="Times New Roman"/>
          <w:sz w:val="24"/>
        </w:rPr>
      </w:pPr>
      <w:r>
        <w:t>Other commitments include agreements entered into for provision of financial information technology and human resource services to the Department and grants to non-government schools as follows:</w:t>
      </w:r>
    </w:p>
    <w:tbl>
      <w:tblPr>
        <w:tblW w:w="75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827"/>
        <w:gridCol w:w="852"/>
        <w:gridCol w:w="851"/>
      </w:tblGrid>
      <w:tr w:rsidR="00FE7F8B" w14:paraId="1C3B8704" w14:textId="77777777" w:rsidTr="00FE7F8B">
        <w:tc>
          <w:tcPr>
            <w:tcW w:w="5822" w:type="dxa"/>
            <w:tcBorders>
              <w:top w:val="nil"/>
              <w:left w:val="nil"/>
              <w:bottom w:val="nil"/>
              <w:right w:val="nil"/>
            </w:tcBorders>
            <w:shd w:val="clear" w:color="auto" w:fill="7F7F7F" w:themeFill="text1" w:themeFillTint="80"/>
            <w:vAlign w:val="bottom"/>
          </w:tcPr>
          <w:p w14:paraId="7D864823" w14:textId="77777777" w:rsidR="00FE7F8B" w:rsidRDefault="00FE7F8B">
            <w:pPr>
              <w:pStyle w:val="Tablecolumnheading"/>
              <w:jc w:val="center"/>
              <w:rPr>
                <w:lang w:eastAsia="en-AU"/>
              </w:rPr>
            </w:pPr>
          </w:p>
        </w:tc>
        <w:tc>
          <w:tcPr>
            <w:tcW w:w="851" w:type="dxa"/>
            <w:tcBorders>
              <w:top w:val="nil"/>
              <w:left w:val="nil"/>
              <w:bottom w:val="nil"/>
              <w:right w:val="nil"/>
            </w:tcBorders>
            <w:shd w:val="clear" w:color="auto" w:fill="7F7F7F" w:themeFill="text1" w:themeFillTint="80"/>
            <w:vAlign w:val="bottom"/>
            <w:hideMark/>
          </w:tcPr>
          <w:p w14:paraId="238A741B" w14:textId="77777777" w:rsidR="00FE7F8B" w:rsidRDefault="00FE7F8B">
            <w:pPr>
              <w:pStyle w:val="Tablecolumnheading"/>
              <w:jc w:val="center"/>
              <w:rPr>
                <w:lang w:eastAsia="en-AU"/>
              </w:rPr>
            </w:pPr>
            <w:r>
              <w:rPr>
                <w:lang w:eastAsia="en-AU"/>
              </w:rPr>
              <w:t>2016</w:t>
            </w:r>
            <w:r>
              <w:rPr>
                <w:lang w:eastAsia="en-AU"/>
              </w:rPr>
              <w:br/>
              <w:t>$m</w:t>
            </w:r>
          </w:p>
        </w:tc>
        <w:tc>
          <w:tcPr>
            <w:tcW w:w="850" w:type="dxa"/>
            <w:tcBorders>
              <w:top w:val="nil"/>
              <w:left w:val="nil"/>
              <w:bottom w:val="nil"/>
              <w:right w:val="nil"/>
            </w:tcBorders>
            <w:shd w:val="clear" w:color="auto" w:fill="7F7F7F" w:themeFill="text1" w:themeFillTint="80"/>
            <w:vAlign w:val="bottom"/>
            <w:hideMark/>
          </w:tcPr>
          <w:p w14:paraId="1195005C" w14:textId="77777777" w:rsidR="00FE7F8B" w:rsidRDefault="00FE7F8B">
            <w:pPr>
              <w:pStyle w:val="Tablecolumnheading"/>
              <w:jc w:val="center"/>
              <w:rPr>
                <w:lang w:eastAsia="en-AU"/>
              </w:rPr>
            </w:pPr>
            <w:r>
              <w:rPr>
                <w:lang w:eastAsia="en-AU"/>
              </w:rPr>
              <w:t>2015</w:t>
            </w:r>
            <w:r>
              <w:rPr>
                <w:lang w:eastAsia="en-AU"/>
              </w:rPr>
              <w:br/>
              <w:t>$m</w:t>
            </w:r>
          </w:p>
        </w:tc>
      </w:tr>
      <w:tr w:rsidR="00FE7F8B" w14:paraId="3AB76349" w14:textId="77777777" w:rsidTr="00FE7F8B">
        <w:tc>
          <w:tcPr>
            <w:tcW w:w="5822" w:type="dxa"/>
            <w:tcBorders>
              <w:top w:val="nil"/>
              <w:left w:val="nil"/>
              <w:bottom w:val="nil"/>
              <w:right w:val="nil"/>
            </w:tcBorders>
            <w:vAlign w:val="bottom"/>
            <w:hideMark/>
          </w:tcPr>
          <w:p w14:paraId="32B763C5" w14:textId="77777777" w:rsidR="00FE7F8B" w:rsidRDefault="00FE7F8B">
            <w:pPr>
              <w:pStyle w:val="Tabletextnoindent"/>
              <w:rPr>
                <w:b/>
              </w:rPr>
            </w:pPr>
            <w:r>
              <w:rPr>
                <w:b/>
              </w:rPr>
              <w:t>Other expenditure commitments</w:t>
            </w:r>
          </w:p>
        </w:tc>
        <w:tc>
          <w:tcPr>
            <w:tcW w:w="851" w:type="dxa"/>
            <w:tcBorders>
              <w:top w:val="nil"/>
              <w:left w:val="nil"/>
              <w:bottom w:val="nil"/>
              <w:right w:val="nil"/>
            </w:tcBorders>
            <w:shd w:val="clear" w:color="auto" w:fill="F2F2F2" w:themeFill="background1" w:themeFillShade="F2"/>
            <w:vAlign w:val="bottom"/>
          </w:tcPr>
          <w:p w14:paraId="407B42B3" w14:textId="77777777" w:rsidR="00FE7F8B" w:rsidRDefault="00FE7F8B">
            <w:pPr>
              <w:pStyle w:val="TableTextFinancial"/>
            </w:pPr>
          </w:p>
        </w:tc>
        <w:tc>
          <w:tcPr>
            <w:tcW w:w="850" w:type="dxa"/>
            <w:tcBorders>
              <w:top w:val="nil"/>
              <w:left w:val="nil"/>
              <w:bottom w:val="nil"/>
              <w:right w:val="nil"/>
            </w:tcBorders>
            <w:vAlign w:val="bottom"/>
          </w:tcPr>
          <w:p w14:paraId="53BAA777" w14:textId="77777777" w:rsidR="00FE7F8B" w:rsidRDefault="00FE7F8B">
            <w:pPr>
              <w:pStyle w:val="TableTextFinancial"/>
            </w:pPr>
          </w:p>
        </w:tc>
      </w:tr>
      <w:tr w:rsidR="00FE7F8B" w14:paraId="7FC98FC7" w14:textId="77777777" w:rsidTr="00FE7F8B">
        <w:tc>
          <w:tcPr>
            <w:tcW w:w="5822" w:type="dxa"/>
            <w:tcBorders>
              <w:top w:val="nil"/>
              <w:left w:val="nil"/>
              <w:bottom w:val="nil"/>
              <w:right w:val="nil"/>
            </w:tcBorders>
            <w:vAlign w:val="bottom"/>
            <w:hideMark/>
          </w:tcPr>
          <w:p w14:paraId="2868C64E" w14:textId="77777777" w:rsidR="00FE7F8B" w:rsidRDefault="00FE7F8B">
            <w:pPr>
              <w:pStyle w:val="Tabletextnoindent"/>
              <w:spacing w:before="40"/>
            </w:pPr>
            <w:r>
              <w:t>Within one year</w:t>
            </w:r>
            <w:r>
              <w:rPr>
                <w:rStyle w:val="FootnoteReference"/>
              </w:rPr>
              <w:t>1</w:t>
            </w:r>
          </w:p>
        </w:tc>
        <w:tc>
          <w:tcPr>
            <w:tcW w:w="851" w:type="dxa"/>
            <w:tcBorders>
              <w:top w:val="nil"/>
              <w:left w:val="nil"/>
              <w:bottom w:val="nil"/>
              <w:right w:val="nil"/>
            </w:tcBorders>
            <w:shd w:val="clear" w:color="auto" w:fill="F2F2F2" w:themeFill="background1" w:themeFillShade="F2"/>
            <w:vAlign w:val="bottom"/>
            <w:hideMark/>
          </w:tcPr>
          <w:p w14:paraId="568C6F8F" w14:textId="77777777" w:rsidR="00FE7F8B" w:rsidRDefault="00FE7F8B">
            <w:pPr>
              <w:pStyle w:val="TableTextFinancial"/>
              <w:jc w:val="right"/>
              <w:rPr>
                <w:b/>
              </w:rPr>
            </w:pPr>
            <w:r>
              <w:rPr>
                <w:b/>
              </w:rPr>
              <w:t>703.0</w:t>
            </w:r>
          </w:p>
        </w:tc>
        <w:tc>
          <w:tcPr>
            <w:tcW w:w="850" w:type="dxa"/>
            <w:tcBorders>
              <w:top w:val="nil"/>
              <w:left w:val="nil"/>
              <w:bottom w:val="nil"/>
              <w:right w:val="nil"/>
            </w:tcBorders>
            <w:vAlign w:val="bottom"/>
            <w:hideMark/>
          </w:tcPr>
          <w:p w14:paraId="64A096E4" w14:textId="77777777" w:rsidR="00FE7F8B" w:rsidRDefault="00FE7F8B">
            <w:pPr>
              <w:pStyle w:val="TableTextFinancial"/>
              <w:jc w:val="right"/>
            </w:pPr>
            <w:r>
              <w:t>271.2</w:t>
            </w:r>
          </w:p>
        </w:tc>
      </w:tr>
      <w:tr w:rsidR="00FE7F8B" w14:paraId="30874CA4" w14:textId="77777777" w:rsidTr="00FE7F8B">
        <w:tc>
          <w:tcPr>
            <w:tcW w:w="5822" w:type="dxa"/>
            <w:tcBorders>
              <w:top w:val="nil"/>
              <w:left w:val="nil"/>
              <w:bottom w:val="single" w:sz="4" w:space="0" w:color="auto"/>
              <w:right w:val="nil"/>
            </w:tcBorders>
            <w:vAlign w:val="bottom"/>
            <w:hideMark/>
          </w:tcPr>
          <w:p w14:paraId="729DB528" w14:textId="77777777" w:rsidR="00FE7F8B" w:rsidRDefault="00FE7F8B">
            <w:pPr>
              <w:pStyle w:val="Tabletextnoindent"/>
              <w:spacing w:before="40"/>
            </w:pPr>
            <w:r>
              <w:t>Later than one year but not later than five years</w:t>
            </w:r>
          </w:p>
        </w:tc>
        <w:tc>
          <w:tcPr>
            <w:tcW w:w="851" w:type="dxa"/>
            <w:tcBorders>
              <w:top w:val="nil"/>
              <w:left w:val="nil"/>
              <w:bottom w:val="single" w:sz="4" w:space="0" w:color="auto"/>
              <w:right w:val="nil"/>
            </w:tcBorders>
            <w:shd w:val="clear" w:color="auto" w:fill="F2F2F2" w:themeFill="background1" w:themeFillShade="F2"/>
            <w:vAlign w:val="bottom"/>
            <w:hideMark/>
          </w:tcPr>
          <w:p w14:paraId="273BC714" w14:textId="77777777" w:rsidR="00FE7F8B" w:rsidRDefault="00FE7F8B">
            <w:pPr>
              <w:pStyle w:val="TableTextFinancial"/>
              <w:jc w:val="right"/>
              <w:rPr>
                <w:b/>
              </w:rPr>
            </w:pPr>
            <w:r>
              <w:rPr>
                <w:b/>
              </w:rPr>
              <w:t>53.6</w:t>
            </w:r>
          </w:p>
        </w:tc>
        <w:tc>
          <w:tcPr>
            <w:tcW w:w="850" w:type="dxa"/>
            <w:tcBorders>
              <w:top w:val="nil"/>
              <w:left w:val="nil"/>
              <w:bottom w:val="single" w:sz="4" w:space="0" w:color="auto"/>
              <w:right w:val="nil"/>
            </w:tcBorders>
            <w:vAlign w:val="bottom"/>
            <w:hideMark/>
          </w:tcPr>
          <w:p w14:paraId="3B51145F" w14:textId="77777777" w:rsidR="00FE7F8B" w:rsidRDefault="00FE7F8B">
            <w:pPr>
              <w:pStyle w:val="TableTextFinancial"/>
              <w:jc w:val="right"/>
            </w:pPr>
            <w:r>
              <w:t>48.1</w:t>
            </w:r>
          </w:p>
        </w:tc>
      </w:tr>
      <w:tr w:rsidR="00FE7F8B" w14:paraId="5F7553A6" w14:textId="77777777" w:rsidTr="00FE7F8B">
        <w:tc>
          <w:tcPr>
            <w:tcW w:w="5822" w:type="dxa"/>
            <w:tcBorders>
              <w:top w:val="single" w:sz="4" w:space="0" w:color="auto"/>
              <w:left w:val="nil"/>
              <w:bottom w:val="single" w:sz="4" w:space="0" w:color="auto"/>
              <w:right w:val="nil"/>
            </w:tcBorders>
            <w:vAlign w:val="bottom"/>
            <w:hideMark/>
          </w:tcPr>
          <w:p w14:paraId="5193F808" w14:textId="77777777" w:rsidR="00FE7F8B" w:rsidRDefault="00FE7F8B">
            <w:pPr>
              <w:pStyle w:val="Tabletextnoindent"/>
              <w:rPr>
                <w:b/>
              </w:rPr>
            </w:pPr>
            <w:r>
              <w:rPr>
                <w:b/>
              </w:rPr>
              <w:t xml:space="preserve">Total other expenditure commitments </w:t>
            </w:r>
          </w:p>
        </w:tc>
        <w:tc>
          <w:tcPr>
            <w:tcW w:w="851" w:type="dxa"/>
            <w:tcBorders>
              <w:top w:val="single" w:sz="4" w:space="0" w:color="auto"/>
              <w:left w:val="nil"/>
              <w:bottom w:val="single" w:sz="4" w:space="0" w:color="auto"/>
              <w:right w:val="nil"/>
            </w:tcBorders>
            <w:shd w:val="clear" w:color="auto" w:fill="F2F2F2" w:themeFill="background1" w:themeFillShade="F2"/>
            <w:vAlign w:val="bottom"/>
            <w:hideMark/>
          </w:tcPr>
          <w:p w14:paraId="349F3D8C" w14:textId="77777777" w:rsidR="00FE7F8B" w:rsidRDefault="00FE7F8B">
            <w:pPr>
              <w:pStyle w:val="TableTextFinancial"/>
              <w:jc w:val="right"/>
              <w:rPr>
                <w:b/>
              </w:rPr>
            </w:pPr>
            <w:r>
              <w:rPr>
                <w:b/>
              </w:rPr>
              <w:t>756.6</w:t>
            </w:r>
          </w:p>
        </w:tc>
        <w:tc>
          <w:tcPr>
            <w:tcW w:w="850" w:type="dxa"/>
            <w:tcBorders>
              <w:top w:val="single" w:sz="4" w:space="0" w:color="auto"/>
              <w:left w:val="nil"/>
              <w:bottom w:val="single" w:sz="4" w:space="0" w:color="auto"/>
              <w:right w:val="nil"/>
            </w:tcBorders>
            <w:vAlign w:val="bottom"/>
            <w:hideMark/>
          </w:tcPr>
          <w:p w14:paraId="5C08FA40" w14:textId="77777777" w:rsidR="00FE7F8B" w:rsidRDefault="00FE7F8B">
            <w:pPr>
              <w:pStyle w:val="TableTextFinancial"/>
              <w:jc w:val="right"/>
              <w:rPr>
                <w:b/>
              </w:rPr>
            </w:pPr>
            <w:r>
              <w:rPr>
                <w:b/>
              </w:rPr>
              <w:t>319.3</w:t>
            </w:r>
          </w:p>
        </w:tc>
      </w:tr>
      <w:tr w:rsidR="00FE7F8B" w14:paraId="0C484207" w14:textId="77777777" w:rsidTr="00FE7F8B">
        <w:tc>
          <w:tcPr>
            <w:tcW w:w="5822" w:type="dxa"/>
            <w:tcBorders>
              <w:top w:val="single" w:sz="4" w:space="0" w:color="auto"/>
              <w:left w:val="nil"/>
              <w:bottom w:val="single" w:sz="4" w:space="0" w:color="auto"/>
              <w:right w:val="nil"/>
            </w:tcBorders>
            <w:vAlign w:val="bottom"/>
            <w:hideMark/>
          </w:tcPr>
          <w:p w14:paraId="3316DE73" w14:textId="77777777" w:rsidR="00FE7F8B" w:rsidRDefault="00FE7F8B">
            <w:pPr>
              <w:pStyle w:val="Tabletextnoindent"/>
              <w:rPr>
                <w:b/>
              </w:rPr>
            </w:pPr>
            <w:r>
              <w:rPr>
                <w:b/>
              </w:rPr>
              <w:t>Total commitments for expenditure</w:t>
            </w:r>
          </w:p>
        </w:tc>
        <w:tc>
          <w:tcPr>
            <w:tcW w:w="851" w:type="dxa"/>
            <w:tcBorders>
              <w:top w:val="single" w:sz="4" w:space="0" w:color="auto"/>
              <w:left w:val="nil"/>
              <w:bottom w:val="single" w:sz="4" w:space="0" w:color="auto"/>
              <w:right w:val="nil"/>
            </w:tcBorders>
            <w:shd w:val="clear" w:color="auto" w:fill="F2F2F2" w:themeFill="background1" w:themeFillShade="F2"/>
            <w:vAlign w:val="bottom"/>
            <w:hideMark/>
          </w:tcPr>
          <w:p w14:paraId="0F609EC6" w14:textId="77777777" w:rsidR="00FE7F8B" w:rsidRDefault="00FE7F8B">
            <w:pPr>
              <w:pStyle w:val="TableTextFinancial"/>
              <w:jc w:val="right"/>
              <w:rPr>
                <w:b/>
              </w:rPr>
            </w:pPr>
            <w:r>
              <w:rPr>
                <w:b/>
              </w:rPr>
              <w:t>2,460.1</w:t>
            </w:r>
          </w:p>
        </w:tc>
        <w:tc>
          <w:tcPr>
            <w:tcW w:w="850" w:type="dxa"/>
            <w:tcBorders>
              <w:top w:val="single" w:sz="4" w:space="0" w:color="auto"/>
              <w:left w:val="nil"/>
              <w:bottom w:val="single" w:sz="4" w:space="0" w:color="auto"/>
              <w:right w:val="nil"/>
            </w:tcBorders>
            <w:vAlign w:val="bottom"/>
            <w:hideMark/>
          </w:tcPr>
          <w:p w14:paraId="08B7BFDD" w14:textId="77777777" w:rsidR="00FE7F8B" w:rsidRDefault="00FE7F8B">
            <w:pPr>
              <w:pStyle w:val="TableTextFinancial"/>
              <w:jc w:val="right"/>
            </w:pPr>
            <w:r>
              <w:t>840.6</w:t>
            </w:r>
          </w:p>
        </w:tc>
      </w:tr>
    </w:tbl>
    <w:p w14:paraId="34A627A1" w14:textId="77777777" w:rsidR="00FE7F8B" w:rsidRDefault="00FE7F8B" w:rsidP="007D34C9">
      <w:pPr>
        <w:pStyle w:val="DETFootnoteTextforobjectivestablesOHStable"/>
        <w:spacing w:before="120"/>
        <w:rPr>
          <w:rFonts w:ascii="Times New Roman" w:hAnsi="Times New Roman"/>
          <w:sz w:val="24"/>
          <w:lang w:val="en-US"/>
        </w:rPr>
      </w:pPr>
      <w:r>
        <w:t>1 Figures include a commitment to pay grants to non-government schools of $559.4 million (2015: $189.3 million). The variance is due to the timing of the grant payments to non-government schools</w:t>
      </w:r>
      <w:r>
        <w:rPr>
          <w:sz w:val="16"/>
          <w:lang w:val="en-US"/>
        </w:rPr>
        <w:t>.</w:t>
      </w:r>
    </w:p>
    <w:p w14:paraId="654B0F4C" w14:textId="77777777" w:rsidR="00FE7F8B" w:rsidRDefault="00FE7F8B" w:rsidP="00FE7F8B">
      <w:pPr>
        <w:pStyle w:val="Normalaftertable"/>
      </w:pPr>
      <w:bookmarkStart w:id="133" w:name="_Toc399491079"/>
      <w:r>
        <w:t>All amounts shown in the commitments note above are nominal amounts inclusive of GST.</w:t>
      </w:r>
    </w:p>
    <w:p w14:paraId="0B96BF36" w14:textId="77777777" w:rsidR="00FE7F8B" w:rsidRDefault="00FE7F8B" w:rsidP="00FE7F8B">
      <w:pPr>
        <w:spacing w:after="0" w:line="240" w:lineRule="auto"/>
        <w:sectPr w:rsidR="00FE7F8B">
          <w:footnotePr>
            <w:numRestart w:val="eachPage"/>
          </w:footnotePr>
          <w:pgSz w:w="11909" w:h="16834"/>
          <w:pgMar w:top="1814" w:right="1701" w:bottom="1418" w:left="2835" w:header="992" w:footer="454" w:gutter="0"/>
          <w:cols w:space="720"/>
        </w:sectPr>
      </w:pPr>
    </w:p>
    <w:p w14:paraId="313243F9" w14:textId="77777777" w:rsidR="00FE7F8B" w:rsidRDefault="00FE7F8B" w:rsidP="00AD641C">
      <w:pPr>
        <w:pStyle w:val="Heading2notes"/>
        <w:numPr>
          <w:ilvl w:val="0"/>
          <w:numId w:val="39"/>
        </w:numPr>
      </w:pPr>
      <w:bookmarkStart w:id="134" w:name="_Toc461176312"/>
      <w:r>
        <w:t>Cash flow information</w:t>
      </w:r>
      <w:bookmarkEnd w:id="133"/>
      <w:bookmarkEnd w:id="134"/>
    </w:p>
    <w:p w14:paraId="70667AA0" w14:textId="77777777" w:rsidR="00FE7F8B" w:rsidRDefault="00FE7F8B" w:rsidP="00FE7F8B">
      <w:r>
        <w:t>Reconciliation of net result for the reporting period to net cash inflow from operating activities:</w:t>
      </w:r>
    </w:p>
    <w:tbl>
      <w:tblPr>
        <w:tblW w:w="5000" w:type="pct"/>
        <w:tblLook w:val="04A0" w:firstRow="1" w:lastRow="0" w:firstColumn="1" w:lastColumn="0" w:noHBand="0" w:noVBand="1"/>
      </w:tblPr>
      <w:tblGrid>
        <w:gridCol w:w="5313"/>
        <w:gridCol w:w="1138"/>
        <w:gridCol w:w="1138"/>
      </w:tblGrid>
      <w:tr w:rsidR="00FE7F8B" w14:paraId="31E4FBCC" w14:textId="77777777" w:rsidTr="00FE7F8B">
        <w:trPr>
          <w:trHeight w:val="540"/>
        </w:trPr>
        <w:tc>
          <w:tcPr>
            <w:tcW w:w="3500" w:type="pct"/>
            <w:shd w:val="clear" w:color="auto" w:fill="7F7F7F" w:themeFill="text1" w:themeFillTint="80"/>
          </w:tcPr>
          <w:p w14:paraId="267B3DCB" w14:textId="77777777" w:rsidR="00FE7F8B" w:rsidRDefault="00FE7F8B">
            <w:pPr>
              <w:pStyle w:val="Tablecolumnheading"/>
              <w:rPr>
                <w:lang w:eastAsia="en-AU"/>
              </w:rPr>
            </w:pPr>
          </w:p>
        </w:tc>
        <w:tc>
          <w:tcPr>
            <w:tcW w:w="750" w:type="pct"/>
            <w:shd w:val="clear" w:color="auto" w:fill="7F7F7F" w:themeFill="text1" w:themeFillTint="80"/>
            <w:vAlign w:val="bottom"/>
            <w:hideMark/>
          </w:tcPr>
          <w:p w14:paraId="60FE5D5A" w14:textId="77777777" w:rsidR="00FE7F8B" w:rsidRDefault="00FE7F8B">
            <w:pPr>
              <w:pStyle w:val="Tablecolumnheading"/>
              <w:jc w:val="center"/>
              <w:rPr>
                <w:lang w:eastAsia="en-AU"/>
              </w:rPr>
            </w:pPr>
            <w:r>
              <w:t>2016</w:t>
            </w:r>
            <w:r>
              <w:br/>
              <w:t>$m</w:t>
            </w:r>
          </w:p>
        </w:tc>
        <w:tc>
          <w:tcPr>
            <w:tcW w:w="750" w:type="pct"/>
            <w:shd w:val="clear" w:color="auto" w:fill="7F7F7F" w:themeFill="text1" w:themeFillTint="80"/>
            <w:vAlign w:val="bottom"/>
            <w:hideMark/>
          </w:tcPr>
          <w:p w14:paraId="19501FE9" w14:textId="77777777" w:rsidR="00FE7F8B" w:rsidRDefault="00FE7F8B">
            <w:pPr>
              <w:pStyle w:val="Tablecolumnheading"/>
              <w:jc w:val="center"/>
              <w:rPr>
                <w:lang w:eastAsia="en-AU"/>
              </w:rPr>
            </w:pPr>
            <w:r>
              <w:t>2015</w:t>
            </w:r>
            <w:r>
              <w:br/>
              <w:t>$m</w:t>
            </w:r>
          </w:p>
        </w:tc>
      </w:tr>
      <w:tr w:rsidR="00FE7F8B" w14:paraId="45CF115E" w14:textId="77777777" w:rsidTr="00FE7F8B">
        <w:trPr>
          <w:trHeight w:val="240"/>
        </w:trPr>
        <w:tc>
          <w:tcPr>
            <w:tcW w:w="3500" w:type="pct"/>
            <w:shd w:val="clear" w:color="auto" w:fill="FFFFFF"/>
            <w:hideMark/>
          </w:tcPr>
          <w:p w14:paraId="389C85E5" w14:textId="77777777" w:rsidR="00FE7F8B" w:rsidRDefault="00FE7F8B">
            <w:pPr>
              <w:pStyle w:val="Tablerowheading"/>
            </w:pPr>
            <w:r>
              <w:t>Net result for the reporting period</w:t>
            </w:r>
          </w:p>
        </w:tc>
        <w:tc>
          <w:tcPr>
            <w:tcW w:w="750" w:type="pct"/>
            <w:shd w:val="clear" w:color="auto" w:fill="F2F2F2" w:themeFill="background1" w:themeFillShade="F2"/>
            <w:vAlign w:val="bottom"/>
            <w:hideMark/>
          </w:tcPr>
          <w:p w14:paraId="67C9724A" w14:textId="77777777" w:rsidR="00FE7F8B" w:rsidRDefault="00FE7F8B">
            <w:pPr>
              <w:pStyle w:val="TableTextFinancial"/>
              <w:jc w:val="right"/>
              <w:rPr>
                <w:b/>
              </w:rPr>
            </w:pPr>
            <w:r>
              <w:rPr>
                <w:b/>
              </w:rPr>
              <w:t>182.5</w:t>
            </w:r>
          </w:p>
        </w:tc>
        <w:tc>
          <w:tcPr>
            <w:tcW w:w="750" w:type="pct"/>
            <w:shd w:val="clear" w:color="auto" w:fill="FFFFFF"/>
            <w:vAlign w:val="bottom"/>
            <w:hideMark/>
          </w:tcPr>
          <w:p w14:paraId="36326164" w14:textId="77777777" w:rsidR="00FE7F8B" w:rsidRDefault="00FE7F8B">
            <w:pPr>
              <w:pStyle w:val="TableTextFinancial"/>
              <w:jc w:val="right"/>
            </w:pPr>
            <w:r>
              <w:t>158.8</w:t>
            </w:r>
          </w:p>
        </w:tc>
      </w:tr>
      <w:tr w:rsidR="00FE7F8B" w14:paraId="52E510F2" w14:textId="77777777" w:rsidTr="00FE7F8B">
        <w:trPr>
          <w:trHeight w:val="240"/>
        </w:trPr>
        <w:tc>
          <w:tcPr>
            <w:tcW w:w="3500" w:type="pct"/>
            <w:shd w:val="clear" w:color="auto" w:fill="FFFFFF"/>
            <w:hideMark/>
          </w:tcPr>
          <w:p w14:paraId="33DA2D66" w14:textId="77777777" w:rsidR="00FE7F8B" w:rsidRDefault="00FE7F8B">
            <w:pPr>
              <w:pStyle w:val="Tablerowheading18before"/>
            </w:pPr>
            <w:r>
              <w:t>Non-cash movements</w:t>
            </w:r>
          </w:p>
        </w:tc>
        <w:tc>
          <w:tcPr>
            <w:tcW w:w="750" w:type="pct"/>
            <w:shd w:val="clear" w:color="auto" w:fill="F2F2F2" w:themeFill="background1" w:themeFillShade="F2"/>
            <w:vAlign w:val="bottom"/>
          </w:tcPr>
          <w:p w14:paraId="540C6B42" w14:textId="77777777" w:rsidR="00FE7F8B" w:rsidRDefault="00FE7F8B">
            <w:pPr>
              <w:pStyle w:val="TableTextFinancial"/>
              <w:jc w:val="right"/>
              <w:rPr>
                <w:b/>
              </w:rPr>
            </w:pPr>
          </w:p>
        </w:tc>
        <w:tc>
          <w:tcPr>
            <w:tcW w:w="750" w:type="pct"/>
            <w:shd w:val="clear" w:color="auto" w:fill="FFFFFF"/>
            <w:noWrap/>
            <w:vAlign w:val="bottom"/>
          </w:tcPr>
          <w:p w14:paraId="7B7BAE92" w14:textId="77777777" w:rsidR="00FE7F8B" w:rsidRDefault="00FE7F8B">
            <w:pPr>
              <w:pStyle w:val="TableTextFinancial"/>
              <w:jc w:val="right"/>
            </w:pPr>
          </w:p>
        </w:tc>
      </w:tr>
      <w:tr w:rsidR="00FE7F8B" w14:paraId="26FBDF99" w14:textId="77777777" w:rsidTr="00FE7F8B">
        <w:trPr>
          <w:trHeight w:val="240"/>
        </w:trPr>
        <w:tc>
          <w:tcPr>
            <w:tcW w:w="3500" w:type="pct"/>
            <w:shd w:val="clear" w:color="auto" w:fill="FFFFFF"/>
            <w:hideMark/>
          </w:tcPr>
          <w:p w14:paraId="38C80222" w14:textId="77777777" w:rsidR="00FE7F8B" w:rsidRDefault="00FE7F8B">
            <w:pPr>
              <w:pStyle w:val="Tabletextnoindent"/>
            </w:pPr>
            <w:r>
              <w:t>Net (gain)/loss on sale of non-financial assets</w:t>
            </w:r>
          </w:p>
        </w:tc>
        <w:tc>
          <w:tcPr>
            <w:tcW w:w="750" w:type="pct"/>
            <w:shd w:val="clear" w:color="auto" w:fill="F2F2F2" w:themeFill="background1" w:themeFillShade="F2"/>
            <w:vAlign w:val="bottom"/>
            <w:hideMark/>
          </w:tcPr>
          <w:p w14:paraId="6C06B39B" w14:textId="77777777" w:rsidR="00FE7F8B" w:rsidRDefault="00FE7F8B">
            <w:pPr>
              <w:pStyle w:val="TableTextFinancial"/>
              <w:jc w:val="right"/>
              <w:rPr>
                <w:b/>
              </w:rPr>
            </w:pPr>
            <w:r>
              <w:rPr>
                <w:b/>
              </w:rPr>
              <w:t>(0.1)</w:t>
            </w:r>
          </w:p>
        </w:tc>
        <w:tc>
          <w:tcPr>
            <w:tcW w:w="750" w:type="pct"/>
            <w:shd w:val="clear" w:color="auto" w:fill="FFFFFF"/>
            <w:vAlign w:val="bottom"/>
            <w:hideMark/>
          </w:tcPr>
          <w:p w14:paraId="582538AB" w14:textId="77777777" w:rsidR="00FE7F8B" w:rsidRDefault="00FE7F8B">
            <w:pPr>
              <w:pStyle w:val="TableTextFinancial"/>
              <w:jc w:val="right"/>
            </w:pPr>
            <w:r>
              <w:t>(20.3)</w:t>
            </w:r>
          </w:p>
        </w:tc>
      </w:tr>
      <w:tr w:rsidR="00FE7F8B" w14:paraId="457DCFB1" w14:textId="77777777" w:rsidTr="00FE7F8B">
        <w:trPr>
          <w:trHeight w:val="240"/>
        </w:trPr>
        <w:tc>
          <w:tcPr>
            <w:tcW w:w="3500" w:type="pct"/>
            <w:shd w:val="clear" w:color="auto" w:fill="FFFFFF"/>
            <w:hideMark/>
          </w:tcPr>
          <w:p w14:paraId="27BDC481" w14:textId="77777777" w:rsidR="00FE7F8B" w:rsidRDefault="00FE7F8B">
            <w:pPr>
              <w:pStyle w:val="Tabletextnoindent"/>
            </w:pPr>
            <w:r>
              <w:t>Depreciation and amortisation</w:t>
            </w:r>
          </w:p>
        </w:tc>
        <w:tc>
          <w:tcPr>
            <w:tcW w:w="750" w:type="pct"/>
            <w:shd w:val="clear" w:color="auto" w:fill="F2F2F2" w:themeFill="background1" w:themeFillShade="F2"/>
            <w:vAlign w:val="bottom"/>
            <w:hideMark/>
          </w:tcPr>
          <w:p w14:paraId="36284D20" w14:textId="77777777" w:rsidR="00FE7F8B" w:rsidRDefault="00FE7F8B">
            <w:pPr>
              <w:pStyle w:val="TableTextFinancial"/>
              <w:jc w:val="right"/>
              <w:rPr>
                <w:b/>
              </w:rPr>
            </w:pPr>
            <w:r>
              <w:rPr>
                <w:b/>
              </w:rPr>
              <w:t>310.5</w:t>
            </w:r>
          </w:p>
        </w:tc>
        <w:tc>
          <w:tcPr>
            <w:tcW w:w="750" w:type="pct"/>
            <w:shd w:val="clear" w:color="auto" w:fill="FFFFFF"/>
            <w:noWrap/>
            <w:vAlign w:val="bottom"/>
            <w:hideMark/>
          </w:tcPr>
          <w:p w14:paraId="43238A4F" w14:textId="77777777" w:rsidR="00FE7F8B" w:rsidRDefault="00FE7F8B">
            <w:pPr>
              <w:pStyle w:val="TableTextFinancial"/>
              <w:jc w:val="right"/>
            </w:pPr>
            <w:r>
              <w:t>316.7</w:t>
            </w:r>
          </w:p>
        </w:tc>
      </w:tr>
      <w:tr w:rsidR="00FE7F8B" w14:paraId="0622BF58" w14:textId="77777777" w:rsidTr="00FE7F8B">
        <w:trPr>
          <w:trHeight w:val="360"/>
        </w:trPr>
        <w:tc>
          <w:tcPr>
            <w:tcW w:w="3500" w:type="pct"/>
            <w:shd w:val="clear" w:color="auto" w:fill="FFFFFF"/>
            <w:vAlign w:val="center"/>
            <w:hideMark/>
          </w:tcPr>
          <w:p w14:paraId="06958EB9" w14:textId="77777777" w:rsidR="00FE7F8B" w:rsidRDefault="00FE7F8B">
            <w:pPr>
              <w:pStyle w:val="Tablerowheading18before"/>
            </w:pPr>
            <w:r>
              <w:t>Movements in assets and liabilities</w:t>
            </w:r>
          </w:p>
        </w:tc>
        <w:tc>
          <w:tcPr>
            <w:tcW w:w="750" w:type="pct"/>
            <w:shd w:val="clear" w:color="auto" w:fill="F2F2F2" w:themeFill="background1" w:themeFillShade="F2"/>
            <w:vAlign w:val="bottom"/>
          </w:tcPr>
          <w:p w14:paraId="32910562" w14:textId="77777777" w:rsidR="00FE7F8B" w:rsidRDefault="00FE7F8B">
            <w:pPr>
              <w:pStyle w:val="TableTextFinancial"/>
              <w:jc w:val="right"/>
              <w:rPr>
                <w:b/>
              </w:rPr>
            </w:pPr>
          </w:p>
        </w:tc>
        <w:tc>
          <w:tcPr>
            <w:tcW w:w="750" w:type="pct"/>
            <w:shd w:val="clear" w:color="auto" w:fill="FFFFFF"/>
            <w:noWrap/>
            <w:vAlign w:val="bottom"/>
          </w:tcPr>
          <w:p w14:paraId="00884098" w14:textId="77777777" w:rsidR="00FE7F8B" w:rsidRDefault="00FE7F8B">
            <w:pPr>
              <w:pStyle w:val="TableTextFinancial"/>
              <w:jc w:val="right"/>
            </w:pPr>
          </w:p>
        </w:tc>
      </w:tr>
      <w:tr w:rsidR="00FE7F8B" w14:paraId="2E585E53" w14:textId="77777777" w:rsidTr="00FE7F8B">
        <w:trPr>
          <w:trHeight w:val="240"/>
        </w:trPr>
        <w:tc>
          <w:tcPr>
            <w:tcW w:w="3500" w:type="pct"/>
            <w:shd w:val="clear" w:color="auto" w:fill="FFFFFF"/>
            <w:hideMark/>
          </w:tcPr>
          <w:p w14:paraId="7E134851" w14:textId="77777777" w:rsidR="00FE7F8B" w:rsidRDefault="00FE7F8B">
            <w:pPr>
              <w:pStyle w:val="Tabletextnoindent"/>
            </w:pPr>
            <w:r>
              <w:t xml:space="preserve">Decrease/(increase) in current receivables </w:t>
            </w:r>
          </w:p>
        </w:tc>
        <w:tc>
          <w:tcPr>
            <w:tcW w:w="750" w:type="pct"/>
            <w:shd w:val="clear" w:color="auto" w:fill="F2F2F2" w:themeFill="background1" w:themeFillShade="F2"/>
            <w:vAlign w:val="bottom"/>
            <w:hideMark/>
          </w:tcPr>
          <w:p w14:paraId="44CA3D59" w14:textId="77777777" w:rsidR="00FE7F8B" w:rsidRDefault="00FE7F8B">
            <w:pPr>
              <w:pStyle w:val="TableTextFinancial"/>
              <w:jc w:val="right"/>
              <w:rPr>
                <w:b/>
              </w:rPr>
            </w:pPr>
            <w:r>
              <w:rPr>
                <w:b/>
              </w:rPr>
              <w:t>(220.1)</w:t>
            </w:r>
          </w:p>
        </w:tc>
        <w:tc>
          <w:tcPr>
            <w:tcW w:w="750" w:type="pct"/>
            <w:vAlign w:val="bottom"/>
            <w:hideMark/>
          </w:tcPr>
          <w:p w14:paraId="1DA06BE8" w14:textId="77777777" w:rsidR="00FE7F8B" w:rsidRDefault="00FE7F8B">
            <w:pPr>
              <w:pStyle w:val="TableTextFinancial"/>
              <w:jc w:val="right"/>
            </w:pPr>
            <w:r>
              <w:t>(331.7)</w:t>
            </w:r>
          </w:p>
        </w:tc>
      </w:tr>
      <w:tr w:rsidR="00FE7F8B" w14:paraId="0810296E" w14:textId="77777777" w:rsidTr="00FE7F8B">
        <w:trPr>
          <w:trHeight w:val="240"/>
        </w:trPr>
        <w:tc>
          <w:tcPr>
            <w:tcW w:w="3500" w:type="pct"/>
            <w:shd w:val="clear" w:color="auto" w:fill="FFFFFF"/>
            <w:hideMark/>
          </w:tcPr>
          <w:p w14:paraId="0F277517" w14:textId="77777777" w:rsidR="00FE7F8B" w:rsidRDefault="00FE7F8B">
            <w:pPr>
              <w:pStyle w:val="Tabletextnoindent"/>
            </w:pPr>
            <w:r>
              <w:t>Decrease/(increase) in prepayments</w:t>
            </w:r>
          </w:p>
        </w:tc>
        <w:tc>
          <w:tcPr>
            <w:tcW w:w="750" w:type="pct"/>
            <w:shd w:val="clear" w:color="auto" w:fill="F2F2F2" w:themeFill="background1" w:themeFillShade="F2"/>
            <w:vAlign w:val="bottom"/>
            <w:hideMark/>
          </w:tcPr>
          <w:p w14:paraId="77C3AC26" w14:textId="77777777" w:rsidR="00FE7F8B" w:rsidRDefault="00FE7F8B">
            <w:pPr>
              <w:pStyle w:val="TableTextFinancial"/>
              <w:jc w:val="right"/>
              <w:rPr>
                <w:b/>
              </w:rPr>
            </w:pPr>
            <w:r>
              <w:rPr>
                <w:b/>
              </w:rPr>
              <w:t>2.5</w:t>
            </w:r>
          </w:p>
        </w:tc>
        <w:tc>
          <w:tcPr>
            <w:tcW w:w="750" w:type="pct"/>
            <w:vAlign w:val="bottom"/>
            <w:hideMark/>
          </w:tcPr>
          <w:p w14:paraId="28B021DF" w14:textId="77777777" w:rsidR="00FE7F8B" w:rsidRDefault="00FE7F8B">
            <w:pPr>
              <w:pStyle w:val="TableTextFinancial"/>
              <w:jc w:val="right"/>
            </w:pPr>
            <w:r>
              <w:t>(1.7)</w:t>
            </w:r>
          </w:p>
        </w:tc>
      </w:tr>
      <w:tr w:rsidR="00FE7F8B" w14:paraId="67896540" w14:textId="77777777" w:rsidTr="00FE7F8B">
        <w:trPr>
          <w:trHeight w:val="240"/>
        </w:trPr>
        <w:tc>
          <w:tcPr>
            <w:tcW w:w="3500" w:type="pct"/>
            <w:shd w:val="clear" w:color="auto" w:fill="FFFFFF"/>
            <w:hideMark/>
          </w:tcPr>
          <w:p w14:paraId="6F120406" w14:textId="77777777" w:rsidR="00FE7F8B" w:rsidRDefault="00FE7F8B">
            <w:pPr>
              <w:pStyle w:val="Tabletextnoindent"/>
            </w:pPr>
            <w:r>
              <w:t>Decrease/(increase) in non-current receivables</w:t>
            </w:r>
          </w:p>
        </w:tc>
        <w:tc>
          <w:tcPr>
            <w:tcW w:w="750" w:type="pct"/>
            <w:shd w:val="clear" w:color="auto" w:fill="F2F2F2" w:themeFill="background1" w:themeFillShade="F2"/>
            <w:vAlign w:val="bottom"/>
            <w:hideMark/>
          </w:tcPr>
          <w:p w14:paraId="21315AAF" w14:textId="77777777" w:rsidR="00FE7F8B" w:rsidRDefault="00FE7F8B">
            <w:pPr>
              <w:pStyle w:val="TableTextFinancial"/>
              <w:jc w:val="right"/>
              <w:rPr>
                <w:b/>
              </w:rPr>
            </w:pPr>
            <w:r>
              <w:rPr>
                <w:b/>
              </w:rPr>
              <w:t>(23.4)</w:t>
            </w:r>
          </w:p>
        </w:tc>
        <w:tc>
          <w:tcPr>
            <w:tcW w:w="750" w:type="pct"/>
            <w:vAlign w:val="bottom"/>
            <w:hideMark/>
          </w:tcPr>
          <w:p w14:paraId="7D70B2D4" w14:textId="77777777" w:rsidR="00FE7F8B" w:rsidRDefault="00FE7F8B">
            <w:pPr>
              <w:pStyle w:val="TableTextFinancial"/>
              <w:jc w:val="right"/>
            </w:pPr>
            <w:r>
              <w:t>(11.0)</w:t>
            </w:r>
          </w:p>
        </w:tc>
      </w:tr>
      <w:tr w:rsidR="00FE7F8B" w14:paraId="4B505FBF" w14:textId="77777777" w:rsidTr="00FE7F8B">
        <w:trPr>
          <w:trHeight w:val="240"/>
        </w:trPr>
        <w:tc>
          <w:tcPr>
            <w:tcW w:w="3500" w:type="pct"/>
            <w:shd w:val="clear" w:color="auto" w:fill="FFFFFF"/>
            <w:hideMark/>
          </w:tcPr>
          <w:p w14:paraId="1CFE3A5E" w14:textId="77777777" w:rsidR="00FE7F8B" w:rsidRDefault="00FE7F8B">
            <w:pPr>
              <w:pStyle w:val="Tabletextnoindent"/>
            </w:pPr>
            <w:r>
              <w:t>Increase/(decrease) in current payables</w:t>
            </w:r>
          </w:p>
        </w:tc>
        <w:tc>
          <w:tcPr>
            <w:tcW w:w="750" w:type="pct"/>
            <w:shd w:val="clear" w:color="auto" w:fill="F2F2F2" w:themeFill="background1" w:themeFillShade="F2"/>
            <w:vAlign w:val="bottom"/>
            <w:hideMark/>
          </w:tcPr>
          <w:p w14:paraId="6011F420" w14:textId="77777777" w:rsidR="00FE7F8B" w:rsidRDefault="00FE7F8B">
            <w:pPr>
              <w:pStyle w:val="TableTextFinancial"/>
              <w:jc w:val="right"/>
              <w:rPr>
                <w:b/>
              </w:rPr>
            </w:pPr>
            <w:r>
              <w:rPr>
                <w:b/>
              </w:rPr>
              <w:t>91.1</w:t>
            </w:r>
          </w:p>
        </w:tc>
        <w:tc>
          <w:tcPr>
            <w:tcW w:w="750" w:type="pct"/>
            <w:vAlign w:val="bottom"/>
            <w:hideMark/>
          </w:tcPr>
          <w:p w14:paraId="2BCF5082" w14:textId="77777777" w:rsidR="00FE7F8B" w:rsidRDefault="00FE7F8B">
            <w:pPr>
              <w:pStyle w:val="TableTextFinancial"/>
              <w:jc w:val="right"/>
            </w:pPr>
            <w:r>
              <w:t>(17.4)</w:t>
            </w:r>
          </w:p>
        </w:tc>
      </w:tr>
      <w:tr w:rsidR="00FE7F8B" w14:paraId="61A4ED74" w14:textId="77777777" w:rsidTr="00FE7F8B">
        <w:trPr>
          <w:trHeight w:val="240"/>
        </w:trPr>
        <w:tc>
          <w:tcPr>
            <w:tcW w:w="3500" w:type="pct"/>
            <w:shd w:val="clear" w:color="auto" w:fill="FFFFFF"/>
            <w:hideMark/>
          </w:tcPr>
          <w:p w14:paraId="6575F807" w14:textId="77777777" w:rsidR="00FE7F8B" w:rsidRDefault="00FE7F8B">
            <w:pPr>
              <w:pStyle w:val="Tabletextnoindent"/>
            </w:pPr>
            <w:r>
              <w:t>Increase/(decrease) in other liabilities</w:t>
            </w:r>
          </w:p>
        </w:tc>
        <w:tc>
          <w:tcPr>
            <w:tcW w:w="750" w:type="pct"/>
            <w:shd w:val="clear" w:color="auto" w:fill="F2F2F2" w:themeFill="background1" w:themeFillShade="F2"/>
            <w:vAlign w:val="bottom"/>
            <w:hideMark/>
          </w:tcPr>
          <w:p w14:paraId="79B915FB" w14:textId="77777777" w:rsidR="00FE7F8B" w:rsidRDefault="00FE7F8B">
            <w:pPr>
              <w:pStyle w:val="TableTextFinancial"/>
              <w:jc w:val="right"/>
              <w:rPr>
                <w:b/>
              </w:rPr>
            </w:pPr>
            <w:r>
              <w:rPr>
                <w:b/>
              </w:rPr>
              <w:t>19.8</w:t>
            </w:r>
          </w:p>
        </w:tc>
        <w:tc>
          <w:tcPr>
            <w:tcW w:w="750" w:type="pct"/>
            <w:vAlign w:val="bottom"/>
            <w:hideMark/>
          </w:tcPr>
          <w:p w14:paraId="4C8D3E89" w14:textId="77777777" w:rsidR="00FE7F8B" w:rsidRDefault="00FE7F8B">
            <w:pPr>
              <w:pStyle w:val="TableTextFinancial"/>
              <w:jc w:val="right"/>
            </w:pPr>
            <w:r>
              <w:t>(2.7)</w:t>
            </w:r>
          </w:p>
        </w:tc>
      </w:tr>
      <w:tr w:rsidR="00FE7F8B" w14:paraId="17A6C7D7" w14:textId="77777777" w:rsidTr="00FE7F8B">
        <w:trPr>
          <w:trHeight w:val="240"/>
        </w:trPr>
        <w:tc>
          <w:tcPr>
            <w:tcW w:w="3500" w:type="pct"/>
            <w:shd w:val="clear" w:color="auto" w:fill="FFFFFF"/>
            <w:hideMark/>
          </w:tcPr>
          <w:p w14:paraId="0F365342" w14:textId="77777777" w:rsidR="00FE7F8B" w:rsidRDefault="00FE7F8B">
            <w:pPr>
              <w:pStyle w:val="Tabletextnoindent"/>
            </w:pPr>
            <w:r>
              <w:t>Increase/(decrease) in current employee entitlements</w:t>
            </w:r>
          </w:p>
        </w:tc>
        <w:tc>
          <w:tcPr>
            <w:tcW w:w="750" w:type="pct"/>
            <w:shd w:val="clear" w:color="auto" w:fill="F2F2F2" w:themeFill="background1" w:themeFillShade="F2"/>
            <w:vAlign w:val="bottom"/>
            <w:hideMark/>
          </w:tcPr>
          <w:p w14:paraId="3224D5D5" w14:textId="77777777" w:rsidR="00FE7F8B" w:rsidRDefault="00FE7F8B">
            <w:pPr>
              <w:pStyle w:val="TableTextFinancial"/>
              <w:jc w:val="right"/>
              <w:rPr>
                <w:b/>
              </w:rPr>
            </w:pPr>
            <w:r>
              <w:rPr>
                <w:b/>
              </w:rPr>
              <w:t>69.3</w:t>
            </w:r>
          </w:p>
        </w:tc>
        <w:tc>
          <w:tcPr>
            <w:tcW w:w="750" w:type="pct"/>
            <w:vAlign w:val="bottom"/>
            <w:hideMark/>
          </w:tcPr>
          <w:p w14:paraId="4A2C1176" w14:textId="77777777" w:rsidR="00FE7F8B" w:rsidRDefault="00FE7F8B">
            <w:pPr>
              <w:pStyle w:val="TableTextFinancial"/>
              <w:jc w:val="right"/>
            </w:pPr>
            <w:r>
              <w:t>86.1</w:t>
            </w:r>
          </w:p>
        </w:tc>
      </w:tr>
      <w:tr w:rsidR="00FE7F8B" w14:paraId="4FB8F1A2" w14:textId="77777777" w:rsidTr="00FE7F8B">
        <w:trPr>
          <w:trHeight w:val="240"/>
        </w:trPr>
        <w:tc>
          <w:tcPr>
            <w:tcW w:w="3500" w:type="pct"/>
            <w:tcBorders>
              <w:top w:val="nil"/>
              <w:left w:val="nil"/>
              <w:bottom w:val="single" w:sz="4" w:space="0" w:color="auto"/>
              <w:right w:val="nil"/>
            </w:tcBorders>
            <w:shd w:val="clear" w:color="auto" w:fill="FFFFFF"/>
            <w:hideMark/>
          </w:tcPr>
          <w:p w14:paraId="744D5320" w14:textId="77777777" w:rsidR="00FE7F8B" w:rsidRDefault="00FE7F8B">
            <w:pPr>
              <w:pStyle w:val="Tabletextnoindent"/>
            </w:pPr>
            <w:r>
              <w:t>Increase/(decrease) in non-current employee entitlements</w:t>
            </w:r>
          </w:p>
        </w:tc>
        <w:tc>
          <w:tcPr>
            <w:tcW w:w="750" w:type="pct"/>
            <w:tcBorders>
              <w:top w:val="nil"/>
              <w:left w:val="nil"/>
              <w:bottom w:val="single" w:sz="4" w:space="0" w:color="auto"/>
              <w:right w:val="nil"/>
            </w:tcBorders>
            <w:shd w:val="clear" w:color="auto" w:fill="F2F2F2" w:themeFill="background1" w:themeFillShade="F2"/>
            <w:vAlign w:val="bottom"/>
            <w:hideMark/>
          </w:tcPr>
          <w:p w14:paraId="557AF287" w14:textId="77777777" w:rsidR="00FE7F8B" w:rsidRDefault="00FE7F8B">
            <w:pPr>
              <w:pStyle w:val="TableTextFinancial"/>
              <w:jc w:val="right"/>
              <w:rPr>
                <w:b/>
              </w:rPr>
            </w:pPr>
            <w:r>
              <w:rPr>
                <w:b/>
              </w:rPr>
              <w:t>23.4</w:t>
            </w:r>
          </w:p>
        </w:tc>
        <w:tc>
          <w:tcPr>
            <w:tcW w:w="750" w:type="pct"/>
            <w:tcBorders>
              <w:top w:val="nil"/>
              <w:left w:val="nil"/>
              <w:bottom w:val="single" w:sz="4" w:space="0" w:color="auto"/>
              <w:right w:val="nil"/>
            </w:tcBorders>
            <w:vAlign w:val="bottom"/>
            <w:hideMark/>
          </w:tcPr>
          <w:p w14:paraId="68B70147" w14:textId="77777777" w:rsidR="00FE7F8B" w:rsidRDefault="00FE7F8B">
            <w:pPr>
              <w:pStyle w:val="TableTextFinancial"/>
              <w:jc w:val="right"/>
            </w:pPr>
            <w:r>
              <w:t>11.0</w:t>
            </w:r>
          </w:p>
        </w:tc>
      </w:tr>
      <w:tr w:rsidR="00FE7F8B" w14:paraId="5E584150" w14:textId="77777777" w:rsidTr="00FE7F8B">
        <w:trPr>
          <w:trHeight w:val="330"/>
        </w:trPr>
        <w:tc>
          <w:tcPr>
            <w:tcW w:w="3500" w:type="pct"/>
            <w:tcBorders>
              <w:top w:val="single" w:sz="4" w:space="0" w:color="auto"/>
              <w:left w:val="nil"/>
              <w:bottom w:val="single" w:sz="4" w:space="0" w:color="auto"/>
              <w:right w:val="nil"/>
            </w:tcBorders>
            <w:shd w:val="clear" w:color="auto" w:fill="FFFFFF"/>
            <w:vAlign w:val="center"/>
            <w:hideMark/>
          </w:tcPr>
          <w:p w14:paraId="051AC2D3" w14:textId="77777777" w:rsidR="00FE7F8B" w:rsidRDefault="00FE7F8B">
            <w:pPr>
              <w:pStyle w:val="Tabletextnoindent"/>
              <w:rPr>
                <w:b/>
              </w:rPr>
            </w:pPr>
            <w:r>
              <w:rPr>
                <w:b/>
              </w:rPr>
              <w:t>Net cash inflow from/(used in) operating activities</w:t>
            </w:r>
          </w:p>
        </w:tc>
        <w:tc>
          <w:tcPr>
            <w:tcW w:w="750" w:type="pct"/>
            <w:tcBorders>
              <w:top w:val="single" w:sz="4" w:space="0" w:color="auto"/>
              <w:left w:val="nil"/>
              <w:bottom w:val="single" w:sz="4" w:space="0" w:color="auto"/>
              <w:right w:val="nil"/>
            </w:tcBorders>
            <w:shd w:val="clear" w:color="auto" w:fill="F2F2F2" w:themeFill="background1" w:themeFillShade="F2"/>
            <w:vAlign w:val="bottom"/>
            <w:hideMark/>
          </w:tcPr>
          <w:p w14:paraId="6EB0CC80" w14:textId="77777777" w:rsidR="00FE7F8B" w:rsidRDefault="00FE7F8B">
            <w:pPr>
              <w:pStyle w:val="TableTextFinancial"/>
              <w:jc w:val="right"/>
              <w:rPr>
                <w:b/>
              </w:rPr>
            </w:pPr>
            <w:r>
              <w:rPr>
                <w:b/>
              </w:rPr>
              <w:t>455.4</w:t>
            </w:r>
          </w:p>
        </w:tc>
        <w:tc>
          <w:tcPr>
            <w:tcW w:w="750" w:type="pct"/>
            <w:tcBorders>
              <w:top w:val="single" w:sz="4" w:space="0" w:color="auto"/>
              <w:left w:val="nil"/>
              <w:bottom w:val="single" w:sz="4" w:space="0" w:color="auto"/>
              <w:right w:val="nil"/>
            </w:tcBorders>
            <w:shd w:val="clear" w:color="auto" w:fill="FFFFFF"/>
            <w:vAlign w:val="bottom"/>
            <w:hideMark/>
          </w:tcPr>
          <w:p w14:paraId="0FA23F04" w14:textId="77777777" w:rsidR="00FE7F8B" w:rsidRDefault="00FE7F8B">
            <w:pPr>
              <w:pStyle w:val="TableTextFinancial"/>
              <w:jc w:val="right"/>
              <w:rPr>
                <w:b/>
              </w:rPr>
            </w:pPr>
            <w:r>
              <w:t>187.8</w:t>
            </w:r>
          </w:p>
        </w:tc>
      </w:tr>
    </w:tbl>
    <w:p w14:paraId="7ACE7120" w14:textId="77777777" w:rsidR="00FE7F8B" w:rsidRDefault="00FE7F8B" w:rsidP="00FE7F8B">
      <w:pPr>
        <w:spacing w:after="0" w:line="240" w:lineRule="auto"/>
        <w:rPr>
          <w:rFonts w:cs="Arial"/>
          <w:bCs/>
          <w:iCs/>
          <w:sz w:val="28"/>
          <w:szCs w:val="28"/>
        </w:rPr>
        <w:sectPr w:rsidR="00FE7F8B">
          <w:footnotePr>
            <w:numRestart w:val="eachPage"/>
          </w:footnotePr>
          <w:pgSz w:w="11909" w:h="16834"/>
          <w:pgMar w:top="1814" w:right="1701" w:bottom="1418" w:left="2835" w:header="992" w:footer="454" w:gutter="0"/>
          <w:cols w:space="720"/>
        </w:sectPr>
      </w:pPr>
    </w:p>
    <w:p w14:paraId="5CD6DB60" w14:textId="77777777" w:rsidR="00FE7F8B" w:rsidRDefault="00FE7F8B" w:rsidP="00AD641C">
      <w:pPr>
        <w:pStyle w:val="Heading2notes"/>
        <w:numPr>
          <w:ilvl w:val="0"/>
          <w:numId w:val="39"/>
        </w:numPr>
      </w:pPr>
      <w:bookmarkStart w:id="135" w:name="_Toc399491080"/>
      <w:bookmarkStart w:id="136" w:name="_Toc461176313"/>
      <w:r>
        <w:t>Subsequent events</w:t>
      </w:r>
      <w:bookmarkEnd w:id="135"/>
      <w:bookmarkEnd w:id="136"/>
    </w:p>
    <w:p w14:paraId="39AACA5E" w14:textId="77777777" w:rsidR="00FE7F8B" w:rsidRDefault="00FE7F8B" w:rsidP="00FE7F8B">
      <w:bookmarkStart w:id="137" w:name="_Toc399491081"/>
      <w:r>
        <w:t>The Department has no material or significant events occurring after the reporting date to the date of these Financial Statements that would affect significantly the figures included in them.</w:t>
      </w:r>
    </w:p>
    <w:p w14:paraId="68223F7A" w14:textId="77777777" w:rsidR="00FE7F8B" w:rsidRDefault="00FE7F8B" w:rsidP="00AD641C">
      <w:pPr>
        <w:pStyle w:val="Heading2notes"/>
        <w:numPr>
          <w:ilvl w:val="0"/>
          <w:numId w:val="39"/>
        </w:numPr>
      </w:pPr>
      <w:bookmarkStart w:id="138" w:name="_Toc461176314"/>
      <w:r>
        <w:t>Annotated income agreements</w:t>
      </w:r>
      <w:bookmarkEnd w:id="137"/>
      <w:bookmarkEnd w:id="138"/>
    </w:p>
    <w:p w14:paraId="04EA2888" w14:textId="77777777" w:rsidR="00FE7F8B" w:rsidRDefault="00FE7F8B" w:rsidP="00FE7F8B">
      <w:r>
        <w:t xml:space="preserve">The following is a listing of the </w:t>
      </w:r>
      <w:r>
        <w:rPr>
          <w:i/>
        </w:rPr>
        <w:t>Financial Management Act 1994</w:t>
      </w:r>
      <w:r>
        <w:t xml:space="preserve"> Section 29 annotated income agreements approved by the Treasurer:</w:t>
      </w:r>
    </w:p>
    <w:tbl>
      <w:tblPr>
        <w:tblW w:w="7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545"/>
        <w:gridCol w:w="851"/>
        <w:gridCol w:w="415"/>
        <w:gridCol w:w="577"/>
        <w:gridCol w:w="992"/>
      </w:tblGrid>
      <w:tr w:rsidR="00FE7F8B" w14:paraId="2D3633CE" w14:textId="77777777" w:rsidTr="00FE7F8B">
        <w:tc>
          <w:tcPr>
            <w:tcW w:w="4546" w:type="dxa"/>
            <w:tcBorders>
              <w:top w:val="nil"/>
              <w:left w:val="nil"/>
              <w:bottom w:val="nil"/>
              <w:right w:val="nil"/>
            </w:tcBorders>
            <w:shd w:val="clear" w:color="auto" w:fill="7F7F7F" w:themeFill="text1" w:themeFillTint="80"/>
            <w:vAlign w:val="center"/>
          </w:tcPr>
          <w:p w14:paraId="26218A87" w14:textId="77777777" w:rsidR="00FE7F8B" w:rsidRDefault="00FE7F8B">
            <w:pPr>
              <w:pStyle w:val="Tablecolumnheading"/>
              <w:jc w:val="center"/>
              <w:rPr>
                <w:lang w:eastAsia="en-AU"/>
              </w:rPr>
            </w:pPr>
          </w:p>
        </w:tc>
        <w:tc>
          <w:tcPr>
            <w:tcW w:w="1266" w:type="dxa"/>
            <w:gridSpan w:val="2"/>
            <w:tcBorders>
              <w:top w:val="nil"/>
              <w:left w:val="nil"/>
              <w:bottom w:val="nil"/>
              <w:right w:val="nil"/>
            </w:tcBorders>
            <w:shd w:val="clear" w:color="auto" w:fill="7F7F7F" w:themeFill="text1" w:themeFillTint="80"/>
            <w:vAlign w:val="center"/>
            <w:hideMark/>
          </w:tcPr>
          <w:p w14:paraId="6FCC1B75" w14:textId="77777777" w:rsidR="00FE7F8B" w:rsidRDefault="00FE7F8B">
            <w:pPr>
              <w:pStyle w:val="Tablecolumnheading"/>
              <w:jc w:val="center"/>
              <w:rPr>
                <w:lang w:eastAsia="en-AU"/>
              </w:rPr>
            </w:pPr>
            <w:r>
              <w:rPr>
                <w:lang w:eastAsia="en-AU"/>
              </w:rPr>
              <w:t>Note</w:t>
            </w:r>
          </w:p>
        </w:tc>
        <w:tc>
          <w:tcPr>
            <w:tcW w:w="577" w:type="dxa"/>
            <w:tcBorders>
              <w:top w:val="nil"/>
              <w:left w:val="nil"/>
              <w:bottom w:val="nil"/>
              <w:right w:val="nil"/>
            </w:tcBorders>
            <w:shd w:val="clear" w:color="auto" w:fill="7F7F7F" w:themeFill="text1" w:themeFillTint="80"/>
            <w:vAlign w:val="center"/>
            <w:hideMark/>
          </w:tcPr>
          <w:p w14:paraId="04463D1C" w14:textId="77777777" w:rsidR="00FE7F8B" w:rsidRDefault="00FE7F8B">
            <w:pPr>
              <w:pStyle w:val="Tablecolumnheading"/>
              <w:jc w:val="center"/>
              <w:rPr>
                <w:lang w:eastAsia="en-AU"/>
              </w:rPr>
            </w:pPr>
            <w:r>
              <w:rPr>
                <w:lang w:eastAsia="en-AU"/>
              </w:rPr>
              <w:t>2016</w:t>
            </w:r>
            <w:r>
              <w:rPr>
                <w:lang w:eastAsia="en-AU"/>
              </w:rPr>
              <w:br/>
              <w:t>$m</w:t>
            </w:r>
          </w:p>
        </w:tc>
        <w:tc>
          <w:tcPr>
            <w:tcW w:w="992" w:type="dxa"/>
            <w:tcBorders>
              <w:top w:val="nil"/>
              <w:left w:val="nil"/>
              <w:bottom w:val="nil"/>
              <w:right w:val="nil"/>
            </w:tcBorders>
            <w:shd w:val="clear" w:color="auto" w:fill="7F7F7F" w:themeFill="text1" w:themeFillTint="80"/>
            <w:vAlign w:val="center"/>
            <w:hideMark/>
          </w:tcPr>
          <w:p w14:paraId="15A31A57" w14:textId="77777777" w:rsidR="00FE7F8B" w:rsidRDefault="00FE7F8B">
            <w:pPr>
              <w:pStyle w:val="Tablecolumnheading"/>
              <w:jc w:val="center"/>
              <w:rPr>
                <w:lang w:eastAsia="en-AU"/>
              </w:rPr>
            </w:pPr>
            <w:r>
              <w:rPr>
                <w:lang w:eastAsia="en-AU"/>
              </w:rPr>
              <w:t>2015</w:t>
            </w:r>
            <w:r>
              <w:rPr>
                <w:lang w:eastAsia="en-AU"/>
              </w:rPr>
              <w:br/>
              <w:t>$m</w:t>
            </w:r>
          </w:p>
        </w:tc>
      </w:tr>
      <w:tr w:rsidR="00FE7F8B" w14:paraId="2989858E" w14:textId="77777777" w:rsidTr="00FE7F8B">
        <w:tc>
          <w:tcPr>
            <w:tcW w:w="4546" w:type="dxa"/>
            <w:tcBorders>
              <w:top w:val="nil"/>
              <w:left w:val="nil"/>
              <w:bottom w:val="nil"/>
              <w:right w:val="nil"/>
            </w:tcBorders>
            <w:vAlign w:val="bottom"/>
            <w:hideMark/>
          </w:tcPr>
          <w:p w14:paraId="136E2228" w14:textId="77777777" w:rsidR="00FE7F8B" w:rsidRDefault="00FE7F8B">
            <w:pPr>
              <w:pStyle w:val="Tabletextnoindent"/>
              <w:rPr>
                <w:b/>
              </w:rPr>
            </w:pPr>
            <w:r>
              <w:rPr>
                <w:b/>
              </w:rPr>
              <w:t>Sales of goods and services</w:t>
            </w:r>
          </w:p>
        </w:tc>
        <w:tc>
          <w:tcPr>
            <w:tcW w:w="851" w:type="dxa"/>
            <w:tcBorders>
              <w:top w:val="nil"/>
              <w:left w:val="nil"/>
              <w:bottom w:val="nil"/>
              <w:right w:val="nil"/>
            </w:tcBorders>
            <w:vAlign w:val="bottom"/>
          </w:tcPr>
          <w:p w14:paraId="0321147A" w14:textId="77777777" w:rsidR="00FE7F8B" w:rsidRDefault="00FE7F8B">
            <w:pPr>
              <w:pStyle w:val="TableTextFinancial"/>
            </w:pPr>
          </w:p>
        </w:tc>
        <w:tc>
          <w:tcPr>
            <w:tcW w:w="992" w:type="dxa"/>
            <w:gridSpan w:val="2"/>
            <w:tcBorders>
              <w:top w:val="nil"/>
              <w:left w:val="nil"/>
              <w:bottom w:val="nil"/>
              <w:right w:val="nil"/>
            </w:tcBorders>
            <w:vAlign w:val="bottom"/>
          </w:tcPr>
          <w:p w14:paraId="271B4BC9" w14:textId="77777777" w:rsidR="00FE7F8B" w:rsidRDefault="00FE7F8B">
            <w:pPr>
              <w:pStyle w:val="TableTextFinancial"/>
            </w:pPr>
          </w:p>
        </w:tc>
        <w:tc>
          <w:tcPr>
            <w:tcW w:w="992" w:type="dxa"/>
            <w:tcBorders>
              <w:top w:val="nil"/>
              <w:left w:val="nil"/>
              <w:bottom w:val="nil"/>
              <w:right w:val="nil"/>
            </w:tcBorders>
            <w:vAlign w:val="bottom"/>
          </w:tcPr>
          <w:p w14:paraId="5D373217" w14:textId="77777777" w:rsidR="00FE7F8B" w:rsidRDefault="00FE7F8B">
            <w:pPr>
              <w:pStyle w:val="TableTextFinancial"/>
            </w:pPr>
          </w:p>
        </w:tc>
      </w:tr>
      <w:tr w:rsidR="00FE7F8B" w14:paraId="464AAD1D" w14:textId="77777777" w:rsidTr="00FE7F8B">
        <w:tc>
          <w:tcPr>
            <w:tcW w:w="4546" w:type="dxa"/>
            <w:tcBorders>
              <w:top w:val="nil"/>
              <w:left w:val="nil"/>
              <w:bottom w:val="nil"/>
              <w:right w:val="nil"/>
            </w:tcBorders>
            <w:vAlign w:val="bottom"/>
            <w:hideMark/>
          </w:tcPr>
          <w:p w14:paraId="1BD57354" w14:textId="77777777" w:rsidR="00FE7F8B" w:rsidRDefault="00FE7F8B">
            <w:pPr>
              <w:pStyle w:val="Tabletextnoindent"/>
            </w:pPr>
            <w:r>
              <w:t>Alarms</w:t>
            </w:r>
          </w:p>
        </w:tc>
        <w:tc>
          <w:tcPr>
            <w:tcW w:w="851" w:type="dxa"/>
            <w:tcBorders>
              <w:top w:val="nil"/>
              <w:left w:val="nil"/>
              <w:bottom w:val="nil"/>
              <w:right w:val="nil"/>
            </w:tcBorders>
            <w:vAlign w:val="bottom"/>
          </w:tcPr>
          <w:p w14:paraId="66B60FB7"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7185D424" w14:textId="77777777" w:rsidR="00FE7F8B" w:rsidRDefault="00FE7F8B">
            <w:pPr>
              <w:pStyle w:val="TableTextFinancial"/>
              <w:jc w:val="right"/>
            </w:pPr>
            <w:r>
              <w:t>0.1</w:t>
            </w:r>
          </w:p>
        </w:tc>
        <w:tc>
          <w:tcPr>
            <w:tcW w:w="992" w:type="dxa"/>
            <w:tcBorders>
              <w:top w:val="nil"/>
              <w:left w:val="nil"/>
              <w:bottom w:val="nil"/>
              <w:right w:val="nil"/>
            </w:tcBorders>
            <w:vAlign w:val="bottom"/>
            <w:hideMark/>
          </w:tcPr>
          <w:p w14:paraId="3628622A" w14:textId="77777777" w:rsidR="00FE7F8B" w:rsidRDefault="00FE7F8B">
            <w:pPr>
              <w:pStyle w:val="TableTextFinancial"/>
              <w:jc w:val="right"/>
            </w:pPr>
            <w:r>
              <w:t>0.1</w:t>
            </w:r>
          </w:p>
        </w:tc>
      </w:tr>
      <w:tr w:rsidR="00FE7F8B" w14:paraId="3104819B" w14:textId="77777777" w:rsidTr="00FE7F8B">
        <w:tc>
          <w:tcPr>
            <w:tcW w:w="4546" w:type="dxa"/>
            <w:tcBorders>
              <w:top w:val="nil"/>
              <w:left w:val="nil"/>
              <w:bottom w:val="single" w:sz="4" w:space="0" w:color="auto"/>
              <w:right w:val="nil"/>
            </w:tcBorders>
            <w:vAlign w:val="bottom"/>
            <w:hideMark/>
          </w:tcPr>
          <w:p w14:paraId="39E012CB" w14:textId="77777777" w:rsidR="00FE7F8B" w:rsidRDefault="00FE7F8B">
            <w:pPr>
              <w:pStyle w:val="Tabletextnoindent"/>
            </w:pPr>
            <w:r>
              <w:t>Housing rent</w:t>
            </w:r>
          </w:p>
        </w:tc>
        <w:tc>
          <w:tcPr>
            <w:tcW w:w="851" w:type="dxa"/>
            <w:tcBorders>
              <w:top w:val="nil"/>
              <w:left w:val="nil"/>
              <w:bottom w:val="single" w:sz="4" w:space="0" w:color="auto"/>
              <w:right w:val="nil"/>
            </w:tcBorders>
            <w:vAlign w:val="bottom"/>
          </w:tcPr>
          <w:p w14:paraId="643DC6BE" w14:textId="77777777" w:rsidR="00FE7F8B" w:rsidRDefault="00FE7F8B">
            <w:pPr>
              <w:pStyle w:val="TableTextFinancial"/>
              <w:jc w:val="right"/>
            </w:pPr>
          </w:p>
        </w:tc>
        <w:tc>
          <w:tcPr>
            <w:tcW w:w="992" w:type="dxa"/>
            <w:gridSpan w:val="2"/>
            <w:tcBorders>
              <w:top w:val="nil"/>
              <w:left w:val="nil"/>
              <w:bottom w:val="single" w:sz="4" w:space="0" w:color="auto"/>
              <w:right w:val="nil"/>
            </w:tcBorders>
            <w:vAlign w:val="bottom"/>
            <w:hideMark/>
          </w:tcPr>
          <w:p w14:paraId="30FE4E6D" w14:textId="77777777" w:rsidR="00FE7F8B" w:rsidRDefault="00FE7F8B">
            <w:pPr>
              <w:pStyle w:val="TableTextFinancial"/>
              <w:jc w:val="right"/>
            </w:pPr>
            <w:r>
              <w:t>1.1</w:t>
            </w:r>
          </w:p>
        </w:tc>
        <w:tc>
          <w:tcPr>
            <w:tcW w:w="992" w:type="dxa"/>
            <w:tcBorders>
              <w:top w:val="nil"/>
              <w:left w:val="nil"/>
              <w:bottom w:val="single" w:sz="4" w:space="0" w:color="auto"/>
              <w:right w:val="nil"/>
            </w:tcBorders>
            <w:vAlign w:val="bottom"/>
            <w:hideMark/>
          </w:tcPr>
          <w:p w14:paraId="2713788D" w14:textId="77777777" w:rsidR="00FE7F8B" w:rsidRDefault="00FE7F8B">
            <w:pPr>
              <w:pStyle w:val="TableTextFinancial"/>
              <w:jc w:val="right"/>
            </w:pPr>
            <w:r>
              <w:t>1.1</w:t>
            </w:r>
          </w:p>
        </w:tc>
      </w:tr>
      <w:tr w:rsidR="00FE7F8B" w14:paraId="3A64F59E" w14:textId="77777777" w:rsidTr="00FE7F8B">
        <w:tc>
          <w:tcPr>
            <w:tcW w:w="4546" w:type="dxa"/>
            <w:tcBorders>
              <w:top w:val="single" w:sz="4" w:space="0" w:color="auto"/>
              <w:left w:val="nil"/>
              <w:bottom w:val="single" w:sz="4" w:space="0" w:color="auto"/>
              <w:right w:val="nil"/>
            </w:tcBorders>
            <w:vAlign w:val="bottom"/>
            <w:hideMark/>
          </w:tcPr>
          <w:p w14:paraId="14ECDC9F" w14:textId="77777777" w:rsidR="00FE7F8B" w:rsidRDefault="00FE7F8B">
            <w:pPr>
              <w:pStyle w:val="Tabletextnoindent"/>
              <w:rPr>
                <w:b/>
              </w:rPr>
            </w:pPr>
            <w:r>
              <w:rPr>
                <w:b/>
              </w:rPr>
              <w:t>Total</w:t>
            </w:r>
          </w:p>
        </w:tc>
        <w:tc>
          <w:tcPr>
            <w:tcW w:w="851" w:type="dxa"/>
            <w:tcBorders>
              <w:top w:val="single" w:sz="4" w:space="0" w:color="auto"/>
              <w:left w:val="nil"/>
              <w:bottom w:val="single" w:sz="4" w:space="0" w:color="auto"/>
              <w:right w:val="nil"/>
            </w:tcBorders>
            <w:vAlign w:val="bottom"/>
          </w:tcPr>
          <w:p w14:paraId="5DD873E9" w14:textId="77777777" w:rsidR="00FE7F8B" w:rsidRDefault="00FE7F8B">
            <w:pPr>
              <w:pStyle w:val="TableTextFinancial"/>
              <w:jc w:val="right"/>
            </w:pPr>
          </w:p>
        </w:tc>
        <w:tc>
          <w:tcPr>
            <w:tcW w:w="992" w:type="dxa"/>
            <w:gridSpan w:val="2"/>
            <w:tcBorders>
              <w:top w:val="single" w:sz="4" w:space="0" w:color="auto"/>
              <w:left w:val="nil"/>
              <w:bottom w:val="single" w:sz="4" w:space="0" w:color="auto"/>
              <w:right w:val="nil"/>
            </w:tcBorders>
            <w:vAlign w:val="bottom"/>
            <w:hideMark/>
          </w:tcPr>
          <w:p w14:paraId="53E39BAB" w14:textId="77777777" w:rsidR="00FE7F8B" w:rsidRDefault="00FE7F8B">
            <w:pPr>
              <w:pStyle w:val="TableTextFinancial"/>
              <w:jc w:val="right"/>
              <w:rPr>
                <w:b/>
              </w:rPr>
            </w:pPr>
            <w:r>
              <w:rPr>
                <w:b/>
              </w:rPr>
              <w:t>1.1</w:t>
            </w:r>
          </w:p>
        </w:tc>
        <w:tc>
          <w:tcPr>
            <w:tcW w:w="992" w:type="dxa"/>
            <w:tcBorders>
              <w:top w:val="single" w:sz="4" w:space="0" w:color="auto"/>
              <w:left w:val="nil"/>
              <w:bottom w:val="single" w:sz="4" w:space="0" w:color="auto"/>
              <w:right w:val="nil"/>
            </w:tcBorders>
            <w:vAlign w:val="bottom"/>
            <w:hideMark/>
          </w:tcPr>
          <w:p w14:paraId="5DD7C9C8" w14:textId="77777777" w:rsidR="00FE7F8B" w:rsidRDefault="00FE7F8B">
            <w:pPr>
              <w:pStyle w:val="TableTextFinancial"/>
              <w:jc w:val="right"/>
              <w:rPr>
                <w:b/>
              </w:rPr>
            </w:pPr>
            <w:r>
              <w:rPr>
                <w:b/>
              </w:rPr>
              <w:t>1.2</w:t>
            </w:r>
          </w:p>
        </w:tc>
      </w:tr>
      <w:tr w:rsidR="00FE7F8B" w14:paraId="62DFC9F8" w14:textId="77777777" w:rsidTr="00FE7F8B">
        <w:tc>
          <w:tcPr>
            <w:tcW w:w="4546" w:type="dxa"/>
            <w:tcBorders>
              <w:top w:val="single" w:sz="4" w:space="0" w:color="auto"/>
              <w:left w:val="nil"/>
              <w:bottom w:val="nil"/>
              <w:right w:val="nil"/>
            </w:tcBorders>
            <w:vAlign w:val="bottom"/>
            <w:hideMark/>
          </w:tcPr>
          <w:p w14:paraId="4E2F80D2" w14:textId="77777777" w:rsidR="00FE7F8B" w:rsidRDefault="00FE7F8B">
            <w:pPr>
              <w:pStyle w:val="Tabletextnoindent"/>
              <w:rPr>
                <w:b/>
              </w:rPr>
            </w:pPr>
            <w:r>
              <w:rPr>
                <w:b/>
              </w:rPr>
              <w:t>Asset sales</w:t>
            </w:r>
          </w:p>
        </w:tc>
        <w:tc>
          <w:tcPr>
            <w:tcW w:w="851" w:type="dxa"/>
            <w:tcBorders>
              <w:top w:val="single" w:sz="4" w:space="0" w:color="auto"/>
              <w:left w:val="nil"/>
              <w:bottom w:val="nil"/>
              <w:right w:val="nil"/>
            </w:tcBorders>
            <w:vAlign w:val="bottom"/>
          </w:tcPr>
          <w:p w14:paraId="0F6DCAA3" w14:textId="77777777" w:rsidR="00FE7F8B" w:rsidRDefault="00FE7F8B">
            <w:pPr>
              <w:pStyle w:val="TableTextFinancial"/>
              <w:jc w:val="right"/>
            </w:pPr>
          </w:p>
        </w:tc>
        <w:tc>
          <w:tcPr>
            <w:tcW w:w="992" w:type="dxa"/>
            <w:gridSpan w:val="2"/>
            <w:tcBorders>
              <w:top w:val="single" w:sz="4" w:space="0" w:color="auto"/>
              <w:left w:val="nil"/>
              <w:bottom w:val="nil"/>
              <w:right w:val="nil"/>
            </w:tcBorders>
            <w:vAlign w:val="bottom"/>
          </w:tcPr>
          <w:p w14:paraId="02039A99" w14:textId="77777777" w:rsidR="00FE7F8B" w:rsidRDefault="00FE7F8B">
            <w:pPr>
              <w:pStyle w:val="TableTextFinancial"/>
              <w:jc w:val="right"/>
            </w:pPr>
          </w:p>
        </w:tc>
        <w:tc>
          <w:tcPr>
            <w:tcW w:w="992" w:type="dxa"/>
            <w:tcBorders>
              <w:top w:val="single" w:sz="4" w:space="0" w:color="auto"/>
              <w:left w:val="nil"/>
              <w:bottom w:val="nil"/>
              <w:right w:val="nil"/>
            </w:tcBorders>
            <w:vAlign w:val="bottom"/>
          </w:tcPr>
          <w:p w14:paraId="5F4E88B7" w14:textId="77777777" w:rsidR="00FE7F8B" w:rsidRDefault="00FE7F8B">
            <w:pPr>
              <w:pStyle w:val="TableTextFinancial"/>
              <w:jc w:val="right"/>
            </w:pPr>
          </w:p>
        </w:tc>
      </w:tr>
      <w:tr w:rsidR="00FE7F8B" w14:paraId="467945AD" w14:textId="77777777" w:rsidTr="00FE7F8B">
        <w:tc>
          <w:tcPr>
            <w:tcW w:w="4546" w:type="dxa"/>
            <w:tcBorders>
              <w:top w:val="nil"/>
              <w:left w:val="nil"/>
              <w:bottom w:val="single" w:sz="4" w:space="0" w:color="auto"/>
              <w:right w:val="nil"/>
            </w:tcBorders>
            <w:vAlign w:val="bottom"/>
            <w:hideMark/>
          </w:tcPr>
          <w:p w14:paraId="3E5418BE" w14:textId="77777777" w:rsidR="00FE7F8B" w:rsidRDefault="00FE7F8B">
            <w:pPr>
              <w:pStyle w:val="Tabletextnoindent"/>
            </w:pPr>
            <w:r>
              <w:t>Sale of land</w:t>
            </w:r>
          </w:p>
        </w:tc>
        <w:tc>
          <w:tcPr>
            <w:tcW w:w="851" w:type="dxa"/>
            <w:tcBorders>
              <w:top w:val="nil"/>
              <w:left w:val="nil"/>
              <w:bottom w:val="single" w:sz="4" w:space="0" w:color="auto"/>
              <w:right w:val="nil"/>
            </w:tcBorders>
            <w:vAlign w:val="bottom"/>
          </w:tcPr>
          <w:p w14:paraId="3B460F35" w14:textId="77777777" w:rsidR="00FE7F8B" w:rsidRDefault="00FE7F8B">
            <w:pPr>
              <w:pStyle w:val="TableTextFinancial"/>
              <w:jc w:val="right"/>
            </w:pPr>
          </w:p>
        </w:tc>
        <w:tc>
          <w:tcPr>
            <w:tcW w:w="992" w:type="dxa"/>
            <w:gridSpan w:val="2"/>
            <w:tcBorders>
              <w:top w:val="nil"/>
              <w:left w:val="nil"/>
              <w:bottom w:val="single" w:sz="4" w:space="0" w:color="auto"/>
              <w:right w:val="nil"/>
            </w:tcBorders>
            <w:vAlign w:val="bottom"/>
            <w:hideMark/>
          </w:tcPr>
          <w:p w14:paraId="09C24A76" w14:textId="77777777" w:rsidR="00FE7F8B" w:rsidRDefault="00FE7F8B">
            <w:pPr>
              <w:pStyle w:val="TableTextFinancial"/>
              <w:jc w:val="right"/>
            </w:pPr>
            <w:r>
              <w:t>4.6</w:t>
            </w:r>
          </w:p>
        </w:tc>
        <w:tc>
          <w:tcPr>
            <w:tcW w:w="992" w:type="dxa"/>
            <w:tcBorders>
              <w:top w:val="nil"/>
              <w:left w:val="nil"/>
              <w:bottom w:val="single" w:sz="4" w:space="0" w:color="auto"/>
              <w:right w:val="nil"/>
            </w:tcBorders>
            <w:vAlign w:val="bottom"/>
            <w:hideMark/>
          </w:tcPr>
          <w:p w14:paraId="7DAF3B0C" w14:textId="77777777" w:rsidR="00FE7F8B" w:rsidRDefault="00FE7F8B">
            <w:pPr>
              <w:pStyle w:val="TableTextFinancial"/>
              <w:jc w:val="right"/>
            </w:pPr>
            <w:r>
              <w:t>136.6</w:t>
            </w:r>
          </w:p>
        </w:tc>
      </w:tr>
      <w:tr w:rsidR="00FE7F8B" w14:paraId="6A64D06C" w14:textId="77777777" w:rsidTr="00FE7F8B">
        <w:tc>
          <w:tcPr>
            <w:tcW w:w="4546" w:type="dxa"/>
            <w:tcBorders>
              <w:top w:val="single" w:sz="4" w:space="0" w:color="auto"/>
              <w:left w:val="nil"/>
              <w:bottom w:val="single" w:sz="4" w:space="0" w:color="auto"/>
              <w:right w:val="nil"/>
            </w:tcBorders>
            <w:vAlign w:val="bottom"/>
            <w:hideMark/>
          </w:tcPr>
          <w:p w14:paraId="3572E3AD" w14:textId="77777777" w:rsidR="00FE7F8B" w:rsidRDefault="00FE7F8B">
            <w:pPr>
              <w:pStyle w:val="Tabletextnoindent"/>
              <w:rPr>
                <w:b/>
              </w:rPr>
            </w:pPr>
            <w:r>
              <w:rPr>
                <w:b/>
              </w:rPr>
              <w:t>Total</w:t>
            </w:r>
          </w:p>
        </w:tc>
        <w:tc>
          <w:tcPr>
            <w:tcW w:w="851" w:type="dxa"/>
            <w:tcBorders>
              <w:top w:val="single" w:sz="4" w:space="0" w:color="auto"/>
              <w:left w:val="nil"/>
              <w:bottom w:val="single" w:sz="4" w:space="0" w:color="auto"/>
              <w:right w:val="nil"/>
            </w:tcBorders>
            <w:vAlign w:val="bottom"/>
          </w:tcPr>
          <w:p w14:paraId="139537EC" w14:textId="77777777" w:rsidR="00FE7F8B" w:rsidRDefault="00FE7F8B">
            <w:pPr>
              <w:pStyle w:val="TableTextFinancial"/>
            </w:pPr>
          </w:p>
        </w:tc>
        <w:tc>
          <w:tcPr>
            <w:tcW w:w="992" w:type="dxa"/>
            <w:gridSpan w:val="2"/>
            <w:tcBorders>
              <w:top w:val="single" w:sz="4" w:space="0" w:color="auto"/>
              <w:left w:val="nil"/>
              <w:bottom w:val="single" w:sz="4" w:space="0" w:color="auto"/>
              <w:right w:val="nil"/>
            </w:tcBorders>
            <w:vAlign w:val="bottom"/>
            <w:hideMark/>
          </w:tcPr>
          <w:p w14:paraId="5E8F0491" w14:textId="77777777" w:rsidR="00FE7F8B" w:rsidRDefault="00FE7F8B">
            <w:pPr>
              <w:pStyle w:val="TableTextFinancial"/>
              <w:jc w:val="right"/>
              <w:rPr>
                <w:b/>
              </w:rPr>
            </w:pPr>
            <w:r>
              <w:rPr>
                <w:b/>
              </w:rPr>
              <w:t>4.6</w:t>
            </w:r>
          </w:p>
        </w:tc>
        <w:tc>
          <w:tcPr>
            <w:tcW w:w="992" w:type="dxa"/>
            <w:tcBorders>
              <w:top w:val="single" w:sz="4" w:space="0" w:color="auto"/>
              <w:left w:val="nil"/>
              <w:bottom w:val="single" w:sz="4" w:space="0" w:color="auto"/>
              <w:right w:val="nil"/>
            </w:tcBorders>
            <w:vAlign w:val="bottom"/>
            <w:hideMark/>
          </w:tcPr>
          <w:p w14:paraId="2FAF127B" w14:textId="77777777" w:rsidR="00FE7F8B" w:rsidRDefault="00FE7F8B">
            <w:pPr>
              <w:pStyle w:val="TableTextFinancial"/>
              <w:jc w:val="right"/>
              <w:rPr>
                <w:b/>
              </w:rPr>
            </w:pPr>
            <w:r>
              <w:rPr>
                <w:b/>
              </w:rPr>
              <w:t>136.6</w:t>
            </w:r>
          </w:p>
        </w:tc>
      </w:tr>
      <w:tr w:rsidR="00FE7F8B" w14:paraId="1931F1AF" w14:textId="77777777" w:rsidTr="00FE7F8B">
        <w:tc>
          <w:tcPr>
            <w:tcW w:w="4546" w:type="dxa"/>
            <w:tcBorders>
              <w:top w:val="single" w:sz="4" w:space="0" w:color="auto"/>
              <w:left w:val="nil"/>
              <w:bottom w:val="nil"/>
              <w:right w:val="nil"/>
            </w:tcBorders>
            <w:vAlign w:val="bottom"/>
            <w:hideMark/>
          </w:tcPr>
          <w:p w14:paraId="389CB3F9" w14:textId="77777777" w:rsidR="00FE7F8B" w:rsidRDefault="00FE7F8B">
            <w:pPr>
              <w:pStyle w:val="Tabletextnoindent"/>
              <w:rPr>
                <w:b/>
              </w:rPr>
            </w:pPr>
            <w:r>
              <w:rPr>
                <w:b/>
              </w:rPr>
              <w:t>Commonwealth Specific Purpose Payments</w:t>
            </w:r>
          </w:p>
        </w:tc>
        <w:tc>
          <w:tcPr>
            <w:tcW w:w="851" w:type="dxa"/>
            <w:tcBorders>
              <w:top w:val="single" w:sz="4" w:space="0" w:color="auto"/>
              <w:left w:val="nil"/>
              <w:bottom w:val="nil"/>
              <w:right w:val="nil"/>
            </w:tcBorders>
            <w:vAlign w:val="bottom"/>
          </w:tcPr>
          <w:p w14:paraId="6EB13125" w14:textId="77777777" w:rsidR="00FE7F8B" w:rsidRDefault="00FE7F8B">
            <w:pPr>
              <w:pStyle w:val="TableTextFinancial"/>
            </w:pPr>
          </w:p>
        </w:tc>
        <w:tc>
          <w:tcPr>
            <w:tcW w:w="992" w:type="dxa"/>
            <w:gridSpan w:val="2"/>
            <w:tcBorders>
              <w:top w:val="single" w:sz="4" w:space="0" w:color="auto"/>
              <w:left w:val="nil"/>
              <w:bottom w:val="nil"/>
              <w:right w:val="nil"/>
            </w:tcBorders>
            <w:vAlign w:val="bottom"/>
          </w:tcPr>
          <w:p w14:paraId="1EB7428B" w14:textId="77777777" w:rsidR="00FE7F8B" w:rsidRDefault="00FE7F8B">
            <w:pPr>
              <w:pStyle w:val="TableTextFinancial"/>
            </w:pPr>
          </w:p>
        </w:tc>
        <w:tc>
          <w:tcPr>
            <w:tcW w:w="992" w:type="dxa"/>
            <w:tcBorders>
              <w:top w:val="single" w:sz="4" w:space="0" w:color="auto"/>
              <w:left w:val="nil"/>
              <w:bottom w:val="nil"/>
              <w:right w:val="nil"/>
            </w:tcBorders>
            <w:vAlign w:val="bottom"/>
          </w:tcPr>
          <w:p w14:paraId="778089C3" w14:textId="77777777" w:rsidR="00FE7F8B" w:rsidRDefault="00FE7F8B">
            <w:pPr>
              <w:pStyle w:val="TableTextFinancial"/>
            </w:pPr>
          </w:p>
        </w:tc>
      </w:tr>
      <w:tr w:rsidR="00FE7F8B" w14:paraId="4106C85D" w14:textId="77777777" w:rsidTr="00FE7F8B">
        <w:tc>
          <w:tcPr>
            <w:tcW w:w="4546" w:type="dxa"/>
            <w:tcBorders>
              <w:top w:val="nil"/>
              <w:left w:val="nil"/>
              <w:bottom w:val="nil"/>
              <w:right w:val="nil"/>
            </w:tcBorders>
            <w:vAlign w:val="bottom"/>
            <w:hideMark/>
          </w:tcPr>
          <w:p w14:paraId="2C117328" w14:textId="77777777" w:rsidR="00FE7F8B" w:rsidRDefault="00FE7F8B">
            <w:pPr>
              <w:pStyle w:val="Tabletextnoindent"/>
            </w:pPr>
            <w:r>
              <w:t>Trade Training Centres</w:t>
            </w:r>
          </w:p>
        </w:tc>
        <w:tc>
          <w:tcPr>
            <w:tcW w:w="851" w:type="dxa"/>
            <w:tcBorders>
              <w:top w:val="nil"/>
              <w:left w:val="nil"/>
              <w:bottom w:val="nil"/>
              <w:right w:val="nil"/>
            </w:tcBorders>
            <w:vAlign w:val="bottom"/>
          </w:tcPr>
          <w:p w14:paraId="347BA24B"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060DEC25" w14:textId="77777777" w:rsidR="00FE7F8B" w:rsidRDefault="00FE7F8B">
            <w:pPr>
              <w:pStyle w:val="TableTextFinancial"/>
              <w:jc w:val="right"/>
            </w:pPr>
            <w:r>
              <w:t>20.9</w:t>
            </w:r>
          </w:p>
        </w:tc>
        <w:tc>
          <w:tcPr>
            <w:tcW w:w="992" w:type="dxa"/>
            <w:tcBorders>
              <w:top w:val="nil"/>
              <w:left w:val="nil"/>
              <w:bottom w:val="nil"/>
              <w:right w:val="nil"/>
            </w:tcBorders>
            <w:vAlign w:val="bottom"/>
            <w:hideMark/>
          </w:tcPr>
          <w:p w14:paraId="5F28F333" w14:textId="77777777" w:rsidR="00FE7F8B" w:rsidRDefault="00FE7F8B">
            <w:pPr>
              <w:pStyle w:val="TableTextFinancial"/>
              <w:jc w:val="right"/>
            </w:pPr>
            <w:r>
              <w:t>9.0</w:t>
            </w:r>
          </w:p>
        </w:tc>
      </w:tr>
      <w:tr w:rsidR="00FE7F8B" w14:paraId="5D70295C" w14:textId="77777777" w:rsidTr="00FE7F8B">
        <w:tc>
          <w:tcPr>
            <w:tcW w:w="4546" w:type="dxa"/>
            <w:tcBorders>
              <w:top w:val="nil"/>
              <w:left w:val="nil"/>
              <w:bottom w:val="nil"/>
              <w:right w:val="nil"/>
            </w:tcBorders>
            <w:vAlign w:val="bottom"/>
            <w:hideMark/>
          </w:tcPr>
          <w:p w14:paraId="3C4173A6" w14:textId="77777777" w:rsidR="00FE7F8B" w:rsidRDefault="00FE7F8B">
            <w:pPr>
              <w:pStyle w:val="Tabletextnoindent"/>
            </w:pPr>
            <w:r>
              <w:t>National Skills and Workforce Development</w:t>
            </w:r>
          </w:p>
        </w:tc>
        <w:tc>
          <w:tcPr>
            <w:tcW w:w="851" w:type="dxa"/>
            <w:tcBorders>
              <w:top w:val="nil"/>
              <w:left w:val="nil"/>
              <w:bottom w:val="nil"/>
              <w:right w:val="nil"/>
            </w:tcBorders>
            <w:vAlign w:val="bottom"/>
          </w:tcPr>
          <w:p w14:paraId="35FE754E"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7DE70E8B" w14:textId="77777777" w:rsidR="00FE7F8B" w:rsidRDefault="00FE7F8B">
            <w:pPr>
              <w:pStyle w:val="TableTextFinancial"/>
              <w:jc w:val="right"/>
            </w:pPr>
            <w:r>
              <w:t>364.7</w:t>
            </w:r>
          </w:p>
        </w:tc>
        <w:tc>
          <w:tcPr>
            <w:tcW w:w="992" w:type="dxa"/>
            <w:tcBorders>
              <w:top w:val="nil"/>
              <w:left w:val="nil"/>
              <w:bottom w:val="nil"/>
              <w:right w:val="nil"/>
            </w:tcBorders>
            <w:vAlign w:val="bottom"/>
            <w:hideMark/>
          </w:tcPr>
          <w:p w14:paraId="2425E934" w14:textId="77777777" w:rsidR="00FE7F8B" w:rsidRDefault="00FE7F8B">
            <w:pPr>
              <w:pStyle w:val="TableTextFinancial"/>
              <w:jc w:val="right"/>
            </w:pPr>
            <w:r>
              <w:t>357.2</w:t>
            </w:r>
          </w:p>
        </w:tc>
      </w:tr>
      <w:tr w:rsidR="00FE7F8B" w14:paraId="3FFEA38B" w14:textId="77777777" w:rsidTr="00FE7F8B">
        <w:tc>
          <w:tcPr>
            <w:tcW w:w="4546" w:type="dxa"/>
            <w:tcBorders>
              <w:top w:val="nil"/>
              <w:left w:val="nil"/>
              <w:bottom w:val="nil"/>
              <w:right w:val="nil"/>
            </w:tcBorders>
            <w:vAlign w:val="bottom"/>
            <w:hideMark/>
          </w:tcPr>
          <w:p w14:paraId="32EF947A" w14:textId="77777777" w:rsidR="00FE7F8B" w:rsidRDefault="00FE7F8B">
            <w:pPr>
              <w:pStyle w:val="Tabletextnoindent"/>
            </w:pPr>
            <w:r>
              <w:t xml:space="preserve">TAFE fee waivers for childcare qualifications </w:t>
            </w:r>
          </w:p>
        </w:tc>
        <w:tc>
          <w:tcPr>
            <w:tcW w:w="851" w:type="dxa"/>
            <w:tcBorders>
              <w:top w:val="nil"/>
              <w:left w:val="nil"/>
              <w:bottom w:val="nil"/>
              <w:right w:val="nil"/>
            </w:tcBorders>
            <w:vAlign w:val="bottom"/>
          </w:tcPr>
          <w:p w14:paraId="2C1FCEEF"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5B526CA8" w14:textId="77777777" w:rsidR="00FE7F8B" w:rsidRDefault="00FE7F8B">
            <w:pPr>
              <w:pStyle w:val="TableTextFinancial"/>
              <w:jc w:val="right"/>
            </w:pPr>
            <w:r>
              <w:t>5.3</w:t>
            </w:r>
          </w:p>
        </w:tc>
        <w:tc>
          <w:tcPr>
            <w:tcW w:w="992" w:type="dxa"/>
            <w:tcBorders>
              <w:top w:val="nil"/>
              <w:left w:val="nil"/>
              <w:bottom w:val="nil"/>
              <w:right w:val="nil"/>
            </w:tcBorders>
            <w:vAlign w:val="bottom"/>
            <w:hideMark/>
          </w:tcPr>
          <w:p w14:paraId="041F4DF7" w14:textId="77777777" w:rsidR="00FE7F8B" w:rsidRDefault="00FE7F8B">
            <w:pPr>
              <w:pStyle w:val="TableTextFinancial"/>
              <w:jc w:val="right"/>
            </w:pPr>
            <w:r>
              <w:t>2.4</w:t>
            </w:r>
          </w:p>
        </w:tc>
      </w:tr>
      <w:tr w:rsidR="00FE7F8B" w14:paraId="130FD6E3" w14:textId="77777777" w:rsidTr="00FE7F8B">
        <w:tc>
          <w:tcPr>
            <w:tcW w:w="4546" w:type="dxa"/>
            <w:tcBorders>
              <w:top w:val="nil"/>
              <w:left w:val="nil"/>
              <w:bottom w:val="nil"/>
              <w:right w:val="nil"/>
            </w:tcBorders>
            <w:vAlign w:val="bottom"/>
            <w:hideMark/>
          </w:tcPr>
          <w:p w14:paraId="26D4E8C9" w14:textId="77777777" w:rsidR="00FE7F8B" w:rsidRDefault="00FE7F8B">
            <w:pPr>
              <w:pStyle w:val="Tabletextnoindent"/>
            </w:pPr>
            <w:r>
              <w:t>More support for students with disabilities</w:t>
            </w:r>
          </w:p>
        </w:tc>
        <w:tc>
          <w:tcPr>
            <w:tcW w:w="851" w:type="dxa"/>
            <w:tcBorders>
              <w:top w:val="nil"/>
              <w:left w:val="nil"/>
              <w:bottom w:val="nil"/>
              <w:right w:val="nil"/>
            </w:tcBorders>
            <w:vAlign w:val="bottom"/>
          </w:tcPr>
          <w:p w14:paraId="50F31FF7"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1A1E225F" w14:textId="77777777" w:rsidR="00FE7F8B" w:rsidRDefault="00FE7F8B">
            <w:pPr>
              <w:pStyle w:val="TableTextFinancial"/>
              <w:jc w:val="right"/>
            </w:pPr>
            <w:r>
              <w:t>-</w:t>
            </w:r>
          </w:p>
        </w:tc>
        <w:tc>
          <w:tcPr>
            <w:tcW w:w="992" w:type="dxa"/>
            <w:tcBorders>
              <w:top w:val="nil"/>
              <w:left w:val="nil"/>
              <w:bottom w:val="nil"/>
              <w:right w:val="nil"/>
            </w:tcBorders>
            <w:vAlign w:val="bottom"/>
            <w:hideMark/>
          </w:tcPr>
          <w:p w14:paraId="11194F9C" w14:textId="77777777" w:rsidR="00FE7F8B" w:rsidRDefault="00FE7F8B">
            <w:pPr>
              <w:pStyle w:val="TableTextFinancial"/>
              <w:jc w:val="right"/>
            </w:pPr>
            <w:r>
              <w:t>11.1</w:t>
            </w:r>
          </w:p>
        </w:tc>
      </w:tr>
      <w:tr w:rsidR="00FE7F8B" w14:paraId="7EEE1D89" w14:textId="77777777" w:rsidTr="00FE7F8B">
        <w:tc>
          <w:tcPr>
            <w:tcW w:w="4546" w:type="dxa"/>
            <w:tcBorders>
              <w:top w:val="nil"/>
              <w:left w:val="nil"/>
              <w:bottom w:val="nil"/>
              <w:right w:val="nil"/>
            </w:tcBorders>
            <w:vAlign w:val="bottom"/>
            <w:hideMark/>
          </w:tcPr>
          <w:p w14:paraId="61B37351" w14:textId="77777777" w:rsidR="00FE7F8B" w:rsidRDefault="00FE7F8B">
            <w:pPr>
              <w:pStyle w:val="Tabletextnoindent"/>
            </w:pPr>
            <w:r>
              <w:t xml:space="preserve">Universal access to early education </w:t>
            </w:r>
          </w:p>
        </w:tc>
        <w:tc>
          <w:tcPr>
            <w:tcW w:w="851" w:type="dxa"/>
            <w:tcBorders>
              <w:top w:val="nil"/>
              <w:left w:val="nil"/>
              <w:bottom w:val="nil"/>
              <w:right w:val="nil"/>
            </w:tcBorders>
            <w:vAlign w:val="bottom"/>
          </w:tcPr>
          <w:p w14:paraId="3C5BD4C0"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29FD99ED" w14:textId="77777777" w:rsidR="00FE7F8B" w:rsidRDefault="00FE7F8B">
            <w:pPr>
              <w:pStyle w:val="TableTextFinancial"/>
              <w:jc w:val="right"/>
            </w:pPr>
            <w:r>
              <w:t>98.4</w:t>
            </w:r>
          </w:p>
        </w:tc>
        <w:tc>
          <w:tcPr>
            <w:tcW w:w="992" w:type="dxa"/>
            <w:tcBorders>
              <w:top w:val="nil"/>
              <w:left w:val="nil"/>
              <w:bottom w:val="nil"/>
              <w:right w:val="nil"/>
            </w:tcBorders>
            <w:vAlign w:val="bottom"/>
            <w:hideMark/>
          </w:tcPr>
          <w:p w14:paraId="0106DA37" w14:textId="77777777" w:rsidR="00FE7F8B" w:rsidRDefault="00FE7F8B">
            <w:pPr>
              <w:pStyle w:val="TableTextFinancial"/>
              <w:jc w:val="right"/>
            </w:pPr>
            <w:r>
              <w:t>85.9</w:t>
            </w:r>
          </w:p>
        </w:tc>
      </w:tr>
      <w:tr w:rsidR="00FE7F8B" w14:paraId="38089E24" w14:textId="77777777" w:rsidTr="00FE7F8B">
        <w:tc>
          <w:tcPr>
            <w:tcW w:w="4546" w:type="dxa"/>
            <w:tcBorders>
              <w:top w:val="nil"/>
              <w:left w:val="nil"/>
              <w:bottom w:val="nil"/>
              <w:right w:val="nil"/>
            </w:tcBorders>
            <w:vAlign w:val="bottom"/>
            <w:hideMark/>
          </w:tcPr>
          <w:p w14:paraId="0FEFFB66" w14:textId="77777777" w:rsidR="00FE7F8B" w:rsidRDefault="00FE7F8B">
            <w:pPr>
              <w:pStyle w:val="Tabletextnoindent"/>
            </w:pPr>
            <w:r>
              <w:t>National Quality Agenda for Early Childhood Education and Care</w:t>
            </w:r>
          </w:p>
        </w:tc>
        <w:tc>
          <w:tcPr>
            <w:tcW w:w="851" w:type="dxa"/>
            <w:tcBorders>
              <w:top w:val="nil"/>
              <w:left w:val="nil"/>
              <w:bottom w:val="nil"/>
              <w:right w:val="nil"/>
            </w:tcBorders>
            <w:vAlign w:val="bottom"/>
          </w:tcPr>
          <w:p w14:paraId="048C22FE"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0F2720D3" w14:textId="77777777" w:rsidR="00FE7F8B" w:rsidRDefault="00FE7F8B">
            <w:pPr>
              <w:pStyle w:val="TableTextFinancial"/>
              <w:jc w:val="right"/>
            </w:pPr>
            <w:r>
              <w:t>2.3</w:t>
            </w:r>
          </w:p>
        </w:tc>
        <w:tc>
          <w:tcPr>
            <w:tcW w:w="992" w:type="dxa"/>
            <w:tcBorders>
              <w:top w:val="nil"/>
              <w:left w:val="nil"/>
              <w:bottom w:val="nil"/>
              <w:right w:val="nil"/>
            </w:tcBorders>
            <w:vAlign w:val="bottom"/>
            <w:hideMark/>
          </w:tcPr>
          <w:p w14:paraId="6B22FB1E" w14:textId="77777777" w:rsidR="00FE7F8B" w:rsidRDefault="00FE7F8B">
            <w:pPr>
              <w:pStyle w:val="TableTextFinancial"/>
              <w:jc w:val="right"/>
            </w:pPr>
            <w:r>
              <w:t>6.9</w:t>
            </w:r>
          </w:p>
        </w:tc>
      </w:tr>
      <w:tr w:rsidR="00FE7F8B" w14:paraId="5D183EBD" w14:textId="77777777" w:rsidTr="00FE7F8B">
        <w:tc>
          <w:tcPr>
            <w:tcW w:w="4546" w:type="dxa"/>
            <w:tcBorders>
              <w:top w:val="nil"/>
              <w:left w:val="nil"/>
              <w:bottom w:val="nil"/>
              <w:right w:val="nil"/>
            </w:tcBorders>
            <w:vAlign w:val="bottom"/>
            <w:hideMark/>
          </w:tcPr>
          <w:p w14:paraId="3DA7A8D0" w14:textId="77777777" w:rsidR="00FE7F8B" w:rsidRDefault="00FE7F8B">
            <w:pPr>
              <w:pStyle w:val="Tabletextnoindent"/>
            </w:pPr>
            <w:r>
              <w:t>Joint group training program</w:t>
            </w:r>
          </w:p>
        </w:tc>
        <w:tc>
          <w:tcPr>
            <w:tcW w:w="851" w:type="dxa"/>
            <w:tcBorders>
              <w:top w:val="nil"/>
              <w:left w:val="nil"/>
              <w:bottom w:val="nil"/>
              <w:right w:val="nil"/>
            </w:tcBorders>
            <w:vAlign w:val="bottom"/>
          </w:tcPr>
          <w:p w14:paraId="64041651"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0BD90AB4" w14:textId="77777777" w:rsidR="00FE7F8B" w:rsidRDefault="00FE7F8B">
            <w:pPr>
              <w:pStyle w:val="TableTextFinancial"/>
              <w:jc w:val="right"/>
            </w:pPr>
            <w:r>
              <w:t>2.5</w:t>
            </w:r>
          </w:p>
        </w:tc>
        <w:tc>
          <w:tcPr>
            <w:tcW w:w="992" w:type="dxa"/>
            <w:tcBorders>
              <w:top w:val="nil"/>
              <w:left w:val="nil"/>
              <w:bottom w:val="nil"/>
              <w:right w:val="nil"/>
            </w:tcBorders>
            <w:vAlign w:val="bottom"/>
            <w:hideMark/>
          </w:tcPr>
          <w:p w14:paraId="207C56BC" w14:textId="77777777" w:rsidR="00FE7F8B" w:rsidRDefault="00FE7F8B">
            <w:pPr>
              <w:pStyle w:val="TableTextFinancial"/>
              <w:jc w:val="right"/>
            </w:pPr>
            <w:r>
              <w:t>3.1</w:t>
            </w:r>
          </w:p>
        </w:tc>
      </w:tr>
      <w:tr w:rsidR="00FE7F8B" w14:paraId="34E3EC38" w14:textId="77777777" w:rsidTr="00FE7F8B">
        <w:tc>
          <w:tcPr>
            <w:tcW w:w="4546" w:type="dxa"/>
            <w:tcBorders>
              <w:top w:val="nil"/>
              <w:left w:val="nil"/>
              <w:bottom w:val="nil"/>
              <w:right w:val="nil"/>
            </w:tcBorders>
            <w:vAlign w:val="bottom"/>
            <w:hideMark/>
          </w:tcPr>
          <w:p w14:paraId="062BCDB4" w14:textId="77777777" w:rsidR="00FE7F8B" w:rsidRDefault="00FE7F8B">
            <w:pPr>
              <w:pStyle w:val="Tabletextnoindent"/>
            </w:pPr>
            <w:proofErr w:type="spellStart"/>
            <w:r>
              <w:t>MoneySmart</w:t>
            </w:r>
            <w:proofErr w:type="spellEnd"/>
            <w:r>
              <w:t xml:space="preserve"> Teaching</w:t>
            </w:r>
          </w:p>
        </w:tc>
        <w:tc>
          <w:tcPr>
            <w:tcW w:w="851" w:type="dxa"/>
            <w:tcBorders>
              <w:top w:val="nil"/>
              <w:left w:val="nil"/>
              <w:bottom w:val="nil"/>
              <w:right w:val="nil"/>
            </w:tcBorders>
            <w:vAlign w:val="bottom"/>
          </w:tcPr>
          <w:p w14:paraId="597F1B3A"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7C4459AE" w14:textId="77777777" w:rsidR="00FE7F8B" w:rsidRDefault="00FE7F8B">
            <w:pPr>
              <w:pStyle w:val="TableTextFinancial"/>
              <w:jc w:val="right"/>
            </w:pPr>
            <w:r>
              <w:t>0.3</w:t>
            </w:r>
          </w:p>
        </w:tc>
        <w:tc>
          <w:tcPr>
            <w:tcW w:w="992" w:type="dxa"/>
            <w:tcBorders>
              <w:top w:val="nil"/>
              <w:left w:val="nil"/>
              <w:bottom w:val="nil"/>
              <w:right w:val="nil"/>
            </w:tcBorders>
            <w:vAlign w:val="bottom"/>
            <w:hideMark/>
          </w:tcPr>
          <w:p w14:paraId="653171B4" w14:textId="77777777" w:rsidR="00FE7F8B" w:rsidRDefault="00FE7F8B">
            <w:pPr>
              <w:pStyle w:val="TableTextFinancial"/>
              <w:jc w:val="right"/>
            </w:pPr>
            <w:r>
              <w:t>0.2</w:t>
            </w:r>
          </w:p>
        </w:tc>
      </w:tr>
      <w:tr w:rsidR="00FE7F8B" w14:paraId="5001B0A8" w14:textId="77777777" w:rsidTr="00FE7F8B">
        <w:tc>
          <w:tcPr>
            <w:tcW w:w="4546" w:type="dxa"/>
            <w:tcBorders>
              <w:top w:val="nil"/>
              <w:left w:val="nil"/>
              <w:bottom w:val="nil"/>
              <w:right w:val="nil"/>
            </w:tcBorders>
            <w:vAlign w:val="bottom"/>
            <w:hideMark/>
          </w:tcPr>
          <w:p w14:paraId="26E9F46A" w14:textId="77777777" w:rsidR="00FE7F8B" w:rsidRDefault="00FE7F8B">
            <w:pPr>
              <w:pStyle w:val="Tabletextnoindent"/>
            </w:pPr>
            <w:r>
              <w:t>Independent Public Schools</w:t>
            </w:r>
          </w:p>
        </w:tc>
        <w:tc>
          <w:tcPr>
            <w:tcW w:w="851" w:type="dxa"/>
            <w:tcBorders>
              <w:top w:val="nil"/>
              <w:left w:val="nil"/>
              <w:bottom w:val="nil"/>
              <w:right w:val="nil"/>
            </w:tcBorders>
            <w:vAlign w:val="bottom"/>
          </w:tcPr>
          <w:p w14:paraId="785258B3"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0A21D533" w14:textId="77777777" w:rsidR="00FE7F8B" w:rsidRDefault="00FE7F8B">
            <w:pPr>
              <w:pStyle w:val="TableTextFinancial"/>
              <w:jc w:val="right"/>
            </w:pPr>
            <w:r>
              <w:t>4.5</w:t>
            </w:r>
          </w:p>
        </w:tc>
        <w:tc>
          <w:tcPr>
            <w:tcW w:w="992" w:type="dxa"/>
            <w:tcBorders>
              <w:top w:val="nil"/>
              <w:left w:val="nil"/>
              <w:bottom w:val="nil"/>
              <w:right w:val="nil"/>
            </w:tcBorders>
            <w:vAlign w:val="bottom"/>
            <w:hideMark/>
          </w:tcPr>
          <w:p w14:paraId="4EFCB6E8" w14:textId="77777777" w:rsidR="00FE7F8B" w:rsidRDefault="00FE7F8B">
            <w:pPr>
              <w:pStyle w:val="TableTextFinancial"/>
              <w:jc w:val="right"/>
            </w:pPr>
            <w:r>
              <w:t>2.3</w:t>
            </w:r>
          </w:p>
        </w:tc>
      </w:tr>
      <w:tr w:rsidR="00FE7F8B" w14:paraId="2C14C4E4" w14:textId="77777777" w:rsidTr="00FE7F8B">
        <w:tc>
          <w:tcPr>
            <w:tcW w:w="4546" w:type="dxa"/>
            <w:tcBorders>
              <w:top w:val="nil"/>
              <w:left w:val="nil"/>
              <w:bottom w:val="nil"/>
              <w:right w:val="nil"/>
            </w:tcBorders>
            <w:vAlign w:val="bottom"/>
            <w:hideMark/>
          </w:tcPr>
          <w:p w14:paraId="6BE2F6B8" w14:textId="77777777" w:rsidR="00FE7F8B" w:rsidRDefault="00FE7F8B">
            <w:pPr>
              <w:pStyle w:val="Tabletextnoindent"/>
            </w:pPr>
            <w:r>
              <w:t>National School Chaplaincy Program</w:t>
            </w:r>
          </w:p>
        </w:tc>
        <w:tc>
          <w:tcPr>
            <w:tcW w:w="851" w:type="dxa"/>
            <w:tcBorders>
              <w:top w:val="nil"/>
              <w:left w:val="nil"/>
              <w:bottom w:val="nil"/>
              <w:right w:val="nil"/>
            </w:tcBorders>
            <w:vAlign w:val="bottom"/>
          </w:tcPr>
          <w:p w14:paraId="7D1FDAF0" w14:textId="77777777" w:rsidR="00FE7F8B" w:rsidRDefault="00FE7F8B">
            <w:pPr>
              <w:pStyle w:val="TableTextFinancial"/>
              <w:jc w:val="right"/>
            </w:pPr>
          </w:p>
        </w:tc>
        <w:tc>
          <w:tcPr>
            <w:tcW w:w="992" w:type="dxa"/>
            <w:gridSpan w:val="2"/>
            <w:tcBorders>
              <w:top w:val="nil"/>
              <w:left w:val="nil"/>
              <w:bottom w:val="nil"/>
              <w:right w:val="nil"/>
            </w:tcBorders>
            <w:vAlign w:val="bottom"/>
            <w:hideMark/>
          </w:tcPr>
          <w:p w14:paraId="4A1F312F" w14:textId="77777777" w:rsidR="00FE7F8B" w:rsidRDefault="00FE7F8B">
            <w:pPr>
              <w:pStyle w:val="TableTextFinancial"/>
              <w:jc w:val="right"/>
            </w:pPr>
            <w:r>
              <w:t>12.6</w:t>
            </w:r>
          </w:p>
        </w:tc>
        <w:tc>
          <w:tcPr>
            <w:tcW w:w="992" w:type="dxa"/>
            <w:tcBorders>
              <w:top w:val="nil"/>
              <w:left w:val="nil"/>
              <w:bottom w:val="nil"/>
              <w:right w:val="nil"/>
            </w:tcBorders>
            <w:vAlign w:val="bottom"/>
            <w:hideMark/>
          </w:tcPr>
          <w:p w14:paraId="29AEA5A0" w14:textId="77777777" w:rsidR="00FE7F8B" w:rsidRDefault="00FE7F8B">
            <w:pPr>
              <w:pStyle w:val="TableTextFinancial"/>
              <w:jc w:val="right"/>
            </w:pPr>
            <w:r>
              <w:t>12.6</w:t>
            </w:r>
          </w:p>
        </w:tc>
      </w:tr>
      <w:tr w:rsidR="00FE7F8B" w14:paraId="3BB76EC4" w14:textId="77777777" w:rsidTr="00FE7F8B">
        <w:tc>
          <w:tcPr>
            <w:tcW w:w="4546" w:type="dxa"/>
            <w:tcBorders>
              <w:top w:val="nil"/>
              <w:left w:val="nil"/>
              <w:bottom w:val="single" w:sz="4" w:space="0" w:color="auto"/>
              <w:right w:val="nil"/>
            </w:tcBorders>
            <w:vAlign w:val="bottom"/>
            <w:hideMark/>
          </w:tcPr>
          <w:p w14:paraId="33D22988" w14:textId="77777777" w:rsidR="00FE7F8B" w:rsidRDefault="00FE7F8B">
            <w:pPr>
              <w:pStyle w:val="Tabletextnoindent"/>
            </w:pPr>
            <w:r>
              <w:t>National Occasional Care Programme</w:t>
            </w:r>
          </w:p>
        </w:tc>
        <w:tc>
          <w:tcPr>
            <w:tcW w:w="851" w:type="dxa"/>
            <w:tcBorders>
              <w:top w:val="nil"/>
              <w:left w:val="nil"/>
              <w:bottom w:val="single" w:sz="4" w:space="0" w:color="auto"/>
              <w:right w:val="nil"/>
            </w:tcBorders>
            <w:vAlign w:val="bottom"/>
          </w:tcPr>
          <w:p w14:paraId="209023EB" w14:textId="77777777" w:rsidR="00FE7F8B" w:rsidRDefault="00FE7F8B">
            <w:pPr>
              <w:pStyle w:val="TableTextFinancial"/>
              <w:jc w:val="right"/>
            </w:pPr>
          </w:p>
        </w:tc>
        <w:tc>
          <w:tcPr>
            <w:tcW w:w="992" w:type="dxa"/>
            <w:gridSpan w:val="2"/>
            <w:tcBorders>
              <w:top w:val="nil"/>
              <w:left w:val="nil"/>
              <w:bottom w:val="single" w:sz="4" w:space="0" w:color="auto"/>
              <w:right w:val="nil"/>
            </w:tcBorders>
            <w:vAlign w:val="bottom"/>
            <w:hideMark/>
          </w:tcPr>
          <w:p w14:paraId="54BEBC38" w14:textId="77777777" w:rsidR="00FE7F8B" w:rsidRDefault="00FE7F8B">
            <w:pPr>
              <w:pStyle w:val="TableTextFinancial"/>
              <w:jc w:val="right"/>
            </w:pPr>
            <w:r>
              <w:t>1.2</w:t>
            </w:r>
          </w:p>
        </w:tc>
        <w:tc>
          <w:tcPr>
            <w:tcW w:w="992" w:type="dxa"/>
            <w:tcBorders>
              <w:top w:val="nil"/>
              <w:left w:val="nil"/>
              <w:bottom w:val="single" w:sz="4" w:space="0" w:color="auto"/>
              <w:right w:val="nil"/>
            </w:tcBorders>
            <w:vAlign w:val="bottom"/>
            <w:hideMark/>
          </w:tcPr>
          <w:p w14:paraId="3447A5FB" w14:textId="77777777" w:rsidR="00FE7F8B" w:rsidRDefault="00FE7F8B">
            <w:pPr>
              <w:pStyle w:val="TableTextFinancial"/>
              <w:jc w:val="right"/>
            </w:pPr>
            <w:r>
              <w:t>-</w:t>
            </w:r>
          </w:p>
        </w:tc>
      </w:tr>
      <w:tr w:rsidR="00FE7F8B" w14:paraId="04933038" w14:textId="77777777" w:rsidTr="00FE7F8B">
        <w:tc>
          <w:tcPr>
            <w:tcW w:w="4546" w:type="dxa"/>
            <w:tcBorders>
              <w:top w:val="single" w:sz="4" w:space="0" w:color="auto"/>
              <w:left w:val="nil"/>
              <w:bottom w:val="single" w:sz="4" w:space="0" w:color="auto"/>
              <w:right w:val="nil"/>
            </w:tcBorders>
            <w:vAlign w:val="bottom"/>
            <w:hideMark/>
          </w:tcPr>
          <w:p w14:paraId="07213437" w14:textId="77777777" w:rsidR="00FE7F8B" w:rsidRDefault="00FE7F8B">
            <w:pPr>
              <w:pStyle w:val="Tabletextnoindent"/>
              <w:rPr>
                <w:b/>
              </w:rPr>
            </w:pPr>
            <w:r>
              <w:rPr>
                <w:b/>
              </w:rPr>
              <w:t>Total</w:t>
            </w:r>
          </w:p>
        </w:tc>
        <w:tc>
          <w:tcPr>
            <w:tcW w:w="851" w:type="dxa"/>
            <w:tcBorders>
              <w:top w:val="single" w:sz="4" w:space="0" w:color="auto"/>
              <w:left w:val="nil"/>
              <w:bottom w:val="single" w:sz="4" w:space="0" w:color="auto"/>
              <w:right w:val="nil"/>
            </w:tcBorders>
            <w:vAlign w:val="bottom"/>
          </w:tcPr>
          <w:p w14:paraId="1FDCE1BF" w14:textId="77777777" w:rsidR="00FE7F8B" w:rsidRDefault="00FE7F8B">
            <w:pPr>
              <w:pStyle w:val="TableTextFinancial"/>
              <w:jc w:val="right"/>
              <w:rPr>
                <w:b/>
              </w:rPr>
            </w:pPr>
          </w:p>
        </w:tc>
        <w:tc>
          <w:tcPr>
            <w:tcW w:w="992" w:type="dxa"/>
            <w:gridSpan w:val="2"/>
            <w:tcBorders>
              <w:top w:val="single" w:sz="4" w:space="0" w:color="auto"/>
              <w:left w:val="nil"/>
              <w:bottom w:val="single" w:sz="4" w:space="0" w:color="auto"/>
              <w:right w:val="nil"/>
            </w:tcBorders>
            <w:vAlign w:val="bottom"/>
            <w:hideMark/>
          </w:tcPr>
          <w:p w14:paraId="77CD25F7" w14:textId="77777777" w:rsidR="00FE7F8B" w:rsidRDefault="00FE7F8B">
            <w:pPr>
              <w:pStyle w:val="TableTextFinancial"/>
              <w:jc w:val="right"/>
              <w:rPr>
                <w:b/>
              </w:rPr>
            </w:pPr>
            <w:r>
              <w:rPr>
                <w:b/>
              </w:rPr>
              <w:t>512.7</w:t>
            </w:r>
          </w:p>
        </w:tc>
        <w:tc>
          <w:tcPr>
            <w:tcW w:w="992" w:type="dxa"/>
            <w:tcBorders>
              <w:top w:val="single" w:sz="4" w:space="0" w:color="auto"/>
              <w:left w:val="nil"/>
              <w:bottom w:val="single" w:sz="4" w:space="0" w:color="auto"/>
              <w:right w:val="nil"/>
            </w:tcBorders>
            <w:vAlign w:val="bottom"/>
            <w:hideMark/>
          </w:tcPr>
          <w:p w14:paraId="14365CCF" w14:textId="77777777" w:rsidR="00FE7F8B" w:rsidRDefault="00FE7F8B">
            <w:pPr>
              <w:pStyle w:val="TableTextFinancial"/>
              <w:jc w:val="right"/>
              <w:rPr>
                <w:b/>
              </w:rPr>
            </w:pPr>
            <w:r>
              <w:rPr>
                <w:b/>
              </w:rPr>
              <w:t>490.7</w:t>
            </w:r>
          </w:p>
        </w:tc>
      </w:tr>
      <w:tr w:rsidR="00FE7F8B" w14:paraId="109E34C3" w14:textId="77777777" w:rsidTr="00FE7F8B">
        <w:tc>
          <w:tcPr>
            <w:tcW w:w="4546" w:type="dxa"/>
            <w:tcBorders>
              <w:top w:val="single" w:sz="4" w:space="0" w:color="auto"/>
              <w:left w:val="nil"/>
              <w:bottom w:val="single" w:sz="4" w:space="0" w:color="auto"/>
              <w:right w:val="nil"/>
            </w:tcBorders>
            <w:vAlign w:val="bottom"/>
            <w:hideMark/>
          </w:tcPr>
          <w:p w14:paraId="1DAD7E9B" w14:textId="77777777" w:rsidR="00FE7F8B" w:rsidRDefault="00FE7F8B">
            <w:pPr>
              <w:pStyle w:val="Tabletextnoindent"/>
              <w:rPr>
                <w:b/>
              </w:rPr>
            </w:pPr>
            <w:r>
              <w:rPr>
                <w:b/>
              </w:rPr>
              <w:t>Total annotated income agreements</w:t>
            </w:r>
          </w:p>
        </w:tc>
        <w:tc>
          <w:tcPr>
            <w:tcW w:w="851" w:type="dxa"/>
            <w:tcBorders>
              <w:top w:val="single" w:sz="4" w:space="0" w:color="auto"/>
              <w:left w:val="nil"/>
              <w:bottom w:val="single" w:sz="4" w:space="0" w:color="auto"/>
              <w:right w:val="nil"/>
            </w:tcBorders>
            <w:vAlign w:val="bottom"/>
            <w:hideMark/>
          </w:tcPr>
          <w:p w14:paraId="23DEC4DF" w14:textId="77777777" w:rsidR="00FE7F8B" w:rsidRDefault="00FE7F8B">
            <w:pPr>
              <w:pStyle w:val="TableTextFinancial"/>
              <w:jc w:val="right"/>
            </w:pPr>
            <w:r>
              <w:t>6(a)</w:t>
            </w:r>
          </w:p>
        </w:tc>
        <w:tc>
          <w:tcPr>
            <w:tcW w:w="992" w:type="dxa"/>
            <w:gridSpan w:val="2"/>
            <w:tcBorders>
              <w:top w:val="single" w:sz="4" w:space="0" w:color="auto"/>
              <w:left w:val="nil"/>
              <w:bottom w:val="single" w:sz="4" w:space="0" w:color="auto"/>
              <w:right w:val="nil"/>
            </w:tcBorders>
            <w:vAlign w:val="bottom"/>
            <w:hideMark/>
          </w:tcPr>
          <w:p w14:paraId="34335A35" w14:textId="77777777" w:rsidR="00FE7F8B" w:rsidRDefault="00FE7F8B">
            <w:pPr>
              <w:pStyle w:val="TableTextFinancial"/>
              <w:jc w:val="right"/>
              <w:rPr>
                <w:b/>
              </w:rPr>
            </w:pPr>
            <w:r>
              <w:rPr>
                <w:b/>
              </w:rPr>
              <w:t>518.5</w:t>
            </w:r>
          </w:p>
        </w:tc>
        <w:tc>
          <w:tcPr>
            <w:tcW w:w="992" w:type="dxa"/>
            <w:tcBorders>
              <w:top w:val="single" w:sz="4" w:space="0" w:color="auto"/>
              <w:left w:val="nil"/>
              <w:bottom w:val="single" w:sz="4" w:space="0" w:color="auto"/>
              <w:right w:val="nil"/>
            </w:tcBorders>
            <w:vAlign w:val="bottom"/>
            <w:hideMark/>
          </w:tcPr>
          <w:p w14:paraId="311869C3" w14:textId="77777777" w:rsidR="00FE7F8B" w:rsidRDefault="00FE7F8B">
            <w:pPr>
              <w:pStyle w:val="TableTextFinancial"/>
              <w:jc w:val="right"/>
              <w:rPr>
                <w:b/>
              </w:rPr>
            </w:pPr>
            <w:r>
              <w:rPr>
                <w:b/>
              </w:rPr>
              <w:t>628.6</w:t>
            </w:r>
          </w:p>
        </w:tc>
      </w:tr>
    </w:tbl>
    <w:p w14:paraId="205AC4EE" w14:textId="77777777" w:rsidR="00FE7F8B" w:rsidRDefault="00FE7F8B" w:rsidP="00FE7F8B"/>
    <w:p w14:paraId="554198C1" w14:textId="77777777" w:rsidR="00FE7F8B" w:rsidRDefault="00FE7F8B" w:rsidP="00FE7F8B"/>
    <w:p w14:paraId="508E0A17" w14:textId="77777777" w:rsidR="00FE7F8B" w:rsidRDefault="00FE7F8B" w:rsidP="00FE7F8B">
      <w:pPr>
        <w:spacing w:after="0" w:line="240" w:lineRule="auto"/>
        <w:rPr>
          <w:rFonts w:cs="Arial"/>
          <w:bCs/>
          <w:iCs/>
          <w:sz w:val="28"/>
          <w:szCs w:val="28"/>
        </w:rPr>
      </w:pPr>
      <w:r>
        <w:br w:type="page"/>
      </w:r>
      <w:bookmarkStart w:id="139" w:name="_Ref399497774"/>
      <w:bookmarkStart w:id="140" w:name="_Toc399491082"/>
    </w:p>
    <w:p w14:paraId="7425F65C" w14:textId="77777777" w:rsidR="00FE7F8B" w:rsidRDefault="00FE7F8B" w:rsidP="00AD641C">
      <w:pPr>
        <w:pStyle w:val="Heading2notes"/>
        <w:numPr>
          <w:ilvl w:val="0"/>
          <w:numId w:val="39"/>
        </w:numPr>
      </w:pPr>
      <w:bookmarkStart w:id="141" w:name="_Toc461176315"/>
      <w:r>
        <w:t>Trust account balances</w:t>
      </w:r>
      <w:bookmarkEnd w:id="139"/>
      <w:bookmarkEnd w:id="140"/>
      <w:bookmarkEnd w:id="141"/>
    </w:p>
    <w:p w14:paraId="6F6917BD" w14:textId="77777777" w:rsidR="00FE7F8B" w:rsidRDefault="00FE7F8B" w:rsidP="00FE7F8B">
      <w:r>
        <w:t>The following is a listing of trust account balances relating to trust accounts controlled or administered by the Department:</w:t>
      </w:r>
    </w:p>
    <w:tbl>
      <w:tblPr>
        <w:tblW w:w="73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976"/>
        <w:gridCol w:w="1144"/>
        <w:gridCol w:w="1134"/>
        <w:gridCol w:w="1134"/>
        <w:gridCol w:w="992"/>
      </w:tblGrid>
      <w:tr w:rsidR="00FE7F8B" w14:paraId="7541E066" w14:textId="77777777" w:rsidTr="00FE7F8B">
        <w:tc>
          <w:tcPr>
            <w:tcW w:w="2977" w:type="dxa"/>
            <w:tcBorders>
              <w:top w:val="nil"/>
              <w:left w:val="nil"/>
              <w:bottom w:val="nil"/>
              <w:right w:val="nil"/>
            </w:tcBorders>
            <w:shd w:val="clear" w:color="auto" w:fill="7F7F7F" w:themeFill="text1" w:themeFillTint="80"/>
            <w:vAlign w:val="center"/>
            <w:hideMark/>
          </w:tcPr>
          <w:p w14:paraId="2DC0924A" w14:textId="77777777" w:rsidR="00FE7F8B" w:rsidRDefault="00FE7F8B">
            <w:pPr>
              <w:pStyle w:val="Tablecolumnheading"/>
              <w:jc w:val="center"/>
              <w:rPr>
                <w:lang w:eastAsia="en-AU"/>
              </w:rPr>
            </w:pPr>
            <w:r>
              <w:rPr>
                <w:lang w:eastAsia="en-AU"/>
              </w:rPr>
              <w:t>2016</w:t>
            </w:r>
          </w:p>
        </w:tc>
        <w:tc>
          <w:tcPr>
            <w:tcW w:w="1144" w:type="dxa"/>
            <w:tcBorders>
              <w:top w:val="nil"/>
              <w:left w:val="nil"/>
              <w:bottom w:val="nil"/>
              <w:right w:val="nil"/>
            </w:tcBorders>
            <w:shd w:val="clear" w:color="auto" w:fill="7F7F7F" w:themeFill="text1" w:themeFillTint="80"/>
            <w:vAlign w:val="bottom"/>
            <w:hideMark/>
          </w:tcPr>
          <w:p w14:paraId="4FB8F8A0" w14:textId="77777777" w:rsidR="00FE7F8B" w:rsidRDefault="00FE7F8B">
            <w:pPr>
              <w:pStyle w:val="Tablecolumnheading"/>
              <w:jc w:val="center"/>
              <w:rPr>
                <w:lang w:eastAsia="en-AU"/>
              </w:rPr>
            </w:pPr>
            <w:r>
              <w:rPr>
                <w:lang w:eastAsia="en-AU"/>
              </w:rPr>
              <w:t>Opening balance as at 1 July 2015</w:t>
            </w:r>
            <w:r>
              <w:rPr>
                <w:lang w:eastAsia="en-AU"/>
              </w:rPr>
              <w:br/>
              <w:t>$m</w:t>
            </w:r>
          </w:p>
        </w:tc>
        <w:tc>
          <w:tcPr>
            <w:tcW w:w="1134" w:type="dxa"/>
            <w:tcBorders>
              <w:top w:val="nil"/>
              <w:left w:val="nil"/>
              <w:bottom w:val="nil"/>
              <w:right w:val="nil"/>
            </w:tcBorders>
            <w:shd w:val="clear" w:color="auto" w:fill="7F7F7F" w:themeFill="text1" w:themeFillTint="80"/>
            <w:vAlign w:val="bottom"/>
            <w:hideMark/>
          </w:tcPr>
          <w:p w14:paraId="0626E081" w14:textId="77777777" w:rsidR="00FE7F8B" w:rsidRDefault="00FE7F8B">
            <w:pPr>
              <w:pStyle w:val="Tablecolumnheading"/>
              <w:jc w:val="center"/>
              <w:rPr>
                <w:lang w:eastAsia="en-AU"/>
              </w:rPr>
            </w:pPr>
            <w:r>
              <w:rPr>
                <w:lang w:eastAsia="en-AU"/>
              </w:rPr>
              <w:t>Total receipts</w:t>
            </w:r>
            <w:r>
              <w:rPr>
                <w:lang w:eastAsia="en-AU"/>
              </w:rPr>
              <w:br/>
              <w:t>$m</w:t>
            </w:r>
          </w:p>
        </w:tc>
        <w:tc>
          <w:tcPr>
            <w:tcW w:w="1134" w:type="dxa"/>
            <w:tcBorders>
              <w:top w:val="nil"/>
              <w:left w:val="nil"/>
              <w:bottom w:val="nil"/>
              <w:right w:val="nil"/>
            </w:tcBorders>
            <w:shd w:val="clear" w:color="auto" w:fill="7F7F7F" w:themeFill="text1" w:themeFillTint="80"/>
            <w:vAlign w:val="bottom"/>
            <w:hideMark/>
          </w:tcPr>
          <w:p w14:paraId="1C7F6831" w14:textId="77777777" w:rsidR="00FE7F8B" w:rsidRDefault="00FE7F8B">
            <w:pPr>
              <w:pStyle w:val="Tablecolumnheading"/>
              <w:jc w:val="center"/>
              <w:rPr>
                <w:lang w:eastAsia="en-AU"/>
              </w:rPr>
            </w:pPr>
            <w:r>
              <w:rPr>
                <w:lang w:eastAsia="en-AU"/>
              </w:rPr>
              <w:t>Total payments</w:t>
            </w:r>
            <w:r>
              <w:rPr>
                <w:lang w:eastAsia="en-AU"/>
              </w:rPr>
              <w:br/>
              <w:t>$m</w:t>
            </w:r>
          </w:p>
        </w:tc>
        <w:tc>
          <w:tcPr>
            <w:tcW w:w="992" w:type="dxa"/>
            <w:tcBorders>
              <w:top w:val="nil"/>
              <w:left w:val="nil"/>
              <w:bottom w:val="nil"/>
              <w:right w:val="nil"/>
            </w:tcBorders>
            <w:shd w:val="clear" w:color="auto" w:fill="7F7F7F" w:themeFill="text1" w:themeFillTint="80"/>
            <w:vAlign w:val="bottom"/>
            <w:hideMark/>
          </w:tcPr>
          <w:p w14:paraId="5ECCE389" w14:textId="77777777" w:rsidR="00FE7F8B" w:rsidRDefault="00FE7F8B">
            <w:pPr>
              <w:pStyle w:val="Tablecolumnheading"/>
              <w:jc w:val="center"/>
              <w:rPr>
                <w:lang w:eastAsia="en-AU"/>
              </w:rPr>
            </w:pPr>
            <w:r>
              <w:rPr>
                <w:lang w:eastAsia="en-AU"/>
              </w:rPr>
              <w:t>Closing balance as at 30 June 2016</w:t>
            </w:r>
            <w:r>
              <w:rPr>
                <w:lang w:eastAsia="en-AU"/>
              </w:rPr>
              <w:br/>
              <w:t>$m</w:t>
            </w:r>
          </w:p>
        </w:tc>
      </w:tr>
      <w:tr w:rsidR="00FE7F8B" w14:paraId="778E685F" w14:textId="77777777" w:rsidTr="00FE7F8B">
        <w:tc>
          <w:tcPr>
            <w:tcW w:w="2977" w:type="dxa"/>
            <w:tcBorders>
              <w:top w:val="nil"/>
              <w:left w:val="nil"/>
              <w:bottom w:val="nil"/>
              <w:right w:val="nil"/>
            </w:tcBorders>
            <w:vAlign w:val="bottom"/>
            <w:hideMark/>
          </w:tcPr>
          <w:p w14:paraId="7B4A9CE4" w14:textId="77777777" w:rsidR="00FE7F8B" w:rsidRDefault="00FE7F8B">
            <w:pPr>
              <w:pStyle w:val="Tabletextnoindent"/>
              <w:rPr>
                <w:b/>
              </w:rPr>
            </w:pPr>
            <w:r>
              <w:rPr>
                <w:b/>
              </w:rPr>
              <w:t>Controlled trusts</w:t>
            </w:r>
          </w:p>
        </w:tc>
        <w:tc>
          <w:tcPr>
            <w:tcW w:w="1144" w:type="dxa"/>
            <w:tcBorders>
              <w:top w:val="nil"/>
              <w:left w:val="nil"/>
              <w:bottom w:val="nil"/>
              <w:right w:val="nil"/>
            </w:tcBorders>
            <w:vAlign w:val="bottom"/>
          </w:tcPr>
          <w:p w14:paraId="7871D022" w14:textId="77777777" w:rsidR="00FE7F8B" w:rsidRDefault="00FE7F8B">
            <w:pPr>
              <w:pStyle w:val="TableTextFinancial"/>
            </w:pPr>
          </w:p>
        </w:tc>
        <w:tc>
          <w:tcPr>
            <w:tcW w:w="1134" w:type="dxa"/>
            <w:tcBorders>
              <w:top w:val="nil"/>
              <w:left w:val="nil"/>
              <w:bottom w:val="nil"/>
              <w:right w:val="nil"/>
            </w:tcBorders>
            <w:vAlign w:val="bottom"/>
          </w:tcPr>
          <w:p w14:paraId="414AAB8D" w14:textId="77777777" w:rsidR="00FE7F8B" w:rsidRDefault="00FE7F8B">
            <w:pPr>
              <w:pStyle w:val="TableTextFinancial"/>
            </w:pPr>
          </w:p>
        </w:tc>
        <w:tc>
          <w:tcPr>
            <w:tcW w:w="1134" w:type="dxa"/>
            <w:tcBorders>
              <w:top w:val="nil"/>
              <w:left w:val="nil"/>
              <w:bottom w:val="nil"/>
              <w:right w:val="nil"/>
            </w:tcBorders>
            <w:vAlign w:val="bottom"/>
          </w:tcPr>
          <w:p w14:paraId="68A41C28" w14:textId="77777777" w:rsidR="00FE7F8B" w:rsidRDefault="00FE7F8B">
            <w:pPr>
              <w:pStyle w:val="TableTextFinancial"/>
            </w:pPr>
          </w:p>
        </w:tc>
        <w:tc>
          <w:tcPr>
            <w:tcW w:w="992" w:type="dxa"/>
            <w:tcBorders>
              <w:top w:val="nil"/>
              <w:left w:val="nil"/>
              <w:bottom w:val="nil"/>
              <w:right w:val="nil"/>
            </w:tcBorders>
            <w:vAlign w:val="bottom"/>
          </w:tcPr>
          <w:p w14:paraId="7AD925DC" w14:textId="77777777" w:rsidR="00FE7F8B" w:rsidRDefault="00FE7F8B">
            <w:pPr>
              <w:pStyle w:val="TableTextFinancial"/>
            </w:pPr>
          </w:p>
        </w:tc>
      </w:tr>
      <w:tr w:rsidR="00FE7F8B" w14:paraId="2BFCE541" w14:textId="77777777" w:rsidTr="00FE7F8B">
        <w:tc>
          <w:tcPr>
            <w:tcW w:w="2977" w:type="dxa"/>
            <w:tcBorders>
              <w:top w:val="nil"/>
              <w:left w:val="nil"/>
              <w:bottom w:val="nil"/>
              <w:right w:val="nil"/>
            </w:tcBorders>
            <w:vAlign w:val="bottom"/>
            <w:hideMark/>
          </w:tcPr>
          <w:p w14:paraId="2D4703AB" w14:textId="77777777" w:rsidR="00FE7F8B" w:rsidRDefault="00FE7F8B">
            <w:pPr>
              <w:pStyle w:val="Tabletextnoindent"/>
              <w:spacing w:before="40"/>
            </w:pPr>
            <w:r>
              <w:t>State Treasury Trust</w:t>
            </w:r>
          </w:p>
        </w:tc>
        <w:tc>
          <w:tcPr>
            <w:tcW w:w="1144" w:type="dxa"/>
            <w:tcBorders>
              <w:top w:val="nil"/>
              <w:left w:val="nil"/>
              <w:bottom w:val="nil"/>
              <w:right w:val="nil"/>
            </w:tcBorders>
            <w:vAlign w:val="bottom"/>
            <w:hideMark/>
          </w:tcPr>
          <w:p w14:paraId="1864740A" w14:textId="77777777" w:rsidR="00FE7F8B" w:rsidRDefault="00FE7F8B">
            <w:pPr>
              <w:pStyle w:val="TableTextFinancial"/>
              <w:jc w:val="right"/>
            </w:pPr>
            <w:r>
              <w:t>135.2</w:t>
            </w:r>
          </w:p>
        </w:tc>
        <w:tc>
          <w:tcPr>
            <w:tcW w:w="1134" w:type="dxa"/>
            <w:tcBorders>
              <w:top w:val="nil"/>
              <w:left w:val="nil"/>
              <w:bottom w:val="nil"/>
              <w:right w:val="nil"/>
            </w:tcBorders>
            <w:vAlign w:val="bottom"/>
            <w:hideMark/>
          </w:tcPr>
          <w:p w14:paraId="60C470F5" w14:textId="77777777" w:rsidR="00FE7F8B" w:rsidRDefault="00FE7F8B">
            <w:pPr>
              <w:pStyle w:val="TableTextFinancial"/>
              <w:jc w:val="right"/>
            </w:pPr>
            <w:r>
              <w:t>125.6</w:t>
            </w:r>
          </w:p>
        </w:tc>
        <w:tc>
          <w:tcPr>
            <w:tcW w:w="1134" w:type="dxa"/>
            <w:tcBorders>
              <w:top w:val="nil"/>
              <w:left w:val="nil"/>
              <w:bottom w:val="nil"/>
              <w:right w:val="nil"/>
            </w:tcBorders>
            <w:vAlign w:val="bottom"/>
            <w:hideMark/>
          </w:tcPr>
          <w:p w14:paraId="6B2E5239" w14:textId="77777777" w:rsidR="00FE7F8B" w:rsidRDefault="00FE7F8B">
            <w:pPr>
              <w:pStyle w:val="TableTextFinancial"/>
              <w:jc w:val="right"/>
            </w:pPr>
            <w:r>
              <w:t>(99.6)</w:t>
            </w:r>
          </w:p>
        </w:tc>
        <w:tc>
          <w:tcPr>
            <w:tcW w:w="992" w:type="dxa"/>
            <w:tcBorders>
              <w:top w:val="nil"/>
              <w:left w:val="nil"/>
              <w:bottom w:val="nil"/>
              <w:right w:val="nil"/>
            </w:tcBorders>
            <w:vAlign w:val="bottom"/>
            <w:hideMark/>
          </w:tcPr>
          <w:p w14:paraId="6B155222" w14:textId="77777777" w:rsidR="00FE7F8B" w:rsidRDefault="00FE7F8B">
            <w:pPr>
              <w:pStyle w:val="TableTextFinancial"/>
              <w:jc w:val="right"/>
            </w:pPr>
            <w:r>
              <w:t>161.2</w:t>
            </w:r>
          </w:p>
        </w:tc>
      </w:tr>
      <w:tr w:rsidR="00FE7F8B" w14:paraId="62AFD094" w14:textId="77777777" w:rsidTr="00FE7F8B">
        <w:tc>
          <w:tcPr>
            <w:tcW w:w="2977" w:type="dxa"/>
            <w:tcBorders>
              <w:top w:val="nil"/>
              <w:left w:val="nil"/>
              <w:bottom w:val="single" w:sz="4" w:space="0" w:color="auto"/>
              <w:right w:val="nil"/>
            </w:tcBorders>
            <w:vAlign w:val="bottom"/>
            <w:hideMark/>
          </w:tcPr>
          <w:p w14:paraId="1FF3AEAE" w14:textId="77777777" w:rsidR="00FE7F8B" w:rsidRDefault="00FE7F8B">
            <w:pPr>
              <w:pStyle w:val="Tabletextnoindent"/>
              <w:spacing w:before="40"/>
            </w:pPr>
            <w:r>
              <w:t xml:space="preserve">Commonwealth Treasury Trust </w:t>
            </w:r>
          </w:p>
        </w:tc>
        <w:tc>
          <w:tcPr>
            <w:tcW w:w="1144" w:type="dxa"/>
            <w:tcBorders>
              <w:top w:val="nil"/>
              <w:left w:val="nil"/>
              <w:bottom w:val="single" w:sz="4" w:space="0" w:color="auto"/>
              <w:right w:val="nil"/>
            </w:tcBorders>
            <w:vAlign w:val="bottom"/>
            <w:hideMark/>
          </w:tcPr>
          <w:p w14:paraId="6281084C" w14:textId="77777777" w:rsidR="00FE7F8B" w:rsidRDefault="00FE7F8B">
            <w:pPr>
              <w:pStyle w:val="TableTextFinancial"/>
              <w:jc w:val="right"/>
            </w:pPr>
            <w:r>
              <w:t>17.0</w:t>
            </w:r>
          </w:p>
        </w:tc>
        <w:tc>
          <w:tcPr>
            <w:tcW w:w="1134" w:type="dxa"/>
            <w:tcBorders>
              <w:top w:val="nil"/>
              <w:left w:val="nil"/>
              <w:bottom w:val="single" w:sz="4" w:space="0" w:color="auto"/>
              <w:right w:val="nil"/>
            </w:tcBorders>
            <w:vAlign w:val="bottom"/>
            <w:hideMark/>
          </w:tcPr>
          <w:p w14:paraId="0B284991" w14:textId="77777777" w:rsidR="00FE7F8B" w:rsidRDefault="00FE7F8B">
            <w:pPr>
              <w:pStyle w:val="TableTextFinancial"/>
              <w:jc w:val="right"/>
            </w:pPr>
            <w:r>
              <w:t>38.0</w:t>
            </w:r>
          </w:p>
        </w:tc>
        <w:tc>
          <w:tcPr>
            <w:tcW w:w="1134" w:type="dxa"/>
            <w:tcBorders>
              <w:top w:val="nil"/>
              <w:left w:val="nil"/>
              <w:bottom w:val="single" w:sz="4" w:space="0" w:color="auto"/>
              <w:right w:val="nil"/>
            </w:tcBorders>
            <w:vAlign w:val="bottom"/>
            <w:hideMark/>
          </w:tcPr>
          <w:p w14:paraId="239B001E" w14:textId="77777777" w:rsidR="00FE7F8B" w:rsidRDefault="00FE7F8B">
            <w:pPr>
              <w:pStyle w:val="TableTextFinancial"/>
              <w:jc w:val="right"/>
            </w:pPr>
            <w:r>
              <w:t>(19.3)</w:t>
            </w:r>
          </w:p>
        </w:tc>
        <w:tc>
          <w:tcPr>
            <w:tcW w:w="992" w:type="dxa"/>
            <w:tcBorders>
              <w:top w:val="nil"/>
              <w:left w:val="nil"/>
              <w:bottom w:val="single" w:sz="4" w:space="0" w:color="auto"/>
              <w:right w:val="nil"/>
            </w:tcBorders>
            <w:vAlign w:val="bottom"/>
            <w:hideMark/>
          </w:tcPr>
          <w:p w14:paraId="0C603A78" w14:textId="77777777" w:rsidR="00FE7F8B" w:rsidRDefault="00FE7F8B">
            <w:pPr>
              <w:pStyle w:val="TableTextFinancial"/>
              <w:jc w:val="right"/>
            </w:pPr>
            <w:r>
              <w:t>35.7</w:t>
            </w:r>
          </w:p>
        </w:tc>
      </w:tr>
      <w:tr w:rsidR="00FE7F8B" w14:paraId="47FCE2FA" w14:textId="77777777" w:rsidTr="00FE7F8B">
        <w:tc>
          <w:tcPr>
            <w:tcW w:w="2977" w:type="dxa"/>
            <w:tcBorders>
              <w:top w:val="single" w:sz="4" w:space="0" w:color="auto"/>
              <w:left w:val="nil"/>
              <w:bottom w:val="single" w:sz="4" w:space="0" w:color="auto"/>
              <w:right w:val="nil"/>
            </w:tcBorders>
            <w:vAlign w:val="bottom"/>
            <w:hideMark/>
          </w:tcPr>
          <w:p w14:paraId="0DE1A672" w14:textId="77777777" w:rsidR="00FE7F8B" w:rsidRDefault="00FE7F8B">
            <w:pPr>
              <w:pStyle w:val="Tabletextnoindent"/>
              <w:rPr>
                <w:b/>
              </w:rPr>
            </w:pPr>
            <w:r>
              <w:rPr>
                <w:b/>
              </w:rPr>
              <w:t>Total controlled trusts</w:t>
            </w:r>
          </w:p>
        </w:tc>
        <w:tc>
          <w:tcPr>
            <w:tcW w:w="1144" w:type="dxa"/>
            <w:tcBorders>
              <w:top w:val="single" w:sz="4" w:space="0" w:color="auto"/>
              <w:left w:val="nil"/>
              <w:bottom w:val="single" w:sz="4" w:space="0" w:color="auto"/>
              <w:right w:val="nil"/>
            </w:tcBorders>
            <w:vAlign w:val="bottom"/>
            <w:hideMark/>
          </w:tcPr>
          <w:p w14:paraId="24BB0D60" w14:textId="77777777" w:rsidR="00FE7F8B" w:rsidRDefault="00FE7F8B">
            <w:pPr>
              <w:pStyle w:val="TableTextFinancial"/>
              <w:jc w:val="right"/>
              <w:rPr>
                <w:b/>
              </w:rPr>
            </w:pPr>
            <w:r>
              <w:rPr>
                <w:b/>
              </w:rPr>
              <w:t>152.2</w:t>
            </w:r>
          </w:p>
        </w:tc>
        <w:tc>
          <w:tcPr>
            <w:tcW w:w="1134" w:type="dxa"/>
            <w:tcBorders>
              <w:top w:val="single" w:sz="4" w:space="0" w:color="auto"/>
              <w:left w:val="nil"/>
              <w:bottom w:val="single" w:sz="4" w:space="0" w:color="auto"/>
              <w:right w:val="nil"/>
            </w:tcBorders>
            <w:vAlign w:val="bottom"/>
            <w:hideMark/>
          </w:tcPr>
          <w:p w14:paraId="36FCEAED" w14:textId="77777777" w:rsidR="00FE7F8B" w:rsidRDefault="00FE7F8B">
            <w:pPr>
              <w:pStyle w:val="TableTextFinancial"/>
              <w:jc w:val="right"/>
              <w:rPr>
                <w:b/>
              </w:rPr>
            </w:pPr>
            <w:r>
              <w:rPr>
                <w:b/>
              </w:rPr>
              <w:t>163.6</w:t>
            </w:r>
          </w:p>
        </w:tc>
        <w:tc>
          <w:tcPr>
            <w:tcW w:w="1134" w:type="dxa"/>
            <w:tcBorders>
              <w:top w:val="single" w:sz="4" w:space="0" w:color="auto"/>
              <w:left w:val="nil"/>
              <w:bottom w:val="single" w:sz="4" w:space="0" w:color="auto"/>
              <w:right w:val="nil"/>
            </w:tcBorders>
            <w:vAlign w:val="bottom"/>
            <w:hideMark/>
          </w:tcPr>
          <w:p w14:paraId="1FCD51C7" w14:textId="77777777" w:rsidR="00FE7F8B" w:rsidRDefault="00FE7F8B">
            <w:pPr>
              <w:pStyle w:val="TableTextFinancial"/>
              <w:jc w:val="right"/>
              <w:rPr>
                <w:b/>
              </w:rPr>
            </w:pPr>
            <w:r>
              <w:rPr>
                <w:b/>
              </w:rPr>
              <w:t>(118.9)</w:t>
            </w:r>
          </w:p>
        </w:tc>
        <w:tc>
          <w:tcPr>
            <w:tcW w:w="992" w:type="dxa"/>
            <w:tcBorders>
              <w:top w:val="single" w:sz="4" w:space="0" w:color="auto"/>
              <w:left w:val="nil"/>
              <w:bottom w:val="single" w:sz="4" w:space="0" w:color="auto"/>
              <w:right w:val="nil"/>
            </w:tcBorders>
            <w:vAlign w:val="bottom"/>
            <w:hideMark/>
          </w:tcPr>
          <w:p w14:paraId="22C7044E" w14:textId="77777777" w:rsidR="00FE7F8B" w:rsidRDefault="00FE7F8B">
            <w:pPr>
              <w:pStyle w:val="TableTextFinancial"/>
              <w:jc w:val="right"/>
              <w:rPr>
                <w:b/>
              </w:rPr>
            </w:pPr>
            <w:r>
              <w:rPr>
                <w:b/>
              </w:rPr>
              <w:t>196.9</w:t>
            </w:r>
          </w:p>
        </w:tc>
      </w:tr>
      <w:tr w:rsidR="00FE7F8B" w14:paraId="2500F293" w14:textId="77777777" w:rsidTr="00FE7F8B">
        <w:tc>
          <w:tcPr>
            <w:tcW w:w="2977" w:type="dxa"/>
            <w:tcBorders>
              <w:top w:val="single" w:sz="4" w:space="0" w:color="auto"/>
              <w:left w:val="nil"/>
              <w:bottom w:val="nil"/>
              <w:right w:val="nil"/>
            </w:tcBorders>
            <w:vAlign w:val="bottom"/>
            <w:hideMark/>
          </w:tcPr>
          <w:p w14:paraId="4B9C64F7" w14:textId="77777777" w:rsidR="00FE7F8B" w:rsidRDefault="00FE7F8B">
            <w:pPr>
              <w:pStyle w:val="Tabletextnoindent"/>
              <w:rPr>
                <w:b/>
              </w:rPr>
            </w:pPr>
            <w:r>
              <w:rPr>
                <w:b/>
              </w:rPr>
              <w:t>Administered trusts</w:t>
            </w:r>
          </w:p>
        </w:tc>
        <w:tc>
          <w:tcPr>
            <w:tcW w:w="1144" w:type="dxa"/>
            <w:tcBorders>
              <w:top w:val="single" w:sz="4" w:space="0" w:color="auto"/>
              <w:left w:val="nil"/>
              <w:bottom w:val="nil"/>
              <w:right w:val="nil"/>
            </w:tcBorders>
            <w:vAlign w:val="bottom"/>
          </w:tcPr>
          <w:p w14:paraId="49DA30E5" w14:textId="77777777" w:rsidR="00FE7F8B" w:rsidRDefault="00FE7F8B">
            <w:pPr>
              <w:pStyle w:val="TableTextFinancial"/>
            </w:pPr>
          </w:p>
        </w:tc>
        <w:tc>
          <w:tcPr>
            <w:tcW w:w="1134" w:type="dxa"/>
            <w:tcBorders>
              <w:top w:val="single" w:sz="4" w:space="0" w:color="auto"/>
              <w:left w:val="nil"/>
              <w:bottom w:val="nil"/>
              <w:right w:val="nil"/>
            </w:tcBorders>
            <w:vAlign w:val="bottom"/>
          </w:tcPr>
          <w:p w14:paraId="5292A0E0" w14:textId="77777777" w:rsidR="00FE7F8B" w:rsidRDefault="00FE7F8B">
            <w:pPr>
              <w:pStyle w:val="TableTextFinancial"/>
            </w:pPr>
          </w:p>
        </w:tc>
        <w:tc>
          <w:tcPr>
            <w:tcW w:w="1134" w:type="dxa"/>
            <w:tcBorders>
              <w:top w:val="single" w:sz="4" w:space="0" w:color="auto"/>
              <w:left w:val="nil"/>
              <w:bottom w:val="nil"/>
              <w:right w:val="nil"/>
            </w:tcBorders>
            <w:vAlign w:val="bottom"/>
          </w:tcPr>
          <w:p w14:paraId="5E32897D" w14:textId="77777777" w:rsidR="00FE7F8B" w:rsidRDefault="00FE7F8B">
            <w:pPr>
              <w:pStyle w:val="TableTextFinancial"/>
            </w:pPr>
          </w:p>
        </w:tc>
        <w:tc>
          <w:tcPr>
            <w:tcW w:w="992" w:type="dxa"/>
            <w:tcBorders>
              <w:top w:val="single" w:sz="4" w:space="0" w:color="auto"/>
              <w:left w:val="nil"/>
              <w:bottom w:val="nil"/>
              <w:right w:val="nil"/>
            </w:tcBorders>
            <w:vAlign w:val="bottom"/>
          </w:tcPr>
          <w:p w14:paraId="53D171A0" w14:textId="77777777" w:rsidR="00FE7F8B" w:rsidRDefault="00FE7F8B">
            <w:pPr>
              <w:pStyle w:val="TableTextFinancial"/>
            </w:pPr>
          </w:p>
        </w:tc>
      </w:tr>
      <w:tr w:rsidR="00FE7F8B" w14:paraId="1E577E8F" w14:textId="77777777" w:rsidTr="00FE7F8B">
        <w:tc>
          <w:tcPr>
            <w:tcW w:w="2977" w:type="dxa"/>
            <w:tcBorders>
              <w:top w:val="nil"/>
              <w:left w:val="nil"/>
              <w:bottom w:val="nil"/>
              <w:right w:val="nil"/>
            </w:tcBorders>
            <w:vAlign w:val="bottom"/>
            <w:hideMark/>
          </w:tcPr>
          <w:p w14:paraId="3066B703" w14:textId="77777777" w:rsidR="00FE7F8B" w:rsidRDefault="00FE7F8B">
            <w:pPr>
              <w:pStyle w:val="Tabletextnoindent"/>
              <w:spacing w:before="40"/>
            </w:pPr>
            <w:r>
              <w:t>Prizes and scholarships</w:t>
            </w:r>
          </w:p>
        </w:tc>
        <w:tc>
          <w:tcPr>
            <w:tcW w:w="1144" w:type="dxa"/>
            <w:tcBorders>
              <w:top w:val="nil"/>
              <w:left w:val="nil"/>
              <w:bottom w:val="nil"/>
              <w:right w:val="nil"/>
            </w:tcBorders>
            <w:vAlign w:val="bottom"/>
            <w:hideMark/>
          </w:tcPr>
          <w:p w14:paraId="6F87BE1C" w14:textId="77777777" w:rsidR="00FE7F8B" w:rsidRDefault="00FE7F8B">
            <w:pPr>
              <w:pStyle w:val="TableTextFinancial"/>
              <w:jc w:val="right"/>
            </w:pPr>
            <w:r>
              <w:t>1.6</w:t>
            </w:r>
          </w:p>
        </w:tc>
        <w:tc>
          <w:tcPr>
            <w:tcW w:w="1134" w:type="dxa"/>
            <w:tcBorders>
              <w:top w:val="nil"/>
              <w:left w:val="nil"/>
              <w:bottom w:val="nil"/>
              <w:right w:val="nil"/>
            </w:tcBorders>
            <w:vAlign w:val="bottom"/>
            <w:hideMark/>
          </w:tcPr>
          <w:p w14:paraId="45953813" w14:textId="77777777" w:rsidR="00FE7F8B" w:rsidRDefault="00FE7F8B">
            <w:pPr>
              <w:pStyle w:val="TableTextFinancial"/>
              <w:jc w:val="right"/>
            </w:pPr>
            <w:r>
              <w:t>0.3</w:t>
            </w:r>
          </w:p>
        </w:tc>
        <w:tc>
          <w:tcPr>
            <w:tcW w:w="1134" w:type="dxa"/>
            <w:tcBorders>
              <w:top w:val="nil"/>
              <w:left w:val="nil"/>
              <w:bottom w:val="nil"/>
              <w:right w:val="nil"/>
            </w:tcBorders>
            <w:vAlign w:val="bottom"/>
            <w:hideMark/>
          </w:tcPr>
          <w:p w14:paraId="08950D25" w14:textId="77777777" w:rsidR="00FE7F8B" w:rsidRDefault="00FE7F8B">
            <w:pPr>
              <w:pStyle w:val="TableTextFinancial"/>
              <w:jc w:val="right"/>
            </w:pPr>
            <w:r>
              <w:t>(0.4)</w:t>
            </w:r>
          </w:p>
        </w:tc>
        <w:tc>
          <w:tcPr>
            <w:tcW w:w="992" w:type="dxa"/>
            <w:tcBorders>
              <w:top w:val="nil"/>
              <w:left w:val="nil"/>
              <w:bottom w:val="nil"/>
              <w:right w:val="nil"/>
            </w:tcBorders>
            <w:vAlign w:val="bottom"/>
            <w:hideMark/>
          </w:tcPr>
          <w:p w14:paraId="5925E88E" w14:textId="77777777" w:rsidR="00FE7F8B" w:rsidRDefault="00FE7F8B">
            <w:pPr>
              <w:pStyle w:val="TableTextFinancial"/>
              <w:jc w:val="right"/>
            </w:pPr>
            <w:r>
              <w:t>1.5</w:t>
            </w:r>
          </w:p>
        </w:tc>
      </w:tr>
      <w:tr w:rsidR="00FE7F8B" w14:paraId="3B0E6361" w14:textId="77777777" w:rsidTr="00FE7F8B">
        <w:tc>
          <w:tcPr>
            <w:tcW w:w="2977" w:type="dxa"/>
            <w:tcBorders>
              <w:top w:val="nil"/>
              <w:left w:val="nil"/>
              <w:bottom w:val="nil"/>
              <w:right w:val="nil"/>
            </w:tcBorders>
            <w:vAlign w:val="bottom"/>
            <w:hideMark/>
          </w:tcPr>
          <w:p w14:paraId="1D9EE7CD" w14:textId="77777777" w:rsidR="00FE7F8B" w:rsidRDefault="00FE7F8B">
            <w:pPr>
              <w:pStyle w:val="Tabletextnoindent"/>
              <w:spacing w:before="40"/>
            </w:pPr>
            <w:r>
              <w:t>Commuter club</w:t>
            </w:r>
          </w:p>
        </w:tc>
        <w:tc>
          <w:tcPr>
            <w:tcW w:w="1144" w:type="dxa"/>
            <w:tcBorders>
              <w:top w:val="nil"/>
              <w:left w:val="nil"/>
              <w:bottom w:val="nil"/>
              <w:right w:val="nil"/>
            </w:tcBorders>
            <w:vAlign w:val="bottom"/>
            <w:hideMark/>
          </w:tcPr>
          <w:p w14:paraId="742F719F" w14:textId="77777777" w:rsidR="00FE7F8B" w:rsidRDefault="00FE7F8B">
            <w:pPr>
              <w:pStyle w:val="TableTextFinancial"/>
              <w:jc w:val="right"/>
            </w:pPr>
            <w:r>
              <w:t>0.0</w:t>
            </w:r>
          </w:p>
        </w:tc>
        <w:tc>
          <w:tcPr>
            <w:tcW w:w="1134" w:type="dxa"/>
            <w:tcBorders>
              <w:top w:val="nil"/>
              <w:left w:val="nil"/>
              <w:bottom w:val="nil"/>
              <w:right w:val="nil"/>
            </w:tcBorders>
            <w:vAlign w:val="bottom"/>
            <w:hideMark/>
          </w:tcPr>
          <w:p w14:paraId="5B26CBE8" w14:textId="77777777" w:rsidR="00FE7F8B" w:rsidRDefault="00FE7F8B">
            <w:pPr>
              <w:pStyle w:val="TableTextFinancial"/>
              <w:jc w:val="right"/>
            </w:pPr>
            <w:r>
              <w:t>0.7</w:t>
            </w:r>
          </w:p>
        </w:tc>
        <w:tc>
          <w:tcPr>
            <w:tcW w:w="1134" w:type="dxa"/>
            <w:tcBorders>
              <w:top w:val="nil"/>
              <w:left w:val="nil"/>
              <w:bottom w:val="nil"/>
              <w:right w:val="nil"/>
            </w:tcBorders>
            <w:vAlign w:val="bottom"/>
            <w:hideMark/>
          </w:tcPr>
          <w:p w14:paraId="7A6979E4" w14:textId="77777777" w:rsidR="00FE7F8B" w:rsidRDefault="00FE7F8B">
            <w:pPr>
              <w:pStyle w:val="TableTextFinancial"/>
              <w:jc w:val="right"/>
            </w:pPr>
            <w:r>
              <w:t>(0.8)</w:t>
            </w:r>
          </w:p>
        </w:tc>
        <w:tc>
          <w:tcPr>
            <w:tcW w:w="992" w:type="dxa"/>
            <w:tcBorders>
              <w:top w:val="nil"/>
              <w:left w:val="nil"/>
              <w:bottom w:val="nil"/>
              <w:right w:val="nil"/>
            </w:tcBorders>
            <w:vAlign w:val="bottom"/>
            <w:hideMark/>
          </w:tcPr>
          <w:p w14:paraId="3B760E46" w14:textId="77777777" w:rsidR="00FE7F8B" w:rsidRDefault="00FE7F8B">
            <w:pPr>
              <w:pStyle w:val="TableTextFinancial"/>
              <w:jc w:val="right"/>
            </w:pPr>
            <w:r>
              <w:t>0.0</w:t>
            </w:r>
          </w:p>
        </w:tc>
      </w:tr>
      <w:tr w:rsidR="00FE7F8B" w14:paraId="7329AFBE" w14:textId="77777777" w:rsidTr="00FE7F8B">
        <w:tc>
          <w:tcPr>
            <w:tcW w:w="2977" w:type="dxa"/>
            <w:tcBorders>
              <w:top w:val="nil"/>
              <w:left w:val="nil"/>
              <w:bottom w:val="single" w:sz="4" w:space="0" w:color="auto"/>
              <w:right w:val="nil"/>
            </w:tcBorders>
            <w:vAlign w:val="bottom"/>
            <w:hideMark/>
          </w:tcPr>
          <w:p w14:paraId="320752CF" w14:textId="77777777" w:rsidR="00FE7F8B" w:rsidRDefault="00FE7F8B">
            <w:pPr>
              <w:pStyle w:val="Tabletextnoindent"/>
              <w:spacing w:before="40"/>
            </w:pPr>
            <w:r>
              <w:t>On-passing from the Commonwealth</w:t>
            </w:r>
          </w:p>
        </w:tc>
        <w:tc>
          <w:tcPr>
            <w:tcW w:w="1144" w:type="dxa"/>
            <w:tcBorders>
              <w:top w:val="nil"/>
              <w:left w:val="nil"/>
              <w:bottom w:val="single" w:sz="4" w:space="0" w:color="auto"/>
              <w:right w:val="nil"/>
            </w:tcBorders>
            <w:vAlign w:val="bottom"/>
            <w:hideMark/>
          </w:tcPr>
          <w:p w14:paraId="5E00AF7B" w14:textId="77777777" w:rsidR="00FE7F8B" w:rsidRDefault="00FE7F8B">
            <w:pPr>
              <w:pStyle w:val="TableTextFinancial"/>
              <w:jc w:val="right"/>
            </w:pPr>
            <w:r>
              <w:t>0.6</w:t>
            </w:r>
          </w:p>
        </w:tc>
        <w:tc>
          <w:tcPr>
            <w:tcW w:w="1134" w:type="dxa"/>
            <w:tcBorders>
              <w:top w:val="nil"/>
              <w:left w:val="nil"/>
              <w:bottom w:val="single" w:sz="4" w:space="0" w:color="auto"/>
              <w:right w:val="nil"/>
            </w:tcBorders>
            <w:vAlign w:val="bottom"/>
            <w:hideMark/>
          </w:tcPr>
          <w:p w14:paraId="5B58EB2E" w14:textId="77777777" w:rsidR="00FE7F8B" w:rsidRDefault="00FE7F8B">
            <w:pPr>
              <w:pStyle w:val="TableTextFinancial"/>
              <w:jc w:val="right"/>
            </w:pPr>
            <w:r>
              <w:t>2,829.6</w:t>
            </w:r>
          </w:p>
        </w:tc>
        <w:tc>
          <w:tcPr>
            <w:tcW w:w="1134" w:type="dxa"/>
            <w:tcBorders>
              <w:top w:val="nil"/>
              <w:left w:val="nil"/>
              <w:bottom w:val="single" w:sz="4" w:space="0" w:color="auto"/>
              <w:right w:val="nil"/>
            </w:tcBorders>
            <w:vAlign w:val="bottom"/>
            <w:hideMark/>
          </w:tcPr>
          <w:p w14:paraId="7D433A52" w14:textId="77777777" w:rsidR="00FE7F8B" w:rsidRDefault="00FE7F8B">
            <w:pPr>
              <w:pStyle w:val="TableTextFinancial"/>
              <w:jc w:val="right"/>
            </w:pPr>
            <w:r>
              <w:t>(2,829.6)</w:t>
            </w:r>
          </w:p>
        </w:tc>
        <w:tc>
          <w:tcPr>
            <w:tcW w:w="992" w:type="dxa"/>
            <w:tcBorders>
              <w:top w:val="nil"/>
              <w:left w:val="nil"/>
              <w:bottom w:val="single" w:sz="4" w:space="0" w:color="auto"/>
              <w:right w:val="nil"/>
            </w:tcBorders>
            <w:vAlign w:val="bottom"/>
            <w:hideMark/>
          </w:tcPr>
          <w:p w14:paraId="17214A3C" w14:textId="77777777" w:rsidR="00FE7F8B" w:rsidRDefault="00FE7F8B">
            <w:pPr>
              <w:pStyle w:val="TableTextFinancial"/>
              <w:jc w:val="right"/>
            </w:pPr>
            <w:r>
              <w:t>0.6</w:t>
            </w:r>
          </w:p>
        </w:tc>
      </w:tr>
      <w:tr w:rsidR="00FE7F8B" w14:paraId="3DF83383" w14:textId="77777777" w:rsidTr="00FE7F8B">
        <w:tc>
          <w:tcPr>
            <w:tcW w:w="2977" w:type="dxa"/>
            <w:tcBorders>
              <w:top w:val="single" w:sz="4" w:space="0" w:color="auto"/>
              <w:left w:val="nil"/>
              <w:bottom w:val="nil"/>
              <w:right w:val="nil"/>
            </w:tcBorders>
            <w:vAlign w:val="bottom"/>
            <w:hideMark/>
          </w:tcPr>
          <w:p w14:paraId="214804F6" w14:textId="77777777" w:rsidR="00FE7F8B" w:rsidRDefault="00FE7F8B">
            <w:pPr>
              <w:pStyle w:val="Tabletextnoindent"/>
              <w:rPr>
                <w:b/>
              </w:rPr>
            </w:pPr>
            <w:r>
              <w:rPr>
                <w:b/>
              </w:rPr>
              <w:t>Total administered trusts</w:t>
            </w:r>
          </w:p>
        </w:tc>
        <w:tc>
          <w:tcPr>
            <w:tcW w:w="1144" w:type="dxa"/>
            <w:tcBorders>
              <w:top w:val="single" w:sz="4" w:space="0" w:color="auto"/>
              <w:left w:val="nil"/>
              <w:bottom w:val="nil"/>
              <w:right w:val="nil"/>
            </w:tcBorders>
            <w:vAlign w:val="bottom"/>
            <w:hideMark/>
          </w:tcPr>
          <w:p w14:paraId="62F30B6F" w14:textId="77777777" w:rsidR="00FE7F8B" w:rsidRDefault="00FE7F8B">
            <w:pPr>
              <w:pStyle w:val="TableTextFinancial"/>
              <w:jc w:val="right"/>
              <w:rPr>
                <w:b/>
              </w:rPr>
            </w:pPr>
            <w:r>
              <w:rPr>
                <w:b/>
              </w:rPr>
              <w:t>2.3</w:t>
            </w:r>
          </w:p>
        </w:tc>
        <w:tc>
          <w:tcPr>
            <w:tcW w:w="1134" w:type="dxa"/>
            <w:tcBorders>
              <w:top w:val="single" w:sz="4" w:space="0" w:color="auto"/>
              <w:left w:val="nil"/>
              <w:bottom w:val="nil"/>
              <w:right w:val="nil"/>
            </w:tcBorders>
            <w:vAlign w:val="bottom"/>
            <w:hideMark/>
          </w:tcPr>
          <w:p w14:paraId="210A98C3" w14:textId="77777777" w:rsidR="00FE7F8B" w:rsidRDefault="00FE7F8B">
            <w:pPr>
              <w:pStyle w:val="TableTextFinancial"/>
              <w:jc w:val="right"/>
              <w:rPr>
                <w:b/>
              </w:rPr>
            </w:pPr>
            <w:r>
              <w:rPr>
                <w:b/>
              </w:rPr>
              <w:t>2,830.6</w:t>
            </w:r>
          </w:p>
        </w:tc>
        <w:tc>
          <w:tcPr>
            <w:tcW w:w="1134" w:type="dxa"/>
            <w:tcBorders>
              <w:top w:val="single" w:sz="4" w:space="0" w:color="auto"/>
              <w:left w:val="nil"/>
              <w:bottom w:val="nil"/>
              <w:right w:val="nil"/>
            </w:tcBorders>
            <w:vAlign w:val="bottom"/>
            <w:hideMark/>
          </w:tcPr>
          <w:p w14:paraId="2E9338D9" w14:textId="77777777" w:rsidR="00FE7F8B" w:rsidRDefault="00FE7F8B">
            <w:pPr>
              <w:pStyle w:val="TableTextFinancial"/>
              <w:jc w:val="right"/>
              <w:rPr>
                <w:b/>
              </w:rPr>
            </w:pPr>
            <w:r>
              <w:rPr>
                <w:b/>
              </w:rPr>
              <w:t>(2,830.7)</w:t>
            </w:r>
          </w:p>
        </w:tc>
        <w:tc>
          <w:tcPr>
            <w:tcW w:w="992" w:type="dxa"/>
            <w:tcBorders>
              <w:top w:val="single" w:sz="4" w:space="0" w:color="auto"/>
              <w:left w:val="nil"/>
              <w:bottom w:val="nil"/>
              <w:right w:val="nil"/>
            </w:tcBorders>
            <w:vAlign w:val="bottom"/>
            <w:hideMark/>
          </w:tcPr>
          <w:p w14:paraId="60F8A5A9" w14:textId="77777777" w:rsidR="00FE7F8B" w:rsidRDefault="00FE7F8B">
            <w:pPr>
              <w:pStyle w:val="TableTextFinancial"/>
              <w:jc w:val="right"/>
              <w:rPr>
                <w:b/>
              </w:rPr>
            </w:pPr>
            <w:r>
              <w:rPr>
                <w:b/>
              </w:rPr>
              <w:t>2.1</w:t>
            </w:r>
          </w:p>
        </w:tc>
      </w:tr>
      <w:tr w:rsidR="00FE7F8B" w14:paraId="651C383F" w14:textId="77777777" w:rsidTr="00FE7F8B">
        <w:tc>
          <w:tcPr>
            <w:tcW w:w="2977" w:type="dxa"/>
            <w:tcBorders>
              <w:top w:val="nil"/>
              <w:left w:val="nil"/>
              <w:bottom w:val="nil"/>
              <w:right w:val="nil"/>
            </w:tcBorders>
            <w:shd w:val="clear" w:color="auto" w:fill="7F7F7F" w:themeFill="text1" w:themeFillTint="80"/>
            <w:vAlign w:val="center"/>
            <w:hideMark/>
          </w:tcPr>
          <w:p w14:paraId="75DD10BD" w14:textId="77777777" w:rsidR="00FE7F8B" w:rsidRDefault="00FE7F8B">
            <w:pPr>
              <w:pStyle w:val="Tablecolumnheading"/>
              <w:jc w:val="center"/>
              <w:rPr>
                <w:lang w:eastAsia="en-AU"/>
              </w:rPr>
            </w:pPr>
            <w:r>
              <w:rPr>
                <w:lang w:eastAsia="en-AU"/>
              </w:rPr>
              <w:t>2015</w:t>
            </w:r>
          </w:p>
        </w:tc>
        <w:tc>
          <w:tcPr>
            <w:tcW w:w="1144" w:type="dxa"/>
            <w:tcBorders>
              <w:top w:val="nil"/>
              <w:left w:val="nil"/>
              <w:bottom w:val="nil"/>
              <w:right w:val="nil"/>
            </w:tcBorders>
            <w:shd w:val="clear" w:color="auto" w:fill="7F7F7F" w:themeFill="text1" w:themeFillTint="80"/>
            <w:vAlign w:val="center"/>
            <w:hideMark/>
          </w:tcPr>
          <w:p w14:paraId="3CD80EEF" w14:textId="77777777" w:rsidR="00FE7F8B" w:rsidRDefault="00FE7F8B">
            <w:pPr>
              <w:pStyle w:val="Tablecolumnheading"/>
              <w:jc w:val="center"/>
              <w:rPr>
                <w:lang w:eastAsia="en-AU"/>
              </w:rPr>
            </w:pPr>
            <w:r>
              <w:rPr>
                <w:lang w:eastAsia="en-AU"/>
              </w:rPr>
              <w:t>Opening balance as at 1 July 2014</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47C1AC6F" w14:textId="77777777" w:rsidR="00FE7F8B" w:rsidRDefault="00FE7F8B">
            <w:pPr>
              <w:pStyle w:val="Tablecolumnheading"/>
              <w:jc w:val="center"/>
              <w:rPr>
                <w:lang w:eastAsia="en-AU"/>
              </w:rPr>
            </w:pPr>
            <w:r>
              <w:rPr>
                <w:lang w:eastAsia="en-AU"/>
              </w:rPr>
              <w:t>Total receipts</w:t>
            </w:r>
            <w:r>
              <w:rPr>
                <w:lang w:eastAsia="en-AU"/>
              </w:rPr>
              <w:br/>
              <w:t>$m</w:t>
            </w:r>
          </w:p>
        </w:tc>
        <w:tc>
          <w:tcPr>
            <w:tcW w:w="1134" w:type="dxa"/>
            <w:tcBorders>
              <w:top w:val="nil"/>
              <w:left w:val="nil"/>
              <w:bottom w:val="nil"/>
              <w:right w:val="nil"/>
            </w:tcBorders>
            <w:shd w:val="clear" w:color="auto" w:fill="7F7F7F" w:themeFill="text1" w:themeFillTint="80"/>
            <w:vAlign w:val="center"/>
            <w:hideMark/>
          </w:tcPr>
          <w:p w14:paraId="6C00EE58" w14:textId="77777777" w:rsidR="00FE7F8B" w:rsidRDefault="00FE7F8B">
            <w:pPr>
              <w:pStyle w:val="Tablecolumnheading"/>
              <w:jc w:val="center"/>
              <w:rPr>
                <w:lang w:eastAsia="en-AU"/>
              </w:rPr>
            </w:pPr>
            <w:r>
              <w:rPr>
                <w:lang w:eastAsia="en-AU"/>
              </w:rPr>
              <w:t>Total payments</w:t>
            </w:r>
            <w:r>
              <w:rPr>
                <w:lang w:eastAsia="en-AU"/>
              </w:rPr>
              <w:br/>
              <w:t>$m</w:t>
            </w:r>
          </w:p>
        </w:tc>
        <w:tc>
          <w:tcPr>
            <w:tcW w:w="992" w:type="dxa"/>
            <w:tcBorders>
              <w:top w:val="nil"/>
              <w:left w:val="nil"/>
              <w:bottom w:val="nil"/>
              <w:right w:val="nil"/>
            </w:tcBorders>
            <w:shd w:val="clear" w:color="auto" w:fill="7F7F7F" w:themeFill="text1" w:themeFillTint="80"/>
            <w:vAlign w:val="center"/>
            <w:hideMark/>
          </w:tcPr>
          <w:p w14:paraId="7AC4A5DE" w14:textId="77777777" w:rsidR="00FE7F8B" w:rsidRDefault="00FE7F8B">
            <w:pPr>
              <w:pStyle w:val="Tablecolumnheading"/>
              <w:jc w:val="center"/>
              <w:rPr>
                <w:lang w:eastAsia="en-AU"/>
              </w:rPr>
            </w:pPr>
            <w:r>
              <w:rPr>
                <w:lang w:eastAsia="en-AU"/>
              </w:rPr>
              <w:t>Closing balance 30 June 2015</w:t>
            </w:r>
            <w:r>
              <w:rPr>
                <w:lang w:eastAsia="en-AU"/>
              </w:rPr>
              <w:br/>
              <w:t>$m</w:t>
            </w:r>
          </w:p>
        </w:tc>
      </w:tr>
      <w:tr w:rsidR="00FE7F8B" w14:paraId="5495B275" w14:textId="77777777" w:rsidTr="00FE7F8B">
        <w:tc>
          <w:tcPr>
            <w:tcW w:w="2977" w:type="dxa"/>
            <w:tcBorders>
              <w:top w:val="nil"/>
              <w:left w:val="nil"/>
              <w:bottom w:val="nil"/>
              <w:right w:val="nil"/>
            </w:tcBorders>
            <w:vAlign w:val="bottom"/>
            <w:hideMark/>
          </w:tcPr>
          <w:p w14:paraId="06A6B9CF" w14:textId="77777777" w:rsidR="00FE7F8B" w:rsidRDefault="00FE7F8B">
            <w:pPr>
              <w:pStyle w:val="Tabletextnoindent"/>
              <w:rPr>
                <w:b/>
              </w:rPr>
            </w:pPr>
            <w:r>
              <w:rPr>
                <w:b/>
              </w:rPr>
              <w:t>Controlled trusts</w:t>
            </w:r>
          </w:p>
        </w:tc>
        <w:tc>
          <w:tcPr>
            <w:tcW w:w="1144" w:type="dxa"/>
            <w:tcBorders>
              <w:top w:val="nil"/>
              <w:left w:val="nil"/>
              <w:bottom w:val="nil"/>
              <w:right w:val="nil"/>
            </w:tcBorders>
            <w:vAlign w:val="bottom"/>
          </w:tcPr>
          <w:p w14:paraId="4532E369" w14:textId="77777777" w:rsidR="00FE7F8B" w:rsidRDefault="00FE7F8B">
            <w:pPr>
              <w:pStyle w:val="TableTextFinancial"/>
            </w:pPr>
          </w:p>
        </w:tc>
        <w:tc>
          <w:tcPr>
            <w:tcW w:w="1134" w:type="dxa"/>
            <w:tcBorders>
              <w:top w:val="nil"/>
              <w:left w:val="nil"/>
              <w:bottom w:val="nil"/>
              <w:right w:val="nil"/>
            </w:tcBorders>
            <w:vAlign w:val="bottom"/>
          </w:tcPr>
          <w:p w14:paraId="4C4B093D" w14:textId="77777777" w:rsidR="00FE7F8B" w:rsidRDefault="00FE7F8B">
            <w:pPr>
              <w:pStyle w:val="TableTextFinancial"/>
            </w:pPr>
          </w:p>
        </w:tc>
        <w:tc>
          <w:tcPr>
            <w:tcW w:w="1134" w:type="dxa"/>
            <w:tcBorders>
              <w:top w:val="nil"/>
              <w:left w:val="nil"/>
              <w:bottom w:val="nil"/>
              <w:right w:val="nil"/>
            </w:tcBorders>
            <w:vAlign w:val="bottom"/>
          </w:tcPr>
          <w:p w14:paraId="75AE37AF" w14:textId="77777777" w:rsidR="00FE7F8B" w:rsidRDefault="00FE7F8B">
            <w:pPr>
              <w:pStyle w:val="TableTextFinancial"/>
            </w:pPr>
          </w:p>
        </w:tc>
        <w:tc>
          <w:tcPr>
            <w:tcW w:w="992" w:type="dxa"/>
            <w:tcBorders>
              <w:top w:val="nil"/>
              <w:left w:val="nil"/>
              <w:bottom w:val="nil"/>
              <w:right w:val="nil"/>
            </w:tcBorders>
            <w:vAlign w:val="bottom"/>
          </w:tcPr>
          <w:p w14:paraId="379B1C33" w14:textId="77777777" w:rsidR="00FE7F8B" w:rsidRDefault="00FE7F8B">
            <w:pPr>
              <w:pStyle w:val="TableTextFinancial"/>
            </w:pPr>
          </w:p>
        </w:tc>
      </w:tr>
      <w:tr w:rsidR="00FE7F8B" w14:paraId="60741C41" w14:textId="77777777" w:rsidTr="00FE7F8B">
        <w:tc>
          <w:tcPr>
            <w:tcW w:w="2977" w:type="dxa"/>
            <w:tcBorders>
              <w:top w:val="nil"/>
              <w:left w:val="nil"/>
              <w:bottom w:val="nil"/>
              <w:right w:val="nil"/>
            </w:tcBorders>
            <w:vAlign w:val="bottom"/>
            <w:hideMark/>
          </w:tcPr>
          <w:p w14:paraId="0DEC1BDB" w14:textId="77777777" w:rsidR="00FE7F8B" w:rsidRDefault="00FE7F8B">
            <w:pPr>
              <w:pStyle w:val="Tabletextnoindent"/>
              <w:spacing w:before="40"/>
            </w:pPr>
            <w:r>
              <w:t>State Treasury Trust</w:t>
            </w:r>
          </w:p>
        </w:tc>
        <w:tc>
          <w:tcPr>
            <w:tcW w:w="1144" w:type="dxa"/>
            <w:tcBorders>
              <w:top w:val="nil"/>
              <w:left w:val="nil"/>
              <w:bottom w:val="nil"/>
              <w:right w:val="nil"/>
            </w:tcBorders>
            <w:vAlign w:val="bottom"/>
            <w:hideMark/>
          </w:tcPr>
          <w:p w14:paraId="35F562DF" w14:textId="77777777" w:rsidR="00FE7F8B" w:rsidRDefault="00FE7F8B">
            <w:pPr>
              <w:pStyle w:val="TableTextFinancial"/>
              <w:jc w:val="right"/>
            </w:pPr>
            <w:r>
              <w:t>132.7</w:t>
            </w:r>
          </w:p>
        </w:tc>
        <w:tc>
          <w:tcPr>
            <w:tcW w:w="1134" w:type="dxa"/>
            <w:tcBorders>
              <w:top w:val="nil"/>
              <w:left w:val="nil"/>
              <w:bottom w:val="nil"/>
              <w:right w:val="nil"/>
            </w:tcBorders>
            <w:vAlign w:val="bottom"/>
            <w:hideMark/>
          </w:tcPr>
          <w:p w14:paraId="21DED556" w14:textId="77777777" w:rsidR="00FE7F8B" w:rsidRDefault="00FE7F8B">
            <w:pPr>
              <w:pStyle w:val="TableTextFinancial"/>
              <w:jc w:val="right"/>
            </w:pPr>
            <w:r>
              <w:t>71.3</w:t>
            </w:r>
          </w:p>
        </w:tc>
        <w:tc>
          <w:tcPr>
            <w:tcW w:w="1134" w:type="dxa"/>
            <w:tcBorders>
              <w:top w:val="nil"/>
              <w:left w:val="nil"/>
              <w:bottom w:val="nil"/>
              <w:right w:val="nil"/>
            </w:tcBorders>
            <w:vAlign w:val="bottom"/>
            <w:hideMark/>
          </w:tcPr>
          <w:p w14:paraId="7CAB134A" w14:textId="77777777" w:rsidR="00FE7F8B" w:rsidRDefault="00FE7F8B">
            <w:pPr>
              <w:pStyle w:val="TableTextFinancial"/>
              <w:jc w:val="right"/>
            </w:pPr>
            <w:r>
              <w:t>(68.8)</w:t>
            </w:r>
          </w:p>
        </w:tc>
        <w:tc>
          <w:tcPr>
            <w:tcW w:w="992" w:type="dxa"/>
            <w:tcBorders>
              <w:top w:val="nil"/>
              <w:left w:val="nil"/>
              <w:bottom w:val="nil"/>
              <w:right w:val="nil"/>
            </w:tcBorders>
            <w:vAlign w:val="bottom"/>
            <w:hideMark/>
          </w:tcPr>
          <w:p w14:paraId="4A0FEFEC" w14:textId="77777777" w:rsidR="00FE7F8B" w:rsidRDefault="00FE7F8B">
            <w:pPr>
              <w:pStyle w:val="TableTextFinancial"/>
              <w:jc w:val="right"/>
            </w:pPr>
            <w:r>
              <w:t>135.2</w:t>
            </w:r>
          </w:p>
        </w:tc>
      </w:tr>
      <w:tr w:rsidR="00FE7F8B" w14:paraId="793FA50D" w14:textId="77777777" w:rsidTr="00FE7F8B">
        <w:tc>
          <w:tcPr>
            <w:tcW w:w="2977" w:type="dxa"/>
            <w:tcBorders>
              <w:top w:val="nil"/>
              <w:left w:val="nil"/>
              <w:bottom w:val="single" w:sz="4" w:space="0" w:color="auto"/>
              <w:right w:val="nil"/>
            </w:tcBorders>
            <w:vAlign w:val="bottom"/>
            <w:hideMark/>
          </w:tcPr>
          <w:p w14:paraId="616CDC8D" w14:textId="77777777" w:rsidR="00FE7F8B" w:rsidRDefault="00FE7F8B">
            <w:pPr>
              <w:pStyle w:val="Tabletextnoindent"/>
              <w:spacing w:before="40"/>
            </w:pPr>
            <w:r>
              <w:t xml:space="preserve">Commonwealth Treasury Trust </w:t>
            </w:r>
          </w:p>
        </w:tc>
        <w:tc>
          <w:tcPr>
            <w:tcW w:w="1144" w:type="dxa"/>
            <w:tcBorders>
              <w:top w:val="nil"/>
              <w:left w:val="nil"/>
              <w:bottom w:val="single" w:sz="4" w:space="0" w:color="auto"/>
              <w:right w:val="nil"/>
            </w:tcBorders>
            <w:vAlign w:val="bottom"/>
            <w:hideMark/>
          </w:tcPr>
          <w:p w14:paraId="2855FF7D" w14:textId="77777777" w:rsidR="00FE7F8B" w:rsidRDefault="00FE7F8B">
            <w:pPr>
              <w:pStyle w:val="TableTextFinancial"/>
              <w:jc w:val="right"/>
            </w:pPr>
            <w:r>
              <w:t>10.0</w:t>
            </w:r>
          </w:p>
        </w:tc>
        <w:tc>
          <w:tcPr>
            <w:tcW w:w="1134" w:type="dxa"/>
            <w:tcBorders>
              <w:top w:val="nil"/>
              <w:left w:val="nil"/>
              <w:bottom w:val="single" w:sz="4" w:space="0" w:color="auto"/>
              <w:right w:val="nil"/>
            </w:tcBorders>
            <w:vAlign w:val="bottom"/>
            <w:hideMark/>
          </w:tcPr>
          <w:p w14:paraId="06373854" w14:textId="77777777" w:rsidR="00FE7F8B" w:rsidRDefault="00FE7F8B">
            <w:pPr>
              <w:pStyle w:val="TableTextFinancial"/>
              <w:jc w:val="right"/>
            </w:pPr>
            <w:r>
              <w:t>15.5</w:t>
            </w:r>
          </w:p>
        </w:tc>
        <w:tc>
          <w:tcPr>
            <w:tcW w:w="1134" w:type="dxa"/>
            <w:tcBorders>
              <w:top w:val="nil"/>
              <w:left w:val="nil"/>
              <w:bottom w:val="single" w:sz="4" w:space="0" w:color="auto"/>
              <w:right w:val="nil"/>
            </w:tcBorders>
            <w:vAlign w:val="bottom"/>
            <w:hideMark/>
          </w:tcPr>
          <w:p w14:paraId="0F78A0CC" w14:textId="77777777" w:rsidR="00FE7F8B" w:rsidRDefault="00FE7F8B">
            <w:pPr>
              <w:pStyle w:val="TableTextFinancial"/>
              <w:jc w:val="right"/>
            </w:pPr>
            <w:r>
              <w:t>(8.4)</w:t>
            </w:r>
          </w:p>
        </w:tc>
        <w:tc>
          <w:tcPr>
            <w:tcW w:w="992" w:type="dxa"/>
            <w:tcBorders>
              <w:top w:val="nil"/>
              <w:left w:val="nil"/>
              <w:bottom w:val="single" w:sz="4" w:space="0" w:color="auto"/>
              <w:right w:val="nil"/>
            </w:tcBorders>
            <w:vAlign w:val="bottom"/>
            <w:hideMark/>
          </w:tcPr>
          <w:p w14:paraId="21BD6104" w14:textId="77777777" w:rsidR="00FE7F8B" w:rsidRDefault="00FE7F8B">
            <w:pPr>
              <w:pStyle w:val="TableTextFinancial"/>
              <w:jc w:val="right"/>
            </w:pPr>
            <w:r>
              <w:t>17.0</w:t>
            </w:r>
          </w:p>
        </w:tc>
      </w:tr>
      <w:tr w:rsidR="00FE7F8B" w14:paraId="5BA36C2E" w14:textId="77777777" w:rsidTr="00FE7F8B">
        <w:tc>
          <w:tcPr>
            <w:tcW w:w="2977" w:type="dxa"/>
            <w:tcBorders>
              <w:top w:val="single" w:sz="4" w:space="0" w:color="auto"/>
              <w:left w:val="nil"/>
              <w:bottom w:val="single" w:sz="4" w:space="0" w:color="auto"/>
              <w:right w:val="nil"/>
            </w:tcBorders>
            <w:vAlign w:val="bottom"/>
            <w:hideMark/>
          </w:tcPr>
          <w:p w14:paraId="19ABD252" w14:textId="77777777" w:rsidR="00FE7F8B" w:rsidRDefault="00FE7F8B">
            <w:pPr>
              <w:pStyle w:val="Tabletextnoindent"/>
              <w:rPr>
                <w:b/>
              </w:rPr>
            </w:pPr>
            <w:r>
              <w:rPr>
                <w:b/>
              </w:rPr>
              <w:t>Total controlled trusts</w:t>
            </w:r>
          </w:p>
        </w:tc>
        <w:tc>
          <w:tcPr>
            <w:tcW w:w="1144" w:type="dxa"/>
            <w:tcBorders>
              <w:top w:val="single" w:sz="4" w:space="0" w:color="auto"/>
              <w:left w:val="nil"/>
              <w:bottom w:val="single" w:sz="4" w:space="0" w:color="auto"/>
              <w:right w:val="nil"/>
            </w:tcBorders>
            <w:vAlign w:val="bottom"/>
            <w:hideMark/>
          </w:tcPr>
          <w:p w14:paraId="6FB04B29" w14:textId="77777777" w:rsidR="00FE7F8B" w:rsidRDefault="00FE7F8B">
            <w:pPr>
              <w:pStyle w:val="TableTextFinancial"/>
              <w:jc w:val="right"/>
              <w:rPr>
                <w:b/>
              </w:rPr>
            </w:pPr>
            <w:r>
              <w:rPr>
                <w:b/>
              </w:rPr>
              <w:t>142.7</w:t>
            </w:r>
          </w:p>
        </w:tc>
        <w:tc>
          <w:tcPr>
            <w:tcW w:w="1134" w:type="dxa"/>
            <w:tcBorders>
              <w:top w:val="single" w:sz="4" w:space="0" w:color="auto"/>
              <w:left w:val="nil"/>
              <w:bottom w:val="single" w:sz="4" w:space="0" w:color="auto"/>
              <w:right w:val="nil"/>
            </w:tcBorders>
            <w:vAlign w:val="bottom"/>
            <w:hideMark/>
          </w:tcPr>
          <w:p w14:paraId="594046A6" w14:textId="77777777" w:rsidR="00FE7F8B" w:rsidRDefault="00FE7F8B">
            <w:pPr>
              <w:pStyle w:val="TableTextFinancial"/>
              <w:jc w:val="right"/>
              <w:rPr>
                <w:b/>
              </w:rPr>
            </w:pPr>
            <w:r>
              <w:rPr>
                <w:b/>
              </w:rPr>
              <w:t>86.8</w:t>
            </w:r>
          </w:p>
        </w:tc>
        <w:tc>
          <w:tcPr>
            <w:tcW w:w="1134" w:type="dxa"/>
            <w:tcBorders>
              <w:top w:val="single" w:sz="4" w:space="0" w:color="auto"/>
              <w:left w:val="nil"/>
              <w:bottom w:val="single" w:sz="4" w:space="0" w:color="auto"/>
              <w:right w:val="nil"/>
            </w:tcBorders>
            <w:vAlign w:val="bottom"/>
            <w:hideMark/>
          </w:tcPr>
          <w:p w14:paraId="11E337BB" w14:textId="77777777" w:rsidR="00FE7F8B" w:rsidRDefault="00FE7F8B">
            <w:pPr>
              <w:pStyle w:val="TableTextFinancial"/>
              <w:jc w:val="right"/>
              <w:rPr>
                <w:b/>
              </w:rPr>
            </w:pPr>
            <w:r>
              <w:rPr>
                <w:b/>
              </w:rPr>
              <w:t>(77.3)</w:t>
            </w:r>
          </w:p>
        </w:tc>
        <w:tc>
          <w:tcPr>
            <w:tcW w:w="992" w:type="dxa"/>
            <w:tcBorders>
              <w:top w:val="single" w:sz="4" w:space="0" w:color="auto"/>
              <w:left w:val="nil"/>
              <w:bottom w:val="single" w:sz="4" w:space="0" w:color="auto"/>
              <w:right w:val="nil"/>
            </w:tcBorders>
            <w:vAlign w:val="bottom"/>
            <w:hideMark/>
          </w:tcPr>
          <w:p w14:paraId="54DDCA36" w14:textId="77777777" w:rsidR="00FE7F8B" w:rsidRDefault="00FE7F8B">
            <w:pPr>
              <w:pStyle w:val="TableTextFinancial"/>
              <w:jc w:val="right"/>
              <w:rPr>
                <w:b/>
              </w:rPr>
            </w:pPr>
            <w:r>
              <w:rPr>
                <w:b/>
              </w:rPr>
              <w:t>152.2</w:t>
            </w:r>
          </w:p>
        </w:tc>
      </w:tr>
      <w:tr w:rsidR="00FE7F8B" w14:paraId="131DF1A5" w14:textId="77777777" w:rsidTr="00FE7F8B">
        <w:tc>
          <w:tcPr>
            <w:tcW w:w="2977" w:type="dxa"/>
            <w:tcBorders>
              <w:top w:val="single" w:sz="4" w:space="0" w:color="auto"/>
              <w:left w:val="nil"/>
              <w:bottom w:val="nil"/>
              <w:right w:val="nil"/>
            </w:tcBorders>
            <w:vAlign w:val="bottom"/>
            <w:hideMark/>
          </w:tcPr>
          <w:p w14:paraId="277A1680" w14:textId="77777777" w:rsidR="00FE7F8B" w:rsidRDefault="00FE7F8B">
            <w:pPr>
              <w:pStyle w:val="Tabletextnoindent"/>
              <w:rPr>
                <w:b/>
              </w:rPr>
            </w:pPr>
            <w:r>
              <w:rPr>
                <w:b/>
              </w:rPr>
              <w:t>Administered trusts</w:t>
            </w:r>
          </w:p>
        </w:tc>
        <w:tc>
          <w:tcPr>
            <w:tcW w:w="1144" w:type="dxa"/>
            <w:tcBorders>
              <w:top w:val="single" w:sz="4" w:space="0" w:color="auto"/>
              <w:left w:val="nil"/>
              <w:bottom w:val="nil"/>
              <w:right w:val="nil"/>
            </w:tcBorders>
            <w:vAlign w:val="bottom"/>
          </w:tcPr>
          <w:p w14:paraId="11BDF4A9" w14:textId="77777777" w:rsidR="00FE7F8B" w:rsidRDefault="00FE7F8B">
            <w:pPr>
              <w:pStyle w:val="TableTextFinancial"/>
              <w:jc w:val="right"/>
            </w:pPr>
          </w:p>
        </w:tc>
        <w:tc>
          <w:tcPr>
            <w:tcW w:w="1134" w:type="dxa"/>
            <w:tcBorders>
              <w:top w:val="single" w:sz="4" w:space="0" w:color="auto"/>
              <w:left w:val="nil"/>
              <w:bottom w:val="nil"/>
              <w:right w:val="nil"/>
            </w:tcBorders>
            <w:vAlign w:val="bottom"/>
          </w:tcPr>
          <w:p w14:paraId="3F5FA7CC" w14:textId="77777777" w:rsidR="00FE7F8B" w:rsidRDefault="00FE7F8B">
            <w:pPr>
              <w:pStyle w:val="TableTextFinancial"/>
              <w:jc w:val="right"/>
            </w:pPr>
          </w:p>
        </w:tc>
        <w:tc>
          <w:tcPr>
            <w:tcW w:w="1134" w:type="dxa"/>
            <w:tcBorders>
              <w:top w:val="single" w:sz="4" w:space="0" w:color="auto"/>
              <w:left w:val="nil"/>
              <w:bottom w:val="nil"/>
              <w:right w:val="nil"/>
            </w:tcBorders>
            <w:vAlign w:val="bottom"/>
          </w:tcPr>
          <w:p w14:paraId="53B523FC" w14:textId="77777777" w:rsidR="00FE7F8B" w:rsidRDefault="00FE7F8B">
            <w:pPr>
              <w:pStyle w:val="TableTextFinancial"/>
              <w:jc w:val="right"/>
            </w:pPr>
          </w:p>
        </w:tc>
        <w:tc>
          <w:tcPr>
            <w:tcW w:w="992" w:type="dxa"/>
            <w:tcBorders>
              <w:top w:val="single" w:sz="4" w:space="0" w:color="auto"/>
              <w:left w:val="nil"/>
              <w:bottom w:val="nil"/>
              <w:right w:val="nil"/>
            </w:tcBorders>
            <w:vAlign w:val="bottom"/>
          </w:tcPr>
          <w:p w14:paraId="67326372" w14:textId="77777777" w:rsidR="00FE7F8B" w:rsidRDefault="00FE7F8B">
            <w:pPr>
              <w:pStyle w:val="TableTextFinancial"/>
              <w:jc w:val="right"/>
            </w:pPr>
          </w:p>
        </w:tc>
      </w:tr>
      <w:tr w:rsidR="00FE7F8B" w14:paraId="467D262A" w14:textId="77777777" w:rsidTr="00FE7F8B">
        <w:tc>
          <w:tcPr>
            <w:tcW w:w="2977" w:type="dxa"/>
            <w:tcBorders>
              <w:top w:val="nil"/>
              <w:left w:val="nil"/>
              <w:bottom w:val="nil"/>
              <w:right w:val="nil"/>
            </w:tcBorders>
            <w:vAlign w:val="bottom"/>
            <w:hideMark/>
          </w:tcPr>
          <w:p w14:paraId="7ECC09A0" w14:textId="77777777" w:rsidR="00FE7F8B" w:rsidRDefault="00FE7F8B">
            <w:pPr>
              <w:pStyle w:val="Tabletextnoindent"/>
              <w:spacing w:before="40"/>
            </w:pPr>
            <w:r>
              <w:t>Prizes and scholarships</w:t>
            </w:r>
          </w:p>
        </w:tc>
        <w:tc>
          <w:tcPr>
            <w:tcW w:w="1144" w:type="dxa"/>
            <w:tcBorders>
              <w:top w:val="nil"/>
              <w:left w:val="nil"/>
              <w:bottom w:val="nil"/>
              <w:right w:val="nil"/>
            </w:tcBorders>
            <w:vAlign w:val="bottom"/>
            <w:hideMark/>
          </w:tcPr>
          <w:p w14:paraId="749A3249" w14:textId="77777777" w:rsidR="00FE7F8B" w:rsidRDefault="00FE7F8B">
            <w:pPr>
              <w:pStyle w:val="TableTextFinancial"/>
              <w:jc w:val="right"/>
            </w:pPr>
            <w:r>
              <w:t>2.3</w:t>
            </w:r>
          </w:p>
        </w:tc>
        <w:tc>
          <w:tcPr>
            <w:tcW w:w="1134" w:type="dxa"/>
            <w:tcBorders>
              <w:top w:val="nil"/>
              <w:left w:val="nil"/>
              <w:bottom w:val="nil"/>
              <w:right w:val="nil"/>
            </w:tcBorders>
            <w:vAlign w:val="bottom"/>
            <w:hideMark/>
          </w:tcPr>
          <w:p w14:paraId="5A8821C4" w14:textId="77777777" w:rsidR="00FE7F8B" w:rsidRDefault="00FE7F8B">
            <w:pPr>
              <w:pStyle w:val="TableTextFinancial"/>
              <w:jc w:val="right"/>
            </w:pPr>
            <w:r>
              <w:t>0.3</w:t>
            </w:r>
          </w:p>
        </w:tc>
        <w:tc>
          <w:tcPr>
            <w:tcW w:w="1134" w:type="dxa"/>
            <w:tcBorders>
              <w:top w:val="nil"/>
              <w:left w:val="nil"/>
              <w:bottom w:val="nil"/>
              <w:right w:val="nil"/>
            </w:tcBorders>
            <w:vAlign w:val="bottom"/>
            <w:hideMark/>
          </w:tcPr>
          <w:p w14:paraId="338430CC" w14:textId="77777777" w:rsidR="00FE7F8B" w:rsidRDefault="00FE7F8B">
            <w:pPr>
              <w:pStyle w:val="TableTextFinancial"/>
              <w:jc w:val="right"/>
            </w:pPr>
            <w:r>
              <w:t>(0.9)</w:t>
            </w:r>
          </w:p>
        </w:tc>
        <w:tc>
          <w:tcPr>
            <w:tcW w:w="992" w:type="dxa"/>
            <w:tcBorders>
              <w:top w:val="nil"/>
              <w:left w:val="nil"/>
              <w:bottom w:val="nil"/>
              <w:right w:val="nil"/>
            </w:tcBorders>
            <w:vAlign w:val="bottom"/>
            <w:hideMark/>
          </w:tcPr>
          <w:p w14:paraId="7150DEB8" w14:textId="77777777" w:rsidR="00FE7F8B" w:rsidRDefault="00FE7F8B">
            <w:pPr>
              <w:pStyle w:val="TableTextFinancial"/>
              <w:jc w:val="right"/>
            </w:pPr>
            <w:r>
              <w:t>1.6</w:t>
            </w:r>
          </w:p>
        </w:tc>
      </w:tr>
      <w:tr w:rsidR="00FE7F8B" w14:paraId="1F9C7667" w14:textId="77777777" w:rsidTr="00FE7F8B">
        <w:tc>
          <w:tcPr>
            <w:tcW w:w="2977" w:type="dxa"/>
            <w:tcBorders>
              <w:top w:val="nil"/>
              <w:left w:val="nil"/>
              <w:bottom w:val="nil"/>
              <w:right w:val="nil"/>
            </w:tcBorders>
            <w:vAlign w:val="bottom"/>
            <w:hideMark/>
          </w:tcPr>
          <w:p w14:paraId="4A2DF3B2" w14:textId="77777777" w:rsidR="00FE7F8B" w:rsidRDefault="00FE7F8B">
            <w:pPr>
              <w:pStyle w:val="Tabletextnoindent"/>
              <w:spacing w:before="40"/>
            </w:pPr>
            <w:r>
              <w:t>Commuter club</w:t>
            </w:r>
          </w:p>
        </w:tc>
        <w:tc>
          <w:tcPr>
            <w:tcW w:w="1144" w:type="dxa"/>
            <w:tcBorders>
              <w:top w:val="nil"/>
              <w:left w:val="nil"/>
              <w:bottom w:val="nil"/>
              <w:right w:val="nil"/>
            </w:tcBorders>
            <w:vAlign w:val="bottom"/>
            <w:hideMark/>
          </w:tcPr>
          <w:p w14:paraId="5FEAD6B8" w14:textId="77777777" w:rsidR="00FE7F8B" w:rsidRDefault="00FE7F8B">
            <w:pPr>
              <w:pStyle w:val="TableTextFinancial"/>
              <w:jc w:val="right"/>
            </w:pPr>
            <w:r>
              <w:t>(0.1)</w:t>
            </w:r>
          </w:p>
        </w:tc>
        <w:tc>
          <w:tcPr>
            <w:tcW w:w="1134" w:type="dxa"/>
            <w:tcBorders>
              <w:top w:val="nil"/>
              <w:left w:val="nil"/>
              <w:bottom w:val="nil"/>
              <w:right w:val="nil"/>
            </w:tcBorders>
            <w:vAlign w:val="bottom"/>
            <w:hideMark/>
          </w:tcPr>
          <w:p w14:paraId="4F3C2FA1" w14:textId="77777777" w:rsidR="00FE7F8B" w:rsidRDefault="00FE7F8B">
            <w:pPr>
              <w:pStyle w:val="TableTextFinancial"/>
              <w:jc w:val="right"/>
            </w:pPr>
            <w:r>
              <w:t>0.9</w:t>
            </w:r>
          </w:p>
        </w:tc>
        <w:tc>
          <w:tcPr>
            <w:tcW w:w="1134" w:type="dxa"/>
            <w:tcBorders>
              <w:top w:val="nil"/>
              <w:left w:val="nil"/>
              <w:bottom w:val="nil"/>
              <w:right w:val="nil"/>
            </w:tcBorders>
            <w:vAlign w:val="bottom"/>
            <w:hideMark/>
          </w:tcPr>
          <w:p w14:paraId="52FC04B6" w14:textId="77777777" w:rsidR="00FE7F8B" w:rsidRDefault="00FE7F8B">
            <w:pPr>
              <w:pStyle w:val="TableTextFinancial"/>
              <w:jc w:val="right"/>
            </w:pPr>
            <w:r>
              <w:t>(0.8)</w:t>
            </w:r>
          </w:p>
        </w:tc>
        <w:tc>
          <w:tcPr>
            <w:tcW w:w="992" w:type="dxa"/>
            <w:tcBorders>
              <w:top w:val="nil"/>
              <w:left w:val="nil"/>
              <w:bottom w:val="nil"/>
              <w:right w:val="nil"/>
            </w:tcBorders>
            <w:vAlign w:val="bottom"/>
            <w:hideMark/>
          </w:tcPr>
          <w:p w14:paraId="294D9010" w14:textId="77777777" w:rsidR="00FE7F8B" w:rsidRDefault="00FE7F8B">
            <w:pPr>
              <w:pStyle w:val="TableTextFinancial"/>
              <w:jc w:val="right"/>
            </w:pPr>
            <w:r>
              <w:t>-</w:t>
            </w:r>
          </w:p>
        </w:tc>
      </w:tr>
      <w:tr w:rsidR="00FE7F8B" w14:paraId="2646CB81" w14:textId="77777777" w:rsidTr="00FE7F8B">
        <w:tc>
          <w:tcPr>
            <w:tcW w:w="2977" w:type="dxa"/>
            <w:tcBorders>
              <w:top w:val="nil"/>
              <w:left w:val="nil"/>
              <w:bottom w:val="single" w:sz="4" w:space="0" w:color="auto"/>
              <w:right w:val="nil"/>
            </w:tcBorders>
            <w:vAlign w:val="bottom"/>
            <w:hideMark/>
          </w:tcPr>
          <w:p w14:paraId="507716EC" w14:textId="77777777" w:rsidR="00FE7F8B" w:rsidRDefault="00FE7F8B">
            <w:pPr>
              <w:pStyle w:val="Tabletextnoindent"/>
              <w:spacing w:before="40"/>
            </w:pPr>
            <w:r>
              <w:t>On-passing from the Commonwealth</w:t>
            </w:r>
          </w:p>
        </w:tc>
        <w:tc>
          <w:tcPr>
            <w:tcW w:w="1144" w:type="dxa"/>
            <w:tcBorders>
              <w:top w:val="nil"/>
              <w:left w:val="nil"/>
              <w:bottom w:val="single" w:sz="4" w:space="0" w:color="auto"/>
              <w:right w:val="nil"/>
            </w:tcBorders>
            <w:vAlign w:val="bottom"/>
            <w:hideMark/>
          </w:tcPr>
          <w:p w14:paraId="03B73CD8" w14:textId="77777777" w:rsidR="00FE7F8B" w:rsidRDefault="00FE7F8B">
            <w:pPr>
              <w:pStyle w:val="TableTextFinancial"/>
              <w:jc w:val="right"/>
            </w:pPr>
            <w:r>
              <w:t>0.6</w:t>
            </w:r>
          </w:p>
        </w:tc>
        <w:tc>
          <w:tcPr>
            <w:tcW w:w="1134" w:type="dxa"/>
            <w:tcBorders>
              <w:top w:val="nil"/>
              <w:left w:val="nil"/>
              <w:bottom w:val="single" w:sz="4" w:space="0" w:color="auto"/>
              <w:right w:val="nil"/>
            </w:tcBorders>
            <w:vAlign w:val="bottom"/>
            <w:hideMark/>
          </w:tcPr>
          <w:p w14:paraId="27A5ED88" w14:textId="77777777" w:rsidR="00FE7F8B" w:rsidRDefault="00FE7F8B">
            <w:pPr>
              <w:pStyle w:val="TableTextFinancial"/>
              <w:jc w:val="right"/>
            </w:pPr>
            <w:r>
              <w:t>2,682.5</w:t>
            </w:r>
          </w:p>
        </w:tc>
        <w:tc>
          <w:tcPr>
            <w:tcW w:w="1134" w:type="dxa"/>
            <w:tcBorders>
              <w:top w:val="nil"/>
              <w:left w:val="nil"/>
              <w:bottom w:val="single" w:sz="4" w:space="0" w:color="auto"/>
              <w:right w:val="nil"/>
            </w:tcBorders>
            <w:vAlign w:val="bottom"/>
            <w:hideMark/>
          </w:tcPr>
          <w:p w14:paraId="239643B0" w14:textId="77777777" w:rsidR="00FE7F8B" w:rsidRDefault="00FE7F8B">
            <w:pPr>
              <w:pStyle w:val="TableTextFinancial"/>
              <w:jc w:val="right"/>
            </w:pPr>
            <w:r>
              <w:t>(2,682.5)</w:t>
            </w:r>
          </w:p>
        </w:tc>
        <w:tc>
          <w:tcPr>
            <w:tcW w:w="992" w:type="dxa"/>
            <w:tcBorders>
              <w:top w:val="nil"/>
              <w:left w:val="nil"/>
              <w:bottom w:val="single" w:sz="4" w:space="0" w:color="auto"/>
              <w:right w:val="nil"/>
            </w:tcBorders>
            <w:vAlign w:val="bottom"/>
            <w:hideMark/>
          </w:tcPr>
          <w:p w14:paraId="56AF8323" w14:textId="77777777" w:rsidR="00FE7F8B" w:rsidRDefault="00FE7F8B">
            <w:pPr>
              <w:pStyle w:val="TableTextFinancial"/>
              <w:jc w:val="right"/>
            </w:pPr>
            <w:r>
              <w:t>0.6</w:t>
            </w:r>
          </w:p>
        </w:tc>
      </w:tr>
      <w:tr w:rsidR="00FE7F8B" w14:paraId="0B1A32D1" w14:textId="77777777" w:rsidTr="00FE7F8B">
        <w:tc>
          <w:tcPr>
            <w:tcW w:w="2977" w:type="dxa"/>
            <w:tcBorders>
              <w:top w:val="single" w:sz="4" w:space="0" w:color="auto"/>
              <w:left w:val="nil"/>
              <w:bottom w:val="single" w:sz="4" w:space="0" w:color="auto"/>
              <w:right w:val="nil"/>
            </w:tcBorders>
            <w:vAlign w:val="bottom"/>
            <w:hideMark/>
          </w:tcPr>
          <w:p w14:paraId="04F9DC06" w14:textId="77777777" w:rsidR="00FE7F8B" w:rsidRDefault="00FE7F8B">
            <w:pPr>
              <w:pStyle w:val="Tabletextnoindent"/>
              <w:rPr>
                <w:b/>
              </w:rPr>
            </w:pPr>
            <w:r>
              <w:rPr>
                <w:b/>
              </w:rPr>
              <w:t>Total administered trusts</w:t>
            </w:r>
          </w:p>
        </w:tc>
        <w:tc>
          <w:tcPr>
            <w:tcW w:w="1144" w:type="dxa"/>
            <w:tcBorders>
              <w:top w:val="single" w:sz="4" w:space="0" w:color="auto"/>
              <w:left w:val="nil"/>
              <w:bottom w:val="single" w:sz="4" w:space="0" w:color="auto"/>
              <w:right w:val="nil"/>
            </w:tcBorders>
            <w:vAlign w:val="bottom"/>
            <w:hideMark/>
          </w:tcPr>
          <w:p w14:paraId="007A8296" w14:textId="77777777" w:rsidR="00FE7F8B" w:rsidRDefault="00FE7F8B">
            <w:pPr>
              <w:pStyle w:val="TableTextFinancial"/>
              <w:jc w:val="right"/>
              <w:rPr>
                <w:b/>
              </w:rPr>
            </w:pPr>
            <w:r>
              <w:rPr>
                <w:b/>
              </w:rPr>
              <w:t>2.8</w:t>
            </w:r>
          </w:p>
        </w:tc>
        <w:tc>
          <w:tcPr>
            <w:tcW w:w="1134" w:type="dxa"/>
            <w:tcBorders>
              <w:top w:val="single" w:sz="4" w:space="0" w:color="auto"/>
              <w:left w:val="nil"/>
              <w:bottom w:val="single" w:sz="4" w:space="0" w:color="auto"/>
              <w:right w:val="nil"/>
            </w:tcBorders>
            <w:vAlign w:val="bottom"/>
            <w:hideMark/>
          </w:tcPr>
          <w:p w14:paraId="76F07501" w14:textId="77777777" w:rsidR="00FE7F8B" w:rsidRDefault="00FE7F8B">
            <w:pPr>
              <w:pStyle w:val="TableTextFinancial"/>
              <w:jc w:val="right"/>
              <w:rPr>
                <w:b/>
              </w:rPr>
            </w:pPr>
            <w:r>
              <w:rPr>
                <w:b/>
              </w:rPr>
              <w:t>2,683.6</w:t>
            </w:r>
          </w:p>
        </w:tc>
        <w:tc>
          <w:tcPr>
            <w:tcW w:w="1134" w:type="dxa"/>
            <w:tcBorders>
              <w:top w:val="single" w:sz="4" w:space="0" w:color="auto"/>
              <w:left w:val="nil"/>
              <w:bottom w:val="single" w:sz="4" w:space="0" w:color="auto"/>
              <w:right w:val="nil"/>
            </w:tcBorders>
            <w:vAlign w:val="bottom"/>
            <w:hideMark/>
          </w:tcPr>
          <w:p w14:paraId="01C59045" w14:textId="77777777" w:rsidR="00FE7F8B" w:rsidRDefault="00FE7F8B">
            <w:pPr>
              <w:pStyle w:val="TableTextFinancial"/>
              <w:jc w:val="right"/>
              <w:rPr>
                <w:b/>
              </w:rPr>
            </w:pPr>
            <w:r>
              <w:rPr>
                <w:b/>
              </w:rPr>
              <w:t>(2,684.2)</w:t>
            </w:r>
          </w:p>
        </w:tc>
        <w:tc>
          <w:tcPr>
            <w:tcW w:w="992" w:type="dxa"/>
            <w:tcBorders>
              <w:top w:val="single" w:sz="4" w:space="0" w:color="auto"/>
              <w:left w:val="nil"/>
              <w:bottom w:val="single" w:sz="4" w:space="0" w:color="auto"/>
              <w:right w:val="nil"/>
            </w:tcBorders>
            <w:vAlign w:val="bottom"/>
            <w:hideMark/>
          </w:tcPr>
          <w:p w14:paraId="133C4B1C" w14:textId="77777777" w:rsidR="00FE7F8B" w:rsidRDefault="00FE7F8B">
            <w:pPr>
              <w:pStyle w:val="TableTextFinancial"/>
              <w:jc w:val="right"/>
              <w:rPr>
                <w:b/>
              </w:rPr>
            </w:pPr>
            <w:r>
              <w:rPr>
                <w:b/>
              </w:rPr>
              <w:t>2.3</w:t>
            </w:r>
          </w:p>
        </w:tc>
      </w:tr>
    </w:tbl>
    <w:p w14:paraId="071C248A" w14:textId="77777777" w:rsidR="00FE7F8B" w:rsidRDefault="00FE7F8B" w:rsidP="00FE7F8B">
      <w:pPr>
        <w:pStyle w:val="Normalaftertable"/>
      </w:pPr>
      <w:bookmarkStart w:id="142" w:name="_Ref399497664"/>
      <w:bookmarkStart w:id="143" w:name="_Toc399491083"/>
      <w:r>
        <w:t xml:space="preserve">There </w:t>
      </w:r>
      <w:proofErr w:type="gramStart"/>
      <w:r>
        <w:t>were no trust</w:t>
      </w:r>
      <w:proofErr w:type="gramEnd"/>
      <w:r>
        <w:t xml:space="preserve"> accounts opened and closed by the Department during 2016.</w:t>
      </w:r>
    </w:p>
    <w:p w14:paraId="5DB286D7" w14:textId="77777777" w:rsidR="00FE7F8B" w:rsidRDefault="00FE7F8B" w:rsidP="00FE7F8B">
      <w:r>
        <w:t xml:space="preserve">The State trust fund of the State of Victoria operates by virtue of Section 19 of the </w:t>
      </w:r>
      <w:r>
        <w:rPr>
          <w:i/>
        </w:rPr>
        <w:t>Financial Management Act 1994</w:t>
      </w:r>
      <w:r>
        <w:t>.</w:t>
      </w:r>
    </w:p>
    <w:p w14:paraId="24EBD59A" w14:textId="77777777" w:rsidR="00FE7F8B" w:rsidRDefault="00FE7F8B" w:rsidP="00FE7F8B">
      <w:r>
        <w:t xml:space="preserve">The trust fund is comprised of individual trust accounts approved by the Minister for Finance under Section 19(1) of the </w:t>
      </w:r>
      <w:r>
        <w:rPr>
          <w:i/>
        </w:rPr>
        <w:t>Financial Management Act 1994</w:t>
      </w:r>
      <w:r>
        <w:t xml:space="preserve"> and trust accounts created by other Acts of Parliament.</w:t>
      </w:r>
    </w:p>
    <w:p w14:paraId="066E3337" w14:textId="366CA1E5" w:rsidR="00FE7F8B" w:rsidRDefault="00FE7F8B" w:rsidP="00FE7F8B">
      <w:r>
        <w:t>Trust accounts are used as the legal mecha</w:t>
      </w:r>
      <w:r w:rsidR="009B19DF">
        <w:t>nism to record and access monies</w:t>
      </w:r>
      <w:r>
        <w:t xml:space="preserve"> for specific, clearly-identified purposes and are not funded by State Appropriation unless approved by the Department of Treasury and Finance or provided by specific legislation.</w:t>
      </w:r>
    </w:p>
    <w:p w14:paraId="4CAF7648" w14:textId="77777777" w:rsidR="00FE7F8B" w:rsidRDefault="00FE7F8B" w:rsidP="00FE7F8B">
      <w:pPr>
        <w:autoSpaceDE w:val="0"/>
        <w:autoSpaceDN w:val="0"/>
        <w:adjustRightInd w:val="0"/>
        <w:spacing w:after="141" w:line="240" w:lineRule="auto"/>
        <w:rPr>
          <w:rFonts w:ascii="Times New Roman" w:hAnsi="Times New Roman"/>
          <w:sz w:val="24"/>
          <w:lang w:val="en-US"/>
        </w:rPr>
      </w:pPr>
      <w:r>
        <w:rPr>
          <w:rFonts w:cs="Arial"/>
          <w:sz w:val="18"/>
          <w:szCs w:val="18"/>
          <w:lang w:val="en-US"/>
        </w:rPr>
        <w:t>Monies recorded in the trust accounts have been recently reviewed by the Department. Upon this review, some categories of monies have been identified as needing to be corrected which will include creating separate authorities. During the 2016/17 financial year, the Department will continue to work through these monies and re-allocate them where appropriate.</w:t>
      </w:r>
    </w:p>
    <w:p w14:paraId="025995EE" w14:textId="77777777" w:rsidR="00FE7F8B" w:rsidRDefault="00FE7F8B" w:rsidP="00FE7F8B">
      <w:pPr>
        <w:spacing w:after="0" w:line="240" w:lineRule="auto"/>
        <w:sectPr w:rsidR="00FE7F8B">
          <w:pgSz w:w="11906" w:h="16838"/>
          <w:pgMar w:top="1814" w:right="1701" w:bottom="1418" w:left="2835" w:header="851" w:footer="567" w:gutter="0"/>
          <w:cols w:space="720"/>
        </w:sectPr>
      </w:pPr>
    </w:p>
    <w:p w14:paraId="41D982E8" w14:textId="77777777" w:rsidR="00FE7F8B" w:rsidRDefault="00FE7F8B" w:rsidP="00AD641C">
      <w:pPr>
        <w:pStyle w:val="Heading2notes"/>
        <w:numPr>
          <w:ilvl w:val="0"/>
          <w:numId w:val="39"/>
        </w:numPr>
      </w:pPr>
      <w:bookmarkStart w:id="144" w:name="_Toc461176316"/>
      <w:r>
        <w:t>Glossary of terms and style conventions</w:t>
      </w:r>
      <w:bookmarkEnd w:id="142"/>
      <w:bookmarkEnd w:id="143"/>
      <w:bookmarkEnd w:id="144"/>
    </w:p>
    <w:p w14:paraId="507FE802" w14:textId="77777777" w:rsidR="00FE7F8B" w:rsidRDefault="00FE7F8B" w:rsidP="00FE7F8B">
      <w:pPr>
        <w:pStyle w:val="Heading3Notesbold"/>
      </w:pPr>
      <w:r>
        <w:t>Active and Liquid Market</w:t>
      </w:r>
    </w:p>
    <w:p w14:paraId="55F46A85" w14:textId="77777777" w:rsidR="00FE7F8B" w:rsidRDefault="00FE7F8B" w:rsidP="00FE7F8B">
      <w:pPr>
        <w:rPr>
          <w:rFonts w:eastAsia="Calibri"/>
        </w:rPr>
      </w:pPr>
      <w:r>
        <w:t>Active liquid market refers to any market in which there are many buyers and sellers present and in which transactions can take place with relative ease and low costs</w:t>
      </w:r>
      <w:r>
        <w:rPr>
          <w:rFonts w:eastAsia="Calibri"/>
        </w:rPr>
        <w:t>.</w:t>
      </w:r>
    </w:p>
    <w:p w14:paraId="1CA74955" w14:textId="77777777" w:rsidR="00FE7F8B" w:rsidRDefault="00FE7F8B" w:rsidP="00FE7F8B">
      <w:pPr>
        <w:pStyle w:val="Heading3Notesbold"/>
        <w:spacing w:before="120"/>
      </w:pPr>
      <w:r>
        <w:t>Actuarial gains or losses on superannuation defined benefit plans</w:t>
      </w:r>
    </w:p>
    <w:p w14:paraId="58B513A0" w14:textId="77777777" w:rsidR="00FE7F8B" w:rsidRDefault="00FE7F8B" w:rsidP="00FE7F8B">
      <w:r>
        <w:t>Actuarial gains or losses are changes in the present value of the superannuation defined benefit liability resulting from:</w:t>
      </w:r>
    </w:p>
    <w:p w14:paraId="35BEC17C" w14:textId="77777777" w:rsidR="00FE7F8B" w:rsidRDefault="00FE7F8B" w:rsidP="00AD641C">
      <w:pPr>
        <w:pStyle w:val="Normallistbullet"/>
        <w:numPr>
          <w:ilvl w:val="0"/>
          <w:numId w:val="42"/>
        </w:numPr>
      </w:pPr>
      <w:r>
        <w:t>experience adjustments (the effects of differences between the previous actuarial assumptions and what has actually occurred)</w:t>
      </w:r>
    </w:p>
    <w:p w14:paraId="72117C26" w14:textId="77777777" w:rsidR="00FE7F8B" w:rsidRDefault="00FE7F8B" w:rsidP="00AD641C">
      <w:pPr>
        <w:pStyle w:val="Normallistbullet"/>
        <w:numPr>
          <w:ilvl w:val="0"/>
          <w:numId w:val="42"/>
        </w:numPr>
      </w:pPr>
      <w:proofErr w:type="gramStart"/>
      <w:r>
        <w:t>the</w:t>
      </w:r>
      <w:proofErr w:type="gramEnd"/>
      <w:r>
        <w:t xml:space="preserve"> effects of changes in actuarial assumptions.</w:t>
      </w:r>
    </w:p>
    <w:p w14:paraId="23D4B04C" w14:textId="77777777" w:rsidR="00FE7F8B" w:rsidRDefault="00FE7F8B" w:rsidP="00FE7F8B">
      <w:pPr>
        <w:pStyle w:val="Heading3Notesbold"/>
        <w:spacing w:before="120"/>
      </w:pPr>
      <w:r>
        <w:t>Administered item</w:t>
      </w:r>
    </w:p>
    <w:p w14:paraId="317C1C11" w14:textId="77777777" w:rsidR="00FE7F8B" w:rsidRDefault="00FE7F8B" w:rsidP="00FE7F8B">
      <w:r>
        <w:t>Administered item generally refers to a department lacking the capacity to benefit from that item in the pursuit of the entity’s objectives and to deny or regulate the access of others to that benefit.</w:t>
      </w:r>
    </w:p>
    <w:p w14:paraId="014D8475"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Amortisation</w:t>
      </w:r>
    </w:p>
    <w:p w14:paraId="15DF2C89" w14:textId="3C4FE7F7" w:rsidR="00FE7F8B" w:rsidRDefault="00FE7F8B" w:rsidP="00FE7F8B">
      <w:r>
        <w:t xml:space="preserve">Amortisation is the expense which results from the consumption, extraction or use over time of a non-produced physical or intangible asset. This expense is classified as </w:t>
      </w:r>
      <w:proofErr w:type="spellStart"/>
      <w:proofErr w:type="gramStart"/>
      <w:r>
        <w:t>an</w:t>
      </w:r>
      <w:r w:rsidR="009B19DF">
        <w:t xml:space="preserve"> </w:t>
      </w:r>
      <w:r>
        <w:t>other</w:t>
      </w:r>
      <w:proofErr w:type="spellEnd"/>
      <w:proofErr w:type="gramEnd"/>
      <w:r>
        <w:t xml:space="preserve"> economic flow.</w:t>
      </w:r>
    </w:p>
    <w:p w14:paraId="2DBC47CF"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Associates</w:t>
      </w:r>
    </w:p>
    <w:p w14:paraId="2B1B8C7B" w14:textId="77777777" w:rsidR="00FE7F8B" w:rsidRDefault="00FE7F8B" w:rsidP="00FE7F8B">
      <w:r>
        <w:t>Associates are all entities over which an entity has significant influence but not control, generally accompanying a shareholding and voting rights of between 20 per cent and 50 per cent.</w:t>
      </w:r>
    </w:p>
    <w:p w14:paraId="5AE91653" w14:textId="77777777" w:rsidR="00FE7F8B" w:rsidRDefault="00FE7F8B" w:rsidP="00FE7F8B">
      <w:pPr>
        <w:pStyle w:val="Heading3Notesbold"/>
        <w:spacing w:before="120"/>
      </w:pPr>
      <w:r>
        <w:t>Borrowings</w:t>
      </w:r>
    </w:p>
    <w:p w14:paraId="3B0A42DC" w14:textId="77777777" w:rsidR="00FE7F8B" w:rsidRDefault="00FE7F8B" w:rsidP="00FE7F8B">
      <w:proofErr w:type="gramStart"/>
      <w:r>
        <w:t>Borrowings refers</w:t>
      </w:r>
      <w:proofErr w:type="gramEnd"/>
      <w:r>
        <w:t xml:space="preserve"> to interest-bearing liabilities mainly raised from public borrowings raised through the Treasury Corporation of Victoria, finance leases and other interest-bearing arrangements. Borrowings also include non-interest-bearing advances from government that are acquired for policy purposes.</w:t>
      </w:r>
    </w:p>
    <w:p w14:paraId="13B3C5D8"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Capital asset charge</w:t>
      </w:r>
    </w:p>
    <w:p w14:paraId="72B9B3BA" w14:textId="77777777" w:rsidR="00FE7F8B" w:rsidRDefault="00FE7F8B" w:rsidP="00FE7F8B">
      <w:r>
        <w:t>A charge levied on the written down value of controlled non-current physical assets in a department’s balance sheet which aims to: attribute to agency outputs the opportunity cost of capital used in service delivery; and provide incentives to departments to identify and dispose of underutilised or surplus assets in a timely manner.</w:t>
      </w:r>
    </w:p>
    <w:p w14:paraId="5930D29E"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Commitments</w:t>
      </w:r>
    </w:p>
    <w:p w14:paraId="410CCE8A" w14:textId="77777777" w:rsidR="00FE7F8B" w:rsidRDefault="00FE7F8B" w:rsidP="00FE7F8B">
      <w:r>
        <w:t>Commitments include those operating, capital and other outsourcing commitments arising from non-cancellable contractual or statutory sources.</w:t>
      </w:r>
    </w:p>
    <w:p w14:paraId="235C677D" w14:textId="77777777" w:rsidR="00FE7F8B" w:rsidRDefault="00FE7F8B" w:rsidP="00FE7F8B">
      <w:pPr>
        <w:pStyle w:val="Heading3Notesbold"/>
        <w:spacing w:before="120"/>
      </w:pPr>
      <w:r>
        <w:t>Community service obligation</w:t>
      </w:r>
    </w:p>
    <w:p w14:paraId="2AFAFAB5" w14:textId="77777777" w:rsidR="00FE7F8B" w:rsidRDefault="00FE7F8B" w:rsidP="00FE7F8B">
      <w:r>
        <w:t>A community service obligation is an ongoing legislative requirement placed on an organisation by government to provide a benefit to an identified group that would not otherwise be provided by that organisation in the pursuit of its other objectives.</w:t>
      </w:r>
    </w:p>
    <w:p w14:paraId="7970B27D"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Comprehensive result</w:t>
      </w:r>
    </w:p>
    <w:p w14:paraId="737C6336" w14:textId="77777777" w:rsidR="00FE7F8B" w:rsidRDefault="00FE7F8B" w:rsidP="00FE7F8B">
      <w:r>
        <w:t>The net result of all items of income and expense recognised for the period. It is the aggregate of operating result and other comprehensive income.</w:t>
      </w:r>
    </w:p>
    <w:p w14:paraId="05F70DED" w14:textId="77777777" w:rsidR="00FE7F8B" w:rsidRDefault="00FE7F8B" w:rsidP="00FE7F8B">
      <w:pPr>
        <w:spacing w:after="200" w:line="276" w:lineRule="auto"/>
        <w:rPr>
          <w:rFonts w:cs="Arial"/>
          <w:b/>
          <w:bCs/>
          <w:color w:val="auto"/>
          <w:sz w:val="22"/>
          <w:szCs w:val="19"/>
          <w:lang w:eastAsia="en-AU"/>
        </w:rPr>
      </w:pPr>
      <w:r>
        <w:rPr>
          <w:rFonts w:cs="Arial"/>
          <w:b/>
          <w:bCs/>
          <w:color w:val="auto"/>
          <w:sz w:val="22"/>
          <w:szCs w:val="19"/>
          <w:lang w:eastAsia="en-AU"/>
        </w:rPr>
        <w:br w:type="page"/>
      </w:r>
    </w:p>
    <w:p w14:paraId="71DDE196"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Controlled item</w:t>
      </w:r>
    </w:p>
    <w:p w14:paraId="682422F0" w14:textId="77777777" w:rsidR="00FE7F8B" w:rsidRDefault="00FE7F8B" w:rsidP="00FE7F8B">
      <w:r>
        <w:t>Controlled item generally refers to the capacity of a department to benefit from that item in the pursuit of the entity’s objectives and to deny or regulate the access of others to that benefit.</w:t>
      </w:r>
    </w:p>
    <w:p w14:paraId="4D5D3D4F"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Current grants</w:t>
      </w:r>
    </w:p>
    <w:p w14:paraId="0D05DDAA" w14:textId="77777777" w:rsidR="00FE7F8B" w:rsidRDefault="00FE7F8B" w:rsidP="00FE7F8B">
      <w:proofErr w:type="gramStart"/>
      <w:r>
        <w:t>Amounts payable or receivable for current purposes for which no economic benefits of equal value are receivable or payable in return.</w:t>
      </w:r>
      <w:proofErr w:type="gramEnd"/>
    </w:p>
    <w:p w14:paraId="35156DB1"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Depreciation</w:t>
      </w:r>
    </w:p>
    <w:p w14:paraId="121DFC37" w14:textId="77777777" w:rsidR="00FE7F8B" w:rsidRDefault="00FE7F8B" w:rsidP="00FE7F8B">
      <w:r>
        <w:t>Depreciation is an expense that arises from the consumption through wear or time of a produced physical asset. This expense is classified as a ‘transaction’ and so reduces the ‘net result from transaction’.</w:t>
      </w:r>
    </w:p>
    <w:p w14:paraId="23618673" w14:textId="6729CE02" w:rsidR="00FE7F8B" w:rsidRDefault="009B19DF"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Depreciated</w:t>
      </w:r>
      <w:r w:rsidR="00FE7F8B">
        <w:rPr>
          <w:rFonts w:ascii="Arial" w:eastAsia="Times New Roman" w:hAnsi="Arial" w:cs="Arial"/>
          <w:b/>
          <w:bCs/>
          <w:color w:val="auto"/>
          <w:sz w:val="22"/>
          <w:szCs w:val="19"/>
          <w:u w:val="none"/>
          <w:bdr w:val="none" w:sz="0" w:space="0" w:color="auto" w:frame="1"/>
          <w:lang w:eastAsia="en-AU"/>
        </w:rPr>
        <w:t xml:space="preserve"> replacement cost</w:t>
      </w:r>
    </w:p>
    <w:p w14:paraId="6F6FB3A7" w14:textId="77777777" w:rsidR="00FE7F8B" w:rsidRDefault="00FE7F8B" w:rsidP="00FE7F8B">
      <w:r>
        <w:t>Depreciated replacement cost is the current replacement cost of an asset less where applicable, accumulated depreciation calculated on the basis of such cost to reflect age and the already consumed or expired future economic benefits of the asset.</w:t>
      </w:r>
    </w:p>
    <w:p w14:paraId="2B4C119E"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Economic obsolescence</w:t>
      </w:r>
    </w:p>
    <w:p w14:paraId="204CAF4B" w14:textId="77777777" w:rsidR="00FE7F8B" w:rsidRDefault="00FE7F8B" w:rsidP="00FE7F8B">
      <w:r>
        <w:t>Economic obsolescence is defined as a loss in value or reduction in the desirability or economic life of an asset caused by external factors. These external factors may be changes in optimum use, regulatory changes and technological changes.</w:t>
      </w:r>
    </w:p>
    <w:p w14:paraId="38EDA25E"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Effective interest method</w:t>
      </w:r>
    </w:p>
    <w:p w14:paraId="0F7ACCFD" w14:textId="77777777" w:rsidR="00FE7F8B" w:rsidRDefault="00FE7F8B" w:rsidP="00FE7F8B">
      <w:r>
        <w:t>The effective interest method is used to calculate the amortised cost of a financial asset or liability and of allocating interest income over the relevant period. The effective interest rate is the rate that exactly discounts estimated future cash receipts through the expected life of the financial instrument, or, where appropriate, a shorter period.</w:t>
      </w:r>
    </w:p>
    <w:p w14:paraId="7516BB68"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Employee benefits expenses</w:t>
      </w:r>
    </w:p>
    <w:p w14:paraId="04207926" w14:textId="77777777" w:rsidR="00FE7F8B" w:rsidRDefault="00FE7F8B" w:rsidP="00FE7F8B">
      <w:r>
        <w:t>Employee benefits expenses include all costs related to employment including wages and salaries, fringe benefits tax, leave entitlements, redundancy payments, defined benefits superannuation plans, and defined contribution superannuation plans.</w:t>
      </w:r>
    </w:p>
    <w:p w14:paraId="6CD45DBA"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Ex-gratia expenses</w:t>
      </w:r>
    </w:p>
    <w:p w14:paraId="2A1C87E1" w14:textId="77777777" w:rsidR="00FE7F8B" w:rsidRDefault="00FE7F8B" w:rsidP="00FE7F8B">
      <w:r>
        <w:t>Ex-gratia expenses mean the voluntary payment of money or other non-monetary benefit (for example, a write off) that is not made either to acquire goods, services or other benefits for the entity or to meet a legal liability, or to settle or resolve a possible legal liability or claim against the entity.</w:t>
      </w:r>
    </w:p>
    <w:p w14:paraId="23959E61" w14:textId="77777777" w:rsidR="00FE7F8B" w:rsidRDefault="00FE7F8B" w:rsidP="00FE7F8B">
      <w:pPr>
        <w:rPr>
          <w:rFonts w:cs="Arial"/>
          <w:b/>
          <w:bCs/>
          <w:color w:val="auto"/>
          <w:sz w:val="22"/>
          <w:szCs w:val="19"/>
          <w:lang w:eastAsia="en-AU"/>
        </w:rPr>
      </w:pPr>
      <w:r>
        <w:rPr>
          <w:rFonts w:cs="Arial"/>
          <w:b/>
          <w:bCs/>
          <w:color w:val="auto"/>
          <w:sz w:val="22"/>
          <w:szCs w:val="19"/>
          <w:lang w:eastAsia="en-AU"/>
        </w:rPr>
        <w:t>Financial asset</w:t>
      </w:r>
    </w:p>
    <w:p w14:paraId="3DE9A856" w14:textId="77777777" w:rsidR="00FE7F8B" w:rsidRDefault="00FE7F8B" w:rsidP="00FE7F8B">
      <w:r>
        <w:t>A financial asset is any asset that is:</w:t>
      </w:r>
    </w:p>
    <w:p w14:paraId="47EBAE74" w14:textId="77777777" w:rsidR="00FE7F8B" w:rsidRDefault="00FE7F8B" w:rsidP="00AD641C">
      <w:pPr>
        <w:pStyle w:val="Normallistbullet"/>
        <w:numPr>
          <w:ilvl w:val="0"/>
          <w:numId w:val="42"/>
        </w:numPr>
      </w:pPr>
      <w:r>
        <w:t>cash</w:t>
      </w:r>
    </w:p>
    <w:p w14:paraId="37906F5C" w14:textId="41A105F6" w:rsidR="00FE7F8B" w:rsidRDefault="00FE7F8B" w:rsidP="00AD641C">
      <w:pPr>
        <w:pStyle w:val="Normallistbullet"/>
        <w:numPr>
          <w:ilvl w:val="0"/>
          <w:numId w:val="42"/>
        </w:numPr>
      </w:pPr>
      <w:r>
        <w:t>an eq</w:t>
      </w:r>
      <w:r w:rsidR="009B19DF">
        <w:t>uity instrument of</w:t>
      </w:r>
      <w:r>
        <w:t xml:space="preserve"> another entity</w:t>
      </w:r>
    </w:p>
    <w:p w14:paraId="3B0CE062" w14:textId="77777777" w:rsidR="00FE7F8B" w:rsidRDefault="00FE7F8B" w:rsidP="00AD641C">
      <w:pPr>
        <w:pStyle w:val="Normallistbullet"/>
        <w:numPr>
          <w:ilvl w:val="0"/>
          <w:numId w:val="42"/>
        </w:numPr>
      </w:pPr>
      <w:r>
        <w:t>a contractual or statutory right:</w:t>
      </w:r>
    </w:p>
    <w:p w14:paraId="7808DFC6" w14:textId="596E83DC" w:rsidR="00FE7F8B" w:rsidRDefault="00FE7F8B" w:rsidP="00AD641C">
      <w:pPr>
        <w:pStyle w:val="Normallistbullet"/>
        <w:numPr>
          <w:ilvl w:val="1"/>
          <w:numId w:val="57"/>
        </w:numPr>
      </w:pPr>
      <w:r>
        <w:t>to receive cash or another financial asset from another entity</w:t>
      </w:r>
      <w:r w:rsidR="009B19DF">
        <w:t>,</w:t>
      </w:r>
      <w:r>
        <w:t xml:space="preserve"> or</w:t>
      </w:r>
    </w:p>
    <w:p w14:paraId="077D9669" w14:textId="77777777" w:rsidR="00FE7F8B" w:rsidRDefault="00FE7F8B" w:rsidP="00AD641C">
      <w:pPr>
        <w:pStyle w:val="Normallistbullet"/>
        <w:numPr>
          <w:ilvl w:val="1"/>
          <w:numId w:val="57"/>
        </w:numPr>
      </w:pPr>
      <w:r>
        <w:t>to exchange financial assets or financial liabilities with another entity under conditions that are potentially favourable to the entity, or</w:t>
      </w:r>
    </w:p>
    <w:p w14:paraId="77FFE7C6" w14:textId="77777777" w:rsidR="00FE7F8B" w:rsidRDefault="00FE7F8B" w:rsidP="00AD641C">
      <w:pPr>
        <w:pStyle w:val="Normallistbullet"/>
        <w:numPr>
          <w:ilvl w:val="0"/>
          <w:numId w:val="42"/>
        </w:numPr>
      </w:pPr>
      <w:r>
        <w:t>a contract that will or may be settled in the entity’s own equity instruments and is:</w:t>
      </w:r>
    </w:p>
    <w:p w14:paraId="2F6B8886" w14:textId="689D5E95" w:rsidR="00FE7F8B" w:rsidRDefault="00FE7F8B" w:rsidP="00AD641C">
      <w:pPr>
        <w:pStyle w:val="Normallistbullet"/>
        <w:numPr>
          <w:ilvl w:val="1"/>
          <w:numId w:val="57"/>
        </w:numPr>
      </w:pPr>
      <w:r>
        <w:t>a non-derivative for which the entity is or may be obliged to receive a variable number of the entity’s own equity instruments</w:t>
      </w:r>
      <w:r w:rsidR="009B19DF">
        <w:t xml:space="preserve">, </w:t>
      </w:r>
      <w:r>
        <w:t>or</w:t>
      </w:r>
    </w:p>
    <w:p w14:paraId="4B613E3E" w14:textId="77777777" w:rsidR="00FE7F8B" w:rsidRDefault="00FE7F8B" w:rsidP="00AD641C">
      <w:pPr>
        <w:pStyle w:val="Normallistbullet"/>
        <w:numPr>
          <w:ilvl w:val="1"/>
          <w:numId w:val="57"/>
        </w:numPr>
      </w:pPr>
      <w:proofErr w:type="gramStart"/>
      <w:r>
        <w:t>a</w:t>
      </w:r>
      <w:proofErr w:type="gramEnd"/>
      <w:r>
        <w:t xml:space="preserve"> derivative that will or may be settled other than by the exchange of a fixed amount of cash or another financial asset for a fixed number of the entity’s own equity instruments.</w:t>
      </w:r>
    </w:p>
    <w:p w14:paraId="6C9DA7E3" w14:textId="4C5D64A1" w:rsidR="00FE7F8B" w:rsidRDefault="00C6784C"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Financial instrument</w:t>
      </w:r>
    </w:p>
    <w:p w14:paraId="773EA7B9" w14:textId="77777777" w:rsidR="00FE7F8B" w:rsidRDefault="00FE7F8B" w:rsidP="00FE7F8B">
      <w:r>
        <w:t>A financial instrument is any contract that gives rise to a financial asset of one entity and a financial liability or equity instrument of another entity. Financial assets or liabilities that are not contractual (such as statutory receivables or payables that arise as a result of statutory requirements imposed by governments) are not financial instruments.</w:t>
      </w:r>
    </w:p>
    <w:p w14:paraId="39B55294" w14:textId="07BF3601" w:rsidR="00FE7F8B" w:rsidRDefault="00C6784C"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Financial l</w:t>
      </w:r>
      <w:r w:rsidR="00FE7F8B">
        <w:rPr>
          <w:rFonts w:ascii="Arial" w:eastAsia="Times New Roman" w:hAnsi="Arial" w:cs="Arial"/>
          <w:b/>
          <w:bCs/>
          <w:color w:val="auto"/>
          <w:sz w:val="22"/>
          <w:szCs w:val="19"/>
          <w:u w:val="none"/>
          <w:bdr w:val="none" w:sz="0" w:space="0" w:color="auto" w:frame="1"/>
          <w:lang w:eastAsia="en-AU"/>
        </w:rPr>
        <w:t>iability</w:t>
      </w:r>
    </w:p>
    <w:p w14:paraId="7C2DC0AB" w14:textId="77777777" w:rsidR="00FE7F8B" w:rsidRDefault="00FE7F8B" w:rsidP="00FE7F8B">
      <w:r>
        <w:t>A financial liability is any liability that is:</w:t>
      </w:r>
    </w:p>
    <w:p w14:paraId="02455636" w14:textId="66D72F32" w:rsidR="00FE7F8B" w:rsidRDefault="00FE7F8B" w:rsidP="00AD641C">
      <w:pPr>
        <w:pStyle w:val="Normallistbullet"/>
        <w:numPr>
          <w:ilvl w:val="0"/>
          <w:numId w:val="42"/>
        </w:numPr>
      </w:pPr>
      <w:r>
        <w:t>a contractual obligation</w:t>
      </w:r>
      <w:r w:rsidR="00CF7E6A">
        <w:t>:</w:t>
      </w:r>
    </w:p>
    <w:p w14:paraId="39091349" w14:textId="4D8789F9" w:rsidR="00FE7F8B" w:rsidRDefault="00FE7F8B" w:rsidP="00AD641C">
      <w:pPr>
        <w:pStyle w:val="Normallistbullet"/>
        <w:numPr>
          <w:ilvl w:val="1"/>
          <w:numId w:val="57"/>
        </w:numPr>
      </w:pPr>
      <w:r>
        <w:t>to deliver cash or another financial asset to another entity</w:t>
      </w:r>
      <w:r w:rsidR="00C6784C">
        <w:t>,</w:t>
      </w:r>
      <w:r>
        <w:t xml:space="preserve"> or</w:t>
      </w:r>
    </w:p>
    <w:p w14:paraId="2C359DCE" w14:textId="77777777" w:rsidR="00FE7F8B" w:rsidRDefault="00FE7F8B" w:rsidP="00AD641C">
      <w:pPr>
        <w:pStyle w:val="Normallistbullet"/>
        <w:numPr>
          <w:ilvl w:val="1"/>
          <w:numId w:val="57"/>
        </w:numPr>
      </w:pPr>
      <w:r>
        <w:t>to exchange financial assets or financial liabilities with another entity under conditions that are potentially unfavourable to the entity, or</w:t>
      </w:r>
    </w:p>
    <w:p w14:paraId="1FF3C0DA" w14:textId="77777777" w:rsidR="00FE7F8B" w:rsidRDefault="00FE7F8B" w:rsidP="00AD641C">
      <w:pPr>
        <w:pStyle w:val="Normallistbullet"/>
        <w:numPr>
          <w:ilvl w:val="0"/>
          <w:numId w:val="42"/>
        </w:numPr>
      </w:pPr>
      <w:r>
        <w:t>a contract that will or may be settled in the entity’s own equity instruments and is:</w:t>
      </w:r>
    </w:p>
    <w:p w14:paraId="653A3CF1" w14:textId="5872771D" w:rsidR="00FE7F8B" w:rsidRDefault="00FE7F8B" w:rsidP="00AD641C">
      <w:pPr>
        <w:pStyle w:val="Normallistbullet"/>
        <w:numPr>
          <w:ilvl w:val="1"/>
          <w:numId w:val="57"/>
        </w:numPr>
      </w:pPr>
      <w:r>
        <w:t>a non-derivative for which the entity is or may be obliged to deliver a variable number of the entity’s own equity instruments</w:t>
      </w:r>
      <w:r w:rsidR="00C6784C">
        <w:t>,</w:t>
      </w:r>
      <w:r>
        <w:t xml:space="preserve"> or </w:t>
      </w:r>
    </w:p>
    <w:p w14:paraId="0640C9EA" w14:textId="77777777" w:rsidR="00FE7F8B" w:rsidRDefault="00FE7F8B" w:rsidP="00AD641C">
      <w:pPr>
        <w:pStyle w:val="Normallistbullet"/>
        <w:numPr>
          <w:ilvl w:val="1"/>
          <w:numId w:val="57"/>
        </w:numPr>
      </w:pPr>
      <w:proofErr w:type="gramStart"/>
      <w:r>
        <w:t>a</w:t>
      </w:r>
      <w:proofErr w:type="gramEnd"/>
      <w:r>
        <w:t xml:space="preserve"> derivative that will or may be settled other than by the exchange of a fixed amount of cash or another financial asset for a fixed number of the entity’s own equity instruments. For this purpose, the entity’s own equity instruments do not include instruments that are themselves contracts for the future receipt or delivery of the entity’s own equity instruments.</w:t>
      </w:r>
    </w:p>
    <w:p w14:paraId="7E8EB9BF" w14:textId="3040B7AC"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Fina</w:t>
      </w:r>
      <w:r w:rsidR="00CF7E6A">
        <w:rPr>
          <w:rFonts w:ascii="Arial" w:eastAsia="Times New Roman" w:hAnsi="Arial" w:cs="Arial"/>
          <w:b/>
          <w:bCs/>
          <w:color w:val="auto"/>
          <w:sz w:val="22"/>
          <w:szCs w:val="19"/>
          <w:u w:val="none"/>
          <w:bdr w:val="none" w:sz="0" w:space="0" w:color="auto" w:frame="1"/>
          <w:lang w:eastAsia="en-AU"/>
        </w:rPr>
        <w:t>ncial Reporting Directions (FRDs</w:t>
      </w:r>
      <w:r>
        <w:rPr>
          <w:rFonts w:ascii="Arial" w:eastAsia="Times New Roman" w:hAnsi="Arial" w:cs="Arial"/>
          <w:b/>
          <w:bCs/>
          <w:color w:val="auto"/>
          <w:sz w:val="22"/>
          <w:szCs w:val="19"/>
          <w:u w:val="none"/>
          <w:bdr w:val="none" w:sz="0" w:space="0" w:color="auto" w:frame="1"/>
          <w:lang w:eastAsia="en-AU"/>
        </w:rPr>
        <w:t>)</w:t>
      </w:r>
    </w:p>
    <w:p w14:paraId="4478C6E1" w14:textId="77777777" w:rsidR="00FE7F8B" w:rsidRDefault="00FE7F8B" w:rsidP="00FE7F8B">
      <w:r>
        <w:t xml:space="preserve">The FRDs are applicable to all entities defined as either a public body or a department under section 3 of the </w:t>
      </w:r>
      <w:r>
        <w:rPr>
          <w:i/>
        </w:rPr>
        <w:t>Financial Management Act 1994</w:t>
      </w:r>
      <w:r>
        <w:t>, unless otherwise stated. The aims of FRDs are to ensure consistent application of accounting treatment across the Victorian public sector in compliance with that particular standard and also to impose other government non-financial policy and disclosure requirements.</w:t>
      </w:r>
    </w:p>
    <w:p w14:paraId="68726E31" w14:textId="77777777" w:rsidR="00FE7F8B" w:rsidRDefault="00FE7F8B" w:rsidP="00FE7F8B">
      <w:pPr>
        <w:pStyle w:val="ARHeading5"/>
        <w:rPr>
          <w:rFonts w:ascii="Arial" w:eastAsia="Times New Roman" w:hAnsi="Arial" w:cs="Arial"/>
          <w:b/>
          <w:bCs/>
          <w:color w:val="auto"/>
          <w:sz w:val="22"/>
          <w:szCs w:val="19"/>
          <w:u w:val="none"/>
          <w:bdr w:val="none" w:sz="0" w:space="0" w:color="auto" w:frame="1"/>
          <w:lang w:eastAsia="en-AU"/>
        </w:rPr>
      </w:pPr>
      <w:r>
        <w:rPr>
          <w:rFonts w:ascii="Arial" w:eastAsia="Times New Roman" w:hAnsi="Arial" w:cs="Arial"/>
          <w:b/>
          <w:bCs/>
          <w:color w:val="auto"/>
          <w:sz w:val="22"/>
          <w:szCs w:val="19"/>
          <w:u w:val="none"/>
          <w:bdr w:val="none" w:sz="0" w:space="0" w:color="auto" w:frame="1"/>
          <w:lang w:eastAsia="en-AU"/>
        </w:rPr>
        <w:t>Financial statements</w:t>
      </w:r>
    </w:p>
    <w:p w14:paraId="08FA4072" w14:textId="77777777" w:rsidR="00FE7F8B" w:rsidRDefault="00FE7F8B" w:rsidP="00FE7F8B">
      <w:r>
        <w:t>A complete set of financial statements comprises:</w:t>
      </w:r>
    </w:p>
    <w:p w14:paraId="03870572" w14:textId="77777777" w:rsidR="00FE7F8B" w:rsidRDefault="00FE7F8B" w:rsidP="00AD641C">
      <w:pPr>
        <w:pStyle w:val="Normallistbullet"/>
        <w:numPr>
          <w:ilvl w:val="0"/>
          <w:numId w:val="42"/>
        </w:numPr>
      </w:pPr>
      <w:r>
        <w:t>balance sheet as at the end of the period</w:t>
      </w:r>
    </w:p>
    <w:p w14:paraId="6DE8AA72" w14:textId="77777777" w:rsidR="00FE7F8B" w:rsidRDefault="00FE7F8B" w:rsidP="00AD641C">
      <w:pPr>
        <w:pStyle w:val="Normallistbullet"/>
        <w:numPr>
          <w:ilvl w:val="0"/>
          <w:numId w:val="42"/>
        </w:numPr>
      </w:pPr>
      <w:r>
        <w:t>comprehensive operating statement for the period</w:t>
      </w:r>
    </w:p>
    <w:p w14:paraId="11DFD4EC" w14:textId="77777777" w:rsidR="00FE7F8B" w:rsidRDefault="00FE7F8B" w:rsidP="00AD641C">
      <w:pPr>
        <w:pStyle w:val="Normallistbullet"/>
        <w:numPr>
          <w:ilvl w:val="0"/>
          <w:numId w:val="42"/>
        </w:numPr>
      </w:pPr>
      <w:r>
        <w:t>a statement of changes in equity for the period</w:t>
      </w:r>
    </w:p>
    <w:p w14:paraId="52F81ECD" w14:textId="77777777" w:rsidR="00FE7F8B" w:rsidRDefault="00FE7F8B" w:rsidP="00AD641C">
      <w:pPr>
        <w:pStyle w:val="Normallistbullet"/>
        <w:numPr>
          <w:ilvl w:val="0"/>
          <w:numId w:val="42"/>
        </w:numPr>
      </w:pPr>
      <w:r>
        <w:t>a statement of cash flows for the period</w:t>
      </w:r>
    </w:p>
    <w:p w14:paraId="13C279BD" w14:textId="77777777" w:rsidR="00FE7F8B" w:rsidRDefault="00FE7F8B" w:rsidP="00AD641C">
      <w:pPr>
        <w:pStyle w:val="Normallistbullet"/>
        <w:numPr>
          <w:ilvl w:val="0"/>
          <w:numId w:val="42"/>
        </w:numPr>
      </w:pPr>
      <w:r>
        <w:t>notes, comprising a summary of significant accounting policies and other explanatory information</w:t>
      </w:r>
    </w:p>
    <w:p w14:paraId="26C50447" w14:textId="77777777" w:rsidR="00FE7F8B" w:rsidRDefault="00FE7F8B" w:rsidP="00AD641C">
      <w:pPr>
        <w:pStyle w:val="Normallistbullet"/>
        <w:numPr>
          <w:ilvl w:val="0"/>
          <w:numId w:val="42"/>
        </w:numPr>
      </w:pPr>
      <w:r>
        <w:t xml:space="preserve">comparative information in respect of the preceding period as specified in paragraphs 38 of AASB 101 </w:t>
      </w:r>
      <w:r>
        <w:rPr>
          <w:i/>
        </w:rPr>
        <w:t>Presentation of Financial Statements</w:t>
      </w:r>
    </w:p>
    <w:p w14:paraId="6F41EF9B" w14:textId="77777777" w:rsidR="00FE7F8B" w:rsidRDefault="00FE7F8B" w:rsidP="00AD641C">
      <w:pPr>
        <w:pStyle w:val="Normallistbullet"/>
        <w:numPr>
          <w:ilvl w:val="0"/>
          <w:numId w:val="42"/>
        </w:numPr>
      </w:pPr>
      <w:r>
        <w:t>a statement of financial position as at the beginning of the preceding period when an entity applies an accounting policy retrospectively or makes a retrospective restatement of items in its financial statements, or when it reclassifies items in its financial statements in accordance with paragraphs 41 of AASB 101.</w:t>
      </w:r>
    </w:p>
    <w:p w14:paraId="4F920904"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Functional obsolescence</w:t>
      </w:r>
    </w:p>
    <w:p w14:paraId="3070B419" w14:textId="77777777" w:rsidR="00FE7F8B" w:rsidRDefault="00FE7F8B" w:rsidP="00FE7F8B">
      <w:r>
        <w:t>Functional obsolescence is defined as a reduction or loss of an asset value due to a reduction in the usefulness or desirability of an asset because of its inability either to be upgraded or modified to serve the user’s current needs or out-dated functional capabilities.</w:t>
      </w:r>
    </w:p>
    <w:p w14:paraId="74651CE0" w14:textId="77777777" w:rsidR="00624253" w:rsidRDefault="00624253" w:rsidP="00624253">
      <w:pPr>
        <w:pStyle w:val="ARHeading5"/>
        <w:rPr>
          <w:rFonts w:ascii="Arial" w:eastAsia="Times New Roman" w:hAnsi="Arial" w:cs="Arial"/>
          <w:b/>
          <w:bCs/>
          <w:color w:val="auto"/>
          <w:sz w:val="22"/>
          <w:szCs w:val="19"/>
          <w:u w:val="none"/>
          <w:bdr w:val="none" w:sz="0" w:space="0" w:color="auto" w:frame="1"/>
          <w:lang w:eastAsia="en-AU"/>
        </w:rPr>
      </w:pPr>
    </w:p>
    <w:p w14:paraId="6EB9EE28"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Grants and other transfers</w:t>
      </w:r>
    </w:p>
    <w:p w14:paraId="6DF274E2" w14:textId="77777777" w:rsidR="00FE7F8B" w:rsidRDefault="00FE7F8B" w:rsidP="00FE7F8B">
      <w:r>
        <w:t>Transactions in which one unit provides goods, services, assets (or extinguishes a liability) or labour to another unit without receiving approximately equal value in return. Grants can either be operating or capital in nature.</w:t>
      </w:r>
    </w:p>
    <w:p w14:paraId="097AE1CA" w14:textId="77777777" w:rsidR="00FE7F8B" w:rsidRDefault="00FE7F8B" w:rsidP="00FE7F8B">
      <w:r>
        <w:t>While grants to governments may result in the provision of some goods or services to the transferor, they do not give the transferor a claim to receive directly benefits of approximately equal value. For this reason, grants are referred to by the AASB as involuntary transfers and are termed non-reciprocal transfers. Receipt and sacrifice of approximately equal value may occur, but only by coincidence. For example, governments are not obliged to provide commensurate benefits, in the form of goods or services, to particular taxpayers in return for their taxes.</w:t>
      </w:r>
    </w:p>
    <w:p w14:paraId="4A34B436" w14:textId="77777777" w:rsidR="00FE7F8B" w:rsidRDefault="00FE7F8B" w:rsidP="00FE7F8B">
      <w:r>
        <w:t>Grants can be paid as general purpose grants which refer to grants that are not subject to conditions regarding their use. Alternatively, they may be paid as specific purpose grants which are paid for a particular purpose and/or have conditions attached regarding their use.</w:t>
      </w:r>
    </w:p>
    <w:p w14:paraId="62F24D70"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General government sector</w:t>
      </w:r>
    </w:p>
    <w:p w14:paraId="0491A904" w14:textId="77777777" w:rsidR="00FE7F8B" w:rsidRDefault="00FE7F8B" w:rsidP="00FE7F8B">
      <w:r>
        <w:t>The general government sector comprises all government departments, offices and other bodies engaged in providing services free of charge or at prices significantly below their cost of production. General government services include those which are mainly non market in nature, those which are largely for collective consumption by the community and those which involve the transfer or redistribution of income. These services are financed mainly through taxes, or other compulsory levies and user charges.</w:t>
      </w:r>
    </w:p>
    <w:p w14:paraId="630DC46F" w14:textId="6F05124D"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 xml:space="preserve">Grants </w:t>
      </w:r>
      <w:r w:rsidR="002C6CE5">
        <w:rPr>
          <w:rFonts w:ascii="Arial" w:eastAsia="Times New Roman" w:hAnsi="Arial" w:cs="Arial"/>
          <w:b/>
          <w:bCs/>
          <w:color w:val="auto"/>
          <w:sz w:val="22"/>
          <w:szCs w:val="19"/>
          <w:u w:val="none"/>
          <w:bdr w:val="none" w:sz="0" w:space="0" w:color="auto" w:frame="1"/>
          <w:lang w:eastAsia="en-AU"/>
        </w:rPr>
        <w:t xml:space="preserve">for </w:t>
      </w:r>
      <w:r w:rsidRPr="00624253">
        <w:rPr>
          <w:rFonts w:ascii="Arial" w:eastAsia="Times New Roman" w:hAnsi="Arial" w:cs="Arial"/>
          <w:b/>
          <w:bCs/>
          <w:color w:val="auto"/>
          <w:sz w:val="22"/>
          <w:szCs w:val="19"/>
          <w:u w:val="none"/>
          <w:bdr w:val="none" w:sz="0" w:space="0" w:color="auto" w:frame="1"/>
          <w:lang w:eastAsia="en-AU"/>
        </w:rPr>
        <w:t>on-passing</w:t>
      </w:r>
    </w:p>
    <w:p w14:paraId="2235C931" w14:textId="6EBA5F42" w:rsidR="00FE7F8B" w:rsidRDefault="00FE7F8B" w:rsidP="00FE7F8B">
      <w:r>
        <w:t>All grants paid to one instit</w:t>
      </w:r>
      <w:r w:rsidR="002C6CE5">
        <w:t>utional sector (for example, a S</w:t>
      </w:r>
      <w:r>
        <w:t>tate general government entity) to be passed on to another institutional sector (for example, local government or a private non-profit institution).</w:t>
      </w:r>
    </w:p>
    <w:p w14:paraId="047421BD"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Intangible produced assets</w:t>
      </w:r>
    </w:p>
    <w:p w14:paraId="763F0754" w14:textId="77777777" w:rsidR="00FE7F8B" w:rsidRDefault="00FE7F8B" w:rsidP="00FE7F8B">
      <w:r>
        <w:t>See Produced Assets in this glossary.</w:t>
      </w:r>
    </w:p>
    <w:p w14:paraId="6B092024"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Intangible non-produced assets</w:t>
      </w:r>
    </w:p>
    <w:p w14:paraId="58230461" w14:textId="77777777" w:rsidR="00FE7F8B" w:rsidRDefault="00FE7F8B" w:rsidP="00FE7F8B">
      <w:r>
        <w:t>See Non-produced Assets in this glossary.</w:t>
      </w:r>
    </w:p>
    <w:p w14:paraId="526BEE74"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Interest expense</w:t>
      </w:r>
    </w:p>
    <w:p w14:paraId="11A7C397" w14:textId="77777777" w:rsidR="00FE7F8B" w:rsidRDefault="00FE7F8B" w:rsidP="00FE7F8B">
      <w:r>
        <w:t>Costs incurred in connection with the borrowing of funds includes interest on bank overdrafts and short- and long-term borrowings, amortisation of discounts or premiums relating to borrowings, interest component of finance leases repayments, and the increase in financial liabilities and non-employee provisions due to the unwinding of discounts to reflect the passage of time.</w:t>
      </w:r>
    </w:p>
    <w:p w14:paraId="6C073D76"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Interest income</w:t>
      </w:r>
    </w:p>
    <w:p w14:paraId="6CCDCE40" w14:textId="77777777" w:rsidR="00FE7F8B" w:rsidRDefault="00FE7F8B" w:rsidP="00FE7F8B">
      <w:r>
        <w:t>Interest income includes unwinding over time of discounts on financial assets and interest received on bank term deposits and other investments.</w:t>
      </w:r>
    </w:p>
    <w:p w14:paraId="2E6E6D27"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Net result</w:t>
      </w:r>
    </w:p>
    <w:p w14:paraId="5D5E4D67" w14:textId="77777777" w:rsidR="00FE7F8B" w:rsidRDefault="00FE7F8B" w:rsidP="00FE7F8B">
      <w:r>
        <w:t>Net result is a measure of financial performance of the operations for the period. It is the net result of items of income, gains and expenses (including losses) recognised for the period, excluding those that are classified as other economic flows—other comprehensive income.</w:t>
      </w:r>
    </w:p>
    <w:p w14:paraId="05CC5944"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Net result from transactions/net operating balance</w:t>
      </w:r>
    </w:p>
    <w:p w14:paraId="0B8927F3" w14:textId="77777777" w:rsidR="00FE7F8B" w:rsidRDefault="00FE7F8B" w:rsidP="00FE7F8B">
      <w:r>
        <w:t>Net result from transactions or net operating balance is a key fiscal aggregate and is income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14:paraId="27CE4921"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Net worth</w:t>
      </w:r>
    </w:p>
    <w:p w14:paraId="2FD84524" w14:textId="77777777" w:rsidR="00FE7F8B" w:rsidRDefault="00FE7F8B" w:rsidP="00FE7F8B">
      <w:proofErr w:type="gramStart"/>
      <w:r>
        <w:t>Assets less liabilities, which is an economic measure of wealth.</w:t>
      </w:r>
      <w:proofErr w:type="gramEnd"/>
    </w:p>
    <w:p w14:paraId="16E13ADD"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Non-financial assets</w:t>
      </w:r>
    </w:p>
    <w:p w14:paraId="599C0062" w14:textId="77777777" w:rsidR="00FE7F8B" w:rsidRDefault="00FE7F8B" w:rsidP="00FE7F8B">
      <w:r>
        <w:t>Non-financial assets are all assets that are not ‘financial assets’. These include land, buildings, plant and equipment, heritage buildings, and intangible assets.</w:t>
      </w:r>
    </w:p>
    <w:p w14:paraId="50C7901C"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Non-produced assets</w:t>
      </w:r>
    </w:p>
    <w:p w14:paraId="12F05A37" w14:textId="77777777" w:rsidR="00FE7F8B" w:rsidRDefault="00FE7F8B" w:rsidP="00FE7F8B">
      <w:r>
        <w:t>Non-produced assets are assets needed for production that have not themselves been produced. They include land, subsoil assets and certain intangible assets. Non-produced intangibles are intangible assets needed for production that have not themselves been produced. They include constructs of society such as patents or leases.</w:t>
      </w:r>
    </w:p>
    <w:p w14:paraId="29C1B3DE" w14:textId="77777777" w:rsidR="00FE7F8B" w:rsidRPr="00624253" w:rsidRDefault="00FE7F8B" w:rsidP="00624253">
      <w:pPr>
        <w:pStyle w:val="ARHeading5"/>
        <w:rPr>
          <w:rFonts w:ascii="Arial" w:eastAsia="Times New Roman" w:hAnsi="Arial" w:cs="Arial"/>
          <w:b/>
          <w:bCs/>
          <w:color w:val="auto"/>
          <w:sz w:val="22"/>
          <w:szCs w:val="19"/>
          <w:u w:val="none"/>
          <w:bdr w:val="none" w:sz="0" w:space="0" w:color="auto" w:frame="1"/>
          <w:lang w:eastAsia="en-AU"/>
        </w:rPr>
      </w:pPr>
      <w:r w:rsidRPr="00624253">
        <w:rPr>
          <w:rFonts w:ascii="Arial" w:eastAsia="Times New Roman" w:hAnsi="Arial" w:cs="Arial"/>
          <w:b/>
          <w:bCs/>
          <w:color w:val="auto"/>
          <w:sz w:val="22"/>
          <w:szCs w:val="19"/>
          <w:u w:val="none"/>
          <w:bdr w:val="none" w:sz="0" w:space="0" w:color="auto" w:frame="1"/>
          <w:lang w:eastAsia="en-AU"/>
        </w:rPr>
        <w:t>Other economic flows included in net result</w:t>
      </w:r>
    </w:p>
    <w:p w14:paraId="071E14DB" w14:textId="77777777" w:rsidR="00FE7F8B" w:rsidRDefault="00FE7F8B" w:rsidP="00FE7F8B">
      <w:r>
        <w:t>Other economic flows included in net result are changes in the volume or value of an asset or liability that do not result from transactions. It includes:</w:t>
      </w:r>
    </w:p>
    <w:p w14:paraId="2812DACB" w14:textId="77777777" w:rsidR="00FE7F8B" w:rsidRDefault="00FE7F8B" w:rsidP="00AD641C">
      <w:pPr>
        <w:pStyle w:val="Normallistbullet"/>
        <w:numPr>
          <w:ilvl w:val="0"/>
          <w:numId w:val="42"/>
        </w:numPr>
      </w:pPr>
      <w:r>
        <w:t>gains and losses from disposals, revaluations and impairments of non-financial physical and intangible assets</w:t>
      </w:r>
    </w:p>
    <w:p w14:paraId="7660714A" w14:textId="77777777" w:rsidR="00FE7F8B" w:rsidRDefault="00FE7F8B" w:rsidP="00AD641C">
      <w:pPr>
        <w:pStyle w:val="Normallistbullet"/>
        <w:numPr>
          <w:ilvl w:val="0"/>
          <w:numId w:val="42"/>
        </w:numPr>
      </w:pPr>
      <w:r>
        <w:t>fair value changes of financial instruments and agricultural assets</w:t>
      </w:r>
    </w:p>
    <w:p w14:paraId="6CE71206" w14:textId="77777777" w:rsidR="00FE7F8B" w:rsidRDefault="00FE7F8B" w:rsidP="00AD641C">
      <w:pPr>
        <w:pStyle w:val="Normallistbullet"/>
        <w:numPr>
          <w:ilvl w:val="0"/>
          <w:numId w:val="42"/>
        </w:numPr>
      </w:pPr>
      <w:proofErr w:type="gramStart"/>
      <w:r>
        <w:t>depletion</w:t>
      </w:r>
      <w:proofErr w:type="gramEnd"/>
      <w:r>
        <w:t xml:space="preserve"> of natural assets (non-produced) from their use or removal.</w:t>
      </w:r>
    </w:p>
    <w:p w14:paraId="77AB70FA" w14:textId="7777777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Other economic flows—other comprehensive income</w:t>
      </w:r>
    </w:p>
    <w:p w14:paraId="071A3051" w14:textId="77777777" w:rsidR="00FE7F8B" w:rsidRDefault="00FE7F8B" w:rsidP="00FE7F8B">
      <w:r>
        <w:t>Other economic flows—other comprehensive income comprises items (including reclassification adjustments) that are not recognised in net result as required or permitted by other Australian Accounting Standards.</w:t>
      </w:r>
    </w:p>
    <w:p w14:paraId="12BC52E5" w14:textId="77777777" w:rsidR="00FE7F8B" w:rsidRDefault="00FE7F8B" w:rsidP="00FE7F8B">
      <w:r>
        <w:t xml:space="preserve">The components of other economic flows—other comprehensive </w:t>
      </w:r>
      <w:proofErr w:type="gramStart"/>
      <w:r>
        <w:t>income include</w:t>
      </w:r>
      <w:proofErr w:type="gramEnd"/>
      <w:r>
        <w:t>:</w:t>
      </w:r>
    </w:p>
    <w:p w14:paraId="5DC4C8E5" w14:textId="77777777" w:rsidR="00FE7F8B" w:rsidRDefault="00FE7F8B" w:rsidP="00AD641C">
      <w:pPr>
        <w:pStyle w:val="Normallistbullet"/>
        <w:numPr>
          <w:ilvl w:val="0"/>
          <w:numId w:val="42"/>
        </w:numPr>
      </w:pPr>
      <w:r>
        <w:t>changes in physical asset revaluation surplus</w:t>
      </w:r>
    </w:p>
    <w:p w14:paraId="615BF1C0" w14:textId="77777777" w:rsidR="00FE7F8B" w:rsidRDefault="00FE7F8B" w:rsidP="00AD641C">
      <w:pPr>
        <w:pStyle w:val="Normallistbullet"/>
        <w:numPr>
          <w:ilvl w:val="0"/>
          <w:numId w:val="42"/>
        </w:numPr>
      </w:pPr>
      <w:r>
        <w:t>share of net movement in revaluation surplus of associates and joint ventures</w:t>
      </w:r>
    </w:p>
    <w:p w14:paraId="1F56368F" w14:textId="77777777" w:rsidR="00FE7F8B" w:rsidRDefault="00FE7F8B" w:rsidP="00AD641C">
      <w:pPr>
        <w:pStyle w:val="Normallistbullet"/>
        <w:numPr>
          <w:ilvl w:val="0"/>
          <w:numId w:val="42"/>
        </w:numPr>
      </w:pPr>
      <w:proofErr w:type="gramStart"/>
      <w:r>
        <w:t>gains</w:t>
      </w:r>
      <w:proofErr w:type="gramEnd"/>
      <w:r>
        <w:t xml:space="preserve"> and losses on remeasuring available-for-sale financial assets.</w:t>
      </w:r>
    </w:p>
    <w:p w14:paraId="4977BD54" w14:textId="7777777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Payables</w:t>
      </w:r>
    </w:p>
    <w:p w14:paraId="11A70DE5" w14:textId="77777777" w:rsidR="00FE7F8B" w:rsidRDefault="00FE7F8B" w:rsidP="00FE7F8B">
      <w:proofErr w:type="gramStart"/>
      <w:r>
        <w:t>Includes short- and long-term trade debt and accounts payable, grants, taxes and interest payable.</w:t>
      </w:r>
      <w:proofErr w:type="gramEnd"/>
    </w:p>
    <w:p w14:paraId="50CCBD84" w14:textId="7777777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Physical obsolescence</w:t>
      </w:r>
    </w:p>
    <w:p w14:paraId="598F5B0D" w14:textId="77777777" w:rsidR="00FE7F8B" w:rsidRDefault="00FE7F8B" w:rsidP="00FE7F8B">
      <w:r>
        <w:t>Physical obsolescence is defined as a reduction or loss of an asset value as a result of its physical deterioration caused by wear and tear, increasing age or time and eventually obsolete.</w:t>
      </w:r>
    </w:p>
    <w:p w14:paraId="6BA4E35A" w14:textId="0EB2C7C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Produced asset</w:t>
      </w:r>
      <w:r w:rsidR="002C6CE5">
        <w:rPr>
          <w:rFonts w:ascii="Arial" w:eastAsia="Times New Roman" w:hAnsi="Arial" w:cs="Arial"/>
          <w:b/>
          <w:bCs/>
          <w:color w:val="auto"/>
          <w:sz w:val="22"/>
          <w:szCs w:val="19"/>
          <w:u w:val="none"/>
          <w:bdr w:val="none" w:sz="0" w:space="0" w:color="auto" w:frame="1"/>
          <w:lang w:eastAsia="en-AU"/>
        </w:rPr>
        <w:t>s</w:t>
      </w:r>
    </w:p>
    <w:p w14:paraId="2FB2E789" w14:textId="77777777" w:rsidR="00FE7F8B" w:rsidRDefault="00FE7F8B" w:rsidP="00FE7F8B">
      <w:r>
        <w:t>Produced assets include buildings, plant and equipment, inventories, cultivated assets and certain intangible assets. Intangible produced assets may include computer software, motion picture films, and research and development costs (which does not include the start-up costs associated with capital projects).</w:t>
      </w:r>
    </w:p>
    <w:p w14:paraId="7D6945B6" w14:textId="7777777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Receivables</w:t>
      </w:r>
    </w:p>
    <w:p w14:paraId="4AA45A3E" w14:textId="77777777" w:rsidR="00FE7F8B" w:rsidRDefault="00FE7F8B" w:rsidP="00FE7F8B">
      <w:proofErr w:type="gramStart"/>
      <w:r>
        <w:t>Includes amounts owing from government through appropriation receivable, short- and long-term trade credit and accounts receivable, accrued investment income, grants, taxes (GST) and interest receivable.</w:t>
      </w:r>
      <w:proofErr w:type="gramEnd"/>
    </w:p>
    <w:p w14:paraId="360C2546" w14:textId="77777777" w:rsidR="00693307" w:rsidRDefault="00693307" w:rsidP="00693307">
      <w:pPr>
        <w:pStyle w:val="ARHeading5"/>
        <w:rPr>
          <w:rFonts w:ascii="Arial" w:eastAsia="Times New Roman" w:hAnsi="Arial" w:cs="Arial"/>
          <w:b/>
          <w:bCs/>
          <w:color w:val="auto"/>
          <w:sz w:val="22"/>
          <w:szCs w:val="19"/>
          <w:u w:val="none"/>
          <w:bdr w:val="none" w:sz="0" w:space="0" w:color="auto" w:frame="1"/>
          <w:lang w:eastAsia="en-AU"/>
        </w:rPr>
      </w:pPr>
    </w:p>
    <w:p w14:paraId="5E6CDDD7" w14:textId="77777777" w:rsidR="00693307" w:rsidRDefault="00693307" w:rsidP="00693307">
      <w:pPr>
        <w:pStyle w:val="ARHeading5"/>
        <w:rPr>
          <w:rFonts w:ascii="Arial" w:eastAsia="Times New Roman" w:hAnsi="Arial" w:cs="Arial"/>
          <w:b/>
          <w:bCs/>
          <w:color w:val="auto"/>
          <w:sz w:val="22"/>
          <w:szCs w:val="19"/>
          <w:u w:val="none"/>
          <w:bdr w:val="none" w:sz="0" w:space="0" w:color="auto" w:frame="1"/>
          <w:lang w:eastAsia="en-AU"/>
        </w:rPr>
      </w:pPr>
    </w:p>
    <w:p w14:paraId="1E26D192" w14:textId="7777777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Sales of goods and services</w:t>
      </w:r>
    </w:p>
    <w:p w14:paraId="524287BC" w14:textId="77777777" w:rsidR="00FE7F8B" w:rsidRDefault="00FE7F8B" w:rsidP="00FE7F8B">
      <w:r>
        <w:t>Refers to income from the direct provision of goods and services and includes fees and charges for services rendered, sales of goods and services, fees from regulatory services and work done as an agent for private enterprises. It also includes rental income under operating leases and on produced assets such as buildings and entertainment, but excludes rent income from the use of non-produced assets such as land. User charges includes sale of goods and services income.</w:t>
      </w:r>
    </w:p>
    <w:p w14:paraId="5D5E0BE4" w14:textId="77777777" w:rsidR="00FE7F8B" w:rsidRPr="00693307" w:rsidRDefault="00FE7F8B" w:rsidP="00693307">
      <w:pPr>
        <w:pStyle w:val="ARHeading5"/>
        <w:rPr>
          <w:rFonts w:ascii="Arial" w:eastAsia="Times New Roman" w:hAnsi="Arial" w:cs="Arial"/>
          <w:b/>
          <w:bCs/>
          <w:color w:val="auto"/>
          <w:sz w:val="22"/>
          <w:szCs w:val="19"/>
          <w:u w:val="none"/>
          <w:bdr w:val="none" w:sz="0" w:space="0" w:color="auto" w:frame="1"/>
          <w:lang w:eastAsia="en-AU"/>
        </w:rPr>
      </w:pPr>
      <w:r w:rsidRPr="00693307">
        <w:rPr>
          <w:rFonts w:ascii="Arial" w:eastAsia="Times New Roman" w:hAnsi="Arial" w:cs="Arial"/>
          <w:b/>
          <w:bCs/>
          <w:color w:val="auto"/>
          <w:sz w:val="22"/>
          <w:szCs w:val="19"/>
          <w:u w:val="none"/>
          <w:bdr w:val="none" w:sz="0" w:space="0" w:color="auto" w:frame="1"/>
          <w:lang w:eastAsia="en-AU"/>
        </w:rPr>
        <w:t>Supplies and services</w:t>
      </w:r>
    </w:p>
    <w:p w14:paraId="7BFB0670" w14:textId="77777777" w:rsidR="00FE7F8B" w:rsidRDefault="00FE7F8B" w:rsidP="00FE7F8B">
      <w:r>
        <w:t>Supplies and services generally represent cost of goods sold and the day-to-day running costs, including maintenance costs, incurred in the normal operations of the Department.</w:t>
      </w:r>
    </w:p>
    <w:p w14:paraId="6832E401" w14:textId="77777777" w:rsidR="00FE7F8B" w:rsidRDefault="00FE7F8B" w:rsidP="00FE7F8B">
      <w:pPr>
        <w:rPr>
          <w:rFonts w:cs="Arial"/>
          <w:b/>
          <w:bCs/>
          <w:color w:val="auto"/>
          <w:sz w:val="22"/>
          <w:szCs w:val="19"/>
          <w:lang w:eastAsia="en-AU"/>
        </w:rPr>
      </w:pPr>
      <w:r>
        <w:rPr>
          <w:rFonts w:cs="Arial"/>
          <w:b/>
          <w:bCs/>
          <w:color w:val="auto"/>
          <w:sz w:val="22"/>
          <w:szCs w:val="19"/>
          <w:lang w:eastAsia="en-AU"/>
        </w:rPr>
        <w:t>Transactions</w:t>
      </w:r>
    </w:p>
    <w:p w14:paraId="0361FB2B" w14:textId="77777777" w:rsidR="00FE7F8B" w:rsidRDefault="00FE7F8B" w:rsidP="00FE7F8B">
      <w:r>
        <w:t>Transactions are those economic flows that are considered to arise as a result of policy decisions, usually an interaction between two entities by mutual agreement. They also include flows 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(for example, assets provided/given free of charge or for nominal consideration) or where the final consideration is cash. In simple terms, transactions arise from the policy decisions of the government.</w:t>
      </w:r>
    </w:p>
    <w:p w14:paraId="60ED5D50" w14:textId="77777777" w:rsidR="00FE7F8B" w:rsidRPr="00693307" w:rsidRDefault="00FE7F8B" w:rsidP="00693307">
      <w:pPr>
        <w:rPr>
          <w:rFonts w:cs="Arial"/>
          <w:b/>
          <w:bCs/>
          <w:color w:val="auto"/>
          <w:sz w:val="22"/>
          <w:szCs w:val="19"/>
          <w:lang w:eastAsia="en-AU"/>
        </w:rPr>
      </w:pPr>
      <w:r w:rsidRPr="00693307">
        <w:rPr>
          <w:rFonts w:cs="Arial"/>
          <w:b/>
          <w:bCs/>
          <w:color w:val="auto"/>
          <w:sz w:val="22"/>
          <w:szCs w:val="19"/>
          <w:lang w:eastAsia="en-AU"/>
        </w:rPr>
        <w:t>Style conventions</w:t>
      </w:r>
    </w:p>
    <w:p w14:paraId="0D21A4DA" w14:textId="77777777" w:rsidR="00FE7F8B" w:rsidRDefault="00FE7F8B" w:rsidP="00FE7F8B">
      <w:r>
        <w:t>Figures in the tables and in the text have been rounded. Discrepancies in tables between totals and sums of components reflect rounding. Percentage variations in all tables are based on the underlying unrounded amounts.</w:t>
      </w:r>
    </w:p>
    <w:p w14:paraId="5EBDEA0E" w14:textId="77777777" w:rsidR="00FE7F8B" w:rsidRDefault="00FE7F8B" w:rsidP="00FE7F8B">
      <w:pPr>
        <w:pStyle w:val="Normalbeforelist"/>
      </w:pPr>
      <w:r>
        <w:t>The notation used in the tables is as follows:</w:t>
      </w:r>
    </w:p>
    <w:tbl>
      <w:tblPr>
        <w:tblW w:w="5000" w:type="pct"/>
        <w:tblBorders>
          <w:top w:val="single" w:sz="6" w:space="0" w:color="777777"/>
          <w:bottom w:val="single" w:sz="4" w:space="0" w:color="auto"/>
        </w:tblBorders>
        <w:tblCellMar>
          <w:left w:w="45" w:type="dxa"/>
          <w:right w:w="45" w:type="dxa"/>
        </w:tblCellMar>
        <w:tblLook w:val="04A0" w:firstRow="1" w:lastRow="0" w:firstColumn="1" w:lastColumn="0" w:noHBand="0" w:noVBand="1"/>
      </w:tblPr>
      <w:tblGrid>
        <w:gridCol w:w="3731"/>
        <w:gridCol w:w="3732"/>
      </w:tblGrid>
      <w:tr w:rsidR="00FE7F8B" w14:paraId="2DF551A5" w14:textId="77777777" w:rsidTr="00FE7F8B">
        <w:trPr>
          <w:cantSplit/>
        </w:trPr>
        <w:tc>
          <w:tcPr>
            <w:tcW w:w="2500" w:type="pct"/>
            <w:tcBorders>
              <w:top w:val="single" w:sz="6" w:space="0" w:color="777777"/>
              <w:left w:val="nil"/>
              <w:bottom w:val="nil"/>
              <w:right w:val="nil"/>
            </w:tcBorders>
            <w:vAlign w:val="center"/>
            <w:hideMark/>
          </w:tcPr>
          <w:p w14:paraId="36C8F108" w14:textId="77777777" w:rsidR="00FE7F8B" w:rsidRDefault="00FE7F8B">
            <w:pPr>
              <w:pStyle w:val="Tabletextnoindent"/>
            </w:pPr>
            <w:r>
              <w:t>‒</w:t>
            </w:r>
          </w:p>
        </w:tc>
        <w:tc>
          <w:tcPr>
            <w:tcW w:w="2500" w:type="pct"/>
            <w:tcBorders>
              <w:top w:val="single" w:sz="6" w:space="0" w:color="777777"/>
              <w:left w:val="nil"/>
              <w:bottom w:val="nil"/>
              <w:right w:val="nil"/>
            </w:tcBorders>
            <w:vAlign w:val="center"/>
            <w:hideMark/>
          </w:tcPr>
          <w:p w14:paraId="55D3807E" w14:textId="77777777" w:rsidR="00FE7F8B" w:rsidRDefault="00FE7F8B">
            <w:pPr>
              <w:pStyle w:val="Tabletextnoindent"/>
            </w:pPr>
            <w:r>
              <w:t>Zero, or rounded to zero</w:t>
            </w:r>
          </w:p>
        </w:tc>
      </w:tr>
      <w:tr w:rsidR="00FE7F8B" w14:paraId="1A952948" w14:textId="77777777" w:rsidTr="00FE7F8B">
        <w:trPr>
          <w:cantSplit/>
        </w:trPr>
        <w:tc>
          <w:tcPr>
            <w:tcW w:w="2500" w:type="pct"/>
            <w:tcBorders>
              <w:top w:val="nil"/>
              <w:left w:val="nil"/>
              <w:bottom w:val="nil"/>
              <w:right w:val="nil"/>
            </w:tcBorders>
            <w:vAlign w:val="center"/>
            <w:hideMark/>
          </w:tcPr>
          <w:p w14:paraId="3749E1B0" w14:textId="77777777" w:rsidR="00FE7F8B" w:rsidRDefault="00FE7F8B">
            <w:pPr>
              <w:pStyle w:val="Tabletextnoindent"/>
            </w:pPr>
            <w:r>
              <w:t>(</w:t>
            </w:r>
            <w:proofErr w:type="spellStart"/>
            <w:r>
              <w:t>xxx.x</w:t>
            </w:r>
            <w:proofErr w:type="spellEnd"/>
            <w:r>
              <w:t>)</w:t>
            </w:r>
          </w:p>
        </w:tc>
        <w:tc>
          <w:tcPr>
            <w:tcW w:w="2500" w:type="pct"/>
            <w:tcBorders>
              <w:top w:val="nil"/>
              <w:left w:val="nil"/>
              <w:bottom w:val="nil"/>
              <w:right w:val="nil"/>
            </w:tcBorders>
            <w:vAlign w:val="center"/>
            <w:hideMark/>
          </w:tcPr>
          <w:p w14:paraId="2863E000" w14:textId="77777777" w:rsidR="00FE7F8B" w:rsidRDefault="00FE7F8B">
            <w:pPr>
              <w:pStyle w:val="Tabletextnoindent"/>
            </w:pPr>
            <w:r>
              <w:t>Negative numbers</w:t>
            </w:r>
          </w:p>
        </w:tc>
      </w:tr>
      <w:tr w:rsidR="00FE7F8B" w14:paraId="579B17FD" w14:textId="77777777" w:rsidTr="00FE7F8B">
        <w:trPr>
          <w:cantSplit/>
        </w:trPr>
        <w:tc>
          <w:tcPr>
            <w:tcW w:w="2500" w:type="pct"/>
            <w:tcBorders>
              <w:top w:val="nil"/>
              <w:left w:val="nil"/>
              <w:bottom w:val="nil"/>
              <w:right w:val="nil"/>
            </w:tcBorders>
            <w:vAlign w:val="center"/>
            <w:hideMark/>
          </w:tcPr>
          <w:p w14:paraId="675D7B5B" w14:textId="77777777" w:rsidR="00FE7F8B" w:rsidRDefault="00FE7F8B">
            <w:pPr>
              <w:pStyle w:val="Tabletextnoindent"/>
            </w:pPr>
            <w:r>
              <w:t>201x</w:t>
            </w:r>
          </w:p>
        </w:tc>
        <w:tc>
          <w:tcPr>
            <w:tcW w:w="2500" w:type="pct"/>
            <w:tcBorders>
              <w:top w:val="nil"/>
              <w:left w:val="nil"/>
              <w:bottom w:val="nil"/>
              <w:right w:val="nil"/>
            </w:tcBorders>
            <w:vAlign w:val="center"/>
            <w:hideMark/>
          </w:tcPr>
          <w:p w14:paraId="085247D9" w14:textId="77777777" w:rsidR="00FE7F8B" w:rsidRDefault="00FE7F8B">
            <w:pPr>
              <w:pStyle w:val="Tabletextnoindent"/>
            </w:pPr>
            <w:r>
              <w:t>Year</w:t>
            </w:r>
          </w:p>
        </w:tc>
      </w:tr>
      <w:tr w:rsidR="00FE7F8B" w14:paraId="232D7C2F" w14:textId="77777777" w:rsidTr="00FE7F8B">
        <w:trPr>
          <w:cantSplit/>
        </w:trPr>
        <w:tc>
          <w:tcPr>
            <w:tcW w:w="2500" w:type="pct"/>
            <w:tcBorders>
              <w:top w:val="nil"/>
              <w:left w:val="nil"/>
              <w:bottom w:val="single" w:sz="4" w:space="0" w:color="auto"/>
              <w:right w:val="nil"/>
            </w:tcBorders>
            <w:vAlign w:val="center"/>
            <w:hideMark/>
          </w:tcPr>
          <w:p w14:paraId="73F41BAD" w14:textId="77777777" w:rsidR="00FE7F8B" w:rsidRDefault="00FE7F8B">
            <w:pPr>
              <w:pStyle w:val="Tabletextnoindent"/>
            </w:pPr>
            <w:r>
              <w:t>201x–1x</w:t>
            </w:r>
          </w:p>
        </w:tc>
        <w:tc>
          <w:tcPr>
            <w:tcW w:w="2500" w:type="pct"/>
            <w:tcBorders>
              <w:top w:val="nil"/>
              <w:left w:val="nil"/>
              <w:bottom w:val="single" w:sz="4" w:space="0" w:color="auto"/>
              <w:right w:val="nil"/>
            </w:tcBorders>
            <w:vAlign w:val="center"/>
            <w:hideMark/>
          </w:tcPr>
          <w:p w14:paraId="76D6A2B9" w14:textId="77777777" w:rsidR="00FE7F8B" w:rsidRDefault="00FE7F8B">
            <w:pPr>
              <w:pStyle w:val="Tabletextnoindent"/>
            </w:pPr>
            <w:r>
              <w:t>Year period</w:t>
            </w:r>
          </w:p>
        </w:tc>
      </w:tr>
    </w:tbl>
    <w:p w14:paraId="2301DCFC" w14:textId="77777777" w:rsidR="00FE7F8B" w:rsidRDefault="00FE7F8B" w:rsidP="00FE7F8B"/>
    <w:p w14:paraId="19877515" w14:textId="35598C4C" w:rsidR="00FE7F8B" w:rsidRDefault="00FE7F8B" w:rsidP="00FE7F8B">
      <w:r>
        <w:t xml:space="preserve">The financial statements and notes are presented based on the illustration for a government department </w:t>
      </w:r>
      <w:proofErr w:type="gramStart"/>
      <w:r>
        <w:t xml:space="preserve">in the </w:t>
      </w:r>
      <w:r>
        <w:rPr>
          <w:i/>
        </w:rPr>
        <w:t>2015–16 Model Report for Victorian Government Departments</w:t>
      </w:r>
      <w:proofErr w:type="gramEnd"/>
      <w:r>
        <w:t>. The presentation of other disclosures is generally consistent with the other disclosures made in earlier publications of the Department’s annual report.</w:t>
      </w:r>
    </w:p>
    <w:p w14:paraId="7CA36FAE" w14:textId="77777777" w:rsidR="00FE7F8B" w:rsidRDefault="00FE7F8B" w:rsidP="00FE7F8B">
      <w:pPr>
        <w:spacing w:after="0" w:line="240" w:lineRule="auto"/>
        <w:sectPr w:rsidR="00FE7F8B">
          <w:footnotePr>
            <w:numRestart w:val="eachPage"/>
          </w:footnotePr>
          <w:pgSz w:w="11909" w:h="16834"/>
          <w:pgMar w:top="1814" w:right="1701" w:bottom="1418" w:left="2835" w:header="992" w:footer="454" w:gutter="0"/>
          <w:cols w:space="720"/>
        </w:sectPr>
      </w:pPr>
      <w:bookmarkStart w:id="145" w:name="_GoBack"/>
      <w:bookmarkEnd w:id="145"/>
    </w:p>
    <w:p w14:paraId="75905680" w14:textId="07C22D7A" w:rsidR="00A9534A" w:rsidRPr="005C767D" w:rsidRDefault="00A9534A" w:rsidP="00B60957">
      <w:pPr>
        <w:pStyle w:val="Heading1"/>
        <w:rPr>
          <w:rStyle w:val="TablesubheadingfirstrowChar"/>
          <w:b w:val="0"/>
          <w:bCs w:val="0"/>
          <w:iCs/>
        </w:rPr>
      </w:pPr>
      <w:bookmarkStart w:id="146" w:name="Administereditems"/>
      <w:bookmarkStart w:id="147" w:name="Parliamentaryappropriations"/>
      <w:bookmarkStart w:id="148" w:name="Note10"/>
      <w:bookmarkStart w:id="149" w:name="Propertyplantandequipment"/>
      <w:bookmarkStart w:id="150" w:name="Physicalassets"/>
      <w:bookmarkStart w:id="151" w:name="Financialinstruments"/>
      <w:bookmarkStart w:id="152" w:name="Subsequentevents"/>
      <w:bookmarkStart w:id="153" w:name="Rounding"/>
      <w:bookmarkStart w:id="154" w:name="Accountingpolicies"/>
      <w:bookmarkStart w:id="155" w:name="Disclosureindex"/>
      <w:bookmarkStart w:id="156" w:name="Additionalinformation"/>
      <w:bookmarkEnd w:id="0"/>
      <w:bookmarkEnd w:id="1"/>
      <w:bookmarkEnd w:id="2"/>
      <w:bookmarkEnd w:id="3"/>
      <w:bookmarkEnd w:id="4"/>
      <w:bookmarkEnd w:id="6"/>
      <w:bookmarkEnd w:id="7"/>
      <w:bookmarkEnd w:id="8"/>
      <w:bookmarkEnd w:id="146"/>
      <w:bookmarkEnd w:id="147"/>
      <w:bookmarkEnd w:id="148"/>
      <w:bookmarkEnd w:id="149"/>
      <w:bookmarkEnd w:id="150"/>
      <w:bookmarkEnd w:id="151"/>
      <w:bookmarkEnd w:id="152"/>
      <w:bookmarkEnd w:id="153"/>
      <w:bookmarkEnd w:id="154"/>
      <w:bookmarkEnd w:id="155"/>
      <w:bookmarkEnd w:id="156"/>
    </w:p>
    <w:sectPr w:rsidR="00A9534A" w:rsidRPr="005C767D" w:rsidSect="00B60957">
      <w:footerReference w:type="even" r:id="rId44"/>
      <w:footerReference w:type="default" r:id="rId45"/>
      <w:pgSz w:w="11906" w:h="16838" w:code="9"/>
      <w:pgMar w:top="1814" w:right="1701" w:bottom="1418" w:left="2835"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D695A" w14:textId="77777777" w:rsidR="00210167" w:rsidRDefault="00210167" w:rsidP="00A9534A">
      <w:pPr>
        <w:spacing w:after="0" w:line="240" w:lineRule="auto"/>
      </w:pPr>
      <w:r>
        <w:separator/>
      </w:r>
    </w:p>
  </w:endnote>
  <w:endnote w:type="continuationSeparator" w:id="0">
    <w:p w14:paraId="7E542874" w14:textId="77777777" w:rsidR="00210167" w:rsidRDefault="00210167" w:rsidP="00A9534A">
      <w:pPr>
        <w:spacing w:after="0" w:line="240" w:lineRule="auto"/>
      </w:pPr>
      <w:r>
        <w:continuationSeparator/>
      </w:r>
    </w:p>
  </w:endnote>
  <w:endnote w:type="continuationNotice" w:id="1">
    <w:p w14:paraId="223998E9" w14:textId="77777777" w:rsidR="00210167" w:rsidRDefault="00210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empos Text Regular">
    <w:altName w:val="Tiempos Text 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32820"/>
      <w:docPartObj>
        <w:docPartGallery w:val="Page Numbers (Bottom of Page)"/>
        <w:docPartUnique/>
      </w:docPartObj>
    </w:sdtPr>
    <w:sdtEndPr/>
    <w:sdtContent>
      <w:p w14:paraId="1BB8A0CE" w14:textId="77777777" w:rsidR="00A63E03" w:rsidRPr="006016B9" w:rsidRDefault="00A63E03" w:rsidP="006016B9">
        <w:r w:rsidRPr="006016B9">
          <w:fldChar w:fldCharType="begin"/>
        </w:r>
        <w:r w:rsidRPr="006016B9">
          <w:instrText xml:space="preserve"> PAGE   \* MERGEFORMAT </w:instrText>
        </w:r>
        <w:r w:rsidRPr="006016B9">
          <w:fldChar w:fldCharType="separate"/>
        </w:r>
        <w:r w:rsidRPr="006016B9">
          <w:t>65</w:t>
        </w:r>
        <w:r w:rsidRPr="006016B9">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7F19" w14:textId="7419B5A5" w:rsidR="00A63E03" w:rsidRPr="000A5EFD" w:rsidRDefault="00A63E03" w:rsidP="009B7616">
    <w:pPr>
      <w:pStyle w:val="Footer"/>
      <w:tabs>
        <w:tab w:val="clear" w:pos="8640"/>
        <w:tab w:val="right" w:pos="7371"/>
      </w:tabs>
      <w:jc w:val="left"/>
    </w:pPr>
    <w:r>
      <w:rPr>
        <w:rStyle w:val="PageNumber"/>
      </w:rPr>
      <w:fldChar w:fldCharType="begin"/>
    </w:r>
    <w:r>
      <w:rPr>
        <w:rStyle w:val="PageNumber"/>
      </w:rPr>
      <w:instrText xml:space="preserve"> PAGE </w:instrText>
    </w:r>
    <w:r>
      <w:rPr>
        <w:rStyle w:val="PageNumber"/>
      </w:rPr>
      <w:fldChar w:fldCharType="separate"/>
    </w:r>
    <w:r w:rsidR="00B60957">
      <w:rPr>
        <w:rStyle w:val="PageNumber"/>
        <w:noProof/>
      </w:rPr>
      <w:t>90</w:t>
    </w:r>
    <w:r>
      <w:rPr>
        <w:rStyle w:val="PageNumber"/>
      </w:rPr>
      <w:fldChar w:fldCharType="end"/>
    </w:r>
    <w:r>
      <w:rPr>
        <w:rStyle w:val="PageNumber"/>
      </w:rPr>
      <w:tab/>
      <w:t xml:space="preserve">DET </w:t>
    </w:r>
    <w:r>
      <w:t>Annual Report 2015–16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D842" w14:textId="558D5A99" w:rsidR="00A63E03" w:rsidRPr="005F1059" w:rsidRDefault="00A63E03" w:rsidP="00923741">
    <w:pPr>
      <w:pStyle w:val="Footer"/>
      <w:tabs>
        <w:tab w:val="right" w:pos="7371"/>
      </w:tabs>
    </w:pPr>
    <w:r>
      <w:t>Appendices</w:t>
    </w:r>
    <w:r w:rsidRPr="00162E84">
      <w:tab/>
    </w:r>
    <w:r>
      <w:fldChar w:fldCharType="begin"/>
    </w:r>
    <w:r>
      <w:instrText xml:space="preserve"> PAGE   \* MERGEFORMAT </w:instrText>
    </w:r>
    <w:r>
      <w:fldChar w:fldCharType="separate"/>
    </w:r>
    <w:r w:rsidR="00B60957">
      <w:rPr>
        <w:noProof/>
      </w:rPr>
      <w:t>107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94F3B" w14:textId="77777777" w:rsidR="00210167" w:rsidRDefault="00210167" w:rsidP="00A9534A">
      <w:pPr>
        <w:spacing w:after="0" w:line="240" w:lineRule="auto"/>
      </w:pPr>
      <w:r>
        <w:separator/>
      </w:r>
    </w:p>
  </w:footnote>
  <w:footnote w:type="continuationSeparator" w:id="0">
    <w:p w14:paraId="3D94EECE" w14:textId="77777777" w:rsidR="00210167" w:rsidRDefault="00210167" w:rsidP="00A9534A">
      <w:pPr>
        <w:spacing w:after="0" w:line="240" w:lineRule="auto"/>
      </w:pPr>
      <w:r>
        <w:continuationSeparator/>
      </w:r>
    </w:p>
  </w:footnote>
  <w:footnote w:type="continuationNotice" w:id="1">
    <w:p w14:paraId="57ACCCA1" w14:textId="77777777" w:rsidR="00210167" w:rsidRDefault="00210167">
      <w:pPr>
        <w:spacing w:after="0" w:line="240" w:lineRule="auto"/>
      </w:pPr>
    </w:p>
  </w:footnote>
  <w:footnote w:id="2">
    <w:p w14:paraId="1BF85BBD" w14:textId="77777777" w:rsidR="00A63E03" w:rsidRDefault="00A63E03" w:rsidP="00EF11A2">
      <w:pPr>
        <w:pStyle w:val="DETFootnoteTextforobjectivestablesOHStable"/>
        <w:rPr>
          <w:sz w:val="13"/>
        </w:rPr>
      </w:pPr>
      <w:r>
        <w:rPr>
          <w:rStyle w:val="FootnoteReference"/>
        </w:rPr>
        <w:footnoteRef/>
      </w:r>
      <w:r>
        <w:t xml:space="preserve"> Net payments from investments represents for schools’ term deposits with a maturity of three months or more. The Department did not have information available from each school to determine these gross cash flows; therefore, investment movement has been disclosed on a net basis in 2014–15. In 2015–16, this item is represented on a gross basis across two lines: ‘Proceeds from investments’ and ‘Payments for investments’. </w:t>
      </w:r>
    </w:p>
  </w:footnote>
  <w:footnote w:id="3">
    <w:p w14:paraId="21E41045" w14:textId="54D5F543" w:rsidR="00A63E03" w:rsidRDefault="00A63E03" w:rsidP="00EF11A2">
      <w:pPr>
        <w:pStyle w:val="DETFootnoteTextforobjectivestablesOHStable"/>
      </w:pPr>
      <w:r>
        <w:rPr>
          <w:rStyle w:val="FootnoteReference"/>
        </w:rPr>
        <w:footnoteRef/>
      </w:r>
      <w:r>
        <w:t xml:space="preserve"> Due to the limitation of available information, schools’ term deposits with a maturity of three months or more were based on estimates in the past. In 2015–16, the Department has collected this data from schools, and adjusted the cash flows statement to reflect the movement from an estimate to actuals.</w:t>
      </w:r>
    </w:p>
    <w:p w14:paraId="4550D9CB" w14:textId="5AF63C27" w:rsidR="00A63E03" w:rsidRDefault="00A63E03" w:rsidP="00155353">
      <w:pPr>
        <w:pStyle w:val="Normalaftertable"/>
      </w:pPr>
    </w:p>
  </w:footnote>
  <w:footnote w:id="4">
    <w:p w14:paraId="5AB652A9" w14:textId="609016F5" w:rsidR="00A63E03" w:rsidRDefault="00A63E03">
      <w:pPr>
        <w:pStyle w:val="FootnoteText"/>
      </w:pPr>
      <w:r>
        <w:rPr>
          <w:rStyle w:val="FootnoteReference"/>
        </w:rPr>
        <w:footnoteRef/>
      </w:r>
      <w:r>
        <w:t xml:space="preserve"> This Standard of Amendment may not be relevant to Victorian not-for-profit entities when operative.</w:t>
      </w:r>
    </w:p>
  </w:footnote>
  <w:footnote w:id="5">
    <w:p w14:paraId="527FFB3D" w14:textId="1BDAB774" w:rsidR="00A63E03" w:rsidRDefault="00A63E03" w:rsidP="0005782C">
      <w:pPr>
        <w:pStyle w:val="DETFootnoteTextforobjectivestablesOHStable"/>
      </w:pPr>
      <w:r>
        <w:rPr>
          <w:rStyle w:val="FootnoteReference"/>
        </w:rPr>
        <w:footnoteRef/>
      </w:r>
      <w:r>
        <w:t xml:space="preserve"> This Standard or Amendment may not be relevant to Victorian not-for-profit entities when operative.</w:t>
      </w:r>
    </w:p>
  </w:footnote>
  <w:footnote w:id="6">
    <w:p w14:paraId="49C01976" w14:textId="77777777" w:rsidR="00A63E03" w:rsidRDefault="00A63E03" w:rsidP="00750088">
      <w:pPr>
        <w:pStyle w:val="DETFootnoteTextforobjectivestablesOHStable"/>
      </w:pPr>
      <w:r>
        <w:rPr>
          <w:rStyle w:val="FootnoteReference"/>
        </w:rPr>
        <w:footnoteRef/>
      </w:r>
      <w:r>
        <w:t xml:space="preserve"> The provision of outputs variance of $702.4 million primarily reflects a $246.0 million carryover of provisions of outputs appropriation related to initiatives including Non-Government schools and early childhood grants of $40.0 million, Schools infrastructure including maintenance related projects of $37.8 million, reform activities of $29.9 million, IT systems licencing and maintenance payments of $22.5 million, TAFE Structural Adjustment Fund of $17.9 million, Early childhood and education programs of $14.2 million, and other Departmental programs of $83.6 million. In addition, savings of $91.3 million and lapsed prior year’s appropriation and carryover, Treasurer Advance and VTG funding totalling $365.1 million also contribute to the variance.</w:t>
      </w:r>
    </w:p>
    <w:p w14:paraId="699DA01A" w14:textId="0B0EDCFA" w:rsidR="00A63E03" w:rsidRDefault="00A63E03" w:rsidP="00750088">
      <w:pPr>
        <w:pStyle w:val="DETFootnoteTextforobjectivestablesOHStable"/>
      </w:pPr>
      <w:r>
        <w:t xml:space="preserve">   The additions to net assets variance of $18.0 million reflects the carryover of the Commonwealth funding for the Trade Training Centre initiative.</w:t>
      </w:r>
    </w:p>
  </w:footnote>
  <w:footnote w:id="7">
    <w:p w14:paraId="5F13F649" w14:textId="77777777" w:rsidR="00A63E03" w:rsidRDefault="00A63E03" w:rsidP="00750088">
      <w:pPr>
        <w:pStyle w:val="DETFootnoteTextforobjectivestablesOHStable"/>
      </w:pPr>
      <w:r>
        <w:rPr>
          <w:rStyle w:val="FootnoteReference"/>
        </w:rPr>
        <w:footnoteRef/>
      </w:r>
      <w:r>
        <w:t xml:space="preserve"> The provision of outputs variance of $464.3 million primarily reflects the carryover of provisions of outputs appropriation related to initiatives including Victoria Training Guarantee of $134.1 million and grant payments to non-government schools of $25.7 million and the rollout of maintenance funding to schools following the condition assessment process of $24.0 million. The appropriation </w:t>
      </w:r>
      <w:proofErr w:type="spellStart"/>
      <w:r>
        <w:t>rephasing</w:t>
      </w:r>
      <w:proofErr w:type="spellEnd"/>
      <w:r>
        <w:t xml:space="preserve"> and lapsed Treasurer Advance and the section 35 advance totalling $79.8 million also contribute to the variance.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B28F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F7ED5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CCCC00"/>
    <w:lvl w:ilvl="0">
      <w:start w:val="1"/>
      <w:numFmt w:val="decimal"/>
      <w:pStyle w:val="ListNumber3"/>
      <w:lvlText w:val="%1."/>
      <w:lvlJc w:val="left"/>
      <w:pPr>
        <w:tabs>
          <w:tab w:val="num" w:pos="926"/>
        </w:tabs>
        <w:ind w:left="926" w:hanging="360"/>
      </w:pPr>
    </w:lvl>
  </w:abstractNum>
  <w:abstractNum w:abstractNumId="3">
    <w:nsid w:val="FFFFFF7F"/>
    <w:multiLevelType w:val="singleLevel"/>
    <w:tmpl w:val="1F4622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3D44DB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01C95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ECA29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520E85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DAC5E2"/>
    <w:lvl w:ilvl="0">
      <w:start w:val="1"/>
      <w:numFmt w:val="decimal"/>
      <w:pStyle w:val="ListNumber"/>
      <w:lvlText w:val="%1."/>
      <w:lvlJc w:val="left"/>
      <w:pPr>
        <w:tabs>
          <w:tab w:val="num" w:pos="360"/>
        </w:tabs>
        <w:ind w:left="360" w:hanging="360"/>
      </w:pPr>
    </w:lvl>
  </w:abstractNum>
  <w:abstractNum w:abstractNumId="9">
    <w:nsid w:val="FFFFFF89"/>
    <w:multiLevelType w:val="singleLevel"/>
    <w:tmpl w:val="6CFEC9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4CA23102"/>
    <w:styleLink w:val="MD2007111"/>
    <w:lvl w:ilvl="0">
      <w:start w:val="1"/>
      <w:numFmt w:val="decimal"/>
      <w:lvlText w:val="%1."/>
      <w:lvlJc w:val="left"/>
      <w:pPr>
        <w:tabs>
          <w:tab w:val="num" w:pos="709"/>
        </w:tabs>
        <w:ind w:left="709" w:hanging="709"/>
      </w:pPr>
      <w:rPr>
        <w:rFonts w:ascii="Arial" w:hAnsi="Arial" w:hint="default"/>
        <w:b w:val="0"/>
        <w:i w:val="0"/>
        <w:sz w:val="21"/>
      </w:rPr>
    </w:lvl>
    <w:lvl w:ilvl="1">
      <w:start w:val="1"/>
      <w:numFmt w:val="lowerLetter"/>
      <w:lvlText w:val="(%2)"/>
      <w:lvlJc w:val="left"/>
      <w:pPr>
        <w:tabs>
          <w:tab w:val="num" w:pos="2127"/>
        </w:tabs>
        <w:ind w:left="2127" w:hanging="709"/>
      </w:pPr>
      <w:rPr>
        <w:rFonts w:ascii="Arial" w:hAnsi="Arial" w:hint="default"/>
        <w:b w:val="0"/>
        <w:i w:val="0"/>
        <w:sz w:val="21"/>
      </w:rPr>
    </w:lvl>
    <w:lvl w:ilvl="2">
      <w:start w:val="1"/>
      <w:numFmt w:val="lowerRoman"/>
      <w:lvlText w:val="(%3)"/>
      <w:lvlJc w:val="left"/>
      <w:pPr>
        <w:tabs>
          <w:tab w:val="num" w:pos="2835"/>
        </w:tabs>
        <w:ind w:left="2835" w:hanging="708"/>
      </w:pPr>
      <w:rPr>
        <w:rFonts w:ascii="Arial" w:hAnsi="Arial" w:hint="default"/>
        <w:b w:val="0"/>
        <w:i w:val="0"/>
        <w:sz w:val="21"/>
      </w:rPr>
    </w:lvl>
    <w:lvl w:ilvl="3">
      <w:start w:val="1"/>
      <w:numFmt w:val="upperLetter"/>
      <w:lvlText w:val="%4."/>
      <w:lvlJc w:val="left"/>
      <w:pPr>
        <w:tabs>
          <w:tab w:val="num" w:pos="3544"/>
        </w:tabs>
        <w:ind w:left="3544" w:hanging="709"/>
      </w:pPr>
      <w:rPr>
        <w:rFonts w:hint="default"/>
        <w:b w:val="0"/>
        <w:i w:val="0"/>
        <w:sz w:val="21"/>
      </w:rPr>
    </w:lvl>
    <w:lvl w:ilvl="4">
      <w:start w:val="1"/>
      <w:numFmt w:val="decimal"/>
      <w:lvlText w:val="(%5)"/>
      <w:lvlJc w:val="left"/>
      <w:pPr>
        <w:tabs>
          <w:tab w:val="num" w:pos="4253"/>
        </w:tabs>
        <w:ind w:left="4253" w:hanging="709"/>
      </w:pPr>
      <w:rPr>
        <w:rFonts w:ascii="Arial" w:hAnsi="Arial" w:hint="default"/>
        <w:b w:val="0"/>
        <w:i w:val="0"/>
        <w:sz w:val="21"/>
      </w:rPr>
    </w:lvl>
    <w:lvl w:ilvl="5">
      <w:start w:val="1"/>
      <w:numFmt w:val="lowerRoman"/>
      <w:lvlText w:val="(%6)"/>
      <w:lvlJc w:val="left"/>
      <w:pPr>
        <w:tabs>
          <w:tab w:val="num" w:pos="4962"/>
        </w:tabs>
        <w:ind w:left="4962" w:hanging="709"/>
      </w:pPr>
      <w:rPr>
        <w:rFonts w:ascii="Arial" w:hAnsi="Arial" w:hint="default"/>
        <w:b w:val="0"/>
        <w:i w:val="0"/>
        <w:sz w:val="21"/>
      </w:rPr>
    </w:lvl>
    <w:lvl w:ilvl="6">
      <w:start w:val="1"/>
      <w:numFmt w:val="lowerRoman"/>
      <w:lvlText w:val="(%7)"/>
      <w:lvlJc w:val="left"/>
      <w:pPr>
        <w:tabs>
          <w:tab w:val="num" w:pos="709"/>
        </w:tabs>
        <w:ind w:left="5725" w:hanging="708"/>
      </w:pPr>
    </w:lvl>
    <w:lvl w:ilvl="7">
      <w:start w:val="1"/>
      <w:numFmt w:val="lowerLetter"/>
      <w:lvlText w:val="(%8)"/>
      <w:lvlJc w:val="left"/>
      <w:pPr>
        <w:tabs>
          <w:tab w:val="num" w:pos="709"/>
        </w:tabs>
        <w:ind w:left="6433" w:hanging="708"/>
      </w:pPr>
    </w:lvl>
    <w:lvl w:ilvl="8">
      <w:start w:val="1"/>
      <w:numFmt w:val="lowerRoman"/>
      <w:lvlText w:val="(%9)"/>
      <w:lvlJc w:val="left"/>
      <w:pPr>
        <w:tabs>
          <w:tab w:val="num" w:pos="709"/>
        </w:tabs>
        <w:ind w:left="7141" w:hanging="708"/>
      </w:pPr>
    </w:lvl>
  </w:abstractNum>
  <w:abstractNum w:abstractNumId="11">
    <w:nsid w:val="006B2FB5"/>
    <w:multiLevelType w:val="multilevel"/>
    <w:tmpl w:val="0F488840"/>
    <w:styleLink w:val="ListNumber1"/>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0580397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091D11"/>
    <w:multiLevelType w:val="hybridMultilevel"/>
    <w:tmpl w:val="E15C2E2E"/>
    <w:lvl w:ilvl="0" w:tplc="02D641B8">
      <w:start w:val="1"/>
      <w:numFmt w:val="lowerLetter"/>
      <w:pStyle w:val="Heading3notesnumbered"/>
      <w:lvlText w:val="(%1)"/>
      <w:lvlJc w:val="left"/>
      <w:pPr>
        <w:ind w:left="501" w:hanging="360"/>
      </w:pPr>
      <w:rPr>
        <w:rFonts w:hint="default"/>
      </w:rPr>
    </w:lvl>
    <w:lvl w:ilvl="1" w:tplc="E8989BCE">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5B02FCB"/>
    <w:multiLevelType w:val="hybridMultilevel"/>
    <w:tmpl w:val="FB129866"/>
    <w:lvl w:ilvl="0" w:tplc="D0142878">
      <w:start w:val="1"/>
      <w:numFmt w:val="bullet"/>
      <w:pStyle w:val="DETNormallistbullet"/>
      <w:lvlText w:val=""/>
      <w:lvlJc w:val="left"/>
      <w:pPr>
        <w:ind w:left="71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6AE3B2E"/>
    <w:multiLevelType w:val="multilevel"/>
    <w:tmpl w:val="0F488840"/>
    <w:styleLink w:val="Numberedlist"/>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1AD7735D"/>
    <w:multiLevelType w:val="hybridMultilevel"/>
    <w:tmpl w:val="F70623F0"/>
    <w:lvl w:ilvl="0" w:tplc="0E30C6C2">
      <w:start w:val="1"/>
      <w:numFmt w:val="bullet"/>
      <w:pStyle w:val="Imprint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7">
    <w:nsid w:val="1B540EF4"/>
    <w:multiLevelType w:val="hybridMultilevel"/>
    <w:tmpl w:val="A7CA82C6"/>
    <w:lvl w:ilvl="0" w:tplc="0C09001B">
      <w:start w:val="1"/>
      <w:numFmt w:val="lowerRoman"/>
      <w:lvlText w:val="%1."/>
      <w:lvlJc w:val="right"/>
      <w:pPr>
        <w:ind w:left="717"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BC2224E"/>
    <w:multiLevelType w:val="hybridMultilevel"/>
    <w:tmpl w:val="F0B05352"/>
    <w:lvl w:ilvl="0" w:tplc="DD780972">
      <w:start w:val="1"/>
      <w:numFmt w:val="bullet"/>
      <w:pStyle w:val="AR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0FB7D99"/>
    <w:multiLevelType w:val="multilevel"/>
    <w:tmpl w:val="0F488840"/>
    <w:styleLink w:val="Listnumber10"/>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23039E5"/>
    <w:multiLevelType w:val="hybridMultilevel"/>
    <w:tmpl w:val="7AE87586"/>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9A06F7"/>
    <w:multiLevelType w:val="hybridMultilevel"/>
    <w:tmpl w:val="E2D8268A"/>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CC462F"/>
    <w:multiLevelType w:val="hybridMultilevel"/>
    <w:tmpl w:val="FE2A43EC"/>
    <w:lvl w:ilvl="0" w:tplc="4138562C">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D004E2"/>
    <w:multiLevelType w:val="multilevel"/>
    <w:tmpl w:val="0C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3F501507"/>
    <w:multiLevelType w:val="hybridMultilevel"/>
    <w:tmpl w:val="A91E6C34"/>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F7D5B43"/>
    <w:multiLevelType w:val="multilevel"/>
    <w:tmpl w:val="0F488840"/>
    <w:styleLink w:val="Normalnumberedlist"/>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57555E2"/>
    <w:multiLevelType w:val="hybridMultilevel"/>
    <w:tmpl w:val="0D888D00"/>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59A6F38"/>
    <w:multiLevelType w:val="hybridMultilevel"/>
    <w:tmpl w:val="FA8A462E"/>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65B55E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8BE5424"/>
    <w:multiLevelType w:val="hybridMultilevel"/>
    <w:tmpl w:val="3E3E3A28"/>
    <w:lvl w:ilvl="0" w:tplc="78B42CB4">
      <w:start w:val="1"/>
      <w:numFmt w:val="decimal"/>
      <w:pStyle w:val="DETHeading2appendicesnumbered"/>
      <w:lvlText w:val="Appendi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CC02D17"/>
    <w:multiLevelType w:val="hybridMultilevel"/>
    <w:tmpl w:val="876A8A7C"/>
    <w:lvl w:ilvl="0" w:tplc="D5C8F296">
      <w:start w:val="1"/>
      <w:numFmt w:val="decimal"/>
      <w:pStyle w:val="Heading2notes"/>
      <w:lvlText w:val="Note %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F4847D2"/>
    <w:multiLevelType w:val="hybridMultilevel"/>
    <w:tmpl w:val="84845028"/>
    <w:lvl w:ilvl="0" w:tplc="A8983EE6">
      <w:start w:val="1"/>
      <w:numFmt w:val="decimal"/>
      <w:pStyle w:val="Heading2Notes0"/>
      <w:lvlText w:val="Note %1 "/>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F9670A6"/>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9709ED"/>
    <w:multiLevelType w:val="hybridMultilevel"/>
    <w:tmpl w:val="0764F524"/>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7F1948"/>
    <w:multiLevelType w:val="multilevel"/>
    <w:tmpl w:val="87B0CCC0"/>
    <w:styleLink w:val="ArticleSection"/>
    <w:lvl w:ilvl="0">
      <w:start w:val="1"/>
      <w:numFmt w:val="upperRoman"/>
      <w:lvlText w:val="Article %1."/>
      <w:lvlJc w:val="left"/>
      <w:pPr>
        <w:ind w:left="0" w:firstLine="0"/>
      </w:pPr>
    </w:lvl>
    <w:lvl w:ilvl="1">
      <w:start w:val="1"/>
      <w:numFmt w:val="decimalZero"/>
      <w:isLgl/>
      <w:lvlText w:val="Section %1.%2"/>
      <w:lvlJc w:val="left"/>
      <w:pPr>
        <w:ind w:left="71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67F60521"/>
    <w:multiLevelType w:val="hybridMultilevel"/>
    <w:tmpl w:val="794E03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8820071"/>
    <w:multiLevelType w:val="hybridMultilevel"/>
    <w:tmpl w:val="E2CEA9CC"/>
    <w:lvl w:ilvl="0" w:tplc="792AD84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F1129E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nsid w:val="733631B6"/>
    <w:multiLevelType w:val="multilevel"/>
    <w:tmpl w:val="0C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59C24E7"/>
    <w:multiLevelType w:val="hybridMultilevel"/>
    <w:tmpl w:val="C212A840"/>
    <w:lvl w:ilvl="0" w:tplc="3FCE2F8C">
      <w:start w:val="1"/>
      <w:numFmt w:val="bullet"/>
      <w:pStyle w:val="ListBullet20"/>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C7737D1"/>
    <w:multiLevelType w:val="hybridMultilevel"/>
    <w:tmpl w:val="1CE83898"/>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59067F"/>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0"/>
  </w:num>
  <w:num w:numId="11">
    <w:abstractNumId w:val="9"/>
  </w:num>
  <w:num w:numId="12">
    <w:abstractNumId w:val="12"/>
  </w:num>
  <w:num w:numId="13">
    <w:abstractNumId w:val="28"/>
  </w:num>
  <w:num w:numId="14">
    <w:abstractNumId w:val="34"/>
  </w:num>
  <w:num w:numId="15">
    <w:abstractNumId w:val="37"/>
  </w:num>
  <w:num w:numId="16">
    <w:abstractNumId w:val="32"/>
  </w:num>
  <w:num w:numId="17">
    <w:abstractNumId w:val="38"/>
  </w:num>
  <w:num w:numId="18">
    <w:abstractNumId w:val="23"/>
  </w:num>
  <w:num w:numId="19">
    <w:abstractNumId w:val="29"/>
  </w:num>
  <w:num w:numId="20">
    <w:abstractNumId w:val="36"/>
  </w:num>
  <w:num w:numId="21">
    <w:abstractNumId w:val="7"/>
  </w:num>
  <w:num w:numId="22">
    <w:abstractNumId w:val="39"/>
  </w:num>
  <w:num w:numId="23">
    <w:abstractNumId w:val="10"/>
  </w:num>
  <w:num w:numId="24">
    <w:abstractNumId w:val="31"/>
  </w:num>
  <w:num w:numId="25">
    <w:abstractNumId w:val="16"/>
  </w:num>
  <w:num w:numId="26">
    <w:abstractNumId w:val="19"/>
  </w:num>
  <w:num w:numId="27">
    <w:abstractNumId w:val="11"/>
  </w:num>
  <w:num w:numId="28">
    <w:abstractNumId w:val="25"/>
  </w:num>
  <w:num w:numId="29">
    <w:abstractNumId w:val="15"/>
  </w:num>
  <w:num w:numId="30">
    <w:abstractNumId w:val="22"/>
  </w:num>
  <w:num w:numId="31">
    <w:abstractNumId w:val="14"/>
  </w:num>
  <w:num w:numId="32">
    <w:abstractNumId w:val="18"/>
  </w:num>
  <w:num w:numId="33">
    <w:abstractNumId w:val="33"/>
  </w:num>
  <w:num w:numId="34">
    <w:abstractNumId w:val="26"/>
  </w:num>
  <w:num w:numId="35">
    <w:abstractNumId w:val="27"/>
  </w:num>
  <w:num w:numId="36">
    <w:abstractNumId w:val="17"/>
  </w:num>
  <w:num w:numId="37">
    <w:abstractNumId w:val="40"/>
  </w:num>
  <w:num w:numId="38">
    <w:abstractNumId w:val="2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41"/>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savePreviewPicture/>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48"/>
    <w:rsid w:val="000067B1"/>
    <w:rsid w:val="0001372E"/>
    <w:rsid w:val="00013B9F"/>
    <w:rsid w:val="00013F84"/>
    <w:rsid w:val="000161A6"/>
    <w:rsid w:val="00020413"/>
    <w:rsid w:val="000241A7"/>
    <w:rsid w:val="00026A2F"/>
    <w:rsid w:val="00026C4C"/>
    <w:rsid w:val="00027AAB"/>
    <w:rsid w:val="000318AC"/>
    <w:rsid w:val="0003394C"/>
    <w:rsid w:val="00033D28"/>
    <w:rsid w:val="00036C96"/>
    <w:rsid w:val="000418B4"/>
    <w:rsid w:val="0004210F"/>
    <w:rsid w:val="000433D8"/>
    <w:rsid w:val="000435BB"/>
    <w:rsid w:val="00046BE8"/>
    <w:rsid w:val="000519EF"/>
    <w:rsid w:val="00054C50"/>
    <w:rsid w:val="0005657E"/>
    <w:rsid w:val="0005782C"/>
    <w:rsid w:val="00057FEF"/>
    <w:rsid w:val="000628B8"/>
    <w:rsid w:val="00063662"/>
    <w:rsid w:val="0006484F"/>
    <w:rsid w:val="00067432"/>
    <w:rsid w:val="00067661"/>
    <w:rsid w:val="00075771"/>
    <w:rsid w:val="00077004"/>
    <w:rsid w:val="000771D1"/>
    <w:rsid w:val="00080160"/>
    <w:rsid w:val="00081EA6"/>
    <w:rsid w:val="000828C2"/>
    <w:rsid w:val="00083677"/>
    <w:rsid w:val="000848E5"/>
    <w:rsid w:val="00084A40"/>
    <w:rsid w:val="000859DF"/>
    <w:rsid w:val="00091B98"/>
    <w:rsid w:val="000950DE"/>
    <w:rsid w:val="000953B1"/>
    <w:rsid w:val="00095D69"/>
    <w:rsid w:val="000974E0"/>
    <w:rsid w:val="000A0BD0"/>
    <w:rsid w:val="000A136C"/>
    <w:rsid w:val="000A4A70"/>
    <w:rsid w:val="000A5EFD"/>
    <w:rsid w:val="000A728A"/>
    <w:rsid w:val="000B19CA"/>
    <w:rsid w:val="000B20FA"/>
    <w:rsid w:val="000B22A1"/>
    <w:rsid w:val="000B4DEF"/>
    <w:rsid w:val="000C0384"/>
    <w:rsid w:val="000C0D1D"/>
    <w:rsid w:val="000C1AF5"/>
    <w:rsid w:val="000C357A"/>
    <w:rsid w:val="000C478E"/>
    <w:rsid w:val="000C6169"/>
    <w:rsid w:val="000C7959"/>
    <w:rsid w:val="000D0A51"/>
    <w:rsid w:val="000D1271"/>
    <w:rsid w:val="000D1DD6"/>
    <w:rsid w:val="000D5AF0"/>
    <w:rsid w:val="000D7264"/>
    <w:rsid w:val="000D7D87"/>
    <w:rsid w:val="000E0387"/>
    <w:rsid w:val="000E0841"/>
    <w:rsid w:val="000E27A0"/>
    <w:rsid w:val="000E7576"/>
    <w:rsid w:val="000F089F"/>
    <w:rsid w:val="000F1EF3"/>
    <w:rsid w:val="000F3E50"/>
    <w:rsid w:val="000F5B30"/>
    <w:rsid w:val="000F6437"/>
    <w:rsid w:val="001010E5"/>
    <w:rsid w:val="00106B5D"/>
    <w:rsid w:val="00107DF4"/>
    <w:rsid w:val="00111172"/>
    <w:rsid w:val="0011227D"/>
    <w:rsid w:val="0011351A"/>
    <w:rsid w:val="00113FC6"/>
    <w:rsid w:val="0011776B"/>
    <w:rsid w:val="00117DAB"/>
    <w:rsid w:val="00120368"/>
    <w:rsid w:val="00120AAB"/>
    <w:rsid w:val="0012168B"/>
    <w:rsid w:val="0012214B"/>
    <w:rsid w:val="00122811"/>
    <w:rsid w:val="001243D4"/>
    <w:rsid w:val="0012473E"/>
    <w:rsid w:val="00125C53"/>
    <w:rsid w:val="00127B23"/>
    <w:rsid w:val="0013110C"/>
    <w:rsid w:val="00134A60"/>
    <w:rsid w:val="00144C90"/>
    <w:rsid w:val="00145093"/>
    <w:rsid w:val="0014546F"/>
    <w:rsid w:val="00146A97"/>
    <w:rsid w:val="00146FD5"/>
    <w:rsid w:val="00147696"/>
    <w:rsid w:val="00147B73"/>
    <w:rsid w:val="00147BAB"/>
    <w:rsid w:val="00155353"/>
    <w:rsid w:val="001576AE"/>
    <w:rsid w:val="00157B83"/>
    <w:rsid w:val="001605BC"/>
    <w:rsid w:val="001605FE"/>
    <w:rsid w:val="00160FDE"/>
    <w:rsid w:val="001611BB"/>
    <w:rsid w:val="001621BC"/>
    <w:rsid w:val="00165A08"/>
    <w:rsid w:val="00167D21"/>
    <w:rsid w:val="00170E98"/>
    <w:rsid w:val="0017233C"/>
    <w:rsid w:val="0017274F"/>
    <w:rsid w:val="00172C53"/>
    <w:rsid w:val="00174B10"/>
    <w:rsid w:val="00175BD8"/>
    <w:rsid w:val="00175C40"/>
    <w:rsid w:val="00176661"/>
    <w:rsid w:val="001770CB"/>
    <w:rsid w:val="00177A5B"/>
    <w:rsid w:val="001821AE"/>
    <w:rsid w:val="001920DB"/>
    <w:rsid w:val="00192B7F"/>
    <w:rsid w:val="00194772"/>
    <w:rsid w:val="00194CB8"/>
    <w:rsid w:val="00195229"/>
    <w:rsid w:val="00195D76"/>
    <w:rsid w:val="0019640B"/>
    <w:rsid w:val="001A54F8"/>
    <w:rsid w:val="001B1D65"/>
    <w:rsid w:val="001B3627"/>
    <w:rsid w:val="001C1E4B"/>
    <w:rsid w:val="001C23D9"/>
    <w:rsid w:val="001C288E"/>
    <w:rsid w:val="001C36E1"/>
    <w:rsid w:val="001C6983"/>
    <w:rsid w:val="001D3DB2"/>
    <w:rsid w:val="001D52B3"/>
    <w:rsid w:val="001D5A4C"/>
    <w:rsid w:val="001D6D97"/>
    <w:rsid w:val="001D6FA5"/>
    <w:rsid w:val="001E09E5"/>
    <w:rsid w:val="001E1FF1"/>
    <w:rsid w:val="001E274F"/>
    <w:rsid w:val="001E4FF6"/>
    <w:rsid w:val="001F07C0"/>
    <w:rsid w:val="001F185F"/>
    <w:rsid w:val="001F2406"/>
    <w:rsid w:val="001F3461"/>
    <w:rsid w:val="001F5EA1"/>
    <w:rsid w:val="001F6F04"/>
    <w:rsid w:val="001F7D3F"/>
    <w:rsid w:val="00201598"/>
    <w:rsid w:val="00201A69"/>
    <w:rsid w:val="00202533"/>
    <w:rsid w:val="00205CEF"/>
    <w:rsid w:val="0020740A"/>
    <w:rsid w:val="00210167"/>
    <w:rsid w:val="0021131C"/>
    <w:rsid w:val="0021131E"/>
    <w:rsid w:val="0021275E"/>
    <w:rsid w:val="002127C3"/>
    <w:rsid w:val="00212A1C"/>
    <w:rsid w:val="002178E9"/>
    <w:rsid w:val="002211FB"/>
    <w:rsid w:val="00221426"/>
    <w:rsid w:val="0022199E"/>
    <w:rsid w:val="002225EC"/>
    <w:rsid w:val="002227AA"/>
    <w:rsid w:val="00224F74"/>
    <w:rsid w:val="00226661"/>
    <w:rsid w:val="0022711D"/>
    <w:rsid w:val="00232BA7"/>
    <w:rsid w:val="0023348B"/>
    <w:rsid w:val="0023385E"/>
    <w:rsid w:val="00237FCA"/>
    <w:rsid w:val="00241313"/>
    <w:rsid w:val="00242176"/>
    <w:rsid w:val="002421D8"/>
    <w:rsid w:val="0024511A"/>
    <w:rsid w:val="002452A0"/>
    <w:rsid w:val="00245E79"/>
    <w:rsid w:val="00250CA3"/>
    <w:rsid w:val="002511E8"/>
    <w:rsid w:val="002530AF"/>
    <w:rsid w:val="0025697C"/>
    <w:rsid w:val="00256C67"/>
    <w:rsid w:val="0025754E"/>
    <w:rsid w:val="00260C87"/>
    <w:rsid w:val="0026188E"/>
    <w:rsid w:val="002619FD"/>
    <w:rsid w:val="00263240"/>
    <w:rsid w:val="002653B7"/>
    <w:rsid w:val="00267E20"/>
    <w:rsid w:val="0027041D"/>
    <w:rsid w:val="00271A98"/>
    <w:rsid w:val="0027212E"/>
    <w:rsid w:val="0027465D"/>
    <w:rsid w:val="00274F9F"/>
    <w:rsid w:val="002759EC"/>
    <w:rsid w:val="00283685"/>
    <w:rsid w:val="002861B7"/>
    <w:rsid w:val="00286362"/>
    <w:rsid w:val="002902E5"/>
    <w:rsid w:val="00290E48"/>
    <w:rsid w:val="0029580D"/>
    <w:rsid w:val="002A01A0"/>
    <w:rsid w:val="002A197F"/>
    <w:rsid w:val="002A4C1A"/>
    <w:rsid w:val="002A5892"/>
    <w:rsid w:val="002A76D2"/>
    <w:rsid w:val="002B051D"/>
    <w:rsid w:val="002C2D56"/>
    <w:rsid w:val="002C32B0"/>
    <w:rsid w:val="002C3A06"/>
    <w:rsid w:val="002C5EB7"/>
    <w:rsid w:val="002C6CE5"/>
    <w:rsid w:val="002C6CE8"/>
    <w:rsid w:val="002C6DE5"/>
    <w:rsid w:val="002D13A5"/>
    <w:rsid w:val="002D35D7"/>
    <w:rsid w:val="002D39DB"/>
    <w:rsid w:val="002D499E"/>
    <w:rsid w:val="002D5854"/>
    <w:rsid w:val="002D5BEE"/>
    <w:rsid w:val="002D5D4F"/>
    <w:rsid w:val="002D7A01"/>
    <w:rsid w:val="002E3F40"/>
    <w:rsid w:val="002E583A"/>
    <w:rsid w:val="002F0E3B"/>
    <w:rsid w:val="002F1014"/>
    <w:rsid w:val="002F354C"/>
    <w:rsid w:val="002F4E14"/>
    <w:rsid w:val="002F52D2"/>
    <w:rsid w:val="002F7FF9"/>
    <w:rsid w:val="00300489"/>
    <w:rsid w:val="00300A0D"/>
    <w:rsid w:val="00300F61"/>
    <w:rsid w:val="00301925"/>
    <w:rsid w:val="003066B6"/>
    <w:rsid w:val="003107BF"/>
    <w:rsid w:val="00313E75"/>
    <w:rsid w:val="003153E0"/>
    <w:rsid w:val="00315599"/>
    <w:rsid w:val="003158D4"/>
    <w:rsid w:val="00315E8A"/>
    <w:rsid w:val="00316A07"/>
    <w:rsid w:val="0032064B"/>
    <w:rsid w:val="0032176E"/>
    <w:rsid w:val="0032201A"/>
    <w:rsid w:val="00325E88"/>
    <w:rsid w:val="00326376"/>
    <w:rsid w:val="00326D1B"/>
    <w:rsid w:val="003301C1"/>
    <w:rsid w:val="00331303"/>
    <w:rsid w:val="00331840"/>
    <w:rsid w:val="0033215B"/>
    <w:rsid w:val="0033244C"/>
    <w:rsid w:val="00333A2A"/>
    <w:rsid w:val="003344FC"/>
    <w:rsid w:val="0033633C"/>
    <w:rsid w:val="0033707A"/>
    <w:rsid w:val="003412E1"/>
    <w:rsid w:val="003428E8"/>
    <w:rsid w:val="003447A9"/>
    <w:rsid w:val="00351716"/>
    <w:rsid w:val="00354573"/>
    <w:rsid w:val="003546A2"/>
    <w:rsid w:val="003607A9"/>
    <w:rsid w:val="0036129F"/>
    <w:rsid w:val="00361949"/>
    <w:rsid w:val="00361F21"/>
    <w:rsid w:val="0036581E"/>
    <w:rsid w:val="00366EE9"/>
    <w:rsid w:val="00367404"/>
    <w:rsid w:val="0036786A"/>
    <w:rsid w:val="00371841"/>
    <w:rsid w:val="00372950"/>
    <w:rsid w:val="00375064"/>
    <w:rsid w:val="00375C40"/>
    <w:rsid w:val="0037770C"/>
    <w:rsid w:val="003804E3"/>
    <w:rsid w:val="00383602"/>
    <w:rsid w:val="0038379A"/>
    <w:rsid w:val="003842BB"/>
    <w:rsid w:val="003846DA"/>
    <w:rsid w:val="00387F42"/>
    <w:rsid w:val="00391AD5"/>
    <w:rsid w:val="00392647"/>
    <w:rsid w:val="00392D51"/>
    <w:rsid w:val="003932C4"/>
    <w:rsid w:val="00393557"/>
    <w:rsid w:val="00394069"/>
    <w:rsid w:val="00394DCF"/>
    <w:rsid w:val="00395EAA"/>
    <w:rsid w:val="003A0FF2"/>
    <w:rsid w:val="003A36C9"/>
    <w:rsid w:val="003A48BF"/>
    <w:rsid w:val="003A68B0"/>
    <w:rsid w:val="003B02BE"/>
    <w:rsid w:val="003B0ECC"/>
    <w:rsid w:val="003B4C26"/>
    <w:rsid w:val="003B5E11"/>
    <w:rsid w:val="003C073F"/>
    <w:rsid w:val="003C497C"/>
    <w:rsid w:val="003C4DE2"/>
    <w:rsid w:val="003C5EA1"/>
    <w:rsid w:val="003C6609"/>
    <w:rsid w:val="003C6936"/>
    <w:rsid w:val="003D14D9"/>
    <w:rsid w:val="003D2E30"/>
    <w:rsid w:val="003D2FDD"/>
    <w:rsid w:val="003D34FE"/>
    <w:rsid w:val="003D35B1"/>
    <w:rsid w:val="003D4025"/>
    <w:rsid w:val="003D40CE"/>
    <w:rsid w:val="003D4367"/>
    <w:rsid w:val="003D4E0B"/>
    <w:rsid w:val="003D585E"/>
    <w:rsid w:val="003E066C"/>
    <w:rsid w:val="003E3ABF"/>
    <w:rsid w:val="003E740E"/>
    <w:rsid w:val="003E7441"/>
    <w:rsid w:val="003E7FD1"/>
    <w:rsid w:val="003F06AA"/>
    <w:rsid w:val="003F237C"/>
    <w:rsid w:val="003F2924"/>
    <w:rsid w:val="003F4135"/>
    <w:rsid w:val="003F5669"/>
    <w:rsid w:val="003F573D"/>
    <w:rsid w:val="003F660B"/>
    <w:rsid w:val="00403363"/>
    <w:rsid w:val="00405E13"/>
    <w:rsid w:val="00405F7B"/>
    <w:rsid w:val="00406CF0"/>
    <w:rsid w:val="00406DDD"/>
    <w:rsid w:val="00410027"/>
    <w:rsid w:val="00410092"/>
    <w:rsid w:val="00410522"/>
    <w:rsid w:val="00412565"/>
    <w:rsid w:val="00414A8E"/>
    <w:rsid w:val="00414C2B"/>
    <w:rsid w:val="004158CB"/>
    <w:rsid w:val="0042375E"/>
    <w:rsid w:val="0042529B"/>
    <w:rsid w:val="00430638"/>
    <w:rsid w:val="00430B4E"/>
    <w:rsid w:val="004315D5"/>
    <w:rsid w:val="00432A1C"/>
    <w:rsid w:val="00435224"/>
    <w:rsid w:val="004357F4"/>
    <w:rsid w:val="00436A00"/>
    <w:rsid w:val="00442677"/>
    <w:rsid w:val="00443056"/>
    <w:rsid w:val="0044311B"/>
    <w:rsid w:val="00443DF1"/>
    <w:rsid w:val="00443FCF"/>
    <w:rsid w:val="00444499"/>
    <w:rsid w:val="00444768"/>
    <w:rsid w:val="00444AAE"/>
    <w:rsid w:val="004453B1"/>
    <w:rsid w:val="00446360"/>
    <w:rsid w:val="004500BB"/>
    <w:rsid w:val="0045134B"/>
    <w:rsid w:val="00454354"/>
    <w:rsid w:val="00455CB5"/>
    <w:rsid w:val="00460347"/>
    <w:rsid w:val="00460452"/>
    <w:rsid w:val="0046202A"/>
    <w:rsid w:val="004665EF"/>
    <w:rsid w:val="0046684A"/>
    <w:rsid w:val="00470D46"/>
    <w:rsid w:val="00470DBB"/>
    <w:rsid w:val="00472BB1"/>
    <w:rsid w:val="00472EA7"/>
    <w:rsid w:val="004751A9"/>
    <w:rsid w:val="004764E0"/>
    <w:rsid w:val="00476D71"/>
    <w:rsid w:val="0048356B"/>
    <w:rsid w:val="00484255"/>
    <w:rsid w:val="004853C0"/>
    <w:rsid w:val="0048622B"/>
    <w:rsid w:val="00487668"/>
    <w:rsid w:val="00491531"/>
    <w:rsid w:val="00493464"/>
    <w:rsid w:val="00494AF4"/>
    <w:rsid w:val="00495938"/>
    <w:rsid w:val="0049773A"/>
    <w:rsid w:val="004979FE"/>
    <w:rsid w:val="00497F31"/>
    <w:rsid w:val="004A4ADA"/>
    <w:rsid w:val="004B0B5D"/>
    <w:rsid w:val="004B0E7F"/>
    <w:rsid w:val="004B1764"/>
    <w:rsid w:val="004B2D02"/>
    <w:rsid w:val="004B3FCD"/>
    <w:rsid w:val="004B4C0A"/>
    <w:rsid w:val="004B739B"/>
    <w:rsid w:val="004C723B"/>
    <w:rsid w:val="004D1C46"/>
    <w:rsid w:val="004D25DA"/>
    <w:rsid w:val="004D2AC1"/>
    <w:rsid w:val="004D2DFB"/>
    <w:rsid w:val="004D4FE8"/>
    <w:rsid w:val="004D647B"/>
    <w:rsid w:val="004D6BD1"/>
    <w:rsid w:val="004E15DF"/>
    <w:rsid w:val="004E25F5"/>
    <w:rsid w:val="004E28FC"/>
    <w:rsid w:val="004E451A"/>
    <w:rsid w:val="004E4A70"/>
    <w:rsid w:val="004E54B7"/>
    <w:rsid w:val="004E6984"/>
    <w:rsid w:val="004F1EC5"/>
    <w:rsid w:val="004F2F5E"/>
    <w:rsid w:val="004F3A91"/>
    <w:rsid w:val="004F5090"/>
    <w:rsid w:val="005013C5"/>
    <w:rsid w:val="005018BC"/>
    <w:rsid w:val="00501F53"/>
    <w:rsid w:val="00502AD7"/>
    <w:rsid w:val="00507D3E"/>
    <w:rsid w:val="005110BA"/>
    <w:rsid w:val="0051170F"/>
    <w:rsid w:val="00513C3A"/>
    <w:rsid w:val="005216CB"/>
    <w:rsid w:val="005222FF"/>
    <w:rsid w:val="005227D3"/>
    <w:rsid w:val="00523423"/>
    <w:rsid w:val="00523C9B"/>
    <w:rsid w:val="005248E2"/>
    <w:rsid w:val="0052704D"/>
    <w:rsid w:val="0053227D"/>
    <w:rsid w:val="00532EEF"/>
    <w:rsid w:val="0053699D"/>
    <w:rsid w:val="00537696"/>
    <w:rsid w:val="00541FA6"/>
    <w:rsid w:val="00542A9C"/>
    <w:rsid w:val="005444B3"/>
    <w:rsid w:val="00544829"/>
    <w:rsid w:val="00552289"/>
    <w:rsid w:val="00553535"/>
    <w:rsid w:val="00554BDB"/>
    <w:rsid w:val="005553EF"/>
    <w:rsid w:val="0055567D"/>
    <w:rsid w:val="00555CD6"/>
    <w:rsid w:val="005560DB"/>
    <w:rsid w:val="005572D8"/>
    <w:rsid w:val="0056353B"/>
    <w:rsid w:val="0056397F"/>
    <w:rsid w:val="00563F36"/>
    <w:rsid w:val="005640FD"/>
    <w:rsid w:val="00564392"/>
    <w:rsid w:val="00564733"/>
    <w:rsid w:val="0056642C"/>
    <w:rsid w:val="00571A53"/>
    <w:rsid w:val="0057353C"/>
    <w:rsid w:val="0057471D"/>
    <w:rsid w:val="00574DEF"/>
    <w:rsid w:val="0057640A"/>
    <w:rsid w:val="00576647"/>
    <w:rsid w:val="00581EDA"/>
    <w:rsid w:val="00582DC9"/>
    <w:rsid w:val="005830E6"/>
    <w:rsid w:val="00585D2D"/>
    <w:rsid w:val="00586491"/>
    <w:rsid w:val="0058795B"/>
    <w:rsid w:val="00587C58"/>
    <w:rsid w:val="00590472"/>
    <w:rsid w:val="005914AE"/>
    <w:rsid w:val="0059229E"/>
    <w:rsid w:val="0059604C"/>
    <w:rsid w:val="005962A4"/>
    <w:rsid w:val="005A3979"/>
    <w:rsid w:val="005A446E"/>
    <w:rsid w:val="005A60E4"/>
    <w:rsid w:val="005A667B"/>
    <w:rsid w:val="005A7478"/>
    <w:rsid w:val="005B0DF0"/>
    <w:rsid w:val="005B1FBC"/>
    <w:rsid w:val="005B22E4"/>
    <w:rsid w:val="005B5F56"/>
    <w:rsid w:val="005B7590"/>
    <w:rsid w:val="005C2575"/>
    <w:rsid w:val="005C4668"/>
    <w:rsid w:val="005C767D"/>
    <w:rsid w:val="005D10F1"/>
    <w:rsid w:val="005D1719"/>
    <w:rsid w:val="005D1943"/>
    <w:rsid w:val="005D3A4F"/>
    <w:rsid w:val="005D529D"/>
    <w:rsid w:val="005D543C"/>
    <w:rsid w:val="005D5867"/>
    <w:rsid w:val="005D6706"/>
    <w:rsid w:val="005E1FA8"/>
    <w:rsid w:val="005E3314"/>
    <w:rsid w:val="005E345E"/>
    <w:rsid w:val="005E3CF6"/>
    <w:rsid w:val="005E6739"/>
    <w:rsid w:val="005E6C3A"/>
    <w:rsid w:val="005E7199"/>
    <w:rsid w:val="005E77C8"/>
    <w:rsid w:val="005F1059"/>
    <w:rsid w:val="005F1A89"/>
    <w:rsid w:val="005F227C"/>
    <w:rsid w:val="005F3485"/>
    <w:rsid w:val="005F394E"/>
    <w:rsid w:val="005F3EBD"/>
    <w:rsid w:val="005F5A6C"/>
    <w:rsid w:val="005F69F0"/>
    <w:rsid w:val="005F7FC4"/>
    <w:rsid w:val="006016B9"/>
    <w:rsid w:val="006025BC"/>
    <w:rsid w:val="00602FA1"/>
    <w:rsid w:val="00603A34"/>
    <w:rsid w:val="0060513E"/>
    <w:rsid w:val="00606AE0"/>
    <w:rsid w:val="00606E01"/>
    <w:rsid w:val="006072E6"/>
    <w:rsid w:val="006107AF"/>
    <w:rsid w:val="0061121B"/>
    <w:rsid w:val="0061123B"/>
    <w:rsid w:val="00611B3E"/>
    <w:rsid w:val="00612A2F"/>
    <w:rsid w:val="00614E36"/>
    <w:rsid w:val="00617314"/>
    <w:rsid w:val="0062137A"/>
    <w:rsid w:val="00621DB2"/>
    <w:rsid w:val="006229D5"/>
    <w:rsid w:val="00624253"/>
    <w:rsid w:val="00626564"/>
    <w:rsid w:val="006340D2"/>
    <w:rsid w:val="00635307"/>
    <w:rsid w:val="00637429"/>
    <w:rsid w:val="0063756E"/>
    <w:rsid w:val="006415CF"/>
    <w:rsid w:val="00645528"/>
    <w:rsid w:val="006517E5"/>
    <w:rsid w:val="00653083"/>
    <w:rsid w:val="00654074"/>
    <w:rsid w:val="006635A9"/>
    <w:rsid w:val="00663FCF"/>
    <w:rsid w:val="00666290"/>
    <w:rsid w:val="006668CD"/>
    <w:rsid w:val="0066780D"/>
    <w:rsid w:val="00676456"/>
    <w:rsid w:val="00677B90"/>
    <w:rsid w:val="006805B7"/>
    <w:rsid w:val="00680ED4"/>
    <w:rsid w:val="00684ADE"/>
    <w:rsid w:val="00690D93"/>
    <w:rsid w:val="006914DD"/>
    <w:rsid w:val="006922DB"/>
    <w:rsid w:val="00692BB5"/>
    <w:rsid w:val="00692F07"/>
    <w:rsid w:val="00693307"/>
    <w:rsid w:val="00693653"/>
    <w:rsid w:val="006A13F9"/>
    <w:rsid w:val="006A5F0F"/>
    <w:rsid w:val="006B3A1D"/>
    <w:rsid w:val="006B4317"/>
    <w:rsid w:val="006B7790"/>
    <w:rsid w:val="006B7D85"/>
    <w:rsid w:val="006C0D56"/>
    <w:rsid w:val="006C1564"/>
    <w:rsid w:val="006C1E73"/>
    <w:rsid w:val="006C32D4"/>
    <w:rsid w:val="006C5F81"/>
    <w:rsid w:val="006C703B"/>
    <w:rsid w:val="006C70D9"/>
    <w:rsid w:val="006C7C81"/>
    <w:rsid w:val="006D2083"/>
    <w:rsid w:val="006D2529"/>
    <w:rsid w:val="006D3948"/>
    <w:rsid w:val="006D62A1"/>
    <w:rsid w:val="006E11B2"/>
    <w:rsid w:val="006E7FBD"/>
    <w:rsid w:val="006F4175"/>
    <w:rsid w:val="006F6141"/>
    <w:rsid w:val="006F67B0"/>
    <w:rsid w:val="006F6A60"/>
    <w:rsid w:val="007003D0"/>
    <w:rsid w:val="00700646"/>
    <w:rsid w:val="00703AFE"/>
    <w:rsid w:val="00703C88"/>
    <w:rsid w:val="007058E9"/>
    <w:rsid w:val="007064BB"/>
    <w:rsid w:val="007064C6"/>
    <w:rsid w:val="00707C15"/>
    <w:rsid w:val="00707C33"/>
    <w:rsid w:val="007109B6"/>
    <w:rsid w:val="00711F35"/>
    <w:rsid w:val="0071566B"/>
    <w:rsid w:val="00716F41"/>
    <w:rsid w:val="007200D7"/>
    <w:rsid w:val="00720B11"/>
    <w:rsid w:val="00720C7D"/>
    <w:rsid w:val="00720FB4"/>
    <w:rsid w:val="0072257E"/>
    <w:rsid w:val="00723292"/>
    <w:rsid w:val="00724B68"/>
    <w:rsid w:val="00725F99"/>
    <w:rsid w:val="007304EB"/>
    <w:rsid w:val="0073050D"/>
    <w:rsid w:val="00730911"/>
    <w:rsid w:val="00732983"/>
    <w:rsid w:val="00732C68"/>
    <w:rsid w:val="0073354A"/>
    <w:rsid w:val="007336ED"/>
    <w:rsid w:val="00734D17"/>
    <w:rsid w:val="0074120C"/>
    <w:rsid w:val="007425A9"/>
    <w:rsid w:val="0074267A"/>
    <w:rsid w:val="007447D9"/>
    <w:rsid w:val="00744A75"/>
    <w:rsid w:val="00744B9E"/>
    <w:rsid w:val="0074538C"/>
    <w:rsid w:val="0074554A"/>
    <w:rsid w:val="00750088"/>
    <w:rsid w:val="00751374"/>
    <w:rsid w:val="007516D1"/>
    <w:rsid w:val="00751E7C"/>
    <w:rsid w:val="00752983"/>
    <w:rsid w:val="007536A7"/>
    <w:rsid w:val="007540CD"/>
    <w:rsid w:val="00755CF4"/>
    <w:rsid w:val="007561CF"/>
    <w:rsid w:val="00756724"/>
    <w:rsid w:val="007617D6"/>
    <w:rsid w:val="00761984"/>
    <w:rsid w:val="00762B85"/>
    <w:rsid w:val="00764788"/>
    <w:rsid w:val="00765499"/>
    <w:rsid w:val="00767483"/>
    <w:rsid w:val="00770123"/>
    <w:rsid w:val="00771185"/>
    <w:rsid w:val="00772299"/>
    <w:rsid w:val="00774E4B"/>
    <w:rsid w:val="0077548F"/>
    <w:rsid w:val="00776C24"/>
    <w:rsid w:val="0078035F"/>
    <w:rsid w:val="0078361B"/>
    <w:rsid w:val="00784715"/>
    <w:rsid w:val="00790650"/>
    <w:rsid w:val="00790749"/>
    <w:rsid w:val="00791AA9"/>
    <w:rsid w:val="0079226B"/>
    <w:rsid w:val="00792A27"/>
    <w:rsid w:val="00794523"/>
    <w:rsid w:val="00795B4D"/>
    <w:rsid w:val="007966B4"/>
    <w:rsid w:val="0079697F"/>
    <w:rsid w:val="007A074B"/>
    <w:rsid w:val="007A0851"/>
    <w:rsid w:val="007A3D07"/>
    <w:rsid w:val="007A55AC"/>
    <w:rsid w:val="007A568D"/>
    <w:rsid w:val="007A6FC2"/>
    <w:rsid w:val="007B19D5"/>
    <w:rsid w:val="007B400B"/>
    <w:rsid w:val="007B42E8"/>
    <w:rsid w:val="007B51FE"/>
    <w:rsid w:val="007C08BB"/>
    <w:rsid w:val="007C7287"/>
    <w:rsid w:val="007D34C9"/>
    <w:rsid w:val="007E09BA"/>
    <w:rsid w:val="007E1180"/>
    <w:rsid w:val="007E12FA"/>
    <w:rsid w:val="007E2B14"/>
    <w:rsid w:val="007E4A2F"/>
    <w:rsid w:val="007E58C9"/>
    <w:rsid w:val="007F050B"/>
    <w:rsid w:val="007F0D1E"/>
    <w:rsid w:val="007F0E57"/>
    <w:rsid w:val="007F1367"/>
    <w:rsid w:val="007F28C0"/>
    <w:rsid w:val="007F3358"/>
    <w:rsid w:val="007F3724"/>
    <w:rsid w:val="007F3829"/>
    <w:rsid w:val="007F4691"/>
    <w:rsid w:val="007F5575"/>
    <w:rsid w:val="007F6943"/>
    <w:rsid w:val="007F7273"/>
    <w:rsid w:val="008017D2"/>
    <w:rsid w:val="008018DA"/>
    <w:rsid w:val="008022D7"/>
    <w:rsid w:val="008025D0"/>
    <w:rsid w:val="008042C9"/>
    <w:rsid w:val="00806E33"/>
    <w:rsid w:val="00807A69"/>
    <w:rsid w:val="00811642"/>
    <w:rsid w:val="008149C6"/>
    <w:rsid w:val="0081632E"/>
    <w:rsid w:val="008168CA"/>
    <w:rsid w:val="00821234"/>
    <w:rsid w:val="00821A3B"/>
    <w:rsid w:val="0082261F"/>
    <w:rsid w:val="00822764"/>
    <w:rsid w:val="0082336D"/>
    <w:rsid w:val="00825BDF"/>
    <w:rsid w:val="0082652C"/>
    <w:rsid w:val="00827FEB"/>
    <w:rsid w:val="00833480"/>
    <w:rsid w:val="008335BD"/>
    <w:rsid w:val="008346BF"/>
    <w:rsid w:val="00834CFC"/>
    <w:rsid w:val="0083513B"/>
    <w:rsid w:val="00835560"/>
    <w:rsid w:val="00837349"/>
    <w:rsid w:val="00843A6B"/>
    <w:rsid w:val="00843F76"/>
    <w:rsid w:val="0084507D"/>
    <w:rsid w:val="00845B9A"/>
    <w:rsid w:val="00851A21"/>
    <w:rsid w:val="00854648"/>
    <w:rsid w:val="008559A4"/>
    <w:rsid w:val="0085712B"/>
    <w:rsid w:val="00863C58"/>
    <w:rsid w:val="00864166"/>
    <w:rsid w:val="008664B0"/>
    <w:rsid w:val="00870625"/>
    <w:rsid w:val="008715F4"/>
    <w:rsid w:val="00873779"/>
    <w:rsid w:val="00873D09"/>
    <w:rsid w:val="00874C27"/>
    <w:rsid w:val="00875908"/>
    <w:rsid w:val="0087752B"/>
    <w:rsid w:val="00881C2F"/>
    <w:rsid w:val="00882463"/>
    <w:rsid w:val="00885C8B"/>
    <w:rsid w:val="00887031"/>
    <w:rsid w:val="0089085D"/>
    <w:rsid w:val="00890957"/>
    <w:rsid w:val="00890EF0"/>
    <w:rsid w:val="00890FE9"/>
    <w:rsid w:val="008921C1"/>
    <w:rsid w:val="00892AFF"/>
    <w:rsid w:val="00894976"/>
    <w:rsid w:val="00896C3F"/>
    <w:rsid w:val="008A0114"/>
    <w:rsid w:val="008A0164"/>
    <w:rsid w:val="008A12CE"/>
    <w:rsid w:val="008A3A0E"/>
    <w:rsid w:val="008A6F1F"/>
    <w:rsid w:val="008B5313"/>
    <w:rsid w:val="008B5430"/>
    <w:rsid w:val="008B6298"/>
    <w:rsid w:val="008B7568"/>
    <w:rsid w:val="008B7D2C"/>
    <w:rsid w:val="008C2071"/>
    <w:rsid w:val="008C3206"/>
    <w:rsid w:val="008C34F3"/>
    <w:rsid w:val="008C370D"/>
    <w:rsid w:val="008C557D"/>
    <w:rsid w:val="008C5C15"/>
    <w:rsid w:val="008C66E6"/>
    <w:rsid w:val="008D1044"/>
    <w:rsid w:val="008D1977"/>
    <w:rsid w:val="008D1ECC"/>
    <w:rsid w:val="008D2BAC"/>
    <w:rsid w:val="008D4131"/>
    <w:rsid w:val="008E213E"/>
    <w:rsid w:val="008E2430"/>
    <w:rsid w:val="008E27B6"/>
    <w:rsid w:val="008E32CB"/>
    <w:rsid w:val="008E384B"/>
    <w:rsid w:val="008E3DCE"/>
    <w:rsid w:val="008E5335"/>
    <w:rsid w:val="008E54E9"/>
    <w:rsid w:val="008F0FDD"/>
    <w:rsid w:val="008F17A8"/>
    <w:rsid w:val="008F1988"/>
    <w:rsid w:val="008F5A55"/>
    <w:rsid w:val="00900DE5"/>
    <w:rsid w:val="00903144"/>
    <w:rsid w:val="00904114"/>
    <w:rsid w:val="00905A83"/>
    <w:rsid w:val="00906A22"/>
    <w:rsid w:val="009103E2"/>
    <w:rsid w:val="00911DE6"/>
    <w:rsid w:val="009141B3"/>
    <w:rsid w:val="009157F3"/>
    <w:rsid w:val="00915C24"/>
    <w:rsid w:val="00916A13"/>
    <w:rsid w:val="00917D1F"/>
    <w:rsid w:val="00920C16"/>
    <w:rsid w:val="00920C84"/>
    <w:rsid w:val="0092197F"/>
    <w:rsid w:val="009227ED"/>
    <w:rsid w:val="00923741"/>
    <w:rsid w:val="00925C5F"/>
    <w:rsid w:val="00932650"/>
    <w:rsid w:val="00932A4C"/>
    <w:rsid w:val="0093540D"/>
    <w:rsid w:val="00936443"/>
    <w:rsid w:val="00936796"/>
    <w:rsid w:val="009367FE"/>
    <w:rsid w:val="00937886"/>
    <w:rsid w:val="00941974"/>
    <w:rsid w:val="00941D53"/>
    <w:rsid w:val="00941EDD"/>
    <w:rsid w:val="00942727"/>
    <w:rsid w:val="00943FD0"/>
    <w:rsid w:val="00944B63"/>
    <w:rsid w:val="009466D9"/>
    <w:rsid w:val="009474D4"/>
    <w:rsid w:val="00950063"/>
    <w:rsid w:val="00951CC1"/>
    <w:rsid w:val="00954255"/>
    <w:rsid w:val="00956AAF"/>
    <w:rsid w:val="009651E4"/>
    <w:rsid w:val="00965F39"/>
    <w:rsid w:val="0096643F"/>
    <w:rsid w:val="00966734"/>
    <w:rsid w:val="00967FEA"/>
    <w:rsid w:val="0097001C"/>
    <w:rsid w:val="0097092F"/>
    <w:rsid w:val="0097137F"/>
    <w:rsid w:val="0097313B"/>
    <w:rsid w:val="00975783"/>
    <w:rsid w:val="009759F0"/>
    <w:rsid w:val="00975BC3"/>
    <w:rsid w:val="00981A81"/>
    <w:rsid w:val="0098239F"/>
    <w:rsid w:val="009834E4"/>
    <w:rsid w:val="00984CE0"/>
    <w:rsid w:val="00985339"/>
    <w:rsid w:val="0098645B"/>
    <w:rsid w:val="0098653C"/>
    <w:rsid w:val="009917D1"/>
    <w:rsid w:val="0099258D"/>
    <w:rsid w:val="0099330E"/>
    <w:rsid w:val="00993B43"/>
    <w:rsid w:val="00994032"/>
    <w:rsid w:val="00995AEA"/>
    <w:rsid w:val="00996131"/>
    <w:rsid w:val="0099731B"/>
    <w:rsid w:val="009976B5"/>
    <w:rsid w:val="00997BAD"/>
    <w:rsid w:val="009A027C"/>
    <w:rsid w:val="009A0AA6"/>
    <w:rsid w:val="009A0FF2"/>
    <w:rsid w:val="009A18FD"/>
    <w:rsid w:val="009A2636"/>
    <w:rsid w:val="009A3B0B"/>
    <w:rsid w:val="009A7B03"/>
    <w:rsid w:val="009B19DF"/>
    <w:rsid w:val="009B1C76"/>
    <w:rsid w:val="009B6DC7"/>
    <w:rsid w:val="009B750E"/>
    <w:rsid w:val="009B7616"/>
    <w:rsid w:val="009C0997"/>
    <w:rsid w:val="009C4E28"/>
    <w:rsid w:val="009D2551"/>
    <w:rsid w:val="009D478E"/>
    <w:rsid w:val="009E1694"/>
    <w:rsid w:val="009E2A63"/>
    <w:rsid w:val="009E4708"/>
    <w:rsid w:val="009E5173"/>
    <w:rsid w:val="009E7502"/>
    <w:rsid w:val="009E7940"/>
    <w:rsid w:val="009F4294"/>
    <w:rsid w:val="009F59BD"/>
    <w:rsid w:val="009F6106"/>
    <w:rsid w:val="009F6B39"/>
    <w:rsid w:val="009F77B0"/>
    <w:rsid w:val="009F78C0"/>
    <w:rsid w:val="00A008F8"/>
    <w:rsid w:val="00A025B4"/>
    <w:rsid w:val="00A03173"/>
    <w:rsid w:val="00A03DEB"/>
    <w:rsid w:val="00A06FDE"/>
    <w:rsid w:val="00A072D5"/>
    <w:rsid w:val="00A101DA"/>
    <w:rsid w:val="00A116C0"/>
    <w:rsid w:val="00A13825"/>
    <w:rsid w:val="00A14199"/>
    <w:rsid w:val="00A154EC"/>
    <w:rsid w:val="00A15D74"/>
    <w:rsid w:val="00A16B7C"/>
    <w:rsid w:val="00A237FC"/>
    <w:rsid w:val="00A23E1B"/>
    <w:rsid w:val="00A25044"/>
    <w:rsid w:val="00A25081"/>
    <w:rsid w:val="00A26C49"/>
    <w:rsid w:val="00A26CEF"/>
    <w:rsid w:val="00A31B6D"/>
    <w:rsid w:val="00A3553E"/>
    <w:rsid w:val="00A371FF"/>
    <w:rsid w:val="00A37560"/>
    <w:rsid w:val="00A37846"/>
    <w:rsid w:val="00A44631"/>
    <w:rsid w:val="00A45981"/>
    <w:rsid w:val="00A45B59"/>
    <w:rsid w:val="00A472C7"/>
    <w:rsid w:val="00A522C6"/>
    <w:rsid w:val="00A5231E"/>
    <w:rsid w:val="00A528CD"/>
    <w:rsid w:val="00A52C1E"/>
    <w:rsid w:val="00A54A6A"/>
    <w:rsid w:val="00A54BDF"/>
    <w:rsid w:val="00A63A2B"/>
    <w:rsid w:val="00A63C8F"/>
    <w:rsid w:val="00A63E03"/>
    <w:rsid w:val="00A64024"/>
    <w:rsid w:val="00A645B0"/>
    <w:rsid w:val="00A67326"/>
    <w:rsid w:val="00A676AE"/>
    <w:rsid w:val="00A71C13"/>
    <w:rsid w:val="00A7229D"/>
    <w:rsid w:val="00A738ED"/>
    <w:rsid w:val="00A75569"/>
    <w:rsid w:val="00A7556A"/>
    <w:rsid w:val="00A77AC0"/>
    <w:rsid w:val="00A8286F"/>
    <w:rsid w:val="00A832C5"/>
    <w:rsid w:val="00A8472D"/>
    <w:rsid w:val="00A851B9"/>
    <w:rsid w:val="00A90BE8"/>
    <w:rsid w:val="00A921C8"/>
    <w:rsid w:val="00A92BE7"/>
    <w:rsid w:val="00A92EFB"/>
    <w:rsid w:val="00A94639"/>
    <w:rsid w:val="00A9534A"/>
    <w:rsid w:val="00A95F83"/>
    <w:rsid w:val="00A963C4"/>
    <w:rsid w:val="00A972E0"/>
    <w:rsid w:val="00AA00F2"/>
    <w:rsid w:val="00AA61C5"/>
    <w:rsid w:val="00AB2BD5"/>
    <w:rsid w:val="00AB4E9C"/>
    <w:rsid w:val="00AB7B17"/>
    <w:rsid w:val="00AB7FA0"/>
    <w:rsid w:val="00AC0873"/>
    <w:rsid w:val="00AC08A3"/>
    <w:rsid w:val="00AC77EB"/>
    <w:rsid w:val="00AC7B1D"/>
    <w:rsid w:val="00AD2C55"/>
    <w:rsid w:val="00AD4106"/>
    <w:rsid w:val="00AD4FFD"/>
    <w:rsid w:val="00AD641C"/>
    <w:rsid w:val="00AD700C"/>
    <w:rsid w:val="00AE0351"/>
    <w:rsid w:val="00AE340A"/>
    <w:rsid w:val="00AE6059"/>
    <w:rsid w:val="00AE61DD"/>
    <w:rsid w:val="00AE6B8D"/>
    <w:rsid w:val="00AE7BBD"/>
    <w:rsid w:val="00AF2A10"/>
    <w:rsid w:val="00AF399B"/>
    <w:rsid w:val="00AF6A12"/>
    <w:rsid w:val="00AF6B4F"/>
    <w:rsid w:val="00AF6D7F"/>
    <w:rsid w:val="00B019AB"/>
    <w:rsid w:val="00B02D5F"/>
    <w:rsid w:val="00B050D4"/>
    <w:rsid w:val="00B05D91"/>
    <w:rsid w:val="00B06649"/>
    <w:rsid w:val="00B07236"/>
    <w:rsid w:val="00B07294"/>
    <w:rsid w:val="00B104CF"/>
    <w:rsid w:val="00B12BD5"/>
    <w:rsid w:val="00B14564"/>
    <w:rsid w:val="00B15E33"/>
    <w:rsid w:val="00B1750B"/>
    <w:rsid w:val="00B20D4F"/>
    <w:rsid w:val="00B218F9"/>
    <w:rsid w:val="00B257A6"/>
    <w:rsid w:val="00B26660"/>
    <w:rsid w:val="00B3019E"/>
    <w:rsid w:val="00B31486"/>
    <w:rsid w:val="00B315A2"/>
    <w:rsid w:val="00B327EB"/>
    <w:rsid w:val="00B33727"/>
    <w:rsid w:val="00B359AF"/>
    <w:rsid w:val="00B36ADC"/>
    <w:rsid w:val="00B409E1"/>
    <w:rsid w:val="00B454EB"/>
    <w:rsid w:val="00B45AB1"/>
    <w:rsid w:val="00B46219"/>
    <w:rsid w:val="00B508DE"/>
    <w:rsid w:val="00B51A1E"/>
    <w:rsid w:val="00B51AB3"/>
    <w:rsid w:val="00B53333"/>
    <w:rsid w:val="00B551AF"/>
    <w:rsid w:val="00B552F7"/>
    <w:rsid w:val="00B60623"/>
    <w:rsid w:val="00B60684"/>
    <w:rsid w:val="00B60957"/>
    <w:rsid w:val="00B6126B"/>
    <w:rsid w:val="00B63B8E"/>
    <w:rsid w:val="00B63E43"/>
    <w:rsid w:val="00B64938"/>
    <w:rsid w:val="00B66BDA"/>
    <w:rsid w:val="00B707D7"/>
    <w:rsid w:val="00B70B34"/>
    <w:rsid w:val="00B70D35"/>
    <w:rsid w:val="00B76566"/>
    <w:rsid w:val="00B8123E"/>
    <w:rsid w:val="00B82039"/>
    <w:rsid w:val="00B84D04"/>
    <w:rsid w:val="00B95DBE"/>
    <w:rsid w:val="00B96F15"/>
    <w:rsid w:val="00B97074"/>
    <w:rsid w:val="00BA2329"/>
    <w:rsid w:val="00BA281F"/>
    <w:rsid w:val="00BA4210"/>
    <w:rsid w:val="00BA67AF"/>
    <w:rsid w:val="00BA7468"/>
    <w:rsid w:val="00BB103C"/>
    <w:rsid w:val="00BB1129"/>
    <w:rsid w:val="00BB139D"/>
    <w:rsid w:val="00BB1595"/>
    <w:rsid w:val="00BB1602"/>
    <w:rsid w:val="00BB285D"/>
    <w:rsid w:val="00BB374A"/>
    <w:rsid w:val="00BB3A8A"/>
    <w:rsid w:val="00BB460D"/>
    <w:rsid w:val="00BB4E30"/>
    <w:rsid w:val="00BB68BB"/>
    <w:rsid w:val="00BC0DC7"/>
    <w:rsid w:val="00BC1508"/>
    <w:rsid w:val="00BC196C"/>
    <w:rsid w:val="00BC5492"/>
    <w:rsid w:val="00BC6E35"/>
    <w:rsid w:val="00BC70DF"/>
    <w:rsid w:val="00BD1750"/>
    <w:rsid w:val="00BD2A1A"/>
    <w:rsid w:val="00BD310F"/>
    <w:rsid w:val="00BD47E9"/>
    <w:rsid w:val="00BE1810"/>
    <w:rsid w:val="00BE753C"/>
    <w:rsid w:val="00BE783C"/>
    <w:rsid w:val="00BF2932"/>
    <w:rsid w:val="00BF4FE9"/>
    <w:rsid w:val="00BF6889"/>
    <w:rsid w:val="00BF7876"/>
    <w:rsid w:val="00C00FEE"/>
    <w:rsid w:val="00C0231F"/>
    <w:rsid w:val="00C024B3"/>
    <w:rsid w:val="00C03924"/>
    <w:rsid w:val="00C04544"/>
    <w:rsid w:val="00C04557"/>
    <w:rsid w:val="00C04E23"/>
    <w:rsid w:val="00C05D32"/>
    <w:rsid w:val="00C05FB0"/>
    <w:rsid w:val="00C06A7A"/>
    <w:rsid w:val="00C10F0B"/>
    <w:rsid w:val="00C11677"/>
    <w:rsid w:val="00C12F58"/>
    <w:rsid w:val="00C1328E"/>
    <w:rsid w:val="00C13D2E"/>
    <w:rsid w:val="00C14C12"/>
    <w:rsid w:val="00C1533D"/>
    <w:rsid w:val="00C21FA4"/>
    <w:rsid w:val="00C222EB"/>
    <w:rsid w:val="00C2331F"/>
    <w:rsid w:val="00C23DE6"/>
    <w:rsid w:val="00C24F71"/>
    <w:rsid w:val="00C25BB8"/>
    <w:rsid w:val="00C27B82"/>
    <w:rsid w:val="00C27BEF"/>
    <w:rsid w:val="00C3253C"/>
    <w:rsid w:val="00C350B5"/>
    <w:rsid w:val="00C36DE3"/>
    <w:rsid w:val="00C43F4A"/>
    <w:rsid w:val="00C45712"/>
    <w:rsid w:val="00C45886"/>
    <w:rsid w:val="00C47EBC"/>
    <w:rsid w:val="00C503F5"/>
    <w:rsid w:val="00C50E0F"/>
    <w:rsid w:val="00C55FD2"/>
    <w:rsid w:val="00C60B5B"/>
    <w:rsid w:val="00C61383"/>
    <w:rsid w:val="00C6232F"/>
    <w:rsid w:val="00C6378E"/>
    <w:rsid w:val="00C6493F"/>
    <w:rsid w:val="00C6784C"/>
    <w:rsid w:val="00C67BCA"/>
    <w:rsid w:val="00C67CDF"/>
    <w:rsid w:val="00C707E9"/>
    <w:rsid w:val="00C71556"/>
    <w:rsid w:val="00C72ABC"/>
    <w:rsid w:val="00C73998"/>
    <w:rsid w:val="00C742BE"/>
    <w:rsid w:val="00C74AF0"/>
    <w:rsid w:val="00C74C72"/>
    <w:rsid w:val="00C75103"/>
    <w:rsid w:val="00C75E99"/>
    <w:rsid w:val="00C766D5"/>
    <w:rsid w:val="00C76971"/>
    <w:rsid w:val="00C77241"/>
    <w:rsid w:val="00C81DCC"/>
    <w:rsid w:val="00C81E8A"/>
    <w:rsid w:val="00C90083"/>
    <w:rsid w:val="00C900A2"/>
    <w:rsid w:val="00C935E2"/>
    <w:rsid w:val="00C96EEF"/>
    <w:rsid w:val="00CA1751"/>
    <w:rsid w:val="00CA192B"/>
    <w:rsid w:val="00CA1B9B"/>
    <w:rsid w:val="00CA1E26"/>
    <w:rsid w:val="00CA20AD"/>
    <w:rsid w:val="00CA223B"/>
    <w:rsid w:val="00CA3146"/>
    <w:rsid w:val="00CA35F5"/>
    <w:rsid w:val="00CA3D56"/>
    <w:rsid w:val="00CA41DA"/>
    <w:rsid w:val="00CA51BA"/>
    <w:rsid w:val="00CA6271"/>
    <w:rsid w:val="00CA7825"/>
    <w:rsid w:val="00CB1869"/>
    <w:rsid w:val="00CB323A"/>
    <w:rsid w:val="00CB7713"/>
    <w:rsid w:val="00CC327C"/>
    <w:rsid w:val="00CC5469"/>
    <w:rsid w:val="00CC7E94"/>
    <w:rsid w:val="00CD091A"/>
    <w:rsid w:val="00CD6240"/>
    <w:rsid w:val="00CD77AF"/>
    <w:rsid w:val="00CE0CEE"/>
    <w:rsid w:val="00CE36F6"/>
    <w:rsid w:val="00CE4E88"/>
    <w:rsid w:val="00CE6105"/>
    <w:rsid w:val="00CF03E4"/>
    <w:rsid w:val="00CF1A2F"/>
    <w:rsid w:val="00CF3B3E"/>
    <w:rsid w:val="00CF70DB"/>
    <w:rsid w:val="00CF7E6A"/>
    <w:rsid w:val="00D10537"/>
    <w:rsid w:val="00D10F26"/>
    <w:rsid w:val="00D1115E"/>
    <w:rsid w:val="00D13F21"/>
    <w:rsid w:val="00D14729"/>
    <w:rsid w:val="00D160E8"/>
    <w:rsid w:val="00D16BA8"/>
    <w:rsid w:val="00D17197"/>
    <w:rsid w:val="00D22909"/>
    <w:rsid w:val="00D24A0D"/>
    <w:rsid w:val="00D27556"/>
    <w:rsid w:val="00D27FE7"/>
    <w:rsid w:val="00D30A12"/>
    <w:rsid w:val="00D31E67"/>
    <w:rsid w:val="00D345E6"/>
    <w:rsid w:val="00D34D98"/>
    <w:rsid w:val="00D357C5"/>
    <w:rsid w:val="00D407F8"/>
    <w:rsid w:val="00D42A58"/>
    <w:rsid w:val="00D44774"/>
    <w:rsid w:val="00D4564F"/>
    <w:rsid w:val="00D516AB"/>
    <w:rsid w:val="00D523EA"/>
    <w:rsid w:val="00D53A3A"/>
    <w:rsid w:val="00D577ED"/>
    <w:rsid w:val="00D6005B"/>
    <w:rsid w:val="00D61D3B"/>
    <w:rsid w:val="00D637CA"/>
    <w:rsid w:val="00D63FD0"/>
    <w:rsid w:val="00D65DDE"/>
    <w:rsid w:val="00D670A2"/>
    <w:rsid w:val="00D729A3"/>
    <w:rsid w:val="00D73748"/>
    <w:rsid w:val="00D73FFC"/>
    <w:rsid w:val="00D7400D"/>
    <w:rsid w:val="00D7625C"/>
    <w:rsid w:val="00D82CB0"/>
    <w:rsid w:val="00D8761D"/>
    <w:rsid w:val="00D87CF6"/>
    <w:rsid w:val="00D92CBD"/>
    <w:rsid w:val="00D948D2"/>
    <w:rsid w:val="00D95C09"/>
    <w:rsid w:val="00D97B3D"/>
    <w:rsid w:val="00D97FE3"/>
    <w:rsid w:val="00DA14E7"/>
    <w:rsid w:val="00DA1E13"/>
    <w:rsid w:val="00DA27D5"/>
    <w:rsid w:val="00DA64AD"/>
    <w:rsid w:val="00DA6E63"/>
    <w:rsid w:val="00DB342A"/>
    <w:rsid w:val="00DB3A2E"/>
    <w:rsid w:val="00DB3EF3"/>
    <w:rsid w:val="00DB4A7A"/>
    <w:rsid w:val="00DB72B3"/>
    <w:rsid w:val="00DB79C1"/>
    <w:rsid w:val="00DC090E"/>
    <w:rsid w:val="00DC0AC0"/>
    <w:rsid w:val="00DC29DC"/>
    <w:rsid w:val="00DC3FB8"/>
    <w:rsid w:val="00DC470D"/>
    <w:rsid w:val="00DC5189"/>
    <w:rsid w:val="00DC65A2"/>
    <w:rsid w:val="00DC7C92"/>
    <w:rsid w:val="00DD0B83"/>
    <w:rsid w:val="00DD122E"/>
    <w:rsid w:val="00DD1ACA"/>
    <w:rsid w:val="00DD4D68"/>
    <w:rsid w:val="00DD5C95"/>
    <w:rsid w:val="00DD60DE"/>
    <w:rsid w:val="00DD6660"/>
    <w:rsid w:val="00DE69D9"/>
    <w:rsid w:val="00DF05CD"/>
    <w:rsid w:val="00DF1693"/>
    <w:rsid w:val="00DF1B63"/>
    <w:rsid w:val="00DF3464"/>
    <w:rsid w:val="00DF7BB7"/>
    <w:rsid w:val="00E01E44"/>
    <w:rsid w:val="00E02E12"/>
    <w:rsid w:val="00E03366"/>
    <w:rsid w:val="00E0364A"/>
    <w:rsid w:val="00E03DC3"/>
    <w:rsid w:val="00E03E44"/>
    <w:rsid w:val="00E043B7"/>
    <w:rsid w:val="00E0763C"/>
    <w:rsid w:val="00E10652"/>
    <w:rsid w:val="00E13FE4"/>
    <w:rsid w:val="00E17DC7"/>
    <w:rsid w:val="00E25469"/>
    <w:rsid w:val="00E26B79"/>
    <w:rsid w:val="00E26CF3"/>
    <w:rsid w:val="00E27A77"/>
    <w:rsid w:val="00E304AB"/>
    <w:rsid w:val="00E30537"/>
    <w:rsid w:val="00E3113A"/>
    <w:rsid w:val="00E34E86"/>
    <w:rsid w:val="00E353F9"/>
    <w:rsid w:val="00E35D2F"/>
    <w:rsid w:val="00E45BE4"/>
    <w:rsid w:val="00E52BB8"/>
    <w:rsid w:val="00E54E3F"/>
    <w:rsid w:val="00E57AED"/>
    <w:rsid w:val="00E60384"/>
    <w:rsid w:val="00E6047F"/>
    <w:rsid w:val="00E62847"/>
    <w:rsid w:val="00E6576E"/>
    <w:rsid w:val="00E706CD"/>
    <w:rsid w:val="00E71911"/>
    <w:rsid w:val="00E729F7"/>
    <w:rsid w:val="00E73803"/>
    <w:rsid w:val="00E741BE"/>
    <w:rsid w:val="00E747C6"/>
    <w:rsid w:val="00E77858"/>
    <w:rsid w:val="00E81307"/>
    <w:rsid w:val="00E825B4"/>
    <w:rsid w:val="00E829BC"/>
    <w:rsid w:val="00E86CC0"/>
    <w:rsid w:val="00E9225D"/>
    <w:rsid w:val="00E937E4"/>
    <w:rsid w:val="00E93F0E"/>
    <w:rsid w:val="00E942E2"/>
    <w:rsid w:val="00E95C07"/>
    <w:rsid w:val="00EA0803"/>
    <w:rsid w:val="00EA1337"/>
    <w:rsid w:val="00EA20AE"/>
    <w:rsid w:val="00EA2B4B"/>
    <w:rsid w:val="00EA4CA5"/>
    <w:rsid w:val="00EA5E24"/>
    <w:rsid w:val="00EB2ECF"/>
    <w:rsid w:val="00EB3805"/>
    <w:rsid w:val="00EC0F05"/>
    <w:rsid w:val="00EC51A7"/>
    <w:rsid w:val="00EC5CB8"/>
    <w:rsid w:val="00EC5CF7"/>
    <w:rsid w:val="00EC6726"/>
    <w:rsid w:val="00ED0E01"/>
    <w:rsid w:val="00ED1B53"/>
    <w:rsid w:val="00ED58B9"/>
    <w:rsid w:val="00ED605C"/>
    <w:rsid w:val="00EE0562"/>
    <w:rsid w:val="00EE06C4"/>
    <w:rsid w:val="00EE1EF3"/>
    <w:rsid w:val="00EE43D1"/>
    <w:rsid w:val="00EE57AF"/>
    <w:rsid w:val="00EE610D"/>
    <w:rsid w:val="00EE64D7"/>
    <w:rsid w:val="00EF11A2"/>
    <w:rsid w:val="00EF1327"/>
    <w:rsid w:val="00EF29FD"/>
    <w:rsid w:val="00EF4010"/>
    <w:rsid w:val="00EF65D7"/>
    <w:rsid w:val="00EF68A2"/>
    <w:rsid w:val="00F01245"/>
    <w:rsid w:val="00F0232F"/>
    <w:rsid w:val="00F02CD2"/>
    <w:rsid w:val="00F039F5"/>
    <w:rsid w:val="00F0458A"/>
    <w:rsid w:val="00F06DB9"/>
    <w:rsid w:val="00F07E30"/>
    <w:rsid w:val="00F12286"/>
    <w:rsid w:val="00F122BC"/>
    <w:rsid w:val="00F1256B"/>
    <w:rsid w:val="00F1338D"/>
    <w:rsid w:val="00F14168"/>
    <w:rsid w:val="00F1444F"/>
    <w:rsid w:val="00F14949"/>
    <w:rsid w:val="00F155ED"/>
    <w:rsid w:val="00F21042"/>
    <w:rsid w:val="00F22B1D"/>
    <w:rsid w:val="00F24A17"/>
    <w:rsid w:val="00F275A2"/>
    <w:rsid w:val="00F3103B"/>
    <w:rsid w:val="00F315A4"/>
    <w:rsid w:val="00F321FC"/>
    <w:rsid w:val="00F32426"/>
    <w:rsid w:val="00F3247C"/>
    <w:rsid w:val="00F33E3B"/>
    <w:rsid w:val="00F34D42"/>
    <w:rsid w:val="00F34DB8"/>
    <w:rsid w:val="00F35C44"/>
    <w:rsid w:val="00F41094"/>
    <w:rsid w:val="00F4550D"/>
    <w:rsid w:val="00F457C3"/>
    <w:rsid w:val="00F4634E"/>
    <w:rsid w:val="00F467A3"/>
    <w:rsid w:val="00F50B15"/>
    <w:rsid w:val="00F54EB0"/>
    <w:rsid w:val="00F55D02"/>
    <w:rsid w:val="00F56447"/>
    <w:rsid w:val="00F56E38"/>
    <w:rsid w:val="00F57B33"/>
    <w:rsid w:val="00F60227"/>
    <w:rsid w:val="00F62779"/>
    <w:rsid w:val="00F62A94"/>
    <w:rsid w:val="00F64366"/>
    <w:rsid w:val="00F66DA1"/>
    <w:rsid w:val="00F6765D"/>
    <w:rsid w:val="00F70EAE"/>
    <w:rsid w:val="00F727BC"/>
    <w:rsid w:val="00F745B1"/>
    <w:rsid w:val="00F74619"/>
    <w:rsid w:val="00F75291"/>
    <w:rsid w:val="00F7602D"/>
    <w:rsid w:val="00F772E8"/>
    <w:rsid w:val="00F77F0D"/>
    <w:rsid w:val="00F800CF"/>
    <w:rsid w:val="00F80E0B"/>
    <w:rsid w:val="00F81032"/>
    <w:rsid w:val="00F8284A"/>
    <w:rsid w:val="00F8343F"/>
    <w:rsid w:val="00F83988"/>
    <w:rsid w:val="00F91533"/>
    <w:rsid w:val="00F92818"/>
    <w:rsid w:val="00F94128"/>
    <w:rsid w:val="00F94AC9"/>
    <w:rsid w:val="00F96335"/>
    <w:rsid w:val="00F96BC7"/>
    <w:rsid w:val="00F9757C"/>
    <w:rsid w:val="00F97BF8"/>
    <w:rsid w:val="00FA10D9"/>
    <w:rsid w:val="00FA2229"/>
    <w:rsid w:val="00FA24FA"/>
    <w:rsid w:val="00FA2FDC"/>
    <w:rsid w:val="00FA3660"/>
    <w:rsid w:val="00FA51D4"/>
    <w:rsid w:val="00FA5C2D"/>
    <w:rsid w:val="00FA6DDC"/>
    <w:rsid w:val="00FB00A5"/>
    <w:rsid w:val="00FB13BB"/>
    <w:rsid w:val="00FB40DB"/>
    <w:rsid w:val="00FB5CF8"/>
    <w:rsid w:val="00FB6E23"/>
    <w:rsid w:val="00FC00A9"/>
    <w:rsid w:val="00FC0484"/>
    <w:rsid w:val="00FC5505"/>
    <w:rsid w:val="00FC598D"/>
    <w:rsid w:val="00FC5D15"/>
    <w:rsid w:val="00FC77B8"/>
    <w:rsid w:val="00FD0018"/>
    <w:rsid w:val="00FD075B"/>
    <w:rsid w:val="00FD2E8D"/>
    <w:rsid w:val="00FD31CF"/>
    <w:rsid w:val="00FD359A"/>
    <w:rsid w:val="00FD40BA"/>
    <w:rsid w:val="00FD4CBD"/>
    <w:rsid w:val="00FD563E"/>
    <w:rsid w:val="00FE2802"/>
    <w:rsid w:val="00FE3C59"/>
    <w:rsid w:val="00FE3C87"/>
    <w:rsid w:val="00FE3FF7"/>
    <w:rsid w:val="00FE493F"/>
    <w:rsid w:val="00FE60E0"/>
    <w:rsid w:val="00FE6D56"/>
    <w:rsid w:val="00FE6EAE"/>
    <w:rsid w:val="00FE7049"/>
    <w:rsid w:val="00FE74A2"/>
    <w:rsid w:val="00FE7ECF"/>
    <w:rsid w:val="00FE7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A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qFormat="1"/>
    <w:lsdException w:name="table of figures" w:uiPriority="0" w:qFormat="1"/>
    <w:lsdException w:name="annotation reference" w:uiPriority="0"/>
    <w:lsdException w:name="page number" w:uiPriority="0"/>
    <w:lsdException w:name="endnote reference" w:uiPriority="0"/>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ET Normal"/>
    <w:qFormat/>
    <w:rsid w:val="00F4550D"/>
    <w:pPr>
      <w:spacing w:after="90" w:line="220" w:lineRule="atLeast"/>
    </w:pPr>
    <w:rPr>
      <w:rFonts w:ascii="Arial" w:eastAsia="Times New Roman" w:hAnsi="Arial" w:cs="Times New Roman"/>
      <w:color w:val="000000" w:themeColor="text1"/>
      <w:sz w:val="19"/>
      <w:szCs w:val="24"/>
    </w:rPr>
  </w:style>
  <w:style w:type="paragraph" w:styleId="Heading1">
    <w:name w:val="heading 1"/>
    <w:aliases w:val="DET Heading 1,Heading 1 Section Heading"/>
    <w:basedOn w:val="Normal"/>
    <w:next w:val="Normal"/>
    <w:link w:val="Heading1Char"/>
    <w:uiPriority w:val="9"/>
    <w:qFormat/>
    <w:rsid w:val="00F41094"/>
    <w:pPr>
      <w:keepNext/>
      <w:pageBreakBefore/>
      <w:spacing w:after="180" w:line="450" w:lineRule="atLeast"/>
      <w:outlineLvl w:val="0"/>
    </w:pPr>
    <w:rPr>
      <w:rFonts w:cs="Arial"/>
      <w:bCs/>
      <w:kern w:val="32"/>
      <w:sz w:val="36"/>
      <w:szCs w:val="36"/>
    </w:rPr>
  </w:style>
  <w:style w:type="paragraph" w:styleId="Heading2">
    <w:name w:val="heading 2"/>
    <w:aliases w:val="Reset numbering,Reset numbering1"/>
    <w:basedOn w:val="Normal"/>
    <w:next w:val="Normal"/>
    <w:link w:val="Heading2Char"/>
    <w:uiPriority w:val="9"/>
    <w:qFormat/>
    <w:rsid w:val="00F41094"/>
    <w:pPr>
      <w:keepNext/>
      <w:spacing w:before="430" w:line="360" w:lineRule="atLeast"/>
      <w:outlineLvl w:val="1"/>
    </w:pPr>
    <w:rPr>
      <w:rFonts w:cs="Arial"/>
      <w:bCs/>
      <w:iCs/>
      <w:sz w:val="28"/>
      <w:szCs w:val="28"/>
    </w:rPr>
  </w:style>
  <w:style w:type="paragraph" w:styleId="Heading3">
    <w:name w:val="heading 3"/>
    <w:aliases w:val="DET Heading 3,Level 1 - 1"/>
    <w:basedOn w:val="Normal"/>
    <w:next w:val="Normal"/>
    <w:link w:val="Heading3Char"/>
    <w:uiPriority w:val="9"/>
    <w:qFormat/>
    <w:rsid w:val="00F41094"/>
    <w:pPr>
      <w:keepNext/>
      <w:spacing w:before="250" w:line="280" w:lineRule="atLeast"/>
      <w:outlineLvl w:val="2"/>
    </w:pPr>
    <w:rPr>
      <w:rFonts w:cs="Arial"/>
      <w:bCs/>
      <w:sz w:val="22"/>
      <w:szCs w:val="19"/>
    </w:rPr>
  </w:style>
  <w:style w:type="paragraph" w:styleId="Heading4">
    <w:name w:val="heading 4"/>
    <w:aliases w:val="DET Heading 4"/>
    <w:basedOn w:val="Normal"/>
    <w:next w:val="Normal"/>
    <w:link w:val="Heading4Char"/>
    <w:uiPriority w:val="9"/>
    <w:unhideWhenUsed/>
    <w:qFormat/>
    <w:rsid w:val="00391AD5"/>
    <w:pPr>
      <w:keepNext/>
      <w:tabs>
        <w:tab w:val="left" w:pos="397"/>
      </w:tabs>
      <w:spacing w:before="200"/>
      <w:outlineLvl w:val="3"/>
    </w:pPr>
    <w:rPr>
      <w:b/>
      <w:i/>
    </w:rPr>
  </w:style>
  <w:style w:type="paragraph" w:styleId="Heading5">
    <w:name w:val="heading 5"/>
    <w:basedOn w:val="Normal"/>
    <w:next w:val="Normal"/>
    <w:link w:val="Heading5Char"/>
    <w:uiPriority w:val="9"/>
    <w:unhideWhenUsed/>
    <w:qFormat/>
    <w:rsid w:val="00F41094"/>
    <w:pPr>
      <w:keepNext/>
      <w:keepLines/>
      <w:spacing w:before="200"/>
      <w:outlineLvl w:val="4"/>
    </w:pPr>
    <w:rPr>
      <w:rFonts w:eastAsiaTheme="majorEastAsia" w:cstheme="majorBidi"/>
      <w:i/>
      <w:szCs w:val="22"/>
    </w:rPr>
  </w:style>
  <w:style w:type="paragraph" w:styleId="Heading6">
    <w:name w:val="heading 6"/>
    <w:basedOn w:val="Normal"/>
    <w:next w:val="Normal"/>
    <w:link w:val="Heading6Char"/>
    <w:hidden/>
    <w:uiPriority w:val="9"/>
    <w:unhideWhenUsed/>
    <w:qFormat/>
    <w:rsid w:val="00AD2C55"/>
    <w:pPr>
      <w:keepNext/>
      <w:keepLines/>
      <w:numPr>
        <w:ilvl w:val="5"/>
        <w:numId w:val="15"/>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hidden/>
    <w:uiPriority w:val="9"/>
    <w:semiHidden/>
    <w:unhideWhenUsed/>
    <w:qFormat/>
    <w:rsid w:val="00AD2C55"/>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C55"/>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hidden/>
    <w:uiPriority w:val="9"/>
    <w:semiHidden/>
    <w:unhideWhenUsed/>
    <w:qFormat/>
    <w:rsid w:val="00AD2C55"/>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T Heading 1 Char,Heading 1 Section Heading Char"/>
    <w:basedOn w:val="DefaultParagraphFont"/>
    <w:link w:val="Heading1"/>
    <w:uiPriority w:val="9"/>
    <w:rsid w:val="00F41094"/>
    <w:rPr>
      <w:rFonts w:ascii="Arial" w:eastAsia="Times New Roman" w:hAnsi="Arial" w:cs="Arial"/>
      <w:bCs/>
      <w:color w:val="000000" w:themeColor="text1"/>
      <w:kern w:val="32"/>
      <w:sz w:val="36"/>
      <w:szCs w:val="36"/>
    </w:rPr>
  </w:style>
  <w:style w:type="character" w:customStyle="1" w:styleId="Heading2Char">
    <w:name w:val="Heading 2 Char"/>
    <w:aliases w:val="Reset numbering Char,Reset numbering1 Char"/>
    <w:basedOn w:val="DefaultParagraphFont"/>
    <w:link w:val="Heading2"/>
    <w:uiPriority w:val="9"/>
    <w:rsid w:val="00F41094"/>
    <w:rPr>
      <w:rFonts w:ascii="Arial" w:eastAsia="Times New Roman" w:hAnsi="Arial" w:cs="Arial"/>
      <w:bCs/>
      <w:iCs/>
      <w:color w:val="000000" w:themeColor="text1"/>
      <w:sz w:val="28"/>
      <w:szCs w:val="28"/>
    </w:rPr>
  </w:style>
  <w:style w:type="character" w:customStyle="1" w:styleId="Heading3Char">
    <w:name w:val="Heading 3 Char"/>
    <w:aliases w:val="DET Heading 3 Char,Level 1 - 1 Char"/>
    <w:basedOn w:val="DefaultParagraphFont"/>
    <w:link w:val="Heading3"/>
    <w:uiPriority w:val="9"/>
    <w:rsid w:val="00F41094"/>
    <w:rPr>
      <w:rFonts w:ascii="Arial" w:eastAsia="Times New Roman" w:hAnsi="Arial" w:cs="Arial"/>
      <w:bCs/>
      <w:color w:val="000000" w:themeColor="text1"/>
      <w:szCs w:val="19"/>
    </w:rPr>
  </w:style>
  <w:style w:type="character" w:customStyle="1" w:styleId="Heading4Char">
    <w:name w:val="Heading 4 Char"/>
    <w:aliases w:val="DET Heading 4 Char"/>
    <w:basedOn w:val="DefaultParagraphFont"/>
    <w:link w:val="Heading4"/>
    <w:uiPriority w:val="9"/>
    <w:rsid w:val="00391AD5"/>
    <w:rPr>
      <w:rFonts w:ascii="Arial" w:eastAsia="Times New Roman" w:hAnsi="Arial" w:cs="Times New Roman"/>
      <w:b/>
      <w:i/>
      <w:color w:val="000000" w:themeColor="text1"/>
      <w:sz w:val="19"/>
      <w:szCs w:val="24"/>
    </w:rPr>
  </w:style>
  <w:style w:type="character" w:customStyle="1" w:styleId="Heading5Char">
    <w:name w:val="Heading 5 Char"/>
    <w:basedOn w:val="DefaultParagraphFont"/>
    <w:link w:val="Heading5"/>
    <w:uiPriority w:val="9"/>
    <w:rsid w:val="00F41094"/>
    <w:rPr>
      <w:rFonts w:ascii="Arial" w:eastAsiaTheme="majorEastAsia" w:hAnsi="Arial" w:cstheme="majorBidi"/>
      <w:i/>
      <w:color w:val="000000" w:themeColor="text1"/>
      <w:sz w:val="19"/>
    </w:rPr>
  </w:style>
  <w:style w:type="character" w:customStyle="1" w:styleId="Heading6Char">
    <w:name w:val="Heading 6 Char"/>
    <w:basedOn w:val="DefaultParagraphFont"/>
    <w:link w:val="Heading6"/>
    <w:uiPriority w:val="9"/>
    <w:rsid w:val="00AD2C55"/>
    <w:rPr>
      <w:rFonts w:asciiTheme="majorHAnsi" w:eastAsiaTheme="majorEastAsia" w:hAnsiTheme="majorHAnsi" w:cstheme="majorBidi"/>
      <w:i/>
      <w:iCs/>
      <w:color w:val="243F60" w:themeColor="accent1" w:themeShade="7F"/>
    </w:rPr>
  </w:style>
  <w:style w:type="paragraph" w:styleId="Header">
    <w:name w:val="header"/>
    <w:basedOn w:val="Footer"/>
    <w:link w:val="HeaderChar"/>
    <w:hidden/>
    <w:uiPriority w:val="99"/>
    <w:rsid w:val="007F28C0"/>
    <w:pPr>
      <w:jc w:val="left"/>
    </w:pPr>
  </w:style>
  <w:style w:type="character" w:customStyle="1" w:styleId="HeaderChar">
    <w:name w:val="Header Char"/>
    <w:basedOn w:val="DefaultParagraphFont"/>
    <w:link w:val="Header"/>
    <w:uiPriority w:val="99"/>
    <w:rsid w:val="007F28C0"/>
    <w:rPr>
      <w:rFonts w:ascii="Arial" w:eastAsia="Times New Roman" w:hAnsi="Arial" w:cs="Times New Roman"/>
      <w:color w:val="000000" w:themeColor="text1"/>
      <w:spacing w:val="-1"/>
      <w:sz w:val="14"/>
      <w:szCs w:val="14"/>
    </w:rPr>
  </w:style>
  <w:style w:type="paragraph" w:styleId="Footer">
    <w:name w:val="footer"/>
    <w:basedOn w:val="Normal"/>
    <w:link w:val="FooterChar"/>
    <w:hidden/>
    <w:uiPriority w:val="99"/>
    <w:rsid w:val="007F28C0"/>
    <w:pPr>
      <w:tabs>
        <w:tab w:val="right" w:pos="8640"/>
      </w:tabs>
      <w:spacing w:after="0" w:line="240" w:lineRule="auto"/>
      <w:jc w:val="right"/>
    </w:pPr>
    <w:rPr>
      <w:spacing w:val="-1"/>
      <w:sz w:val="14"/>
      <w:szCs w:val="14"/>
    </w:rPr>
  </w:style>
  <w:style w:type="character" w:customStyle="1" w:styleId="FooterChar">
    <w:name w:val="Footer Char"/>
    <w:basedOn w:val="DefaultParagraphFont"/>
    <w:link w:val="Footer"/>
    <w:uiPriority w:val="99"/>
    <w:rsid w:val="007F28C0"/>
    <w:rPr>
      <w:rFonts w:ascii="Arial" w:eastAsia="Times New Roman" w:hAnsi="Arial" w:cs="Times New Roman"/>
      <w:color w:val="000000" w:themeColor="text1"/>
      <w:spacing w:val="-1"/>
      <w:sz w:val="14"/>
      <w:szCs w:val="14"/>
    </w:rPr>
  </w:style>
  <w:style w:type="table" w:styleId="TableColumns1">
    <w:name w:val="Table Columns 1"/>
    <w:basedOn w:val="TableNormal"/>
    <w:uiPriority w:val="99"/>
    <w:semiHidden/>
    <w:unhideWhenUsed/>
    <w:rsid w:val="00776C24"/>
    <w:pPr>
      <w:spacing w:after="9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heading">
    <w:name w:val="Table column heading"/>
    <w:basedOn w:val="Tabletext"/>
    <w:link w:val="TablecolumnheadingChar"/>
    <w:uiPriority w:val="99"/>
    <w:rsid w:val="007F28C0"/>
    <w:pPr>
      <w:keepNext/>
    </w:pPr>
    <w:rPr>
      <w:b/>
      <w:bCs/>
      <w:color w:val="FFFFFF"/>
    </w:rPr>
  </w:style>
  <w:style w:type="paragraph" w:customStyle="1" w:styleId="Tabletext">
    <w:name w:val="Table text"/>
    <w:basedOn w:val="Normal"/>
    <w:link w:val="TabletextChar"/>
    <w:uiPriority w:val="9"/>
    <w:qFormat/>
    <w:rsid w:val="007F28C0"/>
    <w:pPr>
      <w:widowControl w:val="0"/>
      <w:tabs>
        <w:tab w:val="left" w:pos="205"/>
      </w:tabs>
      <w:autoSpaceDE w:val="0"/>
      <w:autoSpaceDN w:val="0"/>
      <w:adjustRightInd w:val="0"/>
      <w:spacing w:before="80" w:after="80" w:line="240" w:lineRule="auto"/>
    </w:pPr>
    <w:rPr>
      <w:rFonts w:cs="Arial"/>
      <w:sz w:val="17"/>
      <w:szCs w:val="18"/>
    </w:rPr>
  </w:style>
  <w:style w:type="character" w:customStyle="1" w:styleId="TabletextChar">
    <w:name w:val="Table text Char"/>
    <w:basedOn w:val="DefaultParagraphFont"/>
    <w:link w:val="Tabletext"/>
    <w:uiPriority w:val="9"/>
    <w:rsid w:val="007F28C0"/>
    <w:rPr>
      <w:rFonts w:ascii="Arial" w:eastAsia="Times New Roman" w:hAnsi="Arial" w:cs="Arial"/>
      <w:color w:val="000000" w:themeColor="text1"/>
      <w:sz w:val="17"/>
      <w:szCs w:val="18"/>
    </w:rPr>
  </w:style>
  <w:style w:type="character" w:customStyle="1" w:styleId="TablecolumnheadingChar">
    <w:name w:val="Table column heading Char"/>
    <w:basedOn w:val="TabletextChar"/>
    <w:link w:val="Tablecolumnheading"/>
    <w:uiPriority w:val="99"/>
    <w:rsid w:val="007F28C0"/>
    <w:rPr>
      <w:rFonts w:ascii="Arial" w:eastAsia="Times New Roman" w:hAnsi="Arial" w:cs="Arial"/>
      <w:b/>
      <w:bCs/>
      <w:color w:val="FFFFFF"/>
      <w:sz w:val="17"/>
      <w:szCs w:val="18"/>
    </w:rPr>
  </w:style>
  <w:style w:type="paragraph" w:customStyle="1" w:styleId="TablesubheadingVPSstafftable">
    <w:name w:val="Table subheading VPS staff table"/>
    <w:basedOn w:val="Tablesubheadingfirstrow"/>
    <w:uiPriority w:val="99"/>
    <w:rsid w:val="007F28C0"/>
    <w:pPr>
      <w:spacing w:before="120"/>
    </w:pPr>
    <w:rPr>
      <w:bCs/>
      <w:sz w:val="16"/>
    </w:rPr>
  </w:style>
  <w:style w:type="paragraph" w:customStyle="1" w:styleId="Tablesubheadingfirstrow">
    <w:name w:val="Table subheading first row"/>
    <w:basedOn w:val="Tablerowheading"/>
    <w:link w:val="TablesubheadingfirstrowChar"/>
    <w:qFormat/>
    <w:rsid w:val="007F28C0"/>
    <w:pPr>
      <w:keepNext/>
      <w:spacing w:before="200" w:after="80"/>
    </w:pPr>
    <w:rPr>
      <w:snapToGrid w:val="0"/>
    </w:rPr>
  </w:style>
  <w:style w:type="paragraph" w:customStyle="1" w:styleId="Tablerowheading">
    <w:name w:val="Table row heading"/>
    <w:basedOn w:val="Normal"/>
    <w:link w:val="TablerowheadingChar"/>
    <w:rsid w:val="007F28C0"/>
    <w:pPr>
      <w:widowControl w:val="0"/>
      <w:autoSpaceDE w:val="0"/>
      <w:autoSpaceDN w:val="0"/>
      <w:adjustRightInd w:val="0"/>
      <w:spacing w:before="90" w:line="240" w:lineRule="auto"/>
    </w:pPr>
    <w:rPr>
      <w:rFonts w:cs="Arial"/>
      <w:b/>
      <w:sz w:val="17"/>
      <w:szCs w:val="18"/>
    </w:rPr>
  </w:style>
  <w:style w:type="character" w:customStyle="1" w:styleId="TablerowheadingChar">
    <w:name w:val="Table row heading Char"/>
    <w:basedOn w:val="DefaultParagraphFont"/>
    <w:link w:val="Tablerowheading"/>
    <w:rsid w:val="007F28C0"/>
    <w:rPr>
      <w:rFonts w:ascii="Arial" w:eastAsia="Times New Roman" w:hAnsi="Arial" w:cs="Arial"/>
      <w:b/>
      <w:color w:val="000000" w:themeColor="text1"/>
      <w:sz w:val="17"/>
      <w:szCs w:val="18"/>
    </w:rPr>
  </w:style>
  <w:style w:type="character" w:customStyle="1" w:styleId="TablesubheadingfirstrowChar">
    <w:name w:val="Table subheading first row Char"/>
    <w:basedOn w:val="TablerowheadingChar"/>
    <w:link w:val="Tablesubheadingfirstrow"/>
    <w:rsid w:val="007F28C0"/>
    <w:rPr>
      <w:rFonts w:ascii="Arial" w:eastAsia="Times New Roman" w:hAnsi="Arial" w:cs="Arial"/>
      <w:b/>
      <w:snapToGrid w:val="0"/>
      <w:color w:val="000000" w:themeColor="text1"/>
      <w:sz w:val="17"/>
      <w:szCs w:val="18"/>
    </w:rPr>
  </w:style>
  <w:style w:type="paragraph" w:customStyle="1" w:styleId="Imprintinformationspaced">
    <w:name w:val="Imprint information spaced"/>
    <w:basedOn w:val="Normal"/>
    <w:uiPriority w:val="99"/>
    <w:rsid w:val="007F28C0"/>
    <w:pPr>
      <w:spacing w:after="360"/>
    </w:pPr>
    <w:rPr>
      <w:sz w:val="17"/>
    </w:rPr>
  </w:style>
  <w:style w:type="table" w:styleId="TableGrid">
    <w:name w:val="Table Grid"/>
    <w:basedOn w:val="TableNormal"/>
    <w:hidden/>
    <w:uiPriority w:val="59"/>
    <w:rsid w:val="007F28C0"/>
    <w:pPr>
      <w:spacing w:after="90" w:line="2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95F83"/>
    <w:pPr>
      <w:keepNext/>
      <w:tabs>
        <w:tab w:val="left" w:pos="851"/>
        <w:tab w:val="right" w:pos="7371"/>
      </w:tabs>
      <w:spacing w:after="180"/>
      <w:ind w:left="57" w:right="567"/>
    </w:pPr>
    <w:rPr>
      <w:b/>
      <w:noProof/>
      <w:lang w:eastAsia="en-AU"/>
    </w:rPr>
  </w:style>
  <w:style w:type="paragraph" w:styleId="ListBullet">
    <w:name w:val="List Bullet"/>
    <w:basedOn w:val="Normal"/>
    <w:uiPriority w:val="99"/>
    <w:qFormat/>
    <w:rsid w:val="00F02CD2"/>
    <w:pPr>
      <w:numPr>
        <w:numId w:val="11"/>
      </w:numPr>
      <w:tabs>
        <w:tab w:val="clear" w:pos="360"/>
        <w:tab w:val="left" w:pos="170"/>
      </w:tabs>
      <w:spacing w:after="40"/>
      <w:ind w:left="142" w:hanging="142"/>
    </w:pPr>
  </w:style>
  <w:style w:type="paragraph" w:styleId="TOC3">
    <w:name w:val="toc 3"/>
    <w:basedOn w:val="Normal"/>
    <w:next w:val="Normal"/>
    <w:autoRedefine/>
    <w:hidden/>
    <w:uiPriority w:val="39"/>
    <w:rsid w:val="007F28C0"/>
    <w:pPr>
      <w:ind w:left="360"/>
    </w:pPr>
  </w:style>
  <w:style w:type="paragraph" w:styleId="TOC2">
    <w:name w:val="toc 2"/>
    <w:basedOn w:val="Normal"/>
    <w:next w:val="Normal"/>
    <w:uiPriority w:val="39"/>
    <w:rsid w:val="000A136C"/>
    <w:pPr>
      <w:tabs>
        <w:tab w:val="right" w:pos="7371"/>
      </w:tabs>
      <w:spacing w:after="220"/>
      <w:ind w:left="1418" w:right="567" w:hanging="284"/>
    </w:pPr>
    <w:rPr>
      <w:noProof/>
    </w:rPr>
  </w:style>
  <w:style w:type="paragraph" w:styleId="Caption">
    <w:name w:val="caption"/>
    <w:basedOn w:val="Normal"/>
    <w:next w:val="Normal"/>
    <w:uiPriority w:val="99"/>
    <w:qFormat/>
    <w:rsid w:val="007F28C0"/>
    <w:pPr>
      <w:keepNext/>
      <w:spacing w:before="200"/>
    </w:pPr>
    <w:rPr>
      <w:b/>
      <w:i/>
      <w:sz w:val="17"/>
    </w:rPr>
  </w:style>
  <w:style w:type="character" w:styleId="CommentReference">
    <w:name w:val="annotation reference"/>
    <w:hidden/>
    <w:unhideWhenUsed/>
    <w:rsid w:val="007F28C0"/>
    <w:rPr>
      <w:sz w:val="16"/>
      <w:szCs w:val="16"/>
    </w:rPr>
  </w:style>
  <w:style w:type="character" w:styleId="FootnoteReference">
    <w:name w:val="footnote reference"/>
    <w:aliases w:val="DET Footnote Reference"/>
    <w:uiPriority w:val="99"/>
    <w:unhideWhenUsed/>
    <w:rsid w:val="007E09BA"/>
    <w:rPr>
      <w:caps w:val="0"/>
      <w:smallCaps w:val="0"/>
      <w:strike w:val="0"/>
      <w:dstrike w:val="0"/>
      <w:vanish w:val="0"/>
      <w:vertAlign w:val="superscript"/>
    </w:rPr>
  </w:style>
  <w:style w:type="paragraph" w:customStyle="1" w:styleId="Normalaftertable">
    <w:name w:val="Normal after table"/>
    <w:basedOn w:val="Normal"/>
    <w:next w:val="Normal"/>
    <w:link w:val="NormalaftertableChar"/>
    <w:qFormat/>
    <w:rsid w:val="007F28C0"/>
    <w:pPr>
      <w:spacing w:before="130"/>
    </w:pPr>
  </w:style>
  <w:style w:type="character" w:customStyle="1" w:styleId="NormalaftertableChar">
    <w:name w:val="Normal after table Char"/>
    <w:basedOn w:val="DefaultParagraphFont"/>
    <w:link w:val="Normalaftertable"/>
    <w:rsid w:val="007F28C0"/>
    <w:rPr>
      <w:rFonts w:ascii="Arial" w:eastAsia="Times New Roman" w:hAnsi="Arial" w:cs="Times New Roman"/>
      <w:color w:val="000000" w:themeColor="text1"/>
      <w:sz w:val="19"/>
      <w:szCs w:val="24"/>
    </w:rPr>
  </w:style>
  <w:style w:type="paragraph" w:customStyle="1" w:styleId="Normalbeforelist">
    <w:name w:val="Normal before list"/>
    <w:basedOn w:val="Normal"/>
    <w:uiPriority w:val="99"/>
    <w:rsid w:val="007F28C0"/>
    <w:pPr>
      <w:keepNext/>
      <w:spacing w:after="40"/>
    </w:pPr>
    <w:rPr>
      <w:szCs w:val="20"/>
    </w:rPr>
  </w:style>
  <w:style w:type="paragraph" w:styleId="CommentText">
    <w:name w:val="annotation text"/>
    <w:basedOn w:val="Normal"/>
    <w:link w:val="CommentTextChar"/>
    <w:hidden/>
    <w:uiPriority w:val="99"/>
    <w:rsid w:val="007F28C0"/>
    <w:pPr>
      <w:spacing w:line="240" w:lineRule="auto"/>
    </w:pPr>
    <w:rPr>
      <w:sz w:val="20"/>
      <w:szCs w:val="20"/>
    </w:rPr>
  </w:style>
  <w:style w:type="character" w:customStyle="1" w:styleId="CommentTextChar">
    <w:name w:val="Comment Text Char"/>
    <w:basedOn w:val="DefaultParagraphFont"/>
    <w:link w:val="CommentText"/>
    <w:uiPriority w:val="99"/>
    <w:rsid w:val="007F28C0"/>
    <w:rPr>
      <w:rFonts w:ascii="Arial" w:eastAsia="Times New Roman" w:hAnsi="Arial" w:cs="Times New Roman"/>
      <w:color w:val="000000" w:themeColor="text1"/>
      <w:sz w:val="20"/>
      <w:szCs w:val="20"/>
    </w:rPr>
  </w:style>
  <w:style w:type="paragraph" w:customStyle="1" w:styleId="Attestationcommittalletterlargespaceafter">
    <w:name w:val="Attestation/committal letter large space after"/>
    <w:basedOn w:val="Normal"/>
    <w:uiPriority w:val="99"/>
    <w:rsid w:val="007F28C0"/>
    <w:pPr>
      <w:spacing w:after="720"/>
    </w:pPr>
    <w:rPr>
      <w:szCs w:val="20"/>
    </w:rPr>
  </w:style>
  <w:style w:type="paragraph" w:customStyle="1" w:styleId="Attestationcommitallettersmallspaceafter">
    <w:name w:val="Attestation/commital letter small space after"/>
    <w:basedOn w:val="Normal"/>
    <w:uiPriority w:val="99"/>
    <w:rsid w:val="007F28C0"/>
    <w:pPr>
      <w:spacing w:after="180"/>
    </w:pPr>
    <w:rPr>
      <w:szCs w:val="20"/>
    </w:rPr>
  </w:style>
  <w:style w:type="paragraph" w:customStyle="1" w:styleId="Contentshead">
    <w:name w:val="Contents head"/>
    <w:basedOn w:val="Heading1"/>
    <w:uiPriority w:val="99"/>
    <w:qFormat/>
    <w:rsid w:val="001F185F"/>
    <w:pPr>
      <w:spacing w:before="480" w:after="0" w:line="240" w:lineRule="auto"/>
      <w:ind w:left="851"/>
    </w:pPr>
  </w:style>
  <w:style w:type="paragraph" w:customStyle="1" w:styleId="Imprintinformation">
    <w:name w:val="Imprint  information"/>
    <w:basedOn w:val="Imprintinformationspaced"/>
    <w:uiPriority w:val="99"/>
    <w:rsid w:val="007F28C0"/>
    <w:pPr>
      <w:spacing w:after="90"/>
    </w:pPr>
    <w:rPr>
      <w:szCs w:val="20"/>
    </w:rPr>
  </w:style>
  <w:style w:type="paragraph" w:customStyle="1" w:styleId="Imrpintinformationheading">
    <w:name w:val="Imrpint information heading"/>
    <w:basedOn w:val="Imprintinformationspaced"/>
    <w:uiPriority w:val="99"/>
    <w:rsid w:val="007F28C0"/>
    <w:rPr>
      <w:b/>
      <w:bCs/>
      <w:szCs w:val="20"/>
    </w:rPr>
  </w:style>
  <w:style w:type="paragraph" w:customStyle="1" w:styleId="Indentedtext">
    <w:name w:val="Indented text"/>
    <w:basedOn w:val="Normal"/>
    <w:uiPriority w:val="99"/>
    <w:rsid w:val="007F28C0"/>
    <w:pPr>
      <w:ind w:left="170"/>
    </w:pPr>
    <w:rPr>
      <w:szCs w:val="20"/>
    </w:rPr>
  </w:style>
  <w:style w:type="paragraph" w:customStyle="1" w:styleId="Tablesuperheading">
    <w:name w:val="Table superheading"/>
    <w:basedOn w:val="Tablecolumnheading"/>
    <w:link w:val="TablesuperheadingChar"/>
    <w:qFormat/>
    <w:rsid w:val="007F28C0"/>
    <w:pPr>
      <w:spacing w:before="360"/>
    </w:pPr>
  </w:style>
  <w:style w:type="character" w:customStyle="1" w:styleId="TablesuperheadingChar">
    <w:name w:val="Table superheading Char"/>
    <w:basedOn w:val="TablecolumnheadingChar"/>
    <w:link w:val="Tablesuperheading"/>
    <w:rsid w:val="007F28C0"/>
    <w:rPr>
      <w:rFonts w:ascii="Arial" w:eastAsia="Times New Roman" w:hAnsi="Arial" w:cs="Arial"/>
      <w:b/>
      <w:bCs/>
      <w:color w:val="FFFFFF"/>
      <w:sz w:val="17"/>
      <w:szCs w:val="18"/>
    </w:rPr>
  </w:style>
  <w:style w:type="paragraph" w:styleId="CommentSubject">
    <w:name w:val="annotation subject"/>
    <w:basedOn w:val="CommentText"/>
    <w:next w:val="CommentText"/>
    <w:link w:val="CommentSubjectChar"/>
    <w:hidden/>
    <w:uiPriority w:val="99"/>
    <w:rsid w:val="007F28C0"/>
    <w:rPr>
      <w:b/>
      <w:bCs/>
    </w:rPr>
  </w:style>
  <w:style w:type="character" w:customStyle="1" w:styleId="CommentSubjectChar">
    <w:name w:val="Comment Subject Char"/>
    <w:basedOn w:val="CommentTextChar"/>
    <w:link w:val="CommentSubject"/>
    <w:uiPriority w:val="99"/>
    <w:rsid w:val="007F28C0"/>
    <w:rPr>
      <w:rFonts w:ascii="Arial" w:eastAsia="Times New Roman" w:hAnsi="Arial" w:cs="Times New Roman"/>
      <w:b/>
      <w:bCs/>
      <w:color w:val="000000" w:themeColor="text1"/>
      <w:sz w:val="20"/>
      <w:szCs w:val="20"/>
    </w:rPr>
  </w:style>
  <w:style w:type="paragraph" w:customStyle="1" w:styleId="Heading4pagebreakbefore">
    <w:name w:val="Heading 4 page break before"/>
    <w:basedOn w:val="Heading4"/>
    <w:link w:val="Heading4pagebreakbeforeChar"/>
    <w:qFormat/>
    <w:rsid w:val="007F28C0"/>
    <w:pPr>
      <w:pageBreakBefore/>
      <w:spacing w:before="0"/>
    </w:pPr>
    <w:rPr>
      <w:bCs/>
      <w:iCs/>
    </w:rPr>
  </w:style>
  <w:style w:type="character" w:customStyle="1" w:styleId="Heading4pagebreakbeforeChar">
    <w:name w:val="Heading 4 page break before Char"/>
    <w:basedOn w:val="Heading4Char"/>
    <w:link w:val="Heading4pagebreakbefore"/>
    <w:rsid w:val="007F28C0"/>
    <w:rPr>
      <w:rFonts w:ascii="Arial" w:eastAsia="Times New Roman" w:hAnsi="Arial" w:cs="Times New Roman"/>
      <w:b/>
      <w:bCs/>
      <w:i/>
      <w:iCs/>
      <w:color w:val="000000" w:themeColor="text1"/>
      <w:sz w:val="19"/>
      <w:szCs w:val="24"/>
    </w:rPr>
  </w:style>
  <w:style w:type="paragraph" w:customStyle="1" w:styleId="TablerowheadingVPSstafftable">
    <w:name w:val="Table row heading VPS staff table"/>
    <w:basedOn w:val="Tablerowheading"/>
    <w:uiPriority w:val="99"/>
    <w:rsid w:val="007F28C0"/>
    <w:pPr>
      <w:keepNext/>
      <w:spacing w:before="0" w:after="0"/>
    </w:pPr>
    <w:rPr>
      <w:bCs/>
      <w:sz w:val="16"/>
    </w:rPr>
  </w:style>
  <w:style w:type="table" w:styleId="TableList1">
    <w:name w:val="Table List 1"/>
    <w:basedOn w:val="TableNormal"/>
    <w:uiPriority w:val="99"/>
    <w:unhideWhenUsed/>
    <w:rsid w:val="00776C24"/>
    <w:pPr>
      <w:spacing w:after="9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hidden/>
    <w:rsid w:val="007F28C0"/>
  </w:style>
  <w:style w:type="paragraph" w:styleId="EndnoteText">
    <w:name w:val="endnote text"/>
    <w:basedOn w:val="Normal"/>
    <w:link w:val="EndnoteTextChar"/>
    <w:hidden/>
    <w:uiPriority w:val="99"/>
    <w:rsid w:val="007F28C0"/>
    <w:pPr>
      <w:spacing w:after="0" w:line="240" w:lineRule="auto"/>
    </w:pPr>
    <w:rPr>
      <w:color w:val="747378"/>
      <w:sz w:val="20"/>
      <w:szCs w:val="20"/>
    </w:rPr>
  </w:style>
  <w:style w:type="character" w:customStyle="1" w:styleId="EndnoteTextChar">
    <w:name w:val="Endnote Text Char"/>
    <w:basedOn w:val="DefaultParagraphFont"/>
    <w:link w:val="EndnoteText"/>
    <w:uiPriority w:val="99"/>
    <w:rsid w:val="007F28C0"/>
    <w:rPr>
      <w:rFonts w:ascii="Arial" w:eastAsia="Times New Roman" w:hAnsi="Arial" w:cs="Times New Roman"/>
      <w:color w:val="747378"/>
      <w:sz w:val="20"/>
      <w:szCs w:val="20"/>
    </w:rPr>
  </w:style>
  <w:style w:type="paragraph" w:customStyle="1" w:styleId="Tabletextobjectivestablesnarrow">
    <w:name w:val="Table text objectives tables narrow"/>
    <w:basedOn w:val="Tabletextobjectivestables"/>
    <w:uiPriority w:val="99"/>
    <w:qFormat/>
    <w:rsid w:val="00A31B6D"/>
    <w:pPr>
      <w:spacing w:before="40" w:after="40"/>
      <w:jc w:val="center"/>
    </w:pPr>
    <w:rPr>
      <w:rFonts w:ascii="Arial Narrow" w:hAnsi="Arial Narrow"/>
    </w:rPr>
  </w:style>
  <w:style w:type="paragraph" w:customStyle="1" w:styleId="Tabletextobjectivestables">
    <w:name w:val="Table text objectives tables"/>
    <w:basedOn w:val="Tabletext"/>
    <w:link w:val="TabletextobjectivestablesChar"/>
    <w:qFormat/>
    <w:rsid w:val="007A55AC"/>
    <w:rPr>
      <w:sz w:val="16"/>
      <w:szCs w:val="16"/>
    </w:rPr>
  </w:style>
  <w:style w:type="character" w:customStyle="1" w:styleId="TabletextobjectivestablesChar">
    <w:name w:val="Table text objectives tables Char"/>
    <w:basedOn w:val="TabletextChar"/>
    <w:link w:val="Tabletextobjectivestables"/>
    <w:rsid w:val="007A55AC"/>
    <w:rPr>
      <w:rFonts w:ascii="Arial" w:eastAsia="Times New Roman" w:hAnsi="Arial" w:cs="Arial"/>
      <w:color w:val="000000" w:themeColor="text1"/>
      <w:sz w:val="16"/>
      <w:szCs w:val="16"/>
    </w:rPr>
  </w:style>
  <w:style w:type="paragraph" w:customStyle="1" w:styleId="Tablerowheadingobjectivestables">
    <w:name w:val="Table row heading objectives tables"/>
    <w:basedOn w:val="Tablerowheading"/>
    <w:link w:val="TablerowheadingobjectivestablesChar"/>
    <w:qFormat/>
    <w:rsid w:val="00A31B6D"/>
    <w:pPr>
      <w:widowControl/>
    </w:pPr>
    <w:rPr>
      <w:rFonts w:ascii="Arial Narrow" w:hAnsi="Arial Narrow"/>
      <w:color w:val="auto"/>
      <w:sz w:val="16"/>
      <w:szCs w:val="16"/>
    </w:rPr>
  </w:style>
  <w:style w:type="character" w:customStyle="1" w:styleId="TablerowheadingobjectivestablesChar">
    <w:name w:val="Table row heading objectives tables Char"/>
    <w:basedOn w:val="TablerowheadingChar"/>
    <w:link w:val="Tablerowheadingobjectivestables"/>
    <w:rsid w:val="00A31B6D"/>
    <w:rPr>
      <w:rFonts w:ascii="Arial Narrow" w:eastAsia="Times New Roman" w:hAnsi="Arial Narrow" w:cs="Arial"/>
      <w:b/>
      <w:color w:val="000000" w:themeColor="text1"/>
      <w:sz w:val="16"/>
      <w:szCs w:val="16"/>
    </w:rPr>
  </w:style>
  <w:style w:type="paragraph" w:customStyle="1" w:styleId="Tablecolumnheadingobjectivestables">
    <w:name w:val="Table column heading objectives tables"/>
    <w:basedOn w:val="Tablecolumnheading"/>
    <w:link w:val="TablecolumnheadingobjectivestablesChar"/>
    <w:qFormat/>
    <w:rsid w:val="007F28C0"/>
    <w:rPr>
      <w:b w:val="0"/>
      <w:sz w:val="16"/>
      <w:szCs w:val="16"/>
      <w:lang w:val="en-US"/>
    </w:rPr>
  </w:style>
  <w:style w:type="character" w:customStyle="1" w:styleId="TablecolumnheadingobjectivestablesChar">
    <w:name w:val="Table column heading objectives tables Char"/>
    <w:basedOn w:val="TablecolumnheadingChar"/>
    <w:link w:val="Tablecolumnheadingobjectivestables"/>
    <w:rsid w:val="007F28C0"/>
    <w:rPr>
      <w:rFonts w:ascii="Arial" w:eastAsia="Times New Roman" w:hAnsi="Arial" w:cs="Arial"/>
      <w:b w:val="0"/>
      <w:bCs/>
      <w:color w:val="FFFFFF"/>
      <w:sz w:val="16"/>
      <w:szCs w:val="16"/>
      <w:lang w:val="en-US"/>
    </w:rPr>
  </w:style>
  <w:style w:type="paragraph" w:styleId="HTMLAddress">
    <w:name w:val="HTML Address"/>
    <w:basedOn w:val="Normal"/>
    <w:link w:val="HTMLAddressChar"/>
    <w:uiPriority w:val="99"/>
    <w:semiHidden/>
    <w:unhideWhenUsed/>
    <w:rsid w:val="00776C24"/>
    <w:pPr>
      <w:spacing w:after="0" w:line="240" w:lineRule="auto"/>
    </w:pPr>
    <w:rPr>
      <w:i/>
      <w:iCs/>
    </w:rPr>
  </w:style>
  <w:style w:type="character" w:customStyle="1" w:styleId="HTMLAddressChar">
    <w:name w:val="HTML Address Char"/>
    <w:basedOn w:val="DefaultParagraphFont"/>
    <w:link w:val="HTMLAddress"/>
    <w:uiPriority w:val="99"/>
    <w:semiHidden/>
    <w:rsid w:val="00776C24"/>
    <w:rPr>
      <w:rFonts w:ascii="Arial" w:eastAsia="Times New Roman" w:hAnsi="Arial" w:cs="Times New Roman"/>
      <w:i/>
      <w:iCs/>
      <w:color w:val="000000" w:themeColor="text1"/>
      <w:sz w:val="19"/>
      <w:szCs w:val="24"/>
    </w:rPr>
  </w:style>
  <w:style w:type="paragraph" w:customStyle="1" w:styleId="TablerowheadingoutputtablesAchievementsEngagement">
    <w:name w:val="Table row heading output tables Achievements &amp; Engagement"/>
    <w:basedOn w:val="Tablerowheadingobjectivestables"/>
    <w:uiPriority w:val="99"/>
    <w:rsid w:val="007F28C0"/>
    <w:pPr>
      <w:spacing w:before="40" w:after="40"/>
    </w:pPr>
    <w:rPr>
      <w:rFonts w:cs="Times New Roman"/>
      <w:bCs/>
      <w:szCs w:val="20"/>
    </w:rPr>
  </w:style>
  <w:style w:type="paragraph" w:customStyle="1" w:styleId="DETTablerowheadingoutputstables">
    <w:name w:val="DET Table row heading outputs tables"/>
    <w:basedOn w:val="Tablecolumnheading"/>
    <w:link w:val="DETTablerowheadingoutputstablesChar"/>
    <w:qFormat/>
    <w:rsid w:val="0017233C"/>
    <w:rPr>
      <w:color w:val="FFFFFF" w:themeColor="background1"/>
      <w:sz w:val="16"/>
      <w:szCs w:val="15"/>
    </w:rPr>
  </w:style>
  <w:style w:type="character" w:customStyle="1" w:styleId="DETTablerowheadingoutputstablesChar">
    <w:name w:val="DET Table row heading outputs tables Char"/>
    <w:basedOn w:val="TablerowheadingChar"/>
    <w:link w:val="DETTablerowheadingoutputstables"/>
    <w:rsid w:val="0017233C"/>
    <w:rPr>
      <w:rFonts w:ascii="Arial" w:eastAsia="Times New Roman" w:hAnsi="Arial" w:cs="Arial"/>
      <w:b/>
      <w:bCs/>
      <w:color w:val="FFFFFF" w:themeColor="background1"/>
      <w:sz w:val="16"/>
      <w:szCs w:val="15"/>
    </w:rPr>
  </w:style>
  <w:style w:type="paragraph" w:customStyle="1" w:styleId="TablerowheadingobjectivestablesAchievements">
    <w:name w:val="Table row heading objectives tables Achievements"/>
    <w:basedOn w:val="Tablerowheadingobjectivestables"/>
    <w:uiPriority w:val="99"/>
    <w:rsid w:val="00C67CDF"/>
    <w:pPr>
      <w:spacing w:before="40" w:after="0"/>
    </w:pPr>
    <w:rPr>
      <w:rFonts w:cs="Times New Roman"/>
      <w:bCs/>
      <w:szCs w:val="20"/>
    </w:rPr>
  </w:style>
  <w:style w:type="paragraph" w:customStyle="1" w:styleId="Heading3aftertable">
    <w:name w:val="Heading 3 after table"/>
    <w:basedOn w:val="Heading3"/>
    <w:uiPriority w:val="99"/>
    <w:rsid w:val="007F28C0"/>
    <w:pPr>
      <w:spacing w:before="360"/>
    </w:pPr>
    <w:rPr>
      <w:rFonts w:cs="Times New Roman"/>
      <w:szCs w:val="20"/>
    </w:rPr>
  </w:style>
  <w:style w:type="paragraph" w:customStyle="1" w:styleId="Heading4aftertable">
    <w:name w:val="Heading 4 after table"/>
    <w:basedOn w:val="Heading4"/>
    <w:uiPriority w:val="99"/>
    <w:rsid w:val="007F28C0"/>
    <w:pPr>
      <w:spacing w:before="360"/>
    </w:pPr>
    <w:rPr>
      <w:iCs/>
      <w:szCs w:val="20"/>
    </w:rPr>
  </w:style>
  <w:style w:type="paragraph" w:styleId="Revision">
    <w:name w:val="Revision"/>
    <w:hidden/>
    <w:uiPriority w:val="99"/>
    <w:semiHidden/>
    <w:rsid w:val="00D73748"/>
    <w:pPr>
      <w:spacing w:after="0" w:line="240" w:lineRule="auto"/>
    </w:pPr>
    <w:rPr>
      <w:rFonts w:ascii="Arial" w:eastAsia="Times New Roman" w:hAnsi="Arial" w:cs="Times New Roman"/>
      <w:color w:val="747378"/>
      <w:sz w:val="19"/>
      <w:szCs w:val="24"/>
    </w:rPr>
  </w:style>
  <w:style w:type="paragraph" w:customStyle="1" w:styleId="Tablecolumnheadingfinancialmiddlerow">
    <w:name w:val="Table column heading financial middle row"/>
    <w:basedOn w:val="Tablecolumnheading"/>
    <w:next w:val="DETTablecolumnheading"/>
    <w:uiPriority w:val="99"/>
    <w:rsid w:val="007F28C0"/>
    <w:pPr>
      <w:spacing w:before="0" w:after="0"/>
      <w:jc w:val="center"/>
    </w:pPr>
    <w:rPr>
      <w:rFonts w:cs="Times New Roman"/>
      <w:szCs w:val="20"/>
    </w:rPr>
  </w:style>
  <w:style w:type="paragraph" w:customStyle="1" w:styleId="DETTablecolumnheading">
    <w:name w:val="DET Table column heading"/>
    <w:basedOn w:val="Tablecolumnheading"/>
    <w:link w:val="DETTablecolumnheadingChar"/>
    <w:qFormat/>
    <w:rsid w:val="004B1764"/>
    <w:pPr>
      <w:jc w:val="center"/>
    </w:pPr>
  </w:style>
  <w:style w:type="character" w:customStyle="1" w:styleId="DETTablecolumnheadingChar">
    <w:name w:val="DET Table column heading Char"/>
    <w:basedOn w:val="TablecolumnheadingChar"/>
    <w:link w:val="DETTablecolumnheading"/>
    <w:rsid w:val="004B1764"/>
    <w:rPr>
      <w:rFonts w:ascii="Arial" w:eastAsia="Times New Roman" w:hAnsi="Arial" w:cs="Arial"/>
      <w:b/>
      <w:bCs/>
      <w:color w:val="FFFFFF"/>
      <w:sz w:val="17"/>
      <w:szCs w:val="18"/>
    </w:rPr>
  </w:style>
  <w:style w:type="paragraph" w:customStyle="1" w:styleId="Captionaftertable">
    <w:name w:val="Caption after table"/>
    <w:basedOn w:val="Caption"/>
    <w:uiPriority w:val="99"/>
    <w:rsid w:val="007F28C0"/>
    <w:pPr>
      <w:spacing w:before="360"/>
    </w:pPr>
    <w:rPr>
      <w:iCs/>
      <w:szCs w:val="20"/>
    </w:rPr>
  </w:style>
  <w:style w:type="paragraph" w:customStyle="1" w:styleId="Captionbeforechart">
    <w:name w:val="Caption before chart"/>
    <w:basedOn w:val="Caption"/>
    <w:uiPriority w:val="99"/>
    <w:rsid w:val="007F28C0"/>
    <w:pPr>
      <w:spacing w:after="0"/>
    </w:pPr>
    <w:rPr>
      <w:iCs/>
      <w:szCs w:val="20"/>
    </w:rPr>
  </w:style>
  <w:style w:type="paragraph" w:customStyle="1" w:styleId="ListBulletbeforetable">
    <w:name w:val="List Bullet before table"/>
    <w:basedOn w:val="ListBullet"/>
    <w:uiPriority w:val="99"/>
    <w:rsid w:val="007F28C0"/>
    <w:pPr>
      <w:numPr>
        <w:numId w:val="0"/>
      </w:numPr>
      <w:spacing w:after="90"/>
    </w:pPr>
    <w:rPr>
      <w:szCs w:val="20"/>
    </w:rPr>
  </w:style>
  <w:style w:type="paragraph" w:styleId="Salutation">
    <w:name w:val="Salutation"/>
    <w:basedOn w:val="Normal"/>
    <w:next w:val="Normal"/>
    <w:link w:val="SalutationChar"/>
    <w:uiPriority w:val="99"/>
    <w:semiHidden/>
    <w:unhideWhenUsed/>
    <w:rsid w:val="00776C24"/>
  </w:style>
  <w:style w:type="character" w:customStyle="1" w:styleId="SalutationChar">
    <w:name w:val="Salutation Char"/>
    <w:basedOn w:val="DefaultParagraphFont"/>
    <w:link w:val="Salutation"/>
    <w:uiPriority w:val="99"/>
    <w:semiHidden/>
    <w:rsid w:val="00776C24"/>
    <w:rPr>
      <w:rFonts w:ascii="Arial" w:eastAsia="Times New Roman" w:hAnsi="Arial" w:cs="Times New Roman"/>
      <w:color w:val="000000" w:themeColor="text1"/>
      <w:sz w:val="19"/>
      <w:szCs w:val="24"/>
    </w:rPr>
  </w:style>
  <w:style w:type="paragraph" w:styleId="DocumentMap">
    <w:name w:val="Document Map"/>
    <w:basedOn w:val="Normal"/>
    <w:link w:val="DocumentMapChar"/>
    <w:hidden/>
    <w:uiPriority w:val="99"/>
    <w:semiHidden/>
    <w:rsid w:val="007F28C0"/>
    <w:pPr>
      <w:shd w:val="clear" w:color="auto" w:fill="000080"/>
      <w:spacing w:after="0" w:line="240" w:lineRule="auto"/>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7F28C0"/>
    <w:rPr>
      <w:rFonts w:ascii="Tahoma" w:eastAsia="Times New Roman" w:hAnsi="Tahoma" w:cs="Tahoma"/>
      <w:sz w:val="20"/>
      <w:szCs w:val="20"/>
      <w:shd w:val="clear" w:color="auto" w:fill="000080"/>
    </w:rPr>
  </w:style>
  <w:style w:type="paragraph" w:styleId="ListParagraph">
    <w:name w:val="List Paragraph"/>
    <w:basedOn w:val="Normal"/>
    <w:hidden/>
    <w:uiPriority w:val="34"/>
    <w:qFormat/>
    <w:rsid w:val="007F28C0"/>
    <w:pPr>
      <w:spacing w:after="0" w:line="240" w:lineRule="auto"/>
      <w:ind w:left="720"/>
      <w:contextualSpacing/>
    </w:pPr>
    <w:rPr>
      <w:rFonts w:ascii="Times New Roman" w:hAnsi="Times New Roman"/>
      <w:color w:val="auto"/>
      <w:sz w:val="24"/>
      <w:szCs w:val="20"/>
    </w:rPr>
  </w:style>
  <w:style w:type="paragraph" w:customStyle="1" w:styleId="Heading2financialstatements">
    <w:name w:val="Heading 2 financial statements"/>
    <w:basedOn w:val="Heading2"/>
    <w:link w:val="Heading2financialstatementsChar"/>
    <w:qFormat/>
    <w:rsid w:val="007F28C0"/>
  </w:style>
  <w:style w:type="character" w:customStyle="1" w:styleId="Heading2financialstatementsChar">
    <w:name w:val="Heading 2 financial statements Char"/>
    <w:basedOn w:val="Heading2Char"/>
    <w:link w:val="Heading2financialstatements"/>
    <w:rsid w:val="007F28C0"/>
    <w:rPr>
      <w:rFonts w:ascii="Arial" w:eastAsia="Times New Roman" w:hAnsi="Arial" w:cs="Arial"/>
      <w:bCs/>
      <w:iCs/>
      <w:color w:val="000000" w:themeColor="text1"/>
      <w:sz w:val="28"/>
      <w:szCs w:val="28"/>
    </w:rPr>
  </w:style>
  <w:style w:type="paragraph" w:customStyle="1" w:styleId="TOCheadingendmatter">
    <w:name w:val="TOC heading endmatter"/>
    <w:basedOn w:val="Heading2financialstatements"/>
    <w:link w:val="TOCheadingendmatterChar"/>
    <w:qFormat/>
    <w:rsid w:val="007F28C0"/>
    <w:pPr>
      <w:outlineLvl w:val="9"/>
    </w:pPr>
  </w:style>
  <w:style w:type="character" w:customStyle="1" w:styleId="TOCheadingendmatterChar">
    <w:name w:val="TOC heading endmatter Char"/>
    <w:basedOn w:val="Heading2financialstatementsChar"/>
    <w:link w:val="TOCheadingendmatter"/>
    <w:rsid w:val="007F28C0"/>
    <w:rPr>
      <w:rFonts w:ascii="Arial" w:eastAsia="Times New Roman" w:hAnsi="Arial" w:cs="Arial"/>
      <w:bCs/>
      <w:iCs/>
      <w:color w:val="000000" w:themeColor="text1"/>
      <w:sz w:val="28"/>
      <w:szCs w:val="28"/>
    </w:rPr>
  </w:style>
  <w:style w:type="paragraph" w:styleId="PlainText">
    <w:name w:val="Plain Text"/>
    <w:basedOn w:val="Normal"/>
    <w:link w:val="PlainTextChar"/>
    <w:hidden/>
    <w:uiPriority w:val="99"/>
    <w:semiHidden/>
    <w:unhideWhenUsed/>
    <w:rsid w:val="007F28C0"/>
    <w:pPr>
      <w:spacing w:after="0"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F28C0"/>
    <w:rPr>
      <w:rFonts w:ascii="Calibri" w:hAnsi="Calibri" w:cs="Consolas"/>
      <w:szCs w:val="21"/>
    </w:rPr>
  </w:style>
  <w:style w:type="paragraph" w:customStyle="1" w:styleId="TabletextVPSstafftable">
    <w:name w:val="Table text VPS staff table"/>
    <w:basedOn w:val="Tabletext"/>
    <w:uiPriority w:val="99"/>
    <w:rsid w:val="007F28C0"/>
    <w:rPr>
      <w:sz w:val="16"/>
    </w:rPr>
  </w:style>
  <w:style w:type="paragraph" w:customStyle="1" w:styleId="Heading2notes">
    <w:name w:val="Heading 2 notes"/>
    <w:basedOn w:val="Heading2financialstatements"/>
    <w:link w:val="Heading2notesChar"/>
    <w:uiPriority w:val="99"/>
    <w:qFormat/>
    <w:rsid w:val="0099731B"/>
    <w:pPr>
      <w:numPr>
        <w:numId w:val="10"/>
      </w:numPr>
      <w:tabs>
        <w:tab w:val="left" w:pos="1134"/>
      </w:tabs>
    </w:pPr>
  </w:style>
  <w:style w:type="character" w:customStyle="1" w:styleId="Heading2notesChar">
    <w:name w:val="Heading 2 notes Char"/>
    <w:basedOn w:val="Heading2financialstatementsChar"/>
    <w:link w:val="Heading2notes"/>
    <w:uiPriority w:val="99"/>
    <w:rsid w:val="0099731B"/>
    <w:rPr>
      <w:rFonts w:ascii="Arial" w:eastAsia="Times New Roman" w:hAnsi="Arial" w:cs="Arial"/>
      <w:bCs/>
      <w:iCs/>
      <w:color w:val="000000" w:themeColor="text1"/>
      <w:sz w:val="28"/>
      <w:szCs w:val="28"/>
    </w:rPr>
  </w:style>
  <w:style w:type="character" w:styleId="HTMLCite">
    <w:name w:val="HTML Cite"/>
    <w:basedOn w:val="DefaultParagraphFont"/>
    <w:uiPriority w:val="99"/>
    <w:semiHidden/>
    <w:unhideWhenUsed/>
    <w:rsid w:val="00776C24"/>
    <w:rPr>
      <w:i/>
      <w:iCs/>
    </w:rPr>
  </w:style>
  <w:style w:type="character" w:styleId="HTMLCode">
    <w:name w:val="HTML Code"/>
    <w:basedOn w:val="DefaultParagraphFont"/>
    <w:uiPriority w:val="99"/>
    <w:semiHidden/>
    <w:unhideWhenUsed/>
    <w:rsid w:val="00776C24"/>
    <w:rPr>
      <w:rFonts w:ascii="Consolas" w:hAnsi="Consolas" w:cs="Consolas"/>
      <w:sz w:val="20"/>
      <w:szCs w:val="20"/>
    </w:rPr>
  </w:style>
  <w:style w:type="paragraph" w:customStyle="1" w:styleId="Heading4notes">
    <w:name w:val="Heading 4 notes"/>
    <w:basedOn w:val="Heading4"/>
    <w:link w:val="Heading4notesChar"/>
    <w:qFormat/>
    <w:rsid w:val="007F28C0"/>
  </w:style>
  <w:style w:type="character" w:customStyle="1" w:styleId="Heading4notesChar">
    <w:name w:val="Heading 4 notes Char"/>
    <w:basedOn w:val="Heading4Char"/>
    <w:link w:val="Heading4notes"/>
    <w:rsid w:val="007F28C0"/>
    <w:rPr>
      <w:rFonts w:ascii="Arial" w:eastAsia="Times New Roman" w:hAnsi="Arial" w:cs="Times New Roman"/>
      <w:b/>
      <w:i/>
      <w:color w:val="000000" w:themeColor="text1"/>
      <w:sz w:val="19"/>
      <w:szCs w:val="24"/>
    </w:rPr>
  </w:style>
  <w:style w:type="paragraph" w:customStyle="1" w:styleId="DETNormalafterlist">
    <w:name w:val="DET Normal after list"/>
    <w:basedOn w:val="Normalaftertable"/>
    <w:next w:val="Normal"/>
    <w:link w:val="DETNormalafterlistChar"/>
    <w:qFormat/>
    <w:rsid w:val="00CD091A"/>
    <w:pPr>
      <w:spacing w:before="240"/>
    </w:pPr>
  </w:style>
  <w:style w:type="character" w:customStyle="1" w:styleId="DETNormalafterlistChar">
    <w:name w:val="DET Normal after list Char"/>
    <w:basedOn w:val="NormalaftertableChar"/>
    <w:link w:val="DETNormalafterlist"/>
    <w:rsid w:val="00CD091A"/>
    <w:rPr>
      <w:rFonts w:ascii="Arial" w:eastAsia="Times New Roman" w:hAnsi="Arial" w:cs="Times New Roman"/>
      <w:color w:val="000000" w:themeColor="text1"/>
      <w:sz w:val="19"/>
      <w:szCs w:val="24"/>
    </w:rPr>
  </w:style>
  <w:style w:type="paragraph" w:styleId="BalloonText">
    <w:name w:val="Balloon Text"/>
    <w:basedOn w:val="Normal"/>
    <w:link w:val="BalloonTextChar"/>
    <w:hidden/>
    <w:uiPriority w:val="99"/>
    <w:unhideWhenUsed/>
    <w:rsid w:val="007F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28C0"/>
    <w:rPr>
      <w:rFonts w:ascii="Tahoma" w:eastAsia="Times New Roman" w:hAnsi="Tahoma" w:cs="Tahoma"/>
      <w:color w:val="000000" w:themeColor="text1"/>
      <w:sz w:val="16"/>
      <w:szCs w:val="16"/>
    </w:rPr>
  </w:style>
  <w:style w:type="paragraph" w:customStyle="1" w:styleId="Tablecolumnheadingfinancialtoprow">
    <w:name w:val="Table column heading financial top row"/>
    <w:basedOn w:val="Tablecolumnheading"/>
    <w:link w:val="TablecolumnheadingfinancialtoprowChar"/>
    <w:rsid w:val="007F28C0"/>
    <w:pPr>
      <w:spacing w:after="0"/>
      <w:jc w:val="center"/>
    </w:pPr>
  </w:style>
  <w:style w:type="character" w:customStyle="1" w:styleId="TablecolumnheadingfinancialtoprowChar">
    <w:name w:val="Table column heading financial top row Char"/>
    <w:basedOn w:val="TabletextChar"/>
    <w:link w:val="Tablecolumnheadingfinancialtoprow"/>
    <w:rsid w:val="007F28C0"/>
    <w:rPr>
      <w:rFonts w:ascii="Arial" w:eastAsia="Times New Roman" w:hAnsi="Arial" w:cs="Arial"/>
      <w:b/>
      <w:bCs/>
      <w:color w:val="FFFFFF"/>
      <w:sz w:val="17"/>
      <w:szCs w:val="18"/>
    </w:rPr>
  </w:style>
  <w:style w:type="paragraph" w:customStyle="1" w:styleId="Tabletotal">
    <w:name w:val="Table total"/>
    <w:basedOn w:val="Normal"/>
    <w:link w:val="TabletotalChar"/>
    <w:qFormat/>
    <w:rsid w:val="007F28C0"/>
    <w:pPr>
      <w:widowControl w:val="0"/>
      <w:tabs>
        <w:tab w:val="left" w:pos="205"/>
      </w:tabs>
      <w:spacing w:before="40" w:after="200"/>
    </w:pPr>
    <w:rPr>
      <w:rFonts w:cs="Arial"/>
      <w:b/>
      <w:sz w:val="17"/>
    </w:rPr>
  </w:style>
  <w:style w:type="character" w:customStyle="1" w:styleId="TabletotalChar">
    <w:name w:val="Table total Char"/>
    <w:basedOn w:val="DefaultParagraphFont"/>
    <w:link w:val="Tabletotal"/>
    <w:rsid w:val="007F28C0"/>
    <w:rPr>
      <w:rFonts w:ascii="Arial" w:eastAsia="Times New Roman" w:hAnsi="Arial" w:cs="Arial"/>
      <w:b/>
      <w:color w:val="000000" w:themeColor="text1"/>
      <w:sz w:val="17"/>
      <w:szCs w:val="24"/>
    </w:rPr>
  </w:style>
  <w:style w:type="paragraph" w:customStyle="1" w:styleId="Tablesubheadingsubsequentrow">
    <w:name w:val="Table subheading subsequent row"/>
    <w:basedOn w:val="Tablesubheadingfirstrow"/>
    <w:link w:val="TablesubheadingsubsequentrowChar"/>
    <w:qFormat/>
    <w:rsid w:val="007F28C0"/>
    <w:pPr>
      <w:spacing w:before="0"/>
    </w:pPr>
  </w:style>
  <w:style w:type="character" w:customStyle="1" w:styleId="TablesubheadingsubsequentrowChar">
    <w:name w:val="Table subheading subsequent row Char"/>
    <w:basedOn w:val="TablesubheadingfirstrowChar"/>
    <w:link w:val="Tablesubheadingsubsequentrow"/>
    <w:rsid w:val="007F28C0"/>
    <w:rPr>
      <w:rFonts w:ascii="Arial" w:eastAsia="Times New Roman" w:hAnsi="Arial" w:cs="Arial"/>
      <w:b/>
      <w:snapToGrid w:val="0"/>
      <w:color w:val="000000" w:themeColor="text1"/>
      <w:sz w:val="17"/>
      <w:szCs w:val="18"/>
    </w:rPr>
  </w:style>
  <w:style w:type="paragraph" w:customStyle="1" w:styleId="Tablesubheadingitalic">
    <w:name w:val="Table subheading italic"/>
    <w:basedOn w:val="Tablesubheadingsubsequentrow"/>
    <w:link w:val="TablesubheadingitalicChar"/>
    <w:uiPriority w:val="99"/>
    <w:qFormat/>
    <w:rsid w:val="007F28C0"/>
    <w:rPr>
      <w:i/>
    </w:rPr>
  </w:style>
  <w:style w:type="character" w:customStyle="1" w:styleId="TablesubheadingitalicChar">
    <w:name w:val="Table subheading italic Char"/>
    <w:basedOn w:val="TablesubheadingsubsequentrowChar"/>
    <w:link w:val="Tablesubheadingitalic"/>
    <w:uiPriority w:val="99"/>
    <w:rsid w:val="007F28C0"/>
    <w:rPr>
      <w:rFonts w:ascii="Arial" w:eastAsia="Times New Roman" w:hAnsi="Arial" w:cs="Arial"/>
      <w:b/>
      <w:i/>
      <w:snapToGrid w:val="0"/>
      <w:color w:val="000000" w:themeColor="text1"/>
      <w:sz w:val="17"/>
      <w:szCs w:val="18"/>
    </w:rPr>
  </w:style>
  <w:style w:type="character" w:styleId="Hyperlink">
    <w:name w:val="Hyperlink"/>
    <w:basedOn w:val="DefaultParagraphFont"/>
    <w:uiPriority w:val="99"/>
    <w:unhideWhenUsed/>
    <w:rsid w:val="00F8284A"/>
    <w:rPr>
      <w:color w:val="auto"/>
    </w:rPr>
  </w:style>
  <w:style w:type="paragraph" w:styleId="Signature">
    <w:name w:val="Signature"/>
    <w:basedOn w:val="Normal"/>
    <w:link w:val="SignatureChar"/>
    <w:uiPriority w:val="99"/>
    <w:semiHidden/>
    <w:unhideWhenUsed/>
    <w:rsid w:val="00776C24"/>
    <w:pPr>
      <w:spacing w:after="0" w:line="240" w:lineRule="auto"/>
      <w:ind w:left="4252"/>
    </w:pPr>
  </w:style>
  <w:style w:type="paragraph" w:customStyle="1" w:styleId="Normalbeforeandafterlist">
    <w:name w:val="Normal before and after list"/>
    <w:basedOn w:val="DETNormalafterlist"/>
    <w:uiPriority w:val="99"/>
    <w:rsid w:val="007F28C0"/>
    <w:pPr>
      <w:spacing w:after="40"/>
    </w:pPr>
    <w:rPr>
      <w:szCs w:val="20"/>
    </w:rPr>
  </w:style>
  <w:style w:type="paragraph" w:customStyle="1" w:styleId="Tabletotalnarrow">
    <w:name w:val="Table total narrow"/>
    <w:basedOn w:val="Tabletotal"/>
    <w:link w:val="TabletotalnarrowChar"/>
    <w:qFormat/>
    <w:rsid w:val="007F28C0"/>
    <w:pPr>
      <w:spacing w:before="20" w:after="120"/>
    </w:pPr>
    <w:rPr>
      <w:rFonts w:ascii="Arial Narrow" w:hAnsi="Arial Narrow"/>
      <w:sz w:val="16"/>
    </w:rPr>
  </w:style>
  <w:style w:type="character" w:customStyle="1" w:styleId="TabletotalnarrowChar">
    <w:name w:val="Table total narrow Char"/>
    <w:basedOn w:val="TabletotalChar"/>
    <w:link w:val="Tabletotalnarrow"/>
    <w:rsid w:val="007F28C0"/>
    <w:rPr>
      <w:rFonts w:ascii="Arial Narrow" w:eastAsia="Times New Roman" w:hAnsi="Arial Narrow" w:cs="Arial"/>
      <w:b/>
      <w:color w:val="000000" w:themeColor="text1"/>
      <w:sz w:val="16"/>
      <w:szCs w:val="24"/>
    </w:rPr>
  </w:style>
  <w:style w:type="paragraph" w:styleId="BodyText">
    <w:name w:val="Body Text"/>
    <w:basedOn w:val="Normal"/>
    <w:link w:val="BodyTextChar"/>
    <w:hidden/>
    <w:uiPriority w:val="99"/>
    <w:rsid w:val="007F28C0"/>
    <w:pPr>
      <w:jc w:val="both"/>
    </w:pPr>
    <w:rPr>
      <w:sz w:val="18"/>
      <w:szCs w:val="18"/>
    </w:rPr>
  </w:style>
  <w:style w:type="character" w:customStyle="1" w:styleId="BodyTextChar">
    <w:name w:val="Body Text Char"/>
    <w:basedOn w:val="DefaultParagraphFont"/>
    <w:link w:val="BodyText"/>
    <w:uiPriority w:val="99"/>
    <w:rsid w:val="007F28C0"/>
    <w:rPr>
      <w:rFonts w:ascii="Arial" w:eastAsia="Times New Roman" w:hAnsi="Arial" w:cs="Times New Roman"/>
      <w:color w:val="000000" w:themeColor="text1"/>
      <w:sz w:val="18"/>
      <w:szCs w:val="18"/>
    </w:rPr>
  </w:style>
  <w:style w:type="paragraph" w:styleId="NormalWeb">
    <w:name w:val="Normal (Web)"/>
    <w:basedOn w:val="Normal"/>
    <w:hidden/>
    <w:uiPriority w:val="99"/>
    <w:rsid w:val="007F28C0"/>
    <w:pPr>
      <w:spacing w:before="96" w:after="240"/>
      <w:ind w:left="120"/>
    </w:pPr>
    <w:rPr>
      <w:lang w:eastAsia="en-AU"/>
    </w:rPr>
  </w:style>
  <w:style w:type="paragraph" w:styleId="EnvelopeAddress">
    <w:name w:val="envelope address"/>
    <w:basedOn w:val="Normal"/>
    <w:uiPriority w:val="99"/>
    <w:semiHidden/>
    <w:unhideWhenUsed/>
    <w:rsid w:val="00776C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table" w:styleId="TableList2">
    <w:name w:val="Table List 2"/>
    <w:basedOn w:val="TableNormal"/>
    <w:uiPriority w:val="99"/>
    <w:unhideWhenUsed/>
    <w:rsid w:val="00776C24"/>
    <w:pPr>
      <w:spacing w:after="9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6C24"/>
    <w:pPr>
      <w:spacing w:after="9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6C24"/>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esnumbered">
    <w:name w:val="Heading 3 notes numbered"/>
    <w:basedOn w:val="Normal"/>
    <w:next w:val="Normal"/>
    <w:link w:val="Heading3notesnumberedChar"/>
    <w:uiPriority w:val="99"/>
    <w:qFormat/>
    <w:rsid w:val="00711F35"/>
    <w:pPr>
      <w:keepNext/>
      <w:numPr>
        <w:numId w:val="1"/>
      </w:numPr>
      <w:tabs>
        <w:tab w:val="left" w:pos="567"/>
      </w:tabs>
      <w:spacing w:before="250" w:line="280" w:lineRule="atLeast"/>
      <w:outlineLvl w:val="2"/>
    </w:pPr>
    <w:rPr>
      <w:rFonts w:cs="Arial"/>
      <w:b/>
      <w:bCs/>
      <w:sz w:val="22"/>
      <w:szCs w:val="19"/>
      <w:lang w:eastAsia="en-AU"/>
    </w:rPr>
  </w:style>
  <w:style w:type="character" w:customStyle="1" w:styleId="Heading3notesnumberedChar">
    <w:name w:val="Heading 3 notes numbered Char"/>
    <w:basedOn w:val="DefaultParagraphFont"/>
    <w:link w:val="Heading3notesnumbered"/>
    <w:uiPriority w:val="99"/>
    <w:rsid w:val="00711F35"/>
    <w:rPr>
      <w:rFonts w:ascii="Arial" w:eastAsia="Times New Roman" w:hAnsi="Arial" w:cs="Arial"/>
      <w:b/>
      <w:bCs/>
      <w:color w:val="000000" w:themeColor="text1"/>
      <w:szCs w:val="19"/>
      <w:lang w:eastAsia="en-AU"/>
    </w:rPr>
  </w:style>
  <w:style w:type="paragraph" w:customStyle="1" w:styleId="Tablecolheadfintopnarrow">
    <w:name w:val="Table col head fin top narrow"/>
    <w:basedOn w:val="Tabletextobjectivestables"/>
    <w:link w:val="TablecolheadfintopnarrowChar"/>
    <w:qFormat/>
    <w:rsid w:val="007F28C0"/>
    <w:pPr>
      <w:keepNext/>
      <w:spacing w:before="60" w:after="0"/>
      <w:jc w:val="center"/>
    </w:pPr>
    <w:rPr>
      <w:color w:val="FFFFFF" w:themeColor="background1"/>
    </w:rPr>
  </w:style>
  <w:style w:type="character" w:customStyle="1" w:styleId="TablecolheadfintopnarrowChar">
    <w:name w:val="Table col head fin top narrow Char"/>
    <w:basedOn w:val="TablecolumnheadingfinancialtoprowChar"/>
    <w:link w:val="Tablecolheadfintopnarrow"/>
    <w:rsid w:val="007F28C0"/>
    <w:rPr>
      <w:rFonts w:ascii="Arial Narrow" w:eastAsia="Times New Roman" w:hAnsi="Arial Narrow" w:cs="Arial"/>
      <w:b w:val="0"/>
      <w:bCs w:val="0"/>
      <w:color w:val="FFFFFF" w:themeColor="background1"/>
      <w:sz w:val="16"/>
      <w:szCs w:val="16"/>
    </w:rPr>
  </w:style>
  <w:style w:type="paragraph" w:customStyle="1" w:styleId="Tablecolheadfinbottomnarrow">
    <w:name w:val="Table col head fin bottom narrow"/>
    <w:basedOn w:val="Tablecolheadfintopnarrow"/>
    <w:link w:val="TablecolheadfinbottomnarrowChar"/>
    <w:qFormat/>
    <w:rsid w:val="007F28C0"/>
    <w:pPr>
      <w:spacing w:before="0" w:after="60"/>
    </w:pPr>
  </w:style>
  <w:style w:type="character" w:customStyle="1" w:styleId="TablecolheadfinbottomnarrowChar">
    <w:name w:val="Table col head fin bottom narrow Char"/>
    <w:basedOn w:val="TablecolheadfintopnarrowChar"/>
    <w:link w:val="Tablecolheadfinbottomnarrow"/>
    <w:rsid w:val="007F28C0"/>
    <w:rPr>
      <w:rFonts w:ascii="Arial Narrow" w:eastAsia="Times New Roman" w:hAnsi="Arial Narrow" w:cs="Arial"/>
      <w:b w:val="0"/>
      <w:bCs w:val="0"/>
      <w:color w:val="FFFFFF" w:themeColor="background1"/>
      <w:sz w:val="16"/>
      <w:szCs w:val="16"/>
    </w:rPr>
  </w:style>
  <w:style w:type="paragraph" w:customStyle="1" w:styleId="Tablesubheadingfirstnarrow">
    <w:name w:val="Table subheading first narrow"/>
    <w:basedOn w:val="Tablesubheadingfirstrow"/>
    <w:link w:val="TablesubheadingfirstnarrowChar"/>
    <w:qFormat/>
    <w:rsid w:val="007F28C0"/>
    <w:rPr>
      <w:rFonts w:ascii="Arial Narrow" w:hAnsi="Arial Narrow"/>
      <w:sz w:val="16"/>
    </w:rPr>
  </w:style>
  <w:style w:type="character" w:customStyle="1" w:styleId="TablesubheadingfirstnarrowChar">
    <w:name w:val="Table subheading first narrow Char"/>
    <w:basedOn w:val="TablesubheadingfirstrowChar"/>
    <w:link w:val="Tablesubheadingfirstnarrow"/>
    <w:rsid w:val="007F28C0"/>
    <w:rPr>
      <w:rFonts w:ascii="Arial Narrow" w:eastAsia="Times New Roman" w:hAnsi="Arial Narrow" w:cs="Arial"/>
      <w:b/>
      <w:snapToGrid w:val="0"/>
      <w:color w:val="000000" w:themeColor="text1"/>
      <w:sz w:val="16"/>
      <w:szCs w:val="18"/>
    </w:rPr>
  </w:style>
  <w:style w:type="paragraph" w:customStyle="1" w:styleId="Tablesubheadingsubsequentnarrow">
    <w:name w:val="Table subheading subsequent narrow"/>
    <w:basedOn w:val="Tablesubheadingsubsequentrow"/>
    <w:link w:val="TablesubheadingsubsequentnarrowChar"/>
    <w:qFormat/>
    <w:rsid w:val="007F28C0"/>
    <w:rPr>
      <w:rFonts w:ascii="Arial Narrow" w:hAnsi="Arial Narrow"/>
      <w:sz w:val="16"/>
    </w:rPr>
  </w:style>
  <w:style w:type="character" w:customStyle="1" w:styleId="TablesubheadingsubsequentnarrowChar">
    <w:name w:val="Table subheading subsequent narrow Char"/>
    <w:basedOn w:val="TablesubheadingfirstnarrowChar"/>
    <w:link w:val="Tablesubheadingsubsequentnarrow"/>
    <w:rsid w:val="007F28C0"/>
    <w:rPr>
      <w:rFonts w:ascii="Arial Narrow" w:eastAsia="Times New Roman" w:hAnsi="Arial Narrow" w:cs="Arial"/>
      <w:b/>
      <w:snapToGrid w:val="0"/>
      <w:color w:val="000000" w:themeColor="text1"/>
      <w:sz w:val="16"/>
      <w:szCs w:val="18"/>
    </w:rPr>
  </w:style>
  <w:style w:type="paragraph" w:customStyle="1" w:styleId="Tablesubheadingfirstrownarrow">
    <w:name w:val="Table subheading first row narrow"/>
    <w:basedOn w:val="Tablesubheadingfirstrow"/>
    <w:uiPriority w:val="99"/>
    <w:rsid w:val="007F28C0"/>
    <w:rPr>
      <w:rFonts w:ascii="Arial Narrow" w:hAnsi="Arial Narrow"/>
      <w:bCs/>
      <w:sz w:val="16"/>
    </w:rPr>
  </w:style>
  <w:style w:type="paragraph" w:customStyle="1" w:styleId="TabletotalbeforeTablesubheadingitalic">
    <w:name w:val="Table total before Table subheading italic"/>
    <w:basedOn w:val="Tabletotal"/>
    <w:uiPriority w:val="99"/>
    <w:rsid w:val="007F28C0"/>
    <w:pPr>
      <w:spacing w:after="40"/>
    </w:pPr>
    <w:rPr>
      <w:rFonts w:cs="Times New Roman"/>
      <w:bCs/>
      <w:szCs w:val="20"/>
    </w:rPr>
  </w:style>
  <w:style w:type="paragraph" w:customStyle="1" w:styleId="ListBulletaftertable">
    <w:name w:val="List Bullet after table"/>
    <w:basedOn w:val="ListBullet"/>
    <w:uiPriority w:val="99"/>
    <w:rsid w:val="007F28C0"/>
    <w:pPr>
      <w:numPr>
        <w:numId w:val="0"/>
      </w:numPr>
      <w:spacing w:before="200"/>
    </w:pPr>
    <w:rPr>
      <w:szCs w:val="20"/>
    </w:rPr>
  </w:style>
  <w:style w:type="paragraph" w:styleId="TOC4">
    <w:name w:val="toc 4"/>
    <w:basedOn w:val="Normal"/>
    <w:next w:val="Normal"/>
    <w:autoRedefine/>
    <w:hidden/>
    <w:uiPriority w:val="39"/>
    <w:unhideWhenUsed/>
    <w:rsid w:val="007F28C0"/>
    <w:pPr>
      <w:spacing w:after="100" w:line="276" w:lineRule="auto"/>
      <w:ind w:left="660"/>
    </w:pPr>
    <w:rPr>
      <w:rFonts w:asciiTheme="minorHAnsi" w:eastAsiaTheme="minorEastAsia" w:hAnsiTheme="minorHAnsi" w:cstheme="minorBidi"/>
      <w:color w:val="auto"/>
      <w:sz w:val="22"/>
      <w:szCs w:val="22"/>
      <w:lang w:eastAsia="en-AU"/>
    </w:rPr>
  </w:style>
  <w:style w:type="paragraph" w:styleId="TOC5">
    <w:name w:val="toc 5"/>
    <w:basedOn w:val="Normal"/>
    <w:next w:val="Normal"/>
    <w:autoRedefine/>
    <w:hidden/>
    <w:uiPriority w:val="39"/>
    <w:unhideWhenUsed/>
    <w:rsid w:val="007F28C0"/>
    <w:pPr>
      <w:spacing w:after="100" w:line="276" w:lineRule="auto"/>
      <w:ind w:left="880"/>
    </w:pPr>
    <w:rPr>
      <w:rFonts w:asciiTheme="minorHAnsi" w:eastAsiaTheme="minorEastAsia" w:hAnsiTheme="minorHAnsi" w:cstheme="minorBidi"/>
      <w:color w:val="auto"/>
      <w:sz w:val="22"/>
      <w:szCs w:val="22"/>
      <w:lang w:eastAsia="en-AU"/>
    </w:rPr>
  </w:style>
  <w:style w:type="paragraph" w:styleId="TOC6">
    <w:name w:val="toc 6"/>
    <w:basedOn w:val="Normal"/>
    <w:next w:val="Normal"/>
    <w:autoRedefine/>
    <w:hidden/>
    <w:uiPriority w:val="39"/>
    <w:unhideWhenUsed/>
    <w:rsid w:val="007F28C0"/>
    <w:pPr>
      <w:spacing w:after="100" w:line="276" w:lineRule="auto"/>
      <w:ind w:left="1100"/>
    </w:pPr>
    <w:rPr>
      <w:rFonts w:asciiTheme="minorHAnsi" w:eastAsiaTheme="minorEastAsia" w:hAnsiTheme="minorHAnsi" w:cstheme="minorBidi"/>
      <w:color w:val="auto"/>
      <w:sz w:val="22"/>
      <w:szCs w:val="22"/>
      <w:lang w:eastAsia="en-AU"/>
    </w:rPr>
  </w:style>
  <w:style w:type="paragraph" w:styleId="TOC7">
    <w:name w:val="toc 7"/>
    <w:basedOn w:val="Normal"/>
    <w:next w:val="Normal"/>
    <w:autoRedefine/>
    <w:hidden/>
    <w:uiPriority w:val="39"/>
    <w:unhideWhenUsed/>
    <w:rsid w:val="007F28C0"/>
    <w:pPr>
      <w:spacing w:after="100" w:line="276" w:lineRule="auto"/>
      <w:ind w:left="1320"/>
    </w:pPr>
    <w:rPr>
      <w:rFonts w:asciiTheme="minorHAnsi" w:eastAsiaTheme="minorEastAsia" w:hAnsiTheme="minorHAnsi" w:cstheme="minorBidi"/>
      <w:color w:val="auto"/>
      <w:sz w:val="22"/>
      <w:szCs w:val="22"/>
      <w:lang w:eastAsia="en-AU"/>
    </w:rPr>
  </w:style>
  <w:style w:type="paragraph" w:styleId="TOC8">
    <w:name w:val="toc 8"/>
    <w:basedOn w:val="Normal"/>
    <w:next w:val="Normal"/>
    <w:autoRedefine/>
    <w:hidden/>
    <w:uiPriority w:val="39"/>
    <w:unhideWhenUsed/>
    <w:rsid w:val="007F28C0"/>
    <w:pPr>
      <w:spacing w:after="100" w:line="276" w:lineRule="auto"/>
      <w:ind w:left="1540"/>
    </w:pPr>
    <w:rPr>
      <w:rFonts w:asciiTheme="minorHAnsi" w:eastAsiaTheme="minorEastAsia" w:hAnsiTheme="minorHAnsi" w:cstheme="minorBidi"/>
      <w:color w:val="auto"/>
      <w:sz w:val="22"/>
      <w:szCs w:val="22"/>
      <w:lang w:eastAsia="en-AU"/>
    </w:rPr>
  </w:style>
  <w:style w:type="paragraph" w:styleId="TOC9">
    <w:name w:val="toc 9"/>
    <w:basedOn w:val="Normal"/>
    <w:next w:val="Normal"/>
    <w:autoRedefine/>
    <w:hidden/>
    <w:uiPriority w:val="39"/>
    <w:unhideWhenUsed/>
    <w:rsid w:val="007F28C0"/>
    <w:pPr>
      <w:spacing w:after="100" w:line="276" w:lineRule="auto"/>
      <w:ind w:left="1760"/>
    </w:pPr>
    <w:rPr>
      <w:rFonts w:asciiTheme="minorHAnsi" w:eastAsiaTheme="minorEastAsia" w:hAnsiTheme="minorHAnsi" w:cstheme="minorBidi"/>
      <w:color w:val="auto"/>
      <w:sz w:val="22"/>
      <w:szCs w:val="22"/>
      <w:lang w:eastAsia="en-AU"/>
    </w:rPr>
  </w:style>
  <w:style w:type="paragraph" w:customStyle="1" w:styleId="Tablecolheadfinmiddlenarrow">
    <w:name w:val="Table col head fin middle narrow"/>
    <w:basedOn w:val="Tablecolheadfinbottomnarrow"/>
    <w:link w:val="TablecolheadfinmiddlenarrowChar"/>
    <w:qFormat/>
    <w:rsid w:val="007F28C0"/>
    <w:pPr>
      <w:spacing w:after="0"/>
    </w:pPr>
  </w:style>
  <w:style w:type="character" w:customStyle="1" w:styleId="TablecolheadfinmiddlenarrowChar">
    <w:name w:val="Table col head fin middle narrow Char"/>
    <w:basedOn w:val="TablecolheadfinbottomnarrowChar"/>
    <w:link w:val="Tablecolheadfinmiddlenarrow"/>
    <w:rsid w:val="007F28C0"/>
    <w:rPr>
      <w:rFonts w:ascii="Arial Narrow" w:eastAsia="Times New Roman" w:hAnsi="Arial Narrow" w:cs="Arial"/>
      <w:b w:val="0"/>
      <w:bCs w:val="0"/>
      <w:color w:val="FFFFFF" w:themeColor="background1"/>
      <w:sz w:val="16"/>
      <w:szCs w:val="16"/>
    </w:rPr>
  </w:style>
  <w:style w:type="paragraph" w:customStyle="1" w:styleId="Tablesubheadingitalicnarrow">
    <w:name w:val="Table subheading italic narrow"/>
    <w:basedOn w:val="Tablesubheadingitalic"/>
    <w:link w:val="TablesubheadingitalicnarrowChar"/>
    <w:qFormat/>
    <w:rsid w:val="007F28C0"/>
    <w:pPr>
      <w:spacing w:after="60"/>
    </w:pPr>
    <w:rPr>
      <w:rFonts w:ascii="Arial Narrow" w:hAnsi="Arial Narrow"/>
      <w:sz w:val="16"/>
      <w:szCs w:val="16"/>
    </w:rPr>
  </w:style>
  <w:style w:type="character" w:customStyle="1" w:styleId="TablesubheadingitalicnarrowChar">
    <w:name w:val="Table subheading italic narrow Char"/>
    <w:basedOn w:val="TablesubheadingitalicChar"/>
    <w:link w:val="Tablesubheadingitalicnarrow"/>
    <w:rsid w:val="007F28C0"/>
    <w:rPr>
      <w:rFonts w:ascii="Arial Narrow" w:eastAsia="Times New Roman" w:hAnsi="Arial Narrow" w:cs="Arial"/>
      <w:b/>
      <w:i/>
      <w:snapToGrid w:val="0"/>
      <w:color w:val="000000" w:themeColor="text1"/>
      <w:sz w:val="16"/>
      <w:szCs w:val="16"/>
    </w:rPr>
  </w:style>
  <w:style w:type="paragraph" w:customStyle="1" w:styleId="Tablesubheadingfirstnarrow75pt">
    <w:name w:val="Table subheading first narrow + 7.5 pt"/>
    <w:basedOn w:val="Tablesubheadingfirstnarrow"/>
    <w:uiPriority w:val="99"/>
    <w:rsid w:val="007F28C0"/>
    <w:pPr>
      <w:spacing w:before="120" w:after="60"/>
    </w:pPr>
    <w:rPr>
      <w:bCs/>
      <w:sz w:val="15"/>
    </w:rPr>
  </w:style>
  <w:style w:type="paragraph" w:customStyle="1" w:styleId="Tablesubheadingfirstrownarrow75pt">
    <w:name w:val="Table subheading first row narrow + 7.5 pt"/>
    <w:basedOn w:val="Tablesubheadingfirstrownarrow"/>
    <w:uiPriority w:val="99"/>
    <w:rsid w:val="007F28C0"/>
    <w:pPr>
      <w:spacing w:before="120" w:after="60"/>
    </w:pPr>
    <w:rPr>
      <w:sz w:val="15"/>
    </w:rPr>
  </w:style>
  <w:style w:type="paragraph" w:customStyle="1" w:styleId="Tablecolheadfinbottomnarrow75pt">
    <w:name w:val="Table col head fin bottom narrow + 7.5 pt"/>
    <w:basedOn w:val="Tablecolheadfinbottomnarrow"/>
    <w:uiPriority w:val="99"/>
    <w:rsid w:val="007F28C0"/>
    <w:rPr>
      <w:sz w:val="15"/>
    </w:rPr>
  </w:style>
  <w:style w:type="paragraph" w:customStyle="1" w:styleId="ListBullet20">
    <w:name w:val="List Bullet_2"/>
    <w:basedOn w:val="ListBullet"/>
    <w:uiPriority w:val="99"/>
    <w:qFormat/>
    <w:rsid w:val="002511E8"/>
    <w:pPr>
      <w:numPr>
        <w:numId w:val="22"/>
      </w:numPr>
      <w:tabs>
        <w:tab w:val="clear" w:pos="170"/>
        <w:tab w:val="left" w:pos="284"/>
      </w:tabs>
      <w:ind w:left="426" w:hanging="284"/>
    </w:pPr>
  </w:style>
  <w:style w:type="paragraph" w:customStyle="1" w:styleId="DETHeading2">
    <w:name w:val="DET Heading 2"/>
    <w:basedOn w:val="Heading2"/>
    <w:next w:val="Normal"/>
    <w:link w:val="DETHeading2Char"/>
    <w:qFormat/>
    <w:rsid w:val="00AD2C55"/>
  </w:style>
  <w:style w:type="character" w:customStyle="1" w:styleId="DETHeading2Char">
    <w:name w:val="DET Heading 2 Char"/>
    <w:basedOn w:val="Heading2Char"/>
    <w:link w:val="DETHeading2"/>
    <w:rsid w:val="007F28C0"/>
    <w:rPr>
      <w:rFonts w:ascii="Arial" w:eastAsia="Times New Roman" w:hAnsi="Arial" w:cs="Arial"/>
      <w:bCs/>
      <w:iCs/>
      <w:color w:val="000000" w:themeColor="text1"/>
      <w:sz w:val="28"/>
      <w:szCs w:val="28"/>
    </w:rPr>
  </w:style>
  <w:style w:type="paragraph" w:customStyle="1" w:styleId="Normalaftertabledeepspace">
    <w:name w:val="Normal after table deep space"/>
    <w:basedOn w:val="Normalaftertable"/>
    <w:uiPriority w:val="99"/>
    <w:rsid w:val="007F28C0"/>
    <w:pPr>
      <w:spacing w:before="360"/>
    </w:pPr>
    <w:rPr>
      <w:szCs w:val="20"/>
    </w:rPr>
  </w:style>
  <w:style w:type="paragraph" w:customStyle="1" w:styleId="Heading1notes">
    <w:name w:val="Heading 1 notes"/>
    <w:basedOn w:val="Heading1"/>
    <w:link w:val="Heading1notesChar"/>
    <w:qFormat/>
    <w:rsid w:val="007F28C0"/>
    <w:pPr>
      <w:ind w:left="-2041"/>
    </w:pPr>
  </w:style>
  <w:style w:type="character" w:customStyle="1" w:styleId="Heading1notesChar">
    <w:name w:val="Heading 1 notes Char"/>
    <w:basedOn w:val="Heading1Char"/>
    <w:link w:val="Heading1notes"/>
    <w:rsid w:val="007F28C0"/>
    <w:rPr>
      <w:rFonts w:ascii="Arial" w:eastAsia="Times New Roman" w:hAnsi="Arial" w:cs="Arial"/>
      <w:bCs/>
      <w:color w:val="000000" w:themeColor="text1"/>
      <w:kern w:val="32"/>
      <w:sz w:val="36"/>
      <w:szCs w:val="36"/>
    </w:rPr>
  </w:style>
  <w:style w:type="character" w:styleId="BookTitle">
    <w:name w:val="Book Title"/>
    <w:basedOn w:val="DefaultParagraphFont"/>
    <w:hidden/>
    <w:uiPriority w:val="33"/>
    <w:qFormat/>
    <w:rsid w:val="007F28C0"/>
    <w:rPr>
      <w:b/>
      <w:bCs/>
      <w:smallCaps/>
      <w:spacing w:val="5"/>
    </w:rPr>
  </w:style>
  <w:style w:type="character" w:styleId="PlaceholderText">
    <w:name w:val="Placeholder Text"/>
    <w:basedOn w:val="DefaultParagraphFont"/>
    <w:hidden/>
    <w:uiPriority w:val="99"/>
    <w:semiHidden/>
    <w:rsid w:val="007F28C0"/>
    <w:rPr>
      <w:color w:val="808080"/>
    </w:rPr>
  </w:style>
  <w:style w:type="paragraph" w:customStyle="1" w:styleId="TablecolumnheadingobjectivestablesAchievements">
    <w:name w:val="Table column heading objectives tables Achievements"/>
    <w:basedOn w:val="Tablecolumnheadingobjectivestables"/>
    <w:uiPriority w:val="99"/>
    <w:rsid w:val="007F28C0"/>
    <w:rPr>
      <w:rFonts w:ascii="Arial Narrow" w:hAnsi="Arial Narrow"/>
      <w:bCs w:val="0"/>
    </w:rPr>
  </w:style>
  <w:style w:type="character" w:styleId="Emphasis">
    <w:name w:val="Emphasis"/>
    <w:basedOn w:val="DefaultParagraphFont"/>
    <w:hidden/>
    <w:uiPriority w:val="20"/>
    <w:qFormat/>
    <w:rsid w:val="007F28C0"/>
    <w:rPr>
      <w:i/>
      <w:iCs/>
    </w:rPr>
  </w:style>
  <w:style w:type="character" w:styleId="Strong">
    <w:name w:val="Strong"/>
    <w:basedOn w:val="DefaultParagraphFont"/>
    <w:hidden/>
    <w:uiPriority w:val="22"/>
    <w:qFormat/>
    <w:rsid w:val="007F28C0"/>
    <w:rPr>
      <w:b/>
      <w:bCs/>
    </w:rPr>
  </w:style>
  <w:style w:type="table" w:styleId="TableSimple1">
    <w:name w:val="Table Simple 1"/>
    <w:basedOn w:val="TableNormal"/>
    <w:uiPriority w:val="99"/>
    <w:semiHidden/>
    <w:unhideWhenUsed/>
    <w:rsid w:val="00776C24"/>
    <w:pPr>
      <w:spacing w:after="9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1">
    <w:name w:val="Table Web 1"/>
    <w:basedOn w:val="TableNormal"/>
    <w:uiPriority w:val="99"/>
    <w:semiHidden/>
    <w:unhideWhenUsed/>
    <w:rsid w:val="00776C24"/>
    <w:pPr>
      <w:spacing w:after="9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776C24"/>
    <w:pPr>
      <w:numPr>
        <w:numId w:val="12"/>
      </w:numPr>
    </w:pPr>
  </w:style>
  <w:style w:type="numbering" w:styleId="1ai">
    <w:name w:val="Outline List 1"/>
    <w:basedOn w:val="NoList"/>
    <w:uiPriority w:val="99"/>
    <w:semiHidden/>
    <w:unhideWhenUsed/>
    <w:rsid w:val="00776C24"/>
    <w:pPr>
      <w:numPr>
        <w:numId w:val="13"/>
      </w:numPr>
    </w:pPr>
  </w:style>
  <w:style w:type="character" w:customStyle="1" w:styleId="Heading7Char">
    <w:name w:val="Heading 7 Char"/>
    <w:basedOn w:val="DefaultParagraphFont"/>
    <w:link w:val="Heading7"/>
    <w:uiPriority w:val="9"/>
    <w:semiHidden/>
    <w:rsid w:val="00AD2C5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AD2C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C5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776C24"/>
    <w:pPr>
      <w:numPr>
        <w:numId w:val="14"/>
      </w:numPr>
    </w:pPr>
  </w:style>
  <w:style w:type="paragraph" w:styleId="Bibliography">
    <w:name w:val="Bibliography"/>
    <w:basedOn w:val="Normal"/>
    <w:next w:val="Normal"/>
    <w:uiPriority w:val="37"/>
    <w:semiHidden/>
    <w:unhideWhenUsed/>
    <w:rsid w:val="00776C24"/>
  </w:style>
  <w:style w:type="paragraph" w:styleId="BlockText">
    <w:name w:val="Block Text"/>
    <w:basedOn w:val="Normal"/>
    <w:uiPriority w:val="99"/>
    <w:semiHidden/>
    <w:unhideWhenUsed/>
    <w:rsid w:val="00776C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76C24"/>
    <w:pPr>
      <w:ind w:firstLine="360"/>
      <w:jc w:val="left"/>
    </w:pPr>
    <w:rPr>
      <w:sz w:val="19"/>
      <w:szCs w:val="24"/>
    </w:rPr>
  </w:style>
  <w:style w:type="character" w:customStyle="1" w:styleId="BodyTextFirstIndentChar">
    <w:name w:val="Body Text First Indent Char"/>
    <w:basedOn w:val="BodyTextChar"/>
    <w:link w:val="BodyTextFirstIndent"/>
    <w:uiPriority w:val="99"/>
    <w:semiHidden/>
    <w:rsid w:val="00776C24"/>
    <w:rPr>
      <w:rFonts w:ascii="Arial" w:eastAsia="Times New Roman" w:hAnsi="Arial" w:cs="Times New Roman"/>
      <w:color w:val="000000" w:themeColor="text1"/>
      <w:sz w:val="19"/>
      <w:szCs w:val="24"/>
    </w:rPr>
  </w:style>
  <w:style w:type="paragraph" w:styleId="BodyTextIndent">
    <w:name w:val="Body Text Indent"/>
    <w:basedOn w:val="Normal"/>
    <w:link w:val="BodyTextIndentChar"/>
    <w:hidden/>
    <w:uiPriority w:val="99"/>
    <w:semiHidden/>
    <w:unhideWhenUsed/>
    <w:rsid w:val="00776C24"/>
    <w:pPr>
      <w:spacing w:after="120"/>
      <w:ind w:left="283"/>
    </w:pPr>
  </w:style>
  <w:style w:type="character" w:customStyle="1" w:styleId="BodyTextIndentChar">
    <w:name w:val="Body Text Indent Char"/>
    <w:basedOn w:val="DefaultParagraphFont"/>
    <w:link w:val="BodyTextIndent"/>
    <w:uiPriority w:val="99"/>
    <w:semiHidden/>
    <w:rsid w:val="00776C24"/>
    <w:rPr>
      <w:rFonts w:ascii="Arial" w:eastAsia="Times New Roman" w:hAnsi="Arial" w:cs="Times New Roman"/>
      <w:color w:val="000000" w:themeColor="text1"/>
      <w:sz w:val="19"/>
      <w:szCs w:val="24"/>
    </w:rPr>
  </w:style>
  <w:style w:type="paragraph" w:styleId="Closing">
    <w:name w:val="Closing"/>
    <w:basedOn w:val="Normal"/>
    <w:link w:val="ClosingChar"/>
    <w:uiPriority w:val="99"/>
    <w:semiHidden/>
    <w:unhideWhenUsed/>
    <w:rsid w:val="00776C24"/>
    <w:pPr>
      <w:spacing w:after="0" w:line="240" w:lineRule="auto"/>
      <w:ind w:left="4252"/>
    </w:pPr>
  </w:style>
  <w:style w:type="character" w:customStyle="1" w:styleId="ClosingChar">
    <w:name w:val="Closing Char"/>
    <w:basedOn w:val="DefaultParagraphFont"/>
    <w:link w:val="Closing"/>
    <w:uiPriority w:val="99"/>
    <w:semiHidden/>
    <w:rsid w:val="00776C24"/>
    <w:rPr>
      <w:rFonts w:ascii="Arial" w:eastAsia="Times New Roman" w:hAnsi="Arial" w:cs="Times New Roman"/>
      <w:color w:val="000000" w:themeColor="text1"/>
      <w:sz w:val="19"/>
      <w:szCs w:val="24"/>
    </w:rPr>
  </w:style>
  <w:style w:type="table" w:styleId="ColorfulGrid">
    <w:name w:val="Colorful Grid"/>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76C2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76C2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76C2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76C2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76C2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76C2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76C2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76C2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76C2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76C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76C2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76C2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76C2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76C2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76C2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76C2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76C2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76C2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76C24"/>
  </w:style>
  <w:style w:type="character" w:customStyle="1" w:styleId="DateChar">
    <w:name w:val="Date Char"/>
    <w:basedOn w:val="DefaultParagraphFont"/>
    <w:link w:val="Date"/>
    <w:uiPriority w:val="99"/>
    <w:semiHidden/>
    <w:rsid w:val="00776C24"/>
    <w:rPr>
      <w:rFonts w:ascii="Arial" w:eastAsia="Times New Roman" w:hAnsi="Arial" w:cs="Times New Roman"/>
      <w:color w:val="000000" w:themeColor="text1"/>
      <w:sz w:val="19"/>
      <w:szCs w:val="24"/>
    </w:rPr>
  </w:style>
  <w:style w:type="paragraph" w:styleId="EnvelopeReturn">
    <w:name w:val="envelope return"/>
    <w:basedOn w:val="Normal"/>
    <w:uiPriority w:val="99"/>
    <w:semiHidden/>
    <w:unhideWhenUsed/>
    <w:rsid w:val="00776C2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8284A"/>
    <w:rPr>
      <w:color w:val="auto"/>
      <w:u w:val="none"/>
    </w:rPr>
  </w:style>
  <w:style w:type="character" w:styleId="HTMLDefinition">
    <w:name w:val="HTML Definition"/>
    <w:basedOn w:val="DefaultParagraphFont"/>
    <w:uiPriority w:val="99"/>
    <w:semiHidden/>
    <w:unhideWhenUsed/>
    <w:rsid w:val="00776C24"/>
    <w:rPr>
      <w:i/>
      <w:iCs/>
    </w:rPr>
  </w:style>
  <w:style w:type="character" w:styleId="HTMLKeyboard">
    <w:name w:val="HTML Keyboard"/>
    <w:basedOn w:val="DefaultParagraphFont"/>
    <w:uiPriority w:val="99"/>
    <w:semiHidden/>
    <w:unhideWhenUsed/>
    <w:rsid w:val="00776C24"/>
    <w:rPr>
      <w:rFonts w:ascii="Consolas" w:hAnsi="Consolas" w:cs="Consolas"/>
      <w:sz w:val="20"/>
      <w:szCs w:val="20"/>
    </w:rPr>
  </w:style>
  <w:style w:type="paragraph" w:styleId="HTMLPreformatted">
    <w:name w:val="HTML Preformatted"/>
    <w:basedOn w:val="Normal"/>
    <w:link w:val="HTMLPreformattedChar"/>
    <w:uiPriority w:val="99"/>
    <w:semiHidden/>
    <w:unhideWhenUsed/>
    <w:rsid w:val="00776C2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6C24"/>
    <w:rPr>
      <w:rFonts w:ascii="Consolas" w:eastAsia="Times New Roman" w:hAnsi="Consolas" w:cs="Consolas"/>
      <w:color w:val="000000" w:themeColor="text1"/>
      <w:sz w:val="20"/>
      <w:szCs w:val="20"/>
    </w:rPr>
  </w:style>
  <w:style w:type="character" w:styleId="HTMLSample">
    <w:name w:val="HTML Sample"/>
    <w:basedOn w:val="DefaultParagraphFont"/>
    <w:uiPriority w:val="99"/>
    <w:semiHidden/>
    <w:unhideWhenUsed/>
    <w:rsid w:val="00776C24"/>
    <w:rPr>
      <w:rFonts w:ascii="Consolas" w:hAnsi="Consolas" w:cs="Consolas"/>
      <w:sz w:val="24"/>
      <w:szCs w:val="24"/>
    </w:rPr>
  </w:style>
  <w:style w:type="character" w:styleId="HTMLTypewriter">
    <w:name w:val="HTML Typewriter"/>
    <w:basedOn w:val="DefaultParagraphFont"/>
    <w:uiPriority w:val="99"/>
    <w:semiHidden/>
    <w:unhideWhenUsed/>
    <w:rsid w:val="00776C24"/>
    <w:rPr>
      <w:rFonts w:ascii="Consolas" w:hAnsi="Consolas" w:cs="Consolas"/>
      <w:sz w:val="20"/>
      <w:szCs w:val="20"/>
    </w:rPr>
  </w:style>
  <w:style w:type="character" w:styleId="HTMLVariable">
    <w:name w:val="HTML Variable"/>
    <w:basedOn w:val="DefaultParagraphFont"/>
    <w:uiPriority w:val="99"/>
    <w:semiHidden/>
    <w:unhideWhenUsed/>
    <w:rsid w:val="00776C24"/>
    <w:rPr>
      <w:i/>
      <w:iCs/>
    </w:rPr>
  </w:style>
  <w:style w:type="paragraph" w:styleId="Index1">
    <w:name w:val="index 1"/>
    <w:basedOn w:val="Normal"/>
    <w:next w:val="Normal"/>
    <w:autoRedefine/>
    <w:uiPriority w:val="99"/>
    <w:semiHidden/>
    <w:unhideWhenUsed/>
    <w:rsid w:val="00776C24"/>
    <w:pPr>
      <w:spacing w:after="0" w:line="240" w:lineRule="auto"/>
      <w:ind w:left="190" w:hanging="190"/>
    </w:pPr>
  </w:style>
  <w:style w:type="paragraph" w:styleId="Index2">
    <w:name w:val="index 2"/>
    <w:basedOn w:val="Normal"/>
    <w:next w:val="Normal"/>
    <w:autoRedefine/>
    <w:uiPriority w:val="99"/>
    <w:semiHidden/>
    <w:unhideWhenUsed/>
    <w:rsid w:val="00776C24"/>
    <w:pPr>
      <w:spacing w:after="0" w:line="240" w:lineRule="auto"/>
      <w:ind w:left="380" w:hanging="190"/>
    </w:pPr>
  </w:style>
  <w:style w:type="paragraph" w:styleId="Index3">
    <w:name w:val="index 3"/>
    <w:basedOn w:val="Normal"/>
    <w:next w:val="Normal"/>
    <w:autoRedefine/>
    <w:uiPriority w:val="99"/>
    <w:semiHidden/>
    <w:unhideWhenUsed/>
    <w:rsid w:val="00776C24"/>
    <w:pPr>
      <w:spacing w:after="0" w:line="240" w:lineRule="auto"/>
      <w:ind w:left="570" w:hanging="190"/>
    </w:pPr>
  </w:style>
  <w:style w:type="paragraph" w:styleId="Index4">
    <w:name w:val="index 4"/>
    <w:basedOn w:val="Normal"/>
    <w:next w:val="Normal"/>
    <w:autoRedefine/>
    <w:uiPriority w:val="99"/>
    <w:semiHidden/>
    <w:unhideWhenUsed/>
    <w:rsid w:val="00776C24"/>
    <w:pPr>
      <w:spacing w:after="0" w:line="240" w:lineRule="auto"/>
      <w:ind w:left="760" w:hanging="190"/>
    </w:pPr>
  </w:style>
  <w:style w:type="paragraph" w:styleId="Index5">
    <w:name w:val="index 5"/>
    <w:basedOn w:val="Normal"/>
    <w:next w:val="Normal"/>
    <w:autoRedefine/>
    <w:uiPriority w:val="99"/>
    <w:semiHidden/>
    <w:unhideWhenUsed/>
    <w:rsid w:val="00776C24"/>
    <w:pPr>
      <w:spacing w:after="0" w:line="240" w:lineRule="auto"/>
      <w:ind w:left="950" w:hanging="190"/>
    </w:pPr>
  </w:style>
  <w:style w:type="paragraph" w:styleId="Index6">
    <w:name w:val="index 6"/>
    <w:basedOn w:val="Normal"/>
    <w:next w:val="Normal"/>
    <w:autoRedefine/>
    <w:uiPriority w:val="99"/>
    <w:semiHidden/>
    <w:unhideWhenUsed/>
    <w:rsid w:val="00776C24"/>
    <w:pPr>
      <w:spacing w:after="0" w:line="240" w:lineRule="auto"/>
      <w:ind w:left="1140" w:hanging="190"/>
    </w:pPr>
  </w:style>
  <w:style w:type="paragraph" w:styleId="Index7">
    <w:name w:val="index 7"/>
    <w:basedOn w:val="Normal"/>
    <w:next w:val="Normal"/>
    <w:autoRedefine/>
    <w:uiPriority w:val="99"/>
    <w:semiHidden/>
    <w:unhideWhenUsed/>
    <w:rsid w:val="00776C24"/>
    <w:pPr>
      <w:spacing w:after="0" w:line="240" w:lineRule="auto"/>
      <w:ind w:left="1330" w:hanging="190"/>
    </w:pPr>
  </w:style>
  <w:style w:type="paragraph" w:styleId="Index8">
    <w:name w:val="index 8"/>
    <w:basedOn w:val="Normal"/>
    <w:next w:val="Normal"/>
    <w:autoRedefine/>
    <w:uiPriority w:val="99"/>
    <w:semiHidden/>
    <w:unhideWhenUsed/>
    <w:rsid w:val="00776C24"/>
    <w:pPr>
      <w:spacing w:after="0" w:line="240" w:lineRule="auto"/>
      <w:ind w:left="1520" w:hanging="190"/>
    </w:pPr>
  </w:style>
  <w:style w:type="paragraph" w:styleId="Index9">
    <w:name w:val="index 9"/>
    <w:basedOn w:val="Normal"/>
    <w:next w:val="Normal"/>
    <w:autoRedefine/>
    <w:uiPriority w:val="99"/>
    <w:semiHidden/>
    <w:unhideWhenUsed/>
    <w:rsid w:val="00776C24"/>
    <w:pPr>
      <w:spacing w:after="0" w:line="240" w:lineRule="auto"/>
      <w:ind w:left="1710" w:hanging="190"/>
    </w:pPr>
  </w:style>
  <w:style w:type="paragraph" w:styleId="IndexHeading">
    <w:name w:val="index heading"/>
    <w:basedOn w:val="Normal"/>
    <w:next w:val="Index1"/>
    <w:uiPriority w:val="99"/>
    <w:semiHidden/>
    <w:unhideWhenUsed/>
    <w:rsid w:val="00776C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C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6C24"/>
    <w:rPr>
      <w:rFonts w:ascii="Arial" w:eastAsia="Times New Roman" w:hAnsi="Arial" w:cs="Times New Roman"/>
      <w:b/>
      <w:bCs/>
      <w:i/>
      <w:iCs/>
      <w:color w:val="4F81BD" w:themeColor="accent1"/>
      <w:sz w:val="19"/>
      <w:szCs w:val="24"/>
    </w:rPr>
  </w:style>
  <w:style w:type="table" w:styleId="LightGrid">
    <w:name w:val="Light Grid"/>
    <w:basedOn w:val="TableNormal"/>
    <w:uiPriority w:val="62"/>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76C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6C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6C2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6C2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6C2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6C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76C2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76C24"/>
  </w:style>
  <w:style w:type="paragraph" w:styleId="List">
    <w:name w:val="List"/>
    <w:basedOn w:val="Normal"/>
    <w:uiPriority w:val="99"/>
    <w:unhideWhenUsed/>
    <w:rsid w:val="00776C24"/>
    <w:pPr>
      <w:ind w:left="283" w:hanging="283"/>
      <w:contextualSpacing/>
    </w:pPr>
  </w:style>
  <w:style w:type="paragraph" w:styleId="List2">
    <w:name w:val="List 2"/>
    <w:basedOn w:val="Normal"/>
    <w:uiPriority w:val="99"/>
    <w:semiHidden/>
    <w:unhideWhenUsed/>
    <w:rsid w:val="00776C24"/>
    <w:pPr>
      <w:ind w:left="566" w:hanging="283"/>
      <w:contextualSpacing/>
    </w:pPr>
  </w:style>
  <w:style w:type="paragraph" w:styleId="List3">
    <w:name w:val="List 3"/>
    <w:basedOn w:val="Normal"/>
    <w:uiPriority w:val="99"/>
    <w:semiHidden/>
    <w:unhideWhenUsed/>
    <w:rsid w:val="00776C24"/>
    <w:pPr>
      <w:ind w:left="849" w:hanging="283"/>
      <w:contextualSpacing/>
    </w:pPr>
  </w:style>
  <w:style w:type="paragraph" w:styleId="List4">
    <w:name w:val="List 4"/>
    <w:basedOn w:val="Normal"/>
    <w:uiPriority w:val="99"/>
    <w:semiHidden/>
    <w:unhideWhenUsed/>
    <w:rsid w:val="00776C24"/>
    <w:pPr>
      <w:ind w:left="1132" w:hanging="283"/>
      <w:contextualSpacing/>
    </w:pPr>
  </w:style>
  <w:style w:type="paragraph" w:styleId="List5">
    <w:name w:val="List 5"/>
    <w:basedOn w:val="Normal"/>
    <w:uiPriority w:val="99"/>
    <w:semiHidden/>
    <w:unhideWhenUsed/>
    <w:rsid w:val="00776C24"/>
    <w:pPr>
      <w:ind w:left="1415" w:hanging="283"/>
      <w:contextualSpacing/>
    </w:pPr>
  </w:style>
  <w:style w:type="paragraph" w:styleId="ListBullet3">
    <w:name w:val="List Bullet 3"/>
    <w:basedOn w:val="Normal"/>
    <w:uiPriority w:val="99"/>
    <w:semiHidden/>
    <w:unhideWhenUsed/>
    <w:rsid w:val="00776C24"/>
    <w:pPr>
      <w:numPr>
        <w:numId w:val="2"/>
      </w:numPr>
      <w:contextualSpacing/>
    </w:pPr>
  </w:style>
  <w:style w:type="paragraph" w:styleId="ListBullet4">
    <w:name w:val="List Bullet 4"/>
    <w:basedOn w:val="Normal"/>
    <w:uiPriority w:val="99"/>
    <w:semiHidden/>
    <w:unhideWhenUsed/>
    <w:rsid w:val="00776C24"/>
    <w:pPr>
      <w:numPr>
        <w:numId w:val="3"/>
      </w:numPr>
      <w:contextualSpacing/>
    </w:pPr>
  </w:style>
  <w:style w:type="paragraph" w:styleId="ListBullet5">
    <w:name w:val="List Bullet 5"/>
    <w:basedOn w:val="Normal"/>
    <w:uiPriority w:val="99"/>
    <w:semiHidden/>
    <w:unhideWhenUsed/>
    <w:rsid w:val="00776C24"/>
    <w:pPr>
      <w:numPr>
        <w:numId w:val="4"/>
      </w:numPr>
      <w:contextualSpacing/>
    </w:pPr>
  </w:style>
  <w:style w:type="paragraph" w:styleId="ListContinue">
    <w:name w:val="List Continue"/>
    <w:basedOn w:val="Normal"/>
    <w:uiPriority w:val="99"/>
    <w:unhideWhenUsed/>
    <w:rsid w:val="00776C24"/>
    <w:pPr>
      <w:spacing w:after="120"/>
      <w:ind w:left="283"/>
      <w:contextualSpacing/>
    </w:pPr>
  </w:style>
  <w:style w:type="paragraph" w:styleId="ListContinue2">
    <w:name w:val="List Continue 2"/>
    <w:basedOn w:val="Normal"/>
    <w:uiPriority w:val="99"/>
    <w:semiHidden/>
    <w:unhideWhenUsed/>
    <w:rsid w:val="00776C24"/>
    <w:pPr>
      <w:spacing w:after="120"/>
      <w:ind w:left="566"/>
      <w:contextualSpacing/>
    </w:pPr>
  </w:style>
  <w:style w:type="paragraph" w:styleId="ListContinue3">
    <w:name w:val="List Continue 3"/>
    <w:basedOn w:val="Normal"/>
    <w:uiPriority w:val="99"/>
    <w:semiHidden/>
    <w:unhideWhenUsed/>
    <w:rsid w:val="00776C24"/>
    <w:pPr>
      <w:spacing w:after="120"/>
      <w:ind w:left="849"/>
      <w:contextualSpacing/>
    </w:pPr>
  </w:style>
  <w:style w:type="paragraph" w:styleId="ListContinue4">
    <w:name w:val="List Continue 4"/>
    <w:basedOn w:val="Normal"/>
    <w:uiPriority w:val="99"/>
    <w:semiHidden/>
    <w:unhideWhenUsed/>
    <w:rsid w:val="00776C24"/>
    <w:pPr>
      <w:spacing w:after="120"/>
      <w:ind w:left="1132"/>
      <w:contextualSpacing/>
    </w:pPr>
  </w:style>
  <w:style w:type="paragraph" w:styleId="ListContinue5">
    <w:name w:val="List Continue 5"/>
    <w:basedOn w:val="Normal"/>
    <w:uiPriority w:val="99"/>
    <w:semiHidden/>
    <w:unhideWhenUsed/>
    <w:rsid w:val="00776C24"/>
    <w:pPr>
      <w:spacing w:after="120"/>
      <w:ind w:left="1415"/>
      <w:contextualSpacing/>
    </w:pPr>
  </w:style>
  <w:style w:type="paragraph" w:styleId="ListNumber">
    <w:name w:val="List Number"/>
    <w:basedOn w:val="Normal"/>
    <w:uiPriority w:val="99"/>
    <w:unhideWhenUsed/>
    <w:rsid w:val="00776C24"/>
    <w:pPr>
      <w:numPr>
        <w:numId w:val="5"/>
      </w:numPr>
      <w:contextualSpacing/>
    </w:pPr>
  </w:style>
  <w:style w:type="paragraph" w:styleId="ListNumber2">
    <w:name w:val="List Number 2"/>
    <w:basedOn w:val="Normal"/>
    <w:uiPriority w:val="99"/>
    <w:semiHidden/>
    <w:unhideWhenUsed/>
    <w:rsid w:val="00776C24"/>
    <w:pPr>
      <w:numPr>
        <w:numId w:val="6"/>
      </w:numPr>
      <w:contextualSpacing/>
    </w:pPr>
  </w:style>
  <w:style w:type="paragraph" w:styleId="ListNumber3">
    <w:name w:val="List Number 3"/>
    <w:basedOn w:val="Normal"/>
    <w:uiPriority w:val="99"/>
    <w:semiHidden/>
    <w:unhideWhenUsed/>
    <w:rsid w:val="00776C24"/>
    <w:pPr>
      <w:numPr>
        <w:numId w:val="7"/>
      </w:numPr>
      <w:contextualSpacing/>
    </w:pPr>
  </w:style>
  <w:style w:type="paragraph" w:styleId="ListNumber4">
    <w:name w:val="List Number 4"/>
    <w:basedOn w:val="Normal"/>
    <w:uiPriority w:val="99"/>
    <w:semiHidden/>
    <w:unhideWhenUsed/>
    <w:rsid w:val="00776C24"/>
    <w:pPr>
      <w:numPr>
        <w:numId w:val="8"/>
      </w:numPr>
      <w:contextualSpacing/>
    </w:pPr>
  </w:style>
  <w:style w:type="paragraph" w:styleId="ListNumber5">
    <w:name w:val="List Number 5"/>
    <w:basedOn w:val="Normal"/>
    <w:uiPriority w:val="99"/>
    <w:semiHidden/>
    <w:unhideWhenUsed/>
    <w:rsid w:val="00776C24"/>
    <w:pPr>
      <w:numPr>
        <w:numId w:val="9"/>
      </w:numPr>
      <w:contextualSpacing/>
    </w:pPr>
  </w:style>
  <w:style w:type="paragraph" w:styleId="MacroText">
    <w:name w:val="macro"/>
    <w:link w:val="MacroTextChar"/>
    <w:uiPriority w:val="99"/>
    <w:unhideWhenUsed/>
    <w:rsid w:val="00776C2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nsolas" w:eastAsia="Times New Roman" w:hAnsi="Consolas" w:cs="Consolas"/>
      <w:color w:val="000000" w:themeColor="text1"/>
      <w:sz w:val="20"/>
      <w:szCs w:val="20"/>
    </w:rPr>
  </w:style>
  <w:style w:type="character" w:customStyle="1" w:styleId="MacroTextChar">
    <w:name w:val="Macro Text Char"/>
    <w:basedOn w:val="DefaultParagraphFont"/>
    <w:link w:val="MacroText"/>
    <w:uiPriority w:val="99"/>
    <w:rsid w:val="00776C24"/>
    <w:rPr>
      <w:rFonts w:ascii="Consolas" w:eastAsia="Times New Roman" w:hAnsi="Consolas" w:cs="Consolas"/>
      <w:color w:val="000000" w:themeColor="text1"/>
      <w:sz w:val="20"/>
      <w:szCs w:val="20"/>
    </w:rPr>
  </w:style>
  <w:style w:type="table" w:styleId="MediumGrid1">
    <w:name w:val="Medium Grid 1"/>
    <w:basedOn w:val="TableNormal"/>
    <w:uiPriority w:val="67"/>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76C2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76C2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76C2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76C2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76C2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76C2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76C2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76C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76C24"/>
    <w:rPr>
      <w:rFonts w:asciiTheme="majorHAnsi" w:eastAsiaTheme="majorEastAsia" w:hAnsiTheme="majorHAnsi" w:cstheme="majorBidi"/>
      <w:color w:val="000000" w:themeColor="text1"/>
      <w:sz w:val="24"/>
      <w:szCs w:val="24"/>
      <w:shd w:val="pct20" w:color="auto" w:fill="auto"/>
    </w:rPr>
  </w:style>
  <w:style w:type="paragraph" w:styleId="NormalIndent">
    <w:name w:val="Normal Indent"/>
    <w:basedOn w:val="Normal"/>
    <w:uiPriority w:val="99"/>
    <w:unhideWhenUsed/>
    <w:rsid w:val="00776C24"/>
    <w:pPr>
      <w:ind w:left="720"/>
    </w:pPr>
  </w:style>
  <w:style w:type="paragraph" w:styleId="NoteHeading">
    <w:name w:val="Note Heading"/>
    <w:basedOn w:val="Normal"/>
    <w:next w:val="Normal"/>
    <w:link w:val="NoteHeadingChar"/>
    <w:uiPriority w:val="99"/>
    <w:semiHidden/>
    <w:unhideWhenUsed/>
    <w:rsid w:val="00776C24"/>
    <w:pPr>
      <w:spacing w:after="0" w:line="240" w:lineRule="auto"/>
    </w:pPr>
  </w:style>
  <w:style w:type="character" w:customStyle="1" w:styleId="NoteHeadingChar">
    <w:name w:val="Note Heading Char"/>
    <w:basedOn w:val="DefaultParagraphFont"/>
    <w:link w:val="NoteHeading"/>
    <w:uiPriority w:val="99"/>
    <w:semiHidden/>
    <w:rsid w:val="00776C24"/>
    <w:rPr>
      <w:rFonts w:ascii="Arial" w:eastAsia="Times New Roman" w:hAnsi="Arial" w:cs="Times New Roman"/>
      <w:color w:val="000000" w:themeColor="text1"/>
      <w:sz w:val="19"/>
      <w:szCs w:val="24"/>
    </w:rPr>
  </w:style>
  <w:style w:type="character" w:customStyle="1" w:styleId="SignatureChar">
    <w:name w:val="Signature Char"/>
    <w:basedOn w:val="DefaultParagraphFont"/>
    <w:link w:val="Signature"/>
    <w:uiPriority w:val="99"/>
    <w:semiHidden/>
    <w:rsid w:val="00776C24"/>
    <w:rPr>
      <w:rFonts w:ascii="Arial" w:eastAsia="Times New Roman" w:hAnsi="Arial" w:cs="Times New Roman"/>
      <w:color w:val="000000" w:themeColor="text1"/>
      <w:sz w:val="19"/>
      <w:szCs w:val="24"/>
    </w:rPr>
  </w:style>
  <w:style w:type="table" w:styleId="Table3Deffects1">
    <w:name w:val="Table 3D effects 1"/>
    <w:basedOn w:val="TableNormal"/>
    <w:uiPriority w:val="99"/>
    <w:semiHidden/>
    <w:unhideWhenUsed/>
    <w:rsid w:val="00776C24"/>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6C24"/>
    <w:pPr>
      <w:spacing w:after="9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6C24"/>
    <w:pPr>
      <w:spacing w:after="9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6C24"/>
    <w:pPr>
      <w:spacing w:after="9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6C24"/>
    <w:pPr>
      <w:spacing w:after="9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6C24"/>
    <w:pPr>
      <w:spacing w:after="9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6C24"/>
    <w:pPr>
      <w:spacing w:after="9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6C24"/>
    <w:pPr>
      <w:spacing w:after="9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776C24"/>
    <w:pPr>
      <w:spacing w:after="9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6C24"/>
    <w:pPr>
      <w:spacing w:after="9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6C24"/>
    <w:pPr>
      <w:spacing w:after="9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6C24"/>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6C24"/>
    <w:pPr>
      <w:spacing w:after="9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6C24"/>
    <w:pPr>
      <w:spacing w:after="9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6C24"/>
    <w:pPr>
      <w:spacing w:after="9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6C24"/>
    <w:pPr>
      <w:spacing w:after="9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6C24"/>
    <w:pPr>
      <w:spacing w:after="9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6C24"/>
    <w:pPr>
      <w:spacing w:after="9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6C24"/>
    <w:pPr>
      <w:spacing w:after="9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6C24"/>
    <w:pPr>
      <w:spacing w:after="9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6C24"/>
    <w:pPr>
      <w:spacing w:after="0"/>
      <w:ind w:left="190" w:hanging="190"/>
    </w:pPr>
  </w:style>
  <w:style w:type="paragraph" w:styleId="TableofFigures">
    <w:name w:val="table of figures"/>
    <w:basedOn w:val="Normal"/>
    <w:next w:val="Normal"/>
    <w:link w:val="TableofFiguresChar"/>
    <w:unhideWhenUsed/>
    <w:qFormat/>
    <w:rsid w:val="00776C24"/>
    <w:pPr>
      <w:spacing w:after="0"/>
    </w:pPr>
  </w:style>
  <w:style w:type="table" w:styleId="TableProfessional">
    <w:name w:val="Table Professional"/>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76C24"/>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6C24"/>
    <w:pPr>
      <w:spacing w:after="9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6C24"/>
    <w:pPr>
      <w:spacing w:after="9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6C24"/>
    <w:pPr>
      <w:spacing w:after="9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6C24"/>
    <w:pPr>
      <w:spacing w:after="9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76C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C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76C2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76C24"/>
    <w:pPr>
      <w:keepLines/>
      <w:pageBreakBefore w:val="0"/>
      <w:spacing w:before="480" w:after="0" w:line="220" w:lineRule="atLeast"/>
      <w:outlineLvl w:val="9"/>
    </w:pPr>
    <w:rPr>
      <w:rFonts w:asciiTheme="majorHAnsi" w:eastAsiaTheme="majorEastAsia" w:hAnsiTheme="majorHAnsi" w:cstheme="majorBidi"/>
      <w:b/>
      <w:color w:val="365F91" w:themeColor="accent1" w:themeShade="BF"/>
      <w:kern w:val="0"/>
      <w:sz w:val="28"/>
      <w:szCs w:val="28"/>
    </w:rPr>
  </w:style>
  <w:style w:type="paragraph" w:customStyle="1" w:styleId="Tablerowheadingtopoutputstables">
    <w:name w:val="Table row heading top outputs tables"/>
    <w:basedOn w:val="DETTablerowheadingoutputstables"/>
    <w:uiPriority w:val="99"/>
    <w:qFormat/>
    <w:rsid w:val="00903144"/>
    <w:pPr>
      <w:jc w:val="center"/>
    </w:pPr>
  </w:style>
  <w:style w:type="numbering" w:customStyle="1" w:styleId="1111111">
    <w:name w:val="1 / 1.1 / 1.1.11"/>
    <w:basedOn w:val="NoList"/>
    <w:next w:val="111111"/>
    <w:uiPriority w:val="99"/>
    <w:unhideWhenUsed/>
    <w:rsid w:val="00903144"/>
    <w:pPr>
      <w:numPr>
        <w:numId w:val="16"/>
      </w:numPr>
    </w:pPr>
  </w:style>
  <w:style w:type="numbering" w:customStyle="1" w:styleId="1ai1">
    <w:name w:val="1 / a / i1"/>
    <w:basedOn w:val="NoList"/>
    <w:next w:val="1ai"/>
    <w:uiPriority w:val="99"/>
    <w:unhideWhenUsed/>
    <w:rsid w:val="00903144"/>
    <w:pPr>
      <w:numPr>
        <w:numId w:val="17"/>
      </w:numPr>
    </w:pPr>
  </w:style>
  <w:style w:type="numbering" w:customStyle="1" w:styleId="ArticleSection1">
    <w:name w:val="Article / Section1"/>
    <w:basedOn w:val="NoList"/>
    <w:next w:val="ArticleSection"/>
    <w:uiPriority w:val="99"/>
    <w:unhideWhenUsed/>
    <w:rsid w:val="00903144"/>
    <w:pPr>
      <w:numPr>
        <w:numId w:val="18"/>
      </w:numPr>
    </w:pPr>
  </w:style>
  <w:style w:type="paragraph" w:customStyle="1" w:styleId="Tabletextnoindent">
    <w:name w:val="Table text no indent"/>
    <w:basedOn w:val="Tabletext"/>
    <w:uiPriority w:val="99"/>
    <w:qFormat/>
    <w:rsid w:val="00EE64D7"/>
    <w:rPr>
      <w:color w:val="auto"/>
    </w:rPr>
  </w:style>
  <w:style w:type="character" w:customStyle="1" w:styleId="TableofFiguresChar">
    <w:name w:val="Table of Figures Char"/>
    <w:link w:val="TableofFigures"/>
    <w:rsid w:val="005E77C8"/>
    <w:rPr>
      <w:rFonts w:ascii="Arial" w:eastAsia="Times New Roman" w:hAnsi="Arial" w:cs="Times New Roman"/>
      <w:color w:val="000000" w:themeColor="text1"/>
      <w:sz w:val="19"/>
      <w:szCs w:val="24"/>
    </w:rPr>
  </w:style>
  <w:style w:type="paragraph" w:customStyle="1" w:styleId="DETHeading2appendicesnumbered">
    <w:name w:val="DET Heading 2 appendices numbered"/>
    <w:basedOn w:val="Heading2notes"/>
    <w:qFormat/>
    <w:rsid w:val="00497F31"/>
    <w:pPr>
      <w:numPr>
        <w:numId w:val="19"/>
      </w:numPr>
      <w:tabs>
        <w:tab w:val="clear" w:pos="1134"/>
        <w:tab w:val="left" w:pos="1701"/>
      </w:tabs>
    </w:pPr>
  </w:style>
  <w:style w:type="paragraph" w:customStyle="1" w:styleId="Tablebullet">
    <w:name w:val="Table bullet"/>
    <w:basedOn w:val="Normal"/>
    <w:uiPriority w:val="9"/>
    <w:qFormat/>
    <w:rsid w:val="00B70B34"/>
    <w:pPr>
      <w:widowControl w:val="0"/>
      <w:numPr>
        <w:numId w:val="20"/>
      </w:numPr>
      <w:tabs>
        <w:tab w:val="left" w:pos="113"/>
        <w:tab w:val="left" w:pos="284"/>
      </w:tabs>
      <w:autoSpaceDE w:val="0"/>
      <w:autoSpaceDN w:val="0"/>
      <w:adjustRightInd w:val="0"/>
      <w:spacing w:before="80" w:after="80" w:line="240" w:lineRule="auto"/>
    </w:pPr>
    <w:rPr>
      <w:rFonts w:eastAsia="Arial" w:cs="Arial"/>
      <w:color w:val="auto"/>
      <w:sz w:val="17"/>
      <w:szCs w:val="18"/>
      <w:lang w:eastAsia="en-AU"/>
    </w:rPr>
  </w:style>
  <w:style w:type="paragraph" w:customStyle="1" w:styleId="ToCome">
    <w:name w:val="ToCome"/>
    <w:basedOn w:val="Normal"/>
    <w:uiPriority w:val="99"/>
    <w:qFormat/>
    <w:rsid w:val="006E11B2"/>
    <w:rPr>
      <w:b/>
      <w:color w:val="FF0000"/>
    </w:rPr>
  </w:style>
  <w:style w:type="paragraph" w:customStyle="1" w:styleId="Tabletextheadingleft">
    <w:name w:val="Table text heading left"/>
    <w:basedOn w:val="Normal"/>
    <w:uiPriority w:val="99"/>
    <w:rsid w:val="004E6984"/>
    <w:pPr>
      <w:spacing w:after="0" w:line="240" w:lineRule="auto"/>
    </w:pPr>
    <w:rPr>
      <w:rFonts w:ascii="Calibri" w:hAnsi="Calibri"/>
      <w:i/>
      <w:sz w:val="20"/>
      <w:szCs w:val="18"/>
    </w:rPr>
  </w:style>
  <w:style w:type="paragraph" w:customStyle="1" w:styleId="DETFootnoteTextforobjectivestablesOHStable">
    <w:name w:val="DET Footnote Text for objectives tables &amp; OHS table"/>
    <w:basedOn w:val="Normal"/>
    <w:next w:val="Normal"/>
    <w:link w:val="DETFootnoteTextforobjectivestablesOHStableChar"/>
    <w:qFormat/>
    <w:rsid w:val="00B51AB3"/>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DETFootnoteTextforobjectivestablesOHStableChar">
    <w:name w:val="DET Footnote Text for objectives tables &amp; OHS table Char"/>
    <w:basedOn w:val="DefaultParagraphFont"/>
    <w:link w:val="DETFootnoteTextforobjectivestablesOHStable"/>
    <w:rsid w:val="00063662"/>
    <w:rPr>
      <w:rFonts w:ascii="Arial Narrow" w:eastAsia="Times New Roman" w:hAnsi="Arial Narrow" w:cs="Arial"/>
      <w:color w:val="000000" w:themeColor="text1"/>
      <w:sz w:val="15"/>
      <w:szCs w:val="16"/>
    </w:rPr>
  </w:style>
  <w:style w:type="paragraph" w:customStyle="1" w:styleId="Heading3notes">
    <w:name w:val="Heading 3 notes"/>
    <w:basedOn w:val="Heading3"/>
    <w:link w:val="Heading3notesChar"/>
    <w:qFormat/>
    <w:rsid w:val="004E6984"/>
    <w:pPr>
      <w:ind w:left="340" w:hanging="340"/>
    </w:pPr>
    <w:rPr>
      <w:lang w:eastAsia="en-AU"/>
    </w:rPr>
  </w:style>
  <w:style w:type="character" w:customStyle="1" w:styleId="Heading3notesChar">
    <w:name w:val="Heading 3 notes Char"/>
    <w:basedOn w:val="Heading3Char"/>
    <w:link w:val="Heading3notes"/>
    <w:rsid w:val="004E6984"/>
    <w:rPr>
      <w:rFonts w:ascii="Arial" w:eastAsia="Times New Roman" w:hAnsi="Arial" w:cs="Arial"/>
      <w:bCs/>
      <w:color w:val="000000" w:themeColor="text1"/>
      <w:szCs w:val="19"/>
      <w:lang w:eastAsia="en-AU"/>
    </w:rPr>
  </w:style>
  <w:style w:type="paragraph" w:customStyle="1" w:styleId="StyleTablesubheadingsubsequentnarrow75pt">
    <w:name w:val="Style Table subheading subsequent narrow + 7.5 pt"/>
    <w:basedOn w:val="Tablesubheadingsubsequentnarrow"/>
    <w:uiPriority w:val="99"/>
    <w:rsid w:val="004E6984"/>
    <w:rPr>
      <w:bCs/>
      <w:sz w:val="15"/>
    </w:rPr>
  </w:style>
  <w:style w:type="paragraph" w:customStyle="1" w:styleId="TablecolumnheadingVPSstafftable">
    <w:name w:val="Table column heading VPS staff table"/>
    <w:basedOn w:val="Tablecolumnheading"/>
    <w:uiPriority w:val="99"/>
    <w:rsid w:val="004E6984"/>
    <w:rPr>
      <w:sz w:val="16"/>
    </w:rPr>
  </w:style>
  <w:style w:type="table" w:customStyle="1" w:styleId="TableGrid10">
    <w:name w:val="Table Grid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5"/>
    <w:link w:val="TableheadingChar"/>
    <w:qFormat/>
    <w:rsid w:val="004E6984"/>
    <w:pPr>
      <w:spacing w:before="100" w:after="40"/>
      <w:ind w:left="1170" w:hanging="1170"/>
    </w:pPr>
    <w:rPr>
      <w:rFonts w:ascii="Calibri" w:eastAsia="Tahoma" w:hAnsi="Calibri" w:cs="Arial"/>
      <w:i w:val="0"/>
      <w:iCs/>
      <w:sz w:val="21"/>
      <w:szCs w:val="20"/>
      <w:lang w:eastAsia="en-AU"/>
    </w:rPr>
  </w:style>
  <w:style w:type="character" w:customStyle="1" w:styleId="TableheadingChar">
    <w:name w:val="Table heading Char"/>
    <w:link w:val="Tableheading"/>
    <w:rsid w:val="004E6984"/>
    <w:rPr>
      <w:rFonts w:ascii="Calibri" w:eastAsia="Tahoma" w:hAnsi="Calibri" w:cs="Arial"/>
      <w:iCs/>
      <w:color w:val="000000" w:themeColor="text1"/>
      <w:sz w:val="21"/>
      <w:szCs w:val="20"/>
      <w:lang w:eastAsia="en-AU"/>
    </w:rPr>
  </w:style>
  <w:style w:type="paragraph" w:customStyle="1" w:styleId="TOCTitle">
    <w:name w:val="TOC Title"/>
    <w:basedOn w:val="Header"/>
    <w:link w:val="TOCTitleChar"/>
    <w:rsid w:val="004E6984"/>
    <w:pPr>
      <w:ind w:left="-336"/>
    </w:pPr>
    <w:rPr>
      <w:sz w:val="36"/>
      <w:szCs w:val="36"/>
    </w:rPr>
  </w:style>
  <w:style w:type="character" w:customStyle="1" w:styleId="TOCTitleChar">
    <w:name w:val="TOC Title Char"/>
    <w:link w:val="TOCTitle"/>
    <w:rsid w:val="004E6984"/>
    <w:rPr>
      <w:rFonts w:ascii="Arial" w:eastAsia="Times New Roman" w:hAnsi="Arial" w:cs="Times New Roman"/>
      <w:color w:val="000000" w:themeColor="text1"/>
      <w:spacing w:val="-1"/>
      <w:sz w:val="36"/>
      <w:szCs w:val="36"/>
    </w:rPr>
  </w:style>
  <w:style w:type="table" w:customStyle="1" w:styleId="TableGrid11">
    <w:name w:val="Table Grid1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semiHidden/>
    <w:unhideWhenUsed/>
    <w:rsid w:val="0011351A"/>
  </w:style>
  <w:style w:type="numbering" w:customStyle="1" w:styleId="1ai11">
    <w:name w:val="1 / a / i11"/>
    <w:basedOn w:val="NoList"/>
    <w:next w:val="1ai"/>
    <w:uiPriority w:val="99"/>
    <w:semiHidden/>
    <w:unhideWhenUsed/>
    <w:rsid w:val="0011351A"/>
  </w:style>
  <w:style w:type="numbering" w:customStyle="1" w:styleId="ArticleSection11">
    <w:name w:val="Article / Section11"/>
    <w:basedOn w:val="NoList"/>
    <w:next w:val="ArticleSection"/>
    <w:uiPriority w:val="99"/>
    <w:semiHidden/>
    <w:unhideWhenUsed/>
    <w:rsid w:val="0011351A"/>
  </w:style>
  <w:style w:type="table" w:customStyle="1" w:styleId="TableGrid12">
    <w:name w:val="Table Grid12"/>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9"/>
    <w:qFormat/>
    <w:rsid w:val="00CD091A"/>
    <w:pPr>
      <w:spacing w:before="30" w:after="30" w:line="240" w:lineRule="auto"/>
    </w:pPr>
    <w:rPr>
      <w:rFonts w:cs="Arial"/>
      <w:color w:val="auto"/>
      <w:sz w:val="17"/>
      <w:szCs w:val="18"/>
      <w:lang w:eastAsia="en-AU"/>
    </w:rPr>
  </w:style>
  <w:style w:type="paragraph" w:customStyle="1" w:styleId="ReportTitle">
    <w:name w:val="Report Title"/>
    <w:basedOn w:val="Normal"/>
    <w:uiPriority w:val="99"/>
    <w:rsid w:val="009E5173"/>
    <w:pPr>
      <w:spacing w:after="35" w:line="480" w:lineRule="exact"/>
    </w:pPr>
    <w:rPr>
      <w:color w:val="D2000B"/>
      <w:spacing w:val="-12"/>
      <w:sz w:val="46"/>
      <w:szCs w:val="46"/>
    </w:rPr>
  </w:style>
  <w:style w:type="paragraph" w:customStyle="1" w:styleId="Tabletextobjectivestablesitalic">
    <w:name w:val="Table text objectives tables italic"/>
    <w:basedOn w:val="Tabletextobjectivestables"/>
    <w:uiPriority w:val="99"/>
    <w:qFormat/>
    <w:rsid w:val="007A55AC"/>
    <w:rPr>
      <w:rFonts w:ascii="Arial Narrow" w:hAnsi="Arial Narrow"/>
      <w:i/>
      <w:color w:val="auto"/>
    </w:rPr>
  </w:style>
  <w:style w:type="numbering" w:customStyle="1" w:styleId="MD2007111">
    <w:name w:val="MD2007111"/>
    <w:rsid w:val="00552289"/>
    <w:pPr>
      <w:numPr>
        <w:numId w:val="23"/>
      </w:numPr>
    </w:pPr>
  </w:style>
  <w:style w:type="paragraph" w:styleId="Quote">
    <w:name w:val="Quote"/>
    <w:basedOn w:val="Normal"/>
    <w:link w:val="QuoteChar"/>
    <w:uiPriority w:val="99"/>
    <w:qFormat/>
    <w:rsid w:val="008C2071"/>
    <w:rPr>
      <w:b/>
      <w:color w:val="auto"/>
      <w:szCs w:val="19"/>
    </w:rPr>
  </w:style>
  <w:style w:type="character" w:customStyle="1" w:styleId="QuoteChar">
    <w:name w:val="Quote Char"/>
    <w:basedOn w:val="DefaultParagraphFont"/>
    <w:link w:val="Quote"/>
    <w:uiPriority w:val="99"/>
    <w:rsid w:val="008C2071"/>
    <w:rPr>
      <w:rFonts w:ascii="Arial" w:eastAsia="Times New Roman" w:hAnsi="Arial" w:cs="Times New Roman"/>
      <w:b/>
      <w:sz w:val="19"/>
      <w:szCs w:val="19"/>
    </w:rPr>
  </w:style>
  <w:style w:type="paragraph" w:customStyle="1" w:styleId="TOC1fin">
    <w:name w:val="TOC 1 fin"/>
    <w:basedOn w:val="TOC1"/>
    <w:uiPriority w:val="99"/>
    <w:qFormat/>
    <w:rsid w:val="008149C6"/>
    <w:pPr>
      <w:tabs>
        <w:tab w:val="clear" w:pos="851"/>
        <w:tab w:val="left" w:pos="1134"/>
      </w:tabs>
      <w:ind w:left="1134" w:hanging="1134"/>
    </w:pPr>
  </w:style>
  <w:style w:type="paragraph" w:customStyle="1" w:styleId="Tabletextoutputs">
    <w:name w:val="Table text outputs"/>
    <w:basedOn w:val="Tabletextnoindent"/>
    <w:uiPriority w:val="99"/>
    <w:qFormat/>
    <w:rsid w:val="008C2071"/>
    <w:rPr>
      <w:rFonts w:ascii="Arial Narrow" w:hAnsi="Arial Narrow"/>
      <w:sz w:val="16"/>
      <w:szCs w:val="16"/>
      <w:lang w:eastAsia="en-AU"/>
    </w:rPr>
  </w:style>
  <w:style w:type="paragraph" w:customStyle="1" w:styleId="Tabletextoutputtablesnotes">
    <w:name w:val="Table text output tables notes"/>
    <w:basedOn w:val="Normal"/>
    <w:link w:val="TabletextoutputtablesnotesChar"/>
    <w:rsid w:val="008C2071"/>
    <w:pPr>
      <w:spacing w:after="0" w:line="240" w:lineRule="auto"/>
      <w:ind w:left="170"/>
    </w:pPr>
    <w:rPr>
      <w:rFonts w:ascii="Calibri" w:hAnsi="Calibri"/>
      <w:i/>
      <w:color w:val="auto"/>
      <w:sz w:val="15"/>
      <w:szCs w:val="20"/>
      <w:lang w:eastAsia="en-AU"/>
    </w:rPr>
  </w:style>
  <w:style w:type="character" w:customStyle="1" w:styleId="TabletextoutputtablesnotesChar">
    <w:name w:val="Table text output tables notes Char"/>
    <w:link w:val="Tabletextoutputtablesnotes"/>
    <w:rsid w:val="008C2071"/>
    <w:rPr>
      <w:rFonts w:ascii="Calibri" w:eastAsia="Times New Roman" w:hAnsi="Calibri" w:cs="Times New Roman"/>
      <w:i/>
      <w:sz w:val="15"/>
      <w:szCs w:val="20"/>
      <w:lang w:eastAsia="en-AU"/>
    </w:rPr>
  </w:style>
  <w:style w:type="paragraph" w:customStyle="1" w:styleId="Reference">
    <w:name w:val="Reference"/>
    <w:basedOn w:val="Normal"/>
    <w:link w:val="ReferenceChar"/>
    <w:rsid w:val="008C2071"/>
    <w:pPr>
      <w:spacing w:after="0" w:line="240" w:lineRule="auto"/>
    </w:pPr>
    <w:rPr>
      <w:rFonts w:ascii="Times New Roman" w:hAnsi="Times New Roman"/>
      <w:color w:val="auto"/>
      <w:sz w:val="14"/>
      <w:szCs w:val="14"/>
      <w:lang w:val="en-GB"/>
    </w:rPr>
  </w:style>
  <w:style w:type="character" w:customStyle="1" w:styleId="ReferenceChar">
    <w:name w:val="Reference Char"/>
    <w:link w:val="Reference"/>
    <w:rsid w:val="008C2071"/>
    <w:rPr>
      <w:rFonts w:ascii="Times New Roman" w:eastAsia="Times New Roman" w:hAnsi="Times New Roman" w:cs="Times New Roman"/>
      <w:sz w:val="14"/>
      <w:szCs w:val="14"/>
      <w:lang w:val="en-GB"/>
    </w:rPr>
  </w:style>
  <w:style w:type="paragraph" w:customStyle="1" w:styleId="TableBullet0">
    <w:name w:val="Table Bullet"/>
    <w:basedOn w:val="Normal"/>
    <w:uiPriority w:val="10"/>
    <w:qFormat/>
    <w:rsid w:val="008C2071"/>
    <w:pPr>
      <w:tabs>
        <w:tab w:val="num" w:pos="227"/>
      </w:tabs>
      <w:spacing w:after="0"/>
      <w:ind w:left="227" w:hanging="227"/>
    </w:pPr>
    <w:rPr>
      <w:rFonts w:ascii="Calibri" w:hAnsi="Calibri" w:cs="Calibri"/>
      <w:color w:val="auto"/>
      <w:sz w:val="20"/>
      <w:szCs w:val="22"/>
    </w:rPr>
  </w:style>
  <w:style w:type="paragraph" w:customStyle="1" w:styleId="Normalgrey">
    <w:name w:val="Normal grey"/>
    <w:basedOn w:val="Normal"/>
    <w:uiPriority w:val="99"/>
    <w:qFormat/>
    <w:rsid w:val="008C2071"/>
    <w:pPr>
      <w:spacing w:before="60" w:after="60" w:line="240" w:lineRule="auto"/>
    </w:pPr>
    <w:rPr>
      <w:rFonts w:ascii="Calibri" w:eastAsia="Calibri" w:hAnsi="Calibri"/>
      <w:color w:val="6E6E64"/>
      <w:sz w:val="22"/>
      <w:szCs w:val="21"/>
    </w:rPr>
  </w:style>
  <w:style w:type="paragraph" w:customStyle="1" w:styleId="NoParagraphStyle">
    <w:name w:val="[No Paragraph Style]"/>
    <w:basedOn w:val="Normal"/>
    <w:uiPriority w:val="99"/>
    <w:rsid w:val="008C2071"/>
    <w:pPr>
      <w:spacing w:after="0" w:line="288" w:lineRule="auto"/>
    </w:pPr>
    <w:rPr>
      <w:rFonts w:ascii="Times-Roman" w:eastAsiaTheme="minorHAnsi" w:hAnsi="Times-Roman"/>
      <w:color w:val="000000"/>
      <w:sz w:val="24"/>
    </w:rPr>
  </w:style>
  <w:style w:type="paragraph" w:customStyle="1" w:styleId="Captionafterlist">
    <w:name w:val="Caption after list"/>
    <w:basedOn w:val="Caption"/>
    <w:uiPriority w:val="99"/>
    <w:rsid w:val="008C2071"/>
    <w:rPr>
      <w:bCs/>
      <w:iCs/>
      <w:color w:val="auto"/>
      <w:szCs w:val="20"/>
    </w:rPr>
  </w:style>
  <w:style w:type="paragraph" w:customStyle="1" w:styleId="Heading1RoO">
    <w:name w:val="Heading 1 RoO"/>
    <w:basedOn w:val="Heading2"/>
    <w:link w:val="Heading1RoOChar"/>
    <w:qFormat/>
    <w:rsid w:val="008C2071"/>
  </w:style>
  <w:style w:type="character" w:customStyle="1" w:styleId="Heading1RoOChar">
    <w:name w:val="Heading 1 RoO Char"/>
    <w:basedOn w:val="Heading2Char"/>
    <w:link w:val="Heading1RoO"/>
    <w:rsid w:val="008C2071"/>
    <w:rPr>
      <w:rFonts w:ascii="Arial" w:eastAsia="Times New Roman" w:hAnsi="Arial" w:cs="Arial"/>
      <w:bCs/>
      <w:iCs/>
      <w:color w:val="000000" w:themeColor="text1"/>
      <w:sz w:val="28"/>
      <w:szCs w:val="28"/>
    </w:rPr>
  </w:style>
  <w:style w:type="paragraph" w:customStyle="1" w:styleId="Heading2Notes0">
    <w:name w:val="Heading 2 Notes"/>
    <w:basedOn w:val="Heading2"/>
    <w:link w:val="Heading2NotesChar0"/>
    <w:uiPriority w:val="99"/>
    <w:rsid w:val="008C2071"/>
    <w:pPr>
      <w:numPr>
        <w:numId w:val="24"/>
      </w:numPr>
      <w:tabs>
        <w:tab w:val="left" w:pos="1260"/>
      </w:tabs>
      <w:spacing w:after="120"/>
      <w:ind w:left="1276" w:hanging="1276"/>
    </w:pPr>
  </w:style>
  <w:style w:type="character" w:customStyle="1" w:styleId="Heading2NotesChar0">
    <w:name w:val="Heading 2 Notes Char"/>
    <w:basedOn w:val="Heading2Char"/>
    <w:link w:val="Heading2Notes0"/>
    <w:uiPriority w:val="99"/>
    <w:locked/>
    <w:rsid w:val="008C2071"/>
    <w:rPr>
      <w:rFonts w:ascii="Arial" w:eastAsia="Times New Roman" w:hAnsi="Arial" w:cs="Arial"/>
      <w:bCs/>
      <w:iCs/>
      <w:color w:val="000000" w:themeColor="text1"/>
      <w:sz w:val="28"/>
      <w:szCs w:val="28"/>
    </w:rPr>
  </w:style>
  <w:style w:type="paragraph" w:customStyle="1" w:styleId="Heading3Numbering">
    <w:name w:val="Heading 3 Numbering"/>
    <w:basedOn w:val="Heading3"/>
    <w:link w:val="Heading3NumberingChar"/>
    <w:rsid w:val="008C2071"/>
    <w:pPr>
      <w:tabs>
        <w:tab w:val="num" w:pos="720"/>
      </w:tabs>
      <w:spacing w:before="160"/>
      <w:ind w:left="720" w:hanging="720"/>
    </w:pPr>
    <w:rPr>
      <w:color w:val="auto"/>
    </w:rPr>
  </w:style>
  <w:style w:type="character" w:customStyle="1" w:styleId="Heading3NumberingChar">
    <w:name w:val="Heading 3 Numbering Char"/>
    <w:link w:val="Heading3Numbering"/>
    <w:rsid w:val="008C2071"/>
    <w:rPr>
      <w:rFonts w:ascii="Arial" w:eastAsia="Times New Roman" w:hAnsi="Arial" w:cs="Arial"/>
      <w:bCs/>
      <w:szCs w:val="19"/>
    </w:rPr>
  </w:style>
  <w:style w:type="paragraph" w:customStyle="1" w:styleId="HeadingforNotescont">
    <w:name w:val="Heading for Notes (cont)"/>
    <w:basedOn w:val="Normal"/>
    <w:link w:val="HeadingforNotescontChar"/>
    <w:rsid w:val="008C2071"/>
    <w:pPr>
      <w:keepNext/>
      <w:tabs>
        <w:tab w:val="left" w:pos="1170"/>
      </w:tabs>
      <w:spacing w:before="240"/>
      <w:ind w:left="1170" w:hanging="1170"/>
      <w:outlineLvl w:val="2"/>
    </w:pPr>
    <w:rPr>
      <w:rFonts w:cs="Arial"/>
      <w:b/>
      <w:bCs/>
      <w:color w:val="auto"/>
      <w:kern w:val="28"/>
      <w:sz w:val="24"/>
      <w:lang w:eastAsia="en-AU"/>
    </w:rPr>
  </w:style>
  <w:style w:type="character" w:customStyle="1" w:styleId="HeadingforNotescontChar">
    <w:name w:val="Heading for Notes (cont) Char"/>
    <w:link w:val="HeadingforNotescont"/>
    <w:locked/>
    <w:rsid w:val="008C2071"/>
    <w:rPr>
      <w:rFonts w:ascii="Arial" w:eastAsia="Times New Roman" w:hAnsi="Arial" w:cs="Arial"/>
      <w:b/>
      <w:bCs/>
      <w:kern w:val="28"/>
      <w:sz w:val="24"/>
      <w:szCs w:val="24"/>
      <w:lang w:eastAsia="en-AU"/>
    </w:rPr>
  </w:style>
  <w:style w:type="paragraph" w:customStyle="1" w:styleId="Imprintbullet">
    <w:name w:val="Imprint bullet"/>
    <w:basedOn w:val="Imprintinformation"/>
    <w:uiPriority w:val="99"/>
    <w:qFormat/>
    <w:rsid w:val="006016B9"/>
    <w:pPr>
      <w:numPr>
        <w:numId w:val="25"/>
      </w:numPr>
      <w:tabs>
        <w:tab w:val="left" w:pos="170"/>
      </w:tabs>
    </w:pPr>
    <w:rPr>
      <w:color w:val="auto"/>
      <w:sz w:val="16"/>
    </w:rPr>
  </w:style>
  <w:style w:type="paragraph" w:customStyle="1" w:styleId="Imprintinformation0">
    <w:name w:val="Imprint information"/>
    <w:basedOn w:val="Normal"/>
    <w:uiPriority w:val="99"/>
    <w:rsid w:val="008C2071"/>
    <w:rPr>
      <w:color w:val="auto"/>
      <w:sz w:val="16"/>
    </w:rPr>
  </w:style>
  <w:style w:type="numbering" w:customStyle="1" w:styleId="Listnumber10">
    <w:name w:val="List number 1"/>
    <w:basedOn w:val="NoList"/>
    <w:rsid w:val="008C2071"/>
    <w:pPr>
      <w:numPr>
        <w:numId w:val="26"/>
      </w:numPr>
    </w:pPr>
  </w:style>
  <w:style w:type="numbering" w:customStyle="1" w:styleId="ListNumber1">
    <w:name w:val="List Number1"/>
    <w:basedOn w:val="NoList"/>
    <w:rsid w:val="008C2071"/>
    <w:pPr>
      <w:numPr>
        <w:numId w:val="27"/>
      </w:numPr>
    </w:pPr>
  </w:style>
  <w:style w:type="paragraph" w:customStyle="1" w:styleId="Normalaftertableandbeforelist">
    <w:name w:val="Normal after table and before list"/>
    <w:basedOn w:val="Normalaftertable"/>
    <w:uiPriority w:val="99"/>
    <w:rsid w:val="008C2071"/>
    <w:pPr>
      <w:spacing w:after="40"/>
    </w:pPr>
    <w:rPr>
      <w:color w:val="auto"/>
      <w:szCs w:val="20"/>
    </w:rPr>
  </w:style>
  <w:style w:type="paragraph" w:customStyle="1" w:styleId="NormalIndent2">
    <w:name w:val="Normal Indent 2"/>
    <w:basedOn w:val="Normal"/>
    <w:uiPriority w:val="99"/>
    <w:rsid w:val="008C2071"/>
    <w:pPr>
      <w:ind w:left="450"/>
    </w:pPr>
    <w:rPr>
      <w:rFonts w:ascii="Garamond" w:hAnsi="Garamond"/>
      <w:color w:val="auto"/>
    </w:rPr>
  </w:style>
  <w:style w:type="numbering" w:customStyle="1" w:styleId="Normalnumberedlist">
    <w:name w:val="Normal numbered list"/>
    <w:basedOn w:val="NoList"/>
    <w:rsid w:val="008C2071"/>
    <w:pPr>
      <w:numPr>
        <w:numId w:val="28"/>
      </w:numPr>
    </w:pPr>
  </w:style>
  <w:style w:type="paragraph" w:customStyle="1" w:styleId="Normalspaceabove">
    <w:name w:val="Normal spaceabove"/>
    <w:basedOn w:val="Normal"/>
    <w:uiPriority w:val="99"/>
    <w:qFormat/>
    <w:rsid w:val="008C2071"/>
    <w:pPr>
      <w:spacing w:before="960"/>
    </w:pPr>
    <w:rPr>
      <w:rFonts w:cs="Arial"/>
      <w:b/>
      <w:color w:val="auto"/>
      <w:szCs w:val="19"/>
    </w:rPr>
  </w:style>
  <w:style w:type="paragraph" w:customStyle="1" w:styleId="NoteHeading0">
    <w:name w:val="NoteHeading"/>
    <w:basedOn w:val="Normal"/>
    <w:link w:val="NoteHeadingChar0"/>
    <w:rsid w:val="008C2071"/>
    <w:pPr>
      <w:tabs>
        <w:tab w:val="left" w:pos="1224"/>
      </w:tabs>
      <w:spacing w:after="120"/>
    </w:pPr>
    <w:rPr>
      <w:rFonts w:cs="Arial"/>
      <w:b/>
      <w:bCs/>
      <w:color w:val="auto"/>
      <w:sz w:val="28"/>
      <w:szCs w:val="28"/>
      <w:lang w:val="en-GB"/>
    </w:rPr>
  </w:style>
  <w:style w:type="character" w:customStyle="1" w:styleId="NoteHeadingChar0">
    <w:name w:val="NoteHeading Char"/>
    <w:link w:val="NoteHeading0"/>
    <w:locked/>
    <w:rsid w:val="008C2071"/>
    <w:rPr>
      <w:rFonts w:ascii="Arial" w:eastAsia="Times New Roman" w:hAnsi="Arial" w:cs="Arial"/>
      <w:b/>
      <w:bCs/>
      <w:sz w:val="28"/>
      <w:szCs w:val="28"/>
      <w:lang w:val="en-GB"/>
    </w:rPr>
  </w:style>
  <w:style w:type="paragraph" w:customStyle="1" w:styleId="NoteHeadingcontinued">
    <w:name w:val="NoteHeading continued"/>
    <w:basedOn w:val="NoteHeading0"/>
    <w:link w:val="NoteHeadingcontinuedChar"/>
    <w:rsid w:val="008C2071"/>
  </w:style>
  <w:style w:type="character" w:customStyle="1" w:styleId="NoteHeadingcontinuedChar">
    <w:name w:val="NoteHeading continued Char"/>
    <w:basedOn w:val="NoteHeadingChar0"/>
    <w:link w:val="NoteHeadingcontinued"/>
    <w:locked/>
    <w:rsid w:val="008C2071"/>
    <w:rPr>
      <w:rFonts w:ascii="Arial" w:eastAsia="Times New Roman" w:hAnsi="Arial" w:cs="Arial"/>
      <w:b/>
      <w:bCs/>
      <w:sz w:val="28"/>
      <w:szCs w:val="28"/>
      <w:lang w:val="en-GB"/>
    </w:rPr>
  </w:style>
  <w:style w:type="paragraph" w:customStyle="1" w:styleId="Notes">
    <w:name w:val="Notes"/>
    <w:basedOn w:val="Normal"/>
    <w:link w:val="NotesChar"/>
    <w:qFormat/>
    <w:rsid w:val="008C2071"/>
    <w:pPr>
      <w:tabs>
        <w:tab w:val="left" w:pos="454"/>
      </w:tabs>
      <w:spacing w:after="0"/>
      <w:ind w:left="459" w:hanging="459"/>
    </w:pPr>
    <w:rPr>
      <w:rFonts w:ascii="Calibri" w:eastAsia="Tahoma" w:hAnsi="Calibri" w:cs="Tahoma"/>
      <w:i/>
      <w:iCs/>
      <w:color w:val="auto"/>
      <w:sz w:val="16"/>
    </w:rPr>
  </w:style>
  <w:style w:type="character" w:customStyle="1" w:styleId="NotesChar">
    <w:name w:val="Notes Char"/>
    <w:link w:val="Notes"/>
    <w:locked/>
    <w:rsid w:val="008C2071"/>
    <w:rPr>
      <w:rFonts w:ascii="Calibri" w:eastAsia="Tahoma" w:hAnsi="Calibri" w:cs="Tahoma"/>
      <w:i/>
      <w:iCs/>
      <w:sz w:val="16"/>
      <w:szCs w:val="24"/>
    </w:rPr>
  </w:style>
  <w:style w:type="numbering" w:customStyle="1" w:styleId="Numberedlist">
    <w:name w:val="Numbered list"/>
    <w:basedOn w:val="NoList"/>
    <w:rsid w:val="008C2071"/>
    <w:pPr>
      <w:numPr>
        <w:numId w:val="29"/>
      </w:numPr>
    </w:pPr>
  </w:style>
  <w:style w:type="paragraph" w:customStyle="1" w:styleId="SmallLine">
    <w:name w:val="Small Line"/>
    <w:basedOn w:val="Normal"/>
    <w:link w:val="SmallLineChar"/>
    <w:rsid w:val="008C2071"/>
    <w:pPr>
      <w:spacing w:after="0"/>
    </w:pPr>
    <w:rPr>
      <w:rFonts w:ascii="Garamond" w:eastAsia="Tahoma" w:hAnsi="Garamond" w:cs="Tahoma"/>
      <w:color w:val="auto"/>
      <w:sz w:val="4"/>
      <w:szCs w:val="4"/>
    </w:rPr>
  </w:style>
  <w:style w:type="character" w:customStyle="1" w:styleId="SmallLineChar">
    <w:name w:val="Small Line Char"/>
    <w:link w:val="SmallLine"/>
    <w:locked/>
    <w:rsid w:val="008C2071"/>
    <w:rPr>
      <w:rFonts w:ascii="Garamond" w:eastAsia="Tahoma" w:hAnsi="Garamond" w:cs="Tahoma"/>
      <w:sz w:val="4"/>
      <w:szCs w:val="4"/>
    </w:rPr>
  </w:style>
  <w:style w:type="paragraph" w:customStyle="1" w:styleId="TableBulletDash">
    <w:name w:val="Table Bullet Dash"/>
    <w:basedOn w:val="Normal"/>
    <w:uiPriority w:val="10"/>
    <w:semiHidden/>
    <w:rsid w:val="008C2071"/>
    <w:pPr>
      <w:tabs>
        <w:tab w:val="num" w:pos="454"/>
      </w:tabs>
      <w:spacing w:after="0" w:line="260" w:lineRule="atLeast"/>
      <w:ind w:left="454" w:hanging="227"/>
    </w:pPr>
    <w:rPr>
      <w:rFonts w:ascii="Calibri" w:hAnsi="Calibri" w:cs="Calibri"/>
      <w:color w:val="auto"/>
      <w:sz w:val="22"/>
      <w:szCs w:val="22"/>
    </w:rPr>
  </w:style>
  <w:style w:type="paragraph" w:customStyle="1" w:styleId="Tablecolumnsubheading">
    <w:name w:val="Table column subheading"/>
    <w:basedOn w:val="Tablerowheading"/>
    <w:link w:val="TablecolumnsubheadingChar"/>
    <w:qFormat/>
    <w:rsid w:val="008C2071"/>
    <w:pPr>
      <w:keepNext/>
      <w:spacing w:before="360"/>
    </w:pPr>
    <w:rPr>
      <w:snapToGrid w:val="0"/>
    </w:rPr>
  </w:style>
  <w:style w:type="character" w:customStyle="1" w:styleId="TablecolumnsubheadingChar">
    <w:name w:val="Table column subheading Char"/>
    <w:basedOn w:val="TablerowheadingChar"/>
    <w:link w:val="Tablecolumnsubheading"/>
    <w:rsid w:val="008C2071"/>
    <w:rPr>
      <w:rFonts w:ascii="Arial" w:eastAsia="Times New Roman" w:hAnsi="Arial" w:cs="Arial"/>
      <w:b/>
      <w:snapToGrid w:val="0"/>
      <w:color w:val="000000" w:themeColor="text1"/>
      <w:sz w:val="17"/>
      <w:szCs w:val="18"/>
    </w:rPr>
  </w:style>
  <w:style w:type="paragraph" w:customStyle="1" w:styleId="Tablecolumnsubheadingitalic">
    <w:name w:val="Table column subheading italic"/>
    <w:basedOn w:val="Tablecolumnsubheading"/>
    <w:next w:val="Tabletext"/>
    <w:link w:val="TablecolumnsubheadingitalicChar"/>
    <w:qFormat/>
    <w:rsid w:val="008C2071"/>
    <w:pPr>
      <w:spacing w:before="40"/>
    </w:pPr>
    <w:rPr>
      <w:i/>
    </w:rPr>
  </w:style>
  <w:style w:type="character" w:customStyle="1" w:styleId="TablecolumnsubheadingitalicChar">
    <w:name w:val="Table column subheading italic Char"/>
    <w:basedOn w:val="TabletextChar"/>
    <w:link w:val="Tablecolumnsubheadingitalic"/>
    <w:rsid w:val="008C2071"/>
    <w:rPr>
      <w:rFonts w:ascii="Arial" w:eastAsia="Times New Roman" w:hAnsi="Arial" w:cs="Arial"/>
      <w:b/>
      <w:i/>
      <w:snapToGrid w:val="0"/>
      <w:color w:val="000000" w:themeColor="text1"/>
      <w:sz w:val="17"/>
      <w:szCs w:val="18"/>
    </w:rPr>
  </w:style>
  <w:style w:type="paragraph" w:customStyle="1" w:styleId="Tablecolumnsuperheading">
    <w:name w:val="Table column superheading"/>
    <w:basedOn w:val="Tablecolumnheading"/>
    <w:link w:val="TablecolumnsuperheadingChar"/>
    <w:qFormat/>
    <w:rsid w:val="008C2071"/>
    <w:pPr>
      <w:spacing w:before="360"/>
    </w:pPr>
  </w:style>
  <w:style w:type="character" w:customStyle="1" w:styleId="TablecolumnsuperheadingChar">
    <w:name w:val="Table column superheading Char"/>
    <w:basedOn w:val="TablecolumnheadingChar"/>
    <w:link w:val="Tablecolumnsuperheading"/>
    <w:rsid w:val="008C2071"/>
    <w:rPr>
      <w:rFonts w:ascii="Arial" w:eastAsia="Times New Roman" w:hAnsi="Arial" w:cs="Arial"/>
      <w:b/>
      <w:bCs/>
      <w:color w:val="FFFFFF"/>
      <w:sz w:val="17"/>
      <w:szCs w:val="18"/>
    </w:rPr>
  </w:style>
  <w:style w:type="paragraph" w:customStyle="1" w:styleId="TableEntry">
    <w:name w:val="Table Entry"/>
    <w:basedOn w:val="Normal"/>
    <w:uiPriority w:val="99"/>
    <w:rsid w:val="008C2071"/>
    <w:pPr>
      <w:spacing w:before="60" w:after="60"/>
    </w:pPr>
    <w:rPr>
      <w:rFonts w:ascii="Times New Roman" w:hAnsi="Times New Roman"/>
      <w:color w:val="auto"/>
      <w:sz w:val="20"/>
      <w:szCs w:val="22"/>
    </w:rPr>
  </w:style>
  <w:style w:type="paragraph" w:customStyle="1" w:styleId="Tablegrandtotal">
    <w:name w:val="Table grand total"/>
    <w:basedOn w:val="Tabletext"/>
    <w:next w:val="Tabletext"/>
    <w:uiPriority w:val="99"/>
    <w:qFormat/>
    <w:rsid w:val="008C2071"/>
    <w:pPr>
      <w:spacing w:before="240" w:after="240"/>
    </w:pPr>
    <w:rPr>
      <w:b/>
      <w:color w:val="auto"/>
    </w:rPr>
  </w:style>
  <w:style w:type="paragraph" w:customStyle="1" w:styleId="Tablerowheading18before">
    <w:name w:val="Table row heading_18before"/>
    <w:basedOn w:val="Tablerowheading"/>
    <w:uiPriority w:val="99"/>
    <w:qFormat/>
    <w:rsid w:val="008C2071"/>
    <w:pPr>
      <w:spacing w:before="360"/>
    </w:pPr>
    <w:rPr>
      <w:color w:val="auto"/>
    </w:rPr>
  </w:style>
  <w:style w:type="paragraph" w:customStyle="1" w:styleId="Tablesubheadingitalic18before">
    <w:name w:val="Table subheading italic_18before"/>
    <w:basedOn w:val="Tablesubheadingitalic"/>
    <w:uiPriority w:val="99"/>
    <w:qFormat/>
    <w:rsid w:val="008C2071"/>
    <w:pPr>
      <w:spacing w:before="360"/>
    </w:pPr>
    <w:rPr>
      <w:color w:val="auto"/>
    </w:rPr>
  </w:style>
  <w:style w:type="paragraph" w:customStyle="1" w:styleId="Tablesubtotal">
    <w:name w:val="Table subtotal"/>
    <w:basedOn w:val="Tabletext"/>
    <w:uiPriority w:val="99"/>
    <w:qFormat/>
    <w:rsid w:val="008C2071"/>
    <w:pPr>
      <w:spacing w:after="0"/>
    </w:pPr>
    <w:rPr>
      <w:b/>
      <w:bCs/>
      <w:color w:val="auto"/>
    </w:rPr>
  </w:style>
  <w:style w:type="paragraph" w:customStyle="1" w:styleId="TablesubtotalbeforeTabletotalcolumnsubheadingitalic">
    <w:name w:val="Table subtotal before Table total/column subheading italic"/>
    <w:basedOn w:val="Tabletext"/>
    <w:next w:val="Tabletext"/>
    <w:uiPriority w:val="99"/>
    <w:rsid w:val="008C2071"/>
    <w:pPr>
      <w:spacing w:after="360"/>
    </w:pPr>
    <w:rPr>
      <w:b/>
      <w:color w:val="auto"/>
    </w:rPr>
  </w:style>
  <w:style w:type="paragraph" w:customStyle="1" w:styleId="Tabletextbullet">
    <w:name w:val="Table text bullet"/>
    <w:basedOn w:val="Tabletextnoindent"/>
    <w:uiPriority w:val="99"/>
    <w:qFormat/>
    <w:rsid w:val="008C2071"/>
    <w:pPr>
      <w:numPr>
        <w:numId w:val="30"/>
      </w:numPr>
      <w:tabs>
        <w:tab w:val="clear" w:pos="205"/>
        <w:tab w:val="left" w:pos="170"/>
      </w:tabs>
    </w:pPr>
    <w:rPr>
      <w:lang w:eastAsia="en-AU"/>
    </w:rPr>
  </w:style>
  <w:style w:type="paragraph" w:customStyle="1" w:styleId="Tabletextheading">
    <w:name w:val="Table text heading"/>
    <w:basedOn w:val="Normal"/>
    <w:link w:val="TabletextheadingChar"/>
    <w:qFormat/>
    <w:rsid w:val="008C2071"/>
    <w:pPr>
      <w:spacing w:before="30" w:after="30"/>
      <w:jc w:val="right"/>
    </w:pPr>
    <w:rPr>
      <w:rFonts w:cs="Arial"/>
      <w:i/>
      <w:iCs/>
      <w:noProof/>
      <w:color w:val="auto"/>
    </w:rPr>
  </w:style>
  <w:style w:type="character" w:customStyle="1" w:styleId="TabletextheadingChar">
    <w:name w:val="Table text heading Char"/>
    <w:link w:val="Tabletextheading"/>
    <w:rsid w:val="008C2071"/>
    <w:rPr>
      <w:rFonts w:ascii="Arial" w:eastAsia="Times New Roman" w:hAnsi="Arial" w:cs="Arial"/>
      <w:i/>
      <w:iCs/>
      <w:noProof/>
      <w:sz w:val="19"/>
      <w:szCs w:val="24"/>
    </w:rPr>
  </w:style>
  <w:style w:type="paragraph" w:customStyle="1" w:styleId="TabletextheadingCentred">
    <w:name w:val="Table text heading Centred"/>
    <w:basedOn w:val="Tabletextheading"/>
    <w:link w:val="TabletextheadingCentredChar"/>
    <w:rsid w:val="008C2071"/>
    <w:pPr>
      <w:jc w:val="center"/>
    </w:pPr>
    <w:rPr>
      <w:rFonts w:ascii="Calibri" w:eastAsia="Tahoma" w:hAnsi="Calibri"/>
      <w:noProof w:val="0"/>
      <w:szCs w:val="20"/>
      <w:lang w:eastAsia="en-AU"/>
    </w:rPr>
  </w:style>
  <w:style w:type="character" w:customStyle="1" w:styleId="TabletextheadingCentredChar">
    <w:name w:val="Table text heading Centred Char"/>
    <w:link w:val="TabletextheadingCentred"/>
    <w:locked/>
    <w:rsid w:val="008C2071"/>
    <w:rPr>
      <w:rFonts w:ascii="Calibri" w:eastAsia="Tahoma" w:hAnsi="Calibri" w:cs="Arial"/>
      <w:i/>
      <w:iCs/>
      <w:sz w:val="19"/>
      <w:szCs w:val="20"/>
      <w:lang w:eastAsia="en-AU"/>
    </w:rPr>
  </w:style>
  <w:style w:type="paragraph" w:customStyle="1" w:styleId="TabletotalbeforeTablecolumnsubheading">
    <w:name w:val="Table total before Table column subheading"/>
    <w:basedOn w:val="Tabletotal"/>
    <w:link w:val="TabletotalbeforeTablecolumnsubheadingChar"/>
    <w:qFormat/>
    <w:rsid w:val="008C2071"/>
    <w:pPr>
      <w:tabs>
        <w:tab w:val="clear" w:pos="205"/>
      </w:tabs>
      <w:autoSpaceDE w:val="0"/>
      <w:autoSpaceDN w:val="0"/>
      <w:adjustRightInd w:val="0"/>
      <w:spacing w:before="120" w:after="40" w:line="240" w:lineRule="auto"/>
    </w:pPr>
    <w:rPr>
      <w:bCs/>
      <w:szCs w:val="18"/>
    </w:rPr>
  </w:style>
  <w:style w:type="character" w:customStyle="1" w:styleId="TabletotalbeforeTablecolumnsubheadingChar">
    <w:name w:val="Table total before Table column subheading Char"/>
    <w:basedOn w:val="TabletotalChar"/>
    <w:link w:val="TabletotalbeforeTablecolumnsubheading"/>
    <w:rsid w:val="008C2071"/>
    <w:rPr>
      <w:rFonts w:ascii="Arial" w:eastAsia="Times New Roman" w:hAnsi="Arial" w:cs="Arial"/>
      <w:b/>
      <w:bCs/>
      <w:color w:val="000000" w:themeColor="text1"/>
      <w:sz w:val="17"/>
      <w:szCs w:val="18"/>
    </w:rPr>
  </w:style>
  <w:style w:type="paragraph" w:customStyle="1" w:styleId="TOCTitleNotestotheFinancialStatements">
    <w:name w:val="TOC Title Notes to the Financial Statements"/>
    <w:basedOn w:val="TOCTitle"/>
    <w:next w:val="Normal"/>
    <w:link w:val="TOCTitleNotestotheFinancialStatementsChar"/>
    <w:qFormat/>
    <w:rsid w:val="008C2071"/>
    <w:pPr>
      <w:tabs>
        <w:tab w:val="clear" w:pos="8640"/>
        <w:tab w:val="right" w:pos="7371"/>
      </w:tabs>
      <w:spacing w:after="720" w:line="220" w:lineRule="atLeast"/>
      <w:ind w:left="-335"/>
      <w:outlineLvl w:val="0"/>
    </w:pPr>
    <w:rPr>
      <w:rFonts w:cs="Arial"/>
      <w:kern w:val="32"/>
    </w:rPr>
  </w:style>
  <w:style w:type="character" w:customStyle="1" w:styleId="TOCTitleNotestotheFinancialStatementsChar">
    <w:name w:val="TOC Title Notes to the Financial Statements Char"/>
    <w:basedOn w:val="Heading1Char"/>
    <w:link w:val="TOCTitleNotestotheFinancialStatements"/>
    <w:rsid w:val="008C2071"/>
    <w:rPr>
      <w:rFonts w:ascii="Arial" w:eastAsia="Times New Roman" w:hAnsi="Arial" w:cs="Arial"/>
      <w:bCs w:val="0"/>
      <w:color w:val="000000" w:themeColor="text1"/>
      <w:spacing w:val="-1"/>
      <w:kern w:val="32"/>
      <w:sz w:val="36"/>
      <w:szCs w:val="36"/>
    </w:rPr>
  </w:style>
  <w:style w:type="paragraph" w:customStyle="1" w:styleId="Tablerowheading12before">
    <w:name w:val="Table row heading_12before"/>
    <w:basedOn w:val="Tablerowheading18before"/>
    <w:uiPriority w:val="99"/>
    <w:qFormat/>
    <w:rsid w:val="008C2071"/>
    <w:pPr>
      <w:spacing w:before="240"/>
    </w:pPr>
  </w:style>
  <w:style w:type="paragraph" w:customStyle="1" w:styleId="Tabletextnoindenttight">
    <w:name w:val="Table text no indent_tight"/>
    <w:basedOn w:val="Tabletextnoindent"/>
    <w:uiPriority w:val="99"/>
    <w:qFormat/>
    <w:rsid w:val="008C2071"/>
    <w:pPr>
      <w:spacing w:before="40" w:after="40"/>
    </w:pPr>
    <w:rPr>
      <w:lang w:eastAsia="en-AU"/>
    </w:rPr>
  </w:style>
  <w:style w:type="paragraph" w:customStyle="1" w:styleId="Tabletextnoindent18before">
    <w:name w:val="Table text no indent_18before"/>
    <w:basedOn w:val="Tabletextnoindent"/>
    <w:uiPriority w:val="99"/>
    <w:qFormat/>
    <w:rsid w:val="008C2071"/>
    <w:pPr>
      <w:spacing w:before="360"/>
    </w:pPr>
    <w:rPr>
      <w:lang w:eastAsia="en-AU"/>
    </w:rPr>
  </w:style>
  <w:style w:type="paragraph" w:customStyle="1" w:styleId="Tabletextnoindentindent">
    <w:name w:val="Table text no indent_indent"/>
    <w:basedOn w:val="Tabletextnoindent"/>
    <w:uiPriority w:val="99"/>
    <w:qFormat/>
    <w:rsid w:val="008C2071"/>
    <w:pPr>
      <w:ind w:left="170"/>
    </w:pPr>
    <w:rPr>
      <w:lang w:eastAsia="en-AU"/>
    </w:rPr>
  </w:style>
  <w:style w:type="paragraph" w:customStyle="1" w:styleId="Tabletextoutputstight">
    <w:name w:val="Table text outputs_tight"/>
    <w:basedOn w:val="Tabletextoutputs"/>
    <w:uiPriority w:val="99"/>
    <w:qFormat/>
    <w:rsid w:val="008C2071"/>
    <w:pPr>
      <w:spacing w:before="40" w:after="40"/>
    </w:pPr>
  </w:style>
  <w:style w:type="paragraph" w:customStyle="1" w:styleId="Heading3Notesbold">
    <w:name w:val="Heading 3 Notes bold"/>
    <w:basedOn w:val="Heading3notesnumbered"/>
    <w:uiPriority w:val="99"/>
    <w:qFormat/>
    <w:rsid w:val="008C2071"/>
    <w:pPr>
      <w:numPr>
        <w:numId w:val="0"/>
      </w:numPr>
    </w:pPr>
    <w:rPr>
      <w:color w:val="auto"/>
    </w:rPr>
  </w:style>
  <w:style w:type="paragraph" w:styleId="ListBullet2">
    <w:name w:val="List Bullet 2"/>
    <w:basedOn w:val="Normal"/>
    <w:uiPriority w:val="99"/>
    <w:unhideWhenUsed/>
    <w:qFormat/>
    <w:rsid w:val="004453B1"/>
    <w:pPr>
      <w:numPr>
        <w:numId w:val="21"/>
      </w:numPr>
      <w:contextualSpacing/>
    </w:pPr>
  </w:style>
  <w:style w:type="paragraph" w:styleId="FootnoteText">
    <w:name w:val="footnote text"/>
    <w:basedOn w:val="Normal"/>
    <w:link w:val="FootnoteTextChar"/>
    <w:uiPriority w:val="99"/>
    <w:rsid w:val="00DF1B63"/>
    <w:pPr>
      <w:spacing w:after="0" w:line="240" w:lineRule="auto"/>
    </w:pPr>
    <w:rPr>
      <w:sz w:val="17"/>
      <w:szCs w:val="20"/>
    </w:rPr>
  </w:style>
  <w:style w:type="character" w:customStyle="1" w:styleId="FootnoteTextChar">
    <w:name w:val="Footnote Text Char"/>
    <w:basedOn w:val="DefaultParagraphFont"/>
    <w:link w:val="FootnoteText"/>
    <w:uiPriority w:val="99"/>
    <w:rsid w:val="00DF1B63"/>
    <w:rPr>
      <w:rFonts w:ascii="Arial" w:eastAsia="Times New Roman" w:hAnsi="Arial" w:cs="Times New Roman"/>
      <w:color w:val="000000" w:themeColor="text1"/>
      <w:sz w:val="17"/>
      <w:szCs w:val="20"/>
    </w:rPr>
  </w:style>
  <w:style w:type="table" w:customStyle="1" w:styleId="TableGrid20">
    <w:name w:val="Table Grid2"/>
    <w:basedOn w:val="TableNormal"/>
    <w:next w:val="TableGrid"/>
    <w:uiPriority w:val="59"/>
    <w:rsid w:val="0024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Body">
    <w:name w:val="AR Body"/>
    <w:link w:val="ARBodyChar"/>
    <w:autoRedefine/>
    <w:qFormat/>
    <w:rsid w:val="00C12F58"/>
    <w:pPr>
      <w:pBdr>
        <w:top w:val="nil"/>
        <w:left w:val="nil"/>
        <w:bottom w:val="nil"/>
        <w:right w:val="nil"/>
        <w:between w:val="nil"/>
        <w:bar w:val="nil"/>
      </w:pBdr>
      <w:tabs>
        <w:tab w:val="left" w:pos="851"/>
      </w:tabs>
      <w:spacing w:after="80"/>
    </w:pPr>
    <w:rPr>
      <w:snapToGrid w:val="0"/>
      <w:sz w:val="18"/>
      <w:bdr w:val="nil"/>
    </w:rPr>
  </w:style>
  <w:style w:type="character" w:customStyle="1" w:styleId="ARBodyChar">
    <w:name w:val="AR Body Char"/>
    <w:basedOn w:val="DefaultParagraphFont"/>
    <w:link w:val="ARBody"/>
    <w:rsid w:val="00C12F58"/>
    <w:rPr>
      <w:snapToGrid w:val="0"/>
      <w:sz w:val="18"/>
      <w:bdr w:val="nil"/>
    </w:rPr>
  </w:style>
  <w:style w:type="paragraph" w:customStyle="1" w:styleId="DETNormallistbullet">
    <w:name w:val="DET Normal list bullet"/>
    <w:basedOn w:val="Normal"/>
    <w:next w:val="DETNormalafterlist"/>
    <w:link w:val="DETNormallistbulletChar"/>
    <w:qFormat/>
    <w:rsid w:val="005B7590"/>
    <w:pPr>
      <w:numPr>
        <w:numId w:val="31"/>
      </w:numPr>
    </w:pPr>
  </w:style>
  <w:style w:type="paragraph" w:customStyle="1" w:styleId="ARDotpoints">
    <w:name w:val="AR Dot points"/>
    <w:basedOn w:val="Normal"/>
    <w:link w:val="ARDotpointsChar"/>
    <w:autoRedefine/>
    <w:uiPriority w:val="99"/>
    <w:qFormat/>
    <w:rsid w:val="00FE7049"/>
    <w:pPr>
      <w:numPr>
        <w:numId w:val="32"/>
      </w:numPr>
      <w:spacing w:after="120" w:line="276" w:lineRule="auto"/>
    </w:pPr>
    <w:rPr>
      <w:rFonts w:asciiTheme="minorHAnsi" w:hAnsiTheme="minorHAnsi"/>
      <w:color w:val="auto"/>
      <w:sz w:val="18"/>
      <w:szCs w:val="22"/>
      <w:lang w:eastAsia="en-AU"/>
    </w:rPr>
  </w:style>
  <w:style w:type="character" w:customStyle="1" w:styleId="DETNormallistbulletChar">
    <w:name w:val="DET Normal list bullet Char"/>
    <w:basedOn w:val="DefaultParagraphFont"/>
    <w:link w:val="DETNormallistbullet"/>
    <w:rsid w:val="005B7590"/>
    <w:rPr>
      <w:rFonts w:ascii="Arial" w:eastAsia="Times New Roman" w:hAnsi="Arial" w:cs="Times New Roman"/>
      <w:color w:val="000000" w:themeColor="text1"/>
      <w:sz w:val="19"/>
      <w:szCs w:val="24"/>
    </w:rPr>
  </w:style>
  <w:style w:type="character" w:customStyle="1" w:styleId="ARDotpointsChar">
    <w:name w:val="AR Dot points Char"/>
    <w:link w:val="ARDotpoints"/>
    <w:uiPriority w:val="99"/>
    <w:rsid w:val="00FE7049"/>
    <w:rPr>
      <w:rFonts w:eastAsia="Times New Roman" w:cs="Times New Roman"/>
      <w:sz w:val="18"/>
      <w:lang w:eastAsia="en-AU"/>
    </w:rPr>
  </w:style>
  <w:style w:type="paragraph" w:customStyle="1" w:styleId="DETTablebulletlist">
    <w:name w:val="DET Table bullet list"/>
    <w:basedOn w:val="ListBullet"/>
    <w:qFormat/>
    <w:rsid w:val="00CD091A"/>
    <w:pPr>
      <w:tabs>
        <w:tab w:val="clear" w:pos="170"/>
        <w:tab w:val="left" w:pos="11"/>
        <w:tab w:val="num" w:pos="360"/>
      </w:tabs>
      <w:spacing w:before="80" w:after="80" w:line="240" w:lineRule="auto"/>
      <w:ind w:left="360" w:hanging="360"/>
    </w:pPr>
    <w:rPr>
      <w:rFonts w:eastAsiaTheme="minorHAnsi" w:cstheme="minorBidi"/>
      <w:color w:val="auto"/>
      <w:sz w:val="17"/>
      <w:szCs w:val="16"/>
      <w:lang w:val="en-US"/>
    </w:rPr>
  </w:style>
  <w:style w:type="character" w:customStyle="1" w:styleId="DETTableheadingChar">
    <w:name w:val="DET Table heading Char"/>
    <w:basedOn w:val="ARBodyChar"/>
    <w:link w:val="DETTableheading"/>
    <w:locked/>
    <w:rsid w:val="007540CD"/>
    <w:rPr>
      <w:rFonts w:ascii="Arial" w:hAnsi="Arial"/>
      <w:b/>
      <w:i/>
      <w:snapToGrid/>
      <w:color w:val="000000"/>
      <w:sz w:val="17"/>
      <w:bdr w:val="none" w:sz="0" w:space="0" w:color="auto" w:frame="1"/>
    </w:rPr>
  </w:style>
  <w:style w:type="paragraph" w:customStyle="1" w:styleId="DETTableheading">
    <w:name w:val="DET Table heading"/>
    <w:basedOn w:val="ARBody"/>
    <w:next w:val="ARBody"/>
    <w:link w:val="DETTableheadingChar"/>
    <w:autoRedefine/>
    <w:qFormat/>
    <w:rsid w:val="007540CD"/>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b/>
      <w:i/>
      <w:snapToGrid/>
      <w:color w:val="000000"/>
      <w:sz w:val="17"/>
      <w:bdr w:val="none" w:sz="0" w:space="0" w:color="auto" w:frame="1"/>
    </w:rPr>
  </w:style>
  <w:style w:type="character" w:customStyle="1" w:styleId="ARHeading4Char">
    <w:name w:val="AR Heading 4 Char"/>
    <w:basedOn w:val="DefaultParagraphFont"/>
    <w:link w:val="ARHeading4"/>
    <w:locked/>
    <w:rsid w:val="001C288E"/>
    <w:rPr>
      <w:b/>
      <w:color w:val="709FDB" w:themeColor="text2" w:themeTint="80"/>
      <w:sz w:val="18"/>
      <w:bdr w:val="none" w:sz="0" w:space="0" w:color="auto" w:frame="1"/>
    </w:rPr>
  </w:style>
  <w:style w:type="paragraph" w:customStyle="1" w:styleId="ARHeading4">
    <w:name w:val="AR Heading 4"/>
    <w:basedOn w:val="Heading4"/>
    <w:link w:val="ARHeading4Char"/>
    <w:qFormat/>
    <w:rsid w:val="001C288E"/>
    <w:pPr>
      <w:keepLines/>
      <w:tabs>
        <w:tab w:val="clear" w:pos="397"/>
        <w:tab w:val="left" w:pos="851"/>
      </w:tabs>
      <w:snapToGrid w:val="0"/>
      <w:spacing w:before="120" w:after="120" w:line="240" w:lineRule="auto"/>
    </w:pPr>
    <w:rPr>
      <w:rFonts w:asciiTheme="minorHAnsi" w:eastAsiaTheme="minorHAnsi" w:hAnsiTheme="minorHAnsi" w:cstheme="minorBidi"/>
      <w:i w:val="0"/>
      <w:color w:val="709FDB" w:themeColor="text2" w:themeTint="80"/>
      <w:sz w:val="18"/>
      <w:szCs w:val="22"/>
      <w:bdr w:val="none" w:sz="0" w:space="0" w:color="auto" w:frame="1"/>
    </w:rPr>
  </w:style>
  <w:style w:type="paragraph" w:customStyle="1" w:styleId="FootnoteTextforobjectivestablesOHStable1">
    <w:name w:val="Footnote Text for objectives tables &amp; OHS table1"/>
    <w:basedOn w:val="Normal"/>
    <w:next w:val="Normal"/>
    <w:uiPriority w:val="99"/>
    <w:qFormat/>
    <w:rsid w:val="00BB285D"/>
    <w:pPr>
      <w:widowControl w:val="0"/>
      <w:tabs>
        <w:tab w:val="left" w:pos="170"/>
      </w:tabs>
      <w:autoSpaceDE w:val="0"/>
      <w:autoSpaceDN w:val="0"/>
      <w:adjustRightInd w:val="0"/>
      <w:spacing w:after="0" w:line="150" w:lineRule="exact"/>
      <w:ind w:left="170" w:hanging="170"/>
    </w:pPr>
    <w:rPr>
      <w:rFonts w:ascii="Arial Narrow" w:hAnsi="Arial Narrow"/>
      <w:sz w:val="15"/>
      <w:szCs w:val="20"/>
    </w:rPr>
  </w:style>
  <w:style w:type="paragraph" w:customStyle="1" w:styleId="ARFootnote">
    <w:name w:val="AR Footnote"/>
    <w:basedOn w:val="FootnoteText"/>
    <w:autoRedefine/>
    <w:uiPriority w:val="99"/>
    <w:qFormat/>
    <w:rsid w:val="005F1A89"/>
    <w:pPr>
      <w:spacing w:before="60"/>
    </w:pPr>
    <w:rPr>
      <w:rFonts w:eastAsia="Calibri"/>
      <w:color w:val="auto"/>
      <w:sz w:val="14"/>
      <w:vertAlign w:val="superscript"/>
      <w:lang w:val="en-US"/>
    </w:rPr>
  </w:style>
  <w:style w:type="paragraph" w:customStyle="1" w:styleId="ARHeading5">
    <w:name w:val="AR Heading 5"/>
    <w:basedOn w:val="ARBody"/>
    <w:next w:val="ARBody"/>
    <w:uiPriority w:val="99"/>
    <w:qFormat/>
    <w:rsid w:val="00E829BC"/>
    <w:pPr>
      <w:tabs>
        <w:tab w:val="clear" w:pos="851"/>
      </w:tabs>
      <w:spacing w:before="120"/>
    </w:pPr>
    <w:rPr>
      <w:snapToGrid/>
      <w:color w:val="709FDB" w:themeColor="text2" w:themeTint="80"/>
      <w:u w:val="single"/>
    </w:rPr>
  </w:style>
  <w:style w:type="paragraph" w:customStyle="1" w:styleId="SectionHeading-White">
    <w:name w:val="Section Heading-White"/>
    <w:basedOn w:val="Normal"/>
    <w:next w:val="Normal"/>
    <w:uiPriority w:val="99"/>
    <w:qFormat/>
    <w:rsid w:val="00A008F8"/>
    <w:pPr>
      <w:pBdr>
        <w:bottom w:val="single" w:sz="12" w:space="6" w:color="EEECE1" w:themeColor="background2"/>
      </w:pBdr>
      <w:spacing w:after="160" w:line="216" w:lineRule="auto"/>
      <w:ind w:right="2268"/>
    </w:pPr>
    <w:rPr>
      <w:rFonts w:asciiTheme="majorHAnsi" w:eastAsiaTheme="majorEastAsia" w:hAnsiTheme="majorHAnsi" w:cstheme="majorHAnsi"/>
      <w:b/>
      <w:caps/>
      <w:color w:val="EEECE1" w:themeColor="background2"/>
      <w:sz w:val="24"/>
      <w:szCs w:val="32"/>
    </w:rPr>
  </w:style>
  <w:style w:type="paragraph" w:customStyle="1" w:styleId="TableHeadingWhite">
    <w:name w:val="Table Heading White"/>
    <w:basedOn w:val="Normal"/>
    <w:autoRedefine/>
    <w:uiPriority w:val="99"/>
    <w:qFormat/>
    <w:rsid w:val="001F5EA1"/>
    <w:pPr>
      <w:spacing w:before="60" w:after="60" w:line="240" w:lineRule="auto"/>
      <w:jc w:val="center"/>
    </w:pPr>
    <w:rPr>
      <w:rFonts w:asciiTheme="minorHAnsi" w:eastAsiaTheme="minorHAnsi" w:hAnsiTheme="minorHAnsi" w:cstheme="minorBidi"/>
      <w:b/>
      <w:color w:val="EEECE1" w:themeColor="background2"/>
      <w:sz w:val="14"/>
      <w:szCs w:val="16"/>
      <w:lang w:val="en-US" w:eastAsia="en-AU"/>
    </w:rPr>
  </w:style>
  <w:style w:type="paragraph" w:customStyle="1" w:styleId="DETTableTextFinancial">
    <w:name w:val="DET Table Text Financial"/>
    <w:basedOn w:val="TableText0"/>
    <w:qFormat/>
    <w:rsid w:val="00BE753C"/>
    <w:pPr>
      <w:spacing w:before="60" w:after="60"/>
    </w:pPr>
    <w:rPr>
      <w:rFonts w:eastAsiaTheme="minorHAnsi"/>
      <w:bCs/>
      <w:sz w:val="16"/>
      <w:szCs w:val="52"/>
      <w:lang w:eastAsia="en-US"/>
    </w:rPr>
  </w:style>
  <w:style w:type="paragraph" w:customStyle="1" w:styleId="ARHeading2">
    <w:name w:val="AR Heading 2"/>
    <w:basedOn w:val="Normal"/>
    <w:next w:val="Heading1"/>
    <w:autoRedefine/>
    <w:uiPriority w:val="99"/>
    <w:qFormat/>
    <w:rsid w:val="0045134B"/>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character" w:styleId="SubtleEmphasis">
    <w:name w:val="Subtle Emphasis"/>
    <w:basedOn w:val="DefaultParagraphFont"/>
    <w:uiPriority w:val="19"/>
    <w:qFormat/>
    <w:rsid w:val="00837349"/>
    <w:rPr>
      <w:i/>
      <w:iCs/>
      <w:color w:val="404040" w:themeColor="text1" w:themeTint="BF"/>
    </w:rPr>
  </w:style>
  <w:style w:type="character" w:styleId="SubtleReference">
    <w:name w:val="Subtle Reference"/>
    <w:basedOn w:val="DefaultParagraphFont"/>
    <w:uiPriority w:val="31"/>
    <w:qFormat/>
    <w:rsid w:val="0056397F"/>
    <w:rPr>
      <w:smallCaps/>
      <w:color w:val="5A5A5A" w:themeColor="text1" w:themeTint="A5"/>
    </w:rPr>
  </w:style>
  <w:style w:type="paragraph" w:customStyle="1" w:styleId="Pa9">
    <w:name w:val="Pa9"/>
    <w:basedOn w:val="Normal"/>
    <w:next w:val="Normal"/>
    <w:uiPriority w:val="99"/>
    <w:rsid w:val="00170E98"/>
    <w:pPr>
      <w:autoSpaceDE w:val="0"/>
      <w:autoSpaceDN w:val="0"/>
      <w:adjustRightInd w:val="0"/>
      <w:spacing w:after="0" w:line="201" w:lineRule="atLeast"/>
    </w:pPr>
    <w:rPr>
      <w:rFonts w:ascii="Tiempos Text Regular" w:eastAsiaTheme="minorHAnsi" w:hAnsi="Tiempos Text Regular" w:cstheme="minorBidi"/>
      <w:color w:val="auto"/>
      <w:sz w:val="24"/>
    </w:rPr>
  </w:style>
  <w:style w:type="character" w:customStyle="1" w:styleId="Heading1Char1">
    <w:name w:val="Heading 1 Char1"/>
    <w:aliases w:val="Heading 1 Section Heading Char1"/>
    <w:basedOn w:val="DefaultParagraphFont"/>
    <w:uiPriority w:val="9"/>
    <w:rsid w:val="00FE7F8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Reset numbering Char1,Reset numbering1 Char1"/>
    <w:basedOn w:val="DefaultParagraphFont"/>
    <w:uiPriority w:val="9"/>
    <w:semiHidden/>
    <w:rsid w:val="00FE7F8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Level 1 - 1 Char1"/>
    <w:basedOn w:val="DefaultParagraphFont"/>
    <w:uiPriority w:val="9"/>
    <w:semiHidden/>
    <w:rsid w:val="00FE7F8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FE7F8B"/>
    <w:pPr>
      <w:spacing w:before="96" w:after="240"/>
      <w:ind w:left="120"/>
    </w:pPr>
    <w:rPr>
      <w:lang w:eastAsia="en-AU"/>
    </w:rPr>
  </w:style>
  <w:style w:type="character" w:customStyle="1" w:styleId="NormalafterlistChar">
    <w:name w:val="Normal after list Char"/>
    <w:basedOn w:val="NormalaftertableChar"/>
    <w:link w:val="Normalafterlist"/>
    <w:locked/>
    <w:rsid w:val="00FE7F8B"/>
    <w:rPr>
      <w:rFonts w:ascii="Arial" w:eastAsia="Times New Roman" w:hAnsi="Arial" w:cs="Times New Roman"/>
      <w:color w:val="000000" w:themeColor="text1"/>
      <w:sz w:val="19"/>
      <w:szCs w:val="24"/>
    </w:rPr>
  </w:style>
  <w:style w:type="paragraph" w:customStyle="1" w:styleId="Normalafterlist">
    <w:name w:val="Normal after list"/>
    <w:basedOn w:val="Normalaftertable"/>
    <w:next w:val="Normal"/>
    <w:link w:val="NormalafterlistChar"/>
    <w:qFormat/>
    <w:rsid w:val="00FE7F8B"/>
    <w:pPr>
      <w:spacing w:before="90"/>
    </w:pPr>
  </w:style>
  <w:style w:type="character" w:customStyle="1" w:styleId="Heading2appendicesChar">
    <w:name w:val="Heading 2 appendices Char"/>
    <w:basedOn w:val="Heading2Char"/>
    <w:link w:val="Heading2appendices"/>
    <w:locked/>
    <w:rsid w:val="00FE7F8B"/>
    <w:rPr>
      <w:rFonts w:ascii="Arial" w:eastAsia="Times New Roman" w:hAnsi="Arial" w:cs="Arial"/>
      <w:bCs w:val="0"/>
      <w:iCs w:val="0"/>
      <w:color w:val="000000" w:themeColor="text1"/>
      <w:sz w:val="28"/>
      <w:szCs w:val="28"/>
    </w:rPr>
  </w:style>
  <w:style w:type="paragraph" w:customStyle="1" w:styleId="Heading2appendices">
    <w:name w:val="Heading 2 appendices"/>
    <w:basedOn w:val="Heading2"/>
    <w:next w:val="Normal"/>
    <w:link w:val="Heading2appendicesChar"/>
    <w:qFormat/>
    <w:rsid w:val="00FE7F8B"/>
    <w:rPr>
      <w:bCs w:val="0"/>
      <w:iCs w:val="0"/>
    </w:rPr>
  </w:style>
  <w:style w:type="paragraph" w:customStyle="1" w:styleId="Heading2appendicesnumbered">
    <w:name w:val="Heading 2 appendices numbered"/>
    <w:basedOn w:val="Heading2notes"/>
    <w:uiPriority w:val="99"/>
    <w:qFormat/>
    <w:rsid w:val="00FE7F8B"/>
    <w:pPr>
      <w:numPr>
        <w:numId w:val="0"/>
      </w:numPr>
      <w:tabs>
        <w:tab w:val="clear" w:pos="1134"/>
        <w:tab w:val="left" w:pos="1701"/>
      </w:tabs>
      <w:ind w:left="360" w:hanging="360"/>
    </w:pPr>
    <w:rPr>
      <w:bCs w:val="0"/>
      <w:iCs w:val="0"/>
    </w:rPr>
  </w:style>
  <w:style w:type="character" w:customStyle="1" w:styleId="FootnoteTextforobjectivestablesOHStableChar">
    <w:name w:val="Footnote Text for objectives tables &amp; OHS table Char"/>
    <w:basedOn w:val="DefaultParagraphFont"/>
    <w:link w:val="FootnoteTextforobjectivestablesOHStable"/>
    <w:locked/>
    <w:rsid w:val="00FE7F8B"/>
    <w:rPr>
      <w:rFonts w:ascii="Arial Narrow" w:eastAsia="Times New Roman" w:hAnsi="Arial Narrow" w:cs="Arial"/>
      <w:color w:val="000000" w:themeColor="text1"/>
      <w:sz w:val="15"/>
      <w:szCs w:val="16"/>
    </w:rPr>
  </w:style>
  <w:style w:type="paragraph" w:customStyle="1" w:styleId="FootnoteTextforobjectivestablesOHStable">
    <w:name w:val="Footnote Text for objectives tables &amp; OHS table"/>
    <w:basedOn w:val="Normal"/>
    <w:next w:val="Normal"/>
    <w:link w:val="FootnoteTextforobjectivestablesOHStableChar"/>
    <w:qFormat/>
    <w:rsid w:val="00FE7F8B"/>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Heading2AppendicesChar0">
    <w:name w:val="Heading 2 Appendices Char"/>
    <w:basedOn w:val="Heading2Char"/>
    <w:link w:val="Heading2Appendices0"/>
    <w:locked/>
    <w:rsid w:val="00FE7F8B"/>
    <w:rPr>
      <w:rFonts w:ascii="Arial" w:eastAsia="Times New Roman" w:hAnsi="Arial" w:cs="Arial"/>
      <w:bCs w:val="0"/>
      <w:iCs w:val="0"/>
      <w:color w:val="000000" w:themeColor="text1"/>
      <w:sz w:val="28"/>
      <w:szCs w:val="28"/>
    </w:rPr>
  </w:style>
  <w:style w:type="paragraph" w:customStyle="1" w:styleId="Heading2Appendices0">
    <w:name w:val="Heading 2 Appendices"/>
    <w:basedOn w:val="Heading2"/>
    <w:link w:val="Heading2AppendicesChar0"/>
    <w:qFormat/>
    <w:rsid w:val="00FE7F8B"/>
    <w:rPr>
      <w:bCs w:val="0"/>
      <w:iCs w:val="0"/>
    </w:rPr>
  </w:style>
  <w:style w:type="character" w:customStyle="1" w:styleId="NormallistbulletChar">
    <w:name w:val="Normal list bullet Char"/>
    <w:basedOn w:val="DefaultParagraphFont"/>
    <w:link w:val="Normallistbullet"/>
    <w:uiPriority w:val="99"/>
    <w:locked/>
    <w:rsid w:val="00FE7F8B"/>
    <w:rPr>
      <w:rFonts w:ascii="Arial" w:eastAsia="Times New Roman" w:hAnsi="Arial" w:cs="Times New Roman"/>
      <w:color w:val="000000" w:themeColor="text1"/>
      <w:sz w:val="19"/>
      <w:szCs w:val="24"/>
    </w:rPr>
  </w:style>
  <w:style w:type="paragraph" w:customStyle="1" w:styleId="Normallistbullet">
    <w:name w:val="Normal list bullet"/>
    <w:basedOn w:val="Normal"/>
    <w:next w:val="Normalafterlist"/>
    <w:link w:val="NormallistbulletChar"/>
    <w:uiPriority w:val="99"/>
    <w:qFormat/>
    <w:rsid w:val="00FE7F8B"/>
    <w:pPr>
      <w:ind w:left="717" w:hanging="360"/>
    </w:pPr>
  </w:style>
  <w:style w:type="paragraph" w:customStyle="1" w:styleId="Tablebulletlist">
    <w:name w:val="Table bullet list"/>
    <w:basedOn w:val="ListBullet"/>
    <w:uiPriority w:val="99"/>
    <w:qFormat/>
    <w:rsid w:val="00FE7F8B"/>
    <w:pPr>
      <w:numPr>
        <w:numId w:val="0"/>
      </w:numPr>
      <w:tabs>
        <w:tab w:val="clear" w:pos="170"/>
      </w:tabs>
      <w:spacing w:before="100" w:after="100" w:line="240" w:lineRule="auto"/>
      <w:ind w:left="501" w:right="122" w:hanging="360"/>
    </w:pPr>
    <w:rPr>
      <w:rFonts w:asciiTheme="minorHAnsi" w:eastAsiaTheme="minorHAnsi" w:hAnsiTheme="minorHAnsi" w:cstheme="minorBidi"/>
      <w:color w:val="343741"/>
      <w:sz w:val="16"/>
      <w:szCs w:val="16"/>
      <w:lang w:val="en-US"/>
    </w:rPr>
  </w:style>
  <w:style w:type="character" w:customStyle="1" w:styleId="ARTableheadingChar">
    <w:name w:val="AR Table heading Char"/>
    <w:basedOn w:val="ARBodyChar"/>
    <w:link w:val="ARTableheading"/>
    <w:locked/>
    <w:rsid w:val="00FE7F8B"/>
    <w:rPr>
      <w:rFonts w:ascii="Arial" w:hAnsi="Arial" w:cs="Arial"/>
      <w:b/>
      <w:i/>
      <w:snapToGrid w:val="0"/>
      <w:color w:val="000000"/>
      <w:sz w:val="17"/>
      <w:bdr w:val="none" w:sz="0" w:space="0" w:color="auto" w:frame="1"/>
    </w:rPr>
  </w:style>
  <w:style w:type="paragraph" w:customStyle="1" w:styleId="ARTableheading">
    <w:name w:val="AR Table heading"/>
    <w:basedOn w:val="ARBody"/>
    <w:next w:val="ARBody"/>
    <w:link w:val="ARTableheadingChar"/>
    <w:autoRedefine/>
    <w:qFormat/>
    <w:rsid w:val="00FE7F8B"/>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cs="Arial"/>
      <w:b/>
      <w:i/>
      <w:color w:val="000000"/>
      <w:sz w:val="17"/>
      <w:bdr w:val="none" w:sz="0" w:space="0" w:color="auto" w:frame="1"/>
    </w:rPr>
  </w:style>
  <w:style w:type="paragraph" w:customStyle="1" w:styleId="TableTextFinancial">
    <w:name w:val="Table Text Financial"/>
    <w:basedOn w:val="TableText0"/>
    <w:uiPriority w:val="99"/>
    <w:qFormat/>
    <w:rsid w:val="00FE7F8B"/>
    <w:pPr>
      <w:spacing w:before="0" w:after="60"/>
    </w:pPr>
    <w:rPr>
      <w:rFonts w:eastAsiaTheme="minorHAnsi"/>
      <w:bCs/>
      <w:sz w:val="16"/>
      <w:szCs w:val="52"/>
      <w:lang w:eastAsia="en-US"/>
    </w:rPr>
  </w:style>
  <w:style w:type="paragraph" w:customStyle="1" w:styleId="Tabledash">
    <w:name w:val="Table dash"/>
    <w:basedOn w:val="Tablebullet"/>
    <w:uiPriority w:val="9"/>
    <w:rsid w:val="00FE7F8B"/>
    <w:pPr>
      <w:widowControl/>
      <w:numPr>
        <w:numId w:val="0"/>
      </w:numPr>
      <w:tabs>
        <w:tab w:val="clear" w:pos="113"/>
        <w:tab w:val="clear" w:pos="284"/>
      </w:tabs>
      <w:autoSpaceDE/>
      <w:autoSpaceDN/>
      <w:adjustRightInd/>
      <w:spacing w:before="50" w:after="50" w:line="264" w:lineRule="auto"/>
      <w:ind w:left="576" w:hanging="288"/>
    </w:pPr>
    <w:rPr>
      <w:rFonts w:asciiTheme="minorHAnsi" w:eastAsiaTheme="minorEastAsia" w:hAnsiTheme="minorHAnsi" w:cstheme="minorBidi"/>
      <w:spacing w:val="2"/>
      <w:szCs w:val="20"/>
    </w:rPr>
  </w:style>
  <w:style w:type="paragraph" w:customStyle="1" w:styleId="Tablerowheadingoutputstables">
    <w:name w:val="Table row heading outputs tables"/>
    <w:basedOn w:val="Normal"/>
    <w:link w:val="TablerowheadingoutputstablesChar"/>
    <w:rsid w:val="00FE7F8B"/>
  </w:style>
  <w:style w:type="character" w:customStyle="1" w:styleId="TablerowheadingoutputstablesChar">
    <w:name w:val="Table row heading outputs tables Char"/>
    <w:basedOn w:val="TablerowheadingChar"/>
    <w:link w:val="Tablerowheadingoutputstables"/>
    <w:locked/>
    <w:rsid w:val="00FE7F8B"/>
    <w:rPr>
      <w:rFonts w:ascii="Arial" w:eastAsia="Times New Roman" w:hAnsi="Arial" w:cs="Times New Roman"/>
      <w:b w:val="0"/>
      <w:color w:val="000000" w:themeColor="text1"/>
      <w:sz w:val="19"/>
      <w:szCs w:val="24"/>
    </w:rPr>
  </w:style>
  <w:style w:type="paragraph" w:customStyle="1" w:styleId="Tablecolumnheadingfinancialbottomrow">
    <w:name w:val="Table column heading financial bottom row"/>
    <w:basedOn w:val="Normal"/>
    <w:link w:val="TablecolumnheadingfinancialbottomrowChar"/>
    <w:rsid w:val="00FE7F8B"/>
  </w:style>
  <w:style w:type="character" w:customStyle="1" w:styleId="TablecolumnheadingfinancialbottomrowChar">
    <w:name w:val="Table column heading financial bottom row Char"/>
    <w:basedOn w:val="TablecolumnheadingChar"/>
    <w:link w:val="Tablecolumnheadingfinancialbottomrow"/>
    <w:locked/>
    <w:rsid w:val="00FE7F8B"/>
    <w:rPr>
      <w:rFonts w:ascii="Arial" w:eastAsia="Times New Roman" w:hAnsi="Arial" w:cs="Times New Roman"/>
      <w:b w:val="0"/>
      <w:bCs w:val="0"/>
      <w:color w:val="000000" w:themeColor="text1"/>
      <w:sz w:val="19"/>
      <w:szCs w:val="24"/>
    </w:rPr>
  </w:style>
  <w:style w:type="paragraph" w:customStyle="1" w:styleId="ARHead2">
    <w:name w:val="AR Head 2"/>
    <w:basedOn w:val="Normal"/>
    <w:next w:val="Heading1"/>
    <w:autoRedefine/>
    <w:qFormat/>
    <w:rsid w:val="00201A69"/>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paragraph" w:customStyle="1" w:styleId="Body">
    <w:name w:val="Body"/>
    <w:autoRedefine/>
    <w:rsid w:val="00201A69"/>
    <w:pPr>
      <w:pBdr>
        <w:top w:val="nil"/>
        <w:left w:val="nil"/>
        <w:bottom w:val="nil"/>
        <w:right w:val="nil"/>
        <w:between w:val="nil"/>
        <w:bar w:val="nil"/>
      </w:pBdr>
      <w:spacing w:after="80"/>
    </w:pPr>
    <w:rPr>
      <w:rFonts w:eastAsia="Calibri" w:cs="Calibri"/>
      <w:color w:val="343741"/>
      <w:sz w:val="18"/>
      <w:u w:color="000000"/>
      <w:bdr w:val="nil"/>
    </w:rPr>
  </w:style>
  <w:style w:type="character" w:customStyle="1" w:styleId="CharStyle6">
    <w:name w:val="Char Style 6"/>
    <w:link w:val="Style5"/>
    <w:uiPriority w:val="99"/>
    <w:rsid w:val="00EF1327"/>
    <w:rPr>
      <w:rFonts w:ascii="Arial" w:hAnsi="Arial" w:cs="Arial"/>
      <w:i/>
      <w:iCs/>
      <w:shd w:val="clear" w:color="auto" w:fill="FFFFFF"/>
    </w:rPr>
  </w:style>
  <w:style w:type="character" w:customStyle="1" w:styleId="CharStyle7">
    <w:name w:val="Char Style 7"/>
    <w:uiPriority w:val="99"/>
    <w:rsid w:val="00EF1327"/>
    <w:rPr>
      <w:rFonts w:ascii="Arial" w:hAnsi="Arial" w:cs="Arial"/>
      <w:i/>
      <w:iCs/>
      <w:color w:val="2C2C2C"/>
      <w:spacing w:val="0"/>
      <w:sz w:val="22"/>
      <w:szCs w:val="22"/>
    </w:rPr>
  </w:style>
  <w:style w:type="character" w:customStyle="1" w:styleId="CharStyle9">
    <w:name w:val="Char Style 9"/>
    <w:link w:val="Style8"/>
    <w:uiPriority w:val="99"/>
    <w:rsid w:val="00EF1327"/>
    <w:rPr>
      <w:rFonts w:ascii="Arial" w:hAnsi="Arial" w:cs="Arial"/>
      <w:shd w:val="clear" w:color="auto" w:fill="FFFFFF"/>
    </w:rPr>
  </w:style>
  <w:style w:type="character" w:customStyle="1" w:styleId="CharStyle10">
    <w:name w:val="Char Style 10"/>
    <w:uiPriority w:val="99"/>
    <w:rsid w:val="00EF1327"/>
    <w:rPr>
      <w:rFonts w:ascii="Arial" w:hAnsi="Arial" w:cs="Arial"/>
      <w:color w:val="2C2C2C"/>
      <w:spacing w:val="0"/>
      <w:sz w:val="22"/>
      <w:szCs w:val="22"/>
    </w:rPr>
  </w:style>
  <w:style w:type="character" w:customStyle="1" w:styleId="CharStyle11">
    <w:name w:val="Char Style 11"/>
    <w:uiPriority w:val="99"/>
    <w:rsid w:val="00EF1327"/>
    <w:rPr>
      <w:rFonts w:ascii="Arial" w:hAnsi="Arial" w:cs="Arial"/>
      <w:i w:val="0"/>
      <w:iCs w:val="0"/>
      <w:color w:val="2C2C2C"/>
      <w:spacing w:val="0"/>
      <w:sz w:val="22"/>
      <w:szCs w:val="22"/>
    </w:rPr>
  </w:style>
  <w:style w:type="character" w:customStyle="1" w:styleId="CharStyle12">
    <w:name w:val="Char Style 12"/>
    <w:uiPriority w:val="99"/>
    <w:rsid w:val="00EF1327"/>
    <w:rPr>
      <w:rFonts w:ascii="Arial" w:hAnsi="Arial" w:cs="Arial"/>
      <w:i/>
      <w:iCs/>
      <w:color w:val="2C2C2C"/>
      <w:spacing w:val="0"/>
      <w:sz w:val="22"/>
      <w:szCs w:val="22"/>
    </w:rPr>
  </w:style>
  <w:style w:type="paragraph" w:customStyle="1" w:styleId="Style5">
    <w:name w:val="Style 5"/>
    <w:basedOn w:val="Normal"/>
    <w:link w:val="CharStyle6"/>
    <w:uiPriority w:val="99"/>
    <w:rsid w:val="00EF1327"/>
    <w:pPr>
      <w:widowControl w:val="0"/>
      <w:shd w:val="clear" w:color="auto" w:fill="FFFFFF"/>
      <w:spacing w:before="720" w:after="60" w:line="240" w:lineRule="atLeast"/>
      <w:jc w:val="both"/>
    </w:pPr>
    <w:rPr>
      <w:rFonts w:eastAsiaTheme="minorHAnsi" w:cs="Arial"/>
      <w:i/>
      <w:iCs/>
      <w:color w:val="auto"/>
      <w:sz w:val="22"/>
      <w:szCs w:val="22"/>
    </w:rPr>
  </w:style>
  <w:style w:type="paragraph" w:customStyle="1" w:styleId="Style8">
    <w:name w:val="Style 8"/>
    <w:basedOn w:val="Normal"/>
    <w:link w:val="CharStyle9"/>
    <w:uiPriority w:val="99"/>
    <w:rsid w:val="00EF1327"/>
    <w:pPr>
      <w:widowControl w:val="0"/>
      <w:shd w:val="clear" w:color="auto" w:fill="FFFFFF"/>
      <w:spacing w:before="60" w:after="180" w:line="274" w:lineRule="exact"/>
      <w:jc w:val="both"/>
    </w:pPr>
    <w:rPr>
      <w:rFonts w:eastAsiaTheme="minorHAnsi" w:cs="Arial"/>
      <w:color w:val="auto"/>
      <w:sz w:val="22"/>
      <w:szCs w:val="22"/>
    </w:rPr>
  </w:style>
  <w:style w:type="paragraph" w:customStyle="1" w:styleId="xFiguretext">
    <w:name w:val="x: Figure text"/>
    <w:basedOn w:val="Normal"/>
    <w:rsid w:val="00EE610D"/>
    <w:pPr>
      <w:spacing w:after="120" w:line="360" w:lineRule="auto"/>
    </w:pPr>
    <w:rPr>
      <w:rFonts w:ascii="Times New Roman" w:hAnsi="Times New Roman"/>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qFormat="1"/>
    <w:lsdException w:name="table of figures" w:uiPriority="0" w:qFormat="1"/>
    <w:lsdException w:name="annotation reference" w:uiPriority="0"/>
    <w:lsdException w:name="page number" w:uiPriority="0"/>
    <w:lsdException w:name="endnote reference" w:uiPriority="0"/>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ET Normal"/>
    <w:qFormat/>
    <w:rsid w:val="00F4550D"/>
    <w:pPr>
      <w:spacing w:after="90" w:line="220" w:lineRule="atLeast"/>
    </w:pPr>
    <w:rPr>
      <w:rFonts w:ascii="Arial" w:eastAsia="Times New Roman" w:hAnsi="Arial" w:cs="Times New Roman"/>
      <w:color w:val="000000" w:themeColor="text1"/>
      <w:sz w:val="19"/>
      <w:szCs w:val="24"/>
    </w:rPr>
  </w:style>
  <w:style w:type="paragraph" w:styleId="Heading1">
    <w:name w:val="heading 1"/>
    <w:aliases w:val="DET Heading 1,Heading 1 Section Heading"/>
    <w:basedOn w:val="Normal"/>
    <w:next w:val="Normal"/>
    <w:link w:val="Heading1Char"/>
    <w:uiPriority w:val="9"/>
    <w:qFormat/>
    <w:rsid w:val="00F41094"/>
    <w:pPr>
      <w:keepNext/>
      <w:pageBreakBefore/>
      <w:spacing w:after="180" w:line="450" w:lineRule="atLeast"/>
      <w:outlineLvl w:val="0"/>
    </w:pPr>
    <w:rPr>
      <w:rFonts w:cs="Arial"/>
      <w:bCs/>
      <w:kern w:val="32"/>
      <w:sz w:val="36"/>
      <w:szCs w:val="36"/>
    </w:rPr>
  </w:style>
  <w:style w:type="paragraph" w:styleId="Heading2">
    <w:name w:val="heading 2"/>
    <w:aliases w:val="Reset numbering,Reset numbering1"/>
    <w:basedOn w:val="Normal"/>
    <w:next w:val="Normal"/>
    <w:link w:val="Heading2Char"/>
    <w:uiPriority w:val="9"/>
    <w:qFormat/>
    <w:rsid w:val="00F41094"/>
    <w:pPr>
      <w:keepNext/>
      <w:spacing w:before="430" w:line="360" w:lineRule="atLeast"/>
      <w:outlineLvl w:val="1"/>
    </w:pPr>
    <w:rPr>
      <w:rFonts w:cs="Arial"/>
      <w:bCs/>
      <w:iCs/>
      <w:sz w:val="28"/>
      <w:szCs w:val="28"/>
    </w:rPr>
  </w:style>
  <w:style w:type="paragraph" w:styleId="Heading3">
    <w:name w:val="heading 3"/>
    <w:aliases w:val="DET Heading 3,Level 1 - 1"/>
    <w:basedOn w:val="Normal"/>
    <w:next w:val="Normal"/>
    <w:link w:val="Heading3Char"/>
    <w:uiPriority w:val="9"/>
    <w:qFormat/>
    <w:rsid w:val="00F41094"/>
    <w:pPr>
      <w:keepNext/>
      <w:spacing w:before="250" w:line="280" w:lineRule="atLeast"/>
      <w:outlineLvl w:val="2"/>
    </w:pPr>
    <w:rPr>
      <w:rFonts w:cs="Arial"/>
      <w:bCs/>
      <w:sz w:val="22"/>
      <w:szCs w:val="19"/>
    </w:rPr>
  </w:style>
  <w:style w:type="paragraph" w:styleId="Heading4">
    <w:name w:val="heading 4"/>
    <w:aliases w:val="DET Heading 4"/>
    <w:basedOn w:val="Normal"/>
    <w:next w:val="Normal"/>
    <w:link w:val="Heading4Char"/>
    <w:uiPriority w:val="9"/>
    <w:unhideWhenUsed/>
    <w:qFormat/>
    <w:rsid w:val="00391AD5"/>
    <w:pPr>
      <w:keepNext/>
      <w:tabs>
        <w:tab w:val="left" w:pos="397"/>
      </w:tabs>
      <w:spacing w:before="200"/>
      <w:outlineLvl w:val="3"/>
    </w:pPr>
    <w:rPr>
      <w:b/>
      <w:i/>
    </w:rPr>
  </w:style>
  <w:style w:type="paragraph" w:styleId="Heading5">
    <w:name w:val="heading 5"/>
    <w:basedOn w:val="Normal"/>
    <w:next w:val="Normal"/>
    <w:link w:val="Heading5Char"/>
    <w:uiPriority w:val="9"/>
    <w:unhideWhenUsed/>
    <w:qFormat/>
    <w:rsid w:val="00F41094"/>
    <w:pPr>
      <w:keepNext/>
      <w:keepLines/>
      <w:spacing w:before="200"/>
      <w:outlineLvl w:val="4"/>
    </w:pPr>
    <w:rPr>
      <w:rFonts w:eastAsiaTheme="majorEastAsia" w:cstheme="majorBidi"/>
      <w:i/>
      <w:szCs w:val="22"/>
    </w:rPr>
  </w:style>
  <w:style w:type="paragraph" w:styleId="Heading6">
    <w:name w:val="heading 6"/>
    <w:basedOn w:val="Normal"/>
    <w:next w:val="Normal"/>
    <w:link w:val="Heading6Char"/>
    <w:hidden/>
    <w:uiPriority w:val="9"/>
    <w:unhideWhenUsed/>
    <w:qFormat/>
    <w:rsid w:val="00AD2C55"/>
    <w:pPr>
      <w:keepNext/>
      <w:keepLines/>
      <w:numPr>
        <w:ilvl w:val="5"/>
        <w:numId w:val="15"/>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hidden/>
    <w:uiPriority w:val="9"/>
    <w:semiHidden/>
    <w:unhideWhenUsed/>
    <w:qFormat/>
    <w:rsid w:val="00AD2C55"/>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C55"/>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hidden/>
    <w:uiPriority w:val="9"/>
    <w:semiHidden/>
    <w:unhideWhenUsed/>
    <w:qFormat/>
    <w:rsid w:val="00AD2C55"/>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T Heading 1 Char,Heading 1 Section Heading Char"/>
    <w:basedOn w:val="DefaultParagraphFont"/>
    <w:link w:val="Heading1"/>
    <w:uiPriority w:val="9"/>
    <w:rsid w:val="00F41094"/>
    <w:rPr>
      <w:rFonts w:ascii="Arial" w:eastAsia="Times New Roman" w:hAnsi="Arial" w:cs="Arial"/>
      <w:bCs/>
      <w:color w:val="000000" w:themeColor="text1"/>
      <w:kern w:val="32"/>
      <w:sz w:val="36"/>
      <w:szCs w:val="36"/>
    </w:rPr>
  </w:style>
  <w:style w:type="character" w:customStyle="1" w:styleId="Heading2Char">
    <w:name w:val="Heading 2 Char"/>
    <w:aliases w:val="Reset numbering Char,Reset numbering1 Char"/>
    <w:basedOn w:val="DefaultParagraphFont"/>
    <w:link w:val="Heading2"/>
    <w:uiPriority w:val="9"/>
    <w:rsid w:val="00F41094"/>
    <w:rPr>
      <w:rFonts w:ascii="Arial" w:eastAsia="Times New Roman" w:hAnsi="Arial" w:cs="Arial"/>
      <w:bCs/>
      <w:iCs/>
      <w:color w:val="000000" w:themeColor="text1"/>
      <w:sz w:val="28"/>
      <w:szCs w:val="28"/>
    </w:rPr>
  </w:style>
  <w:style w:type="character" w:customStyle="1" w:styleId="Heading3Char">
    <w:name w:val="Heading 3 Char"/>
    <w:aliases w:val="DET Heading 3 Char,Level 1 - 1 Char"/>
    <w:basedOn w:val="DefaultParagraphFont"/>
    <w:link w:val="Heading3"/>
    <w:uiPriority w:val="9"/>
    <w:rsid w:val="00F41094"/>
    <w:rPr>
      <w:rFonts w:ascii="Arial" w:eastAsia="Times New Roman" w:hAnsi="Arial" w:cs="Arial"/>
      <w:bCs/>
      <w:color w:val="000000" w:themeColor="text1"/>
      <w:szCs w:val="19"/>
    </w:rPr>
  </w:style>
  <w:style w:type="character" w:customStyle="1" w:styleId="Heading4Char">
    <w:name w:val="Heading 4 Char"/>
    <w:aliases w:val="DET Heading 4 Char"/>
    <w:basedOn w:val="DefaultParagraphFont"/>
    <w:link w:val="Heading4"/>
    <w:uiPriority w:val="9"/>
    <w:rsid w:val="00391AD5"/>
    <w:rPr>
      <w:rFonts w:ascii="Arial" w:eastAsia="Times New Roman" w:hAnsi="Arial" w:cs="Times New Roman"/>
      <w:b/>
      <w:i/>
      <w:color w:val="000000" w:themeColor="text1"/>
      <w:sz w:val="19"/>
      <w:szCs w:val="24"/>
    </w:rPr>
  </w:style>
  <w:style w:type="character" w:customStyle="1" w:styleId="Heading5Char">
    <w:name w:val="Heading 5 Char"/>
    <w:basedOn w:val="DefaultParagraphFont"/>
    <w:link w:val="Heading5"/>
    <w:uiPriority w:val="9"/>
    <w:rsid w:val="00F41094"/>
    <w:rPr>
      <w:rFonts w:ascii="Arial" w:eastAsiaTheme="majorEastAsia" w:hAnsi="Arial" w:cstheme="majorBidi"/>
      <w:i/>
      <w:color w:val="000000" w:themeColor="text1"/>
      <w:sz w:val="19"/>
    </w:rPr>
  </w:style>
  <w:style w:type="character" w:customStyle="1" w:styleId="Heading6Char">
    <w:name w:val="Heading 6 Char"/>
    <w:basedOn w:val="DefaultParagraphFont"/>
    <w:link w:val="Heading6"/>
    <w:uiPriority w:val="9"/>
    <w:rsid w:val="00AD2C55"/>
    <w:rPr>
      <w:rFonts w:asciiTheme="majorHAnsi" w:eastAsiaTheme="majorEastAsia" w:hAnsiTheme="majorHAnsi" w:cstheme="majorBidi"/>
      <w:i/>
      <w:iCs/>
      <w:color w:val="243F60" w:themeColor="accent1" w:themeShade="7F"/>
    </w:rPr>
  </w:style>
  <w:style w:type="paragraph" w:styleId="Header">
    <w:name w:val="header"/>
    <w:basedOn w:val="Footer"/>
    <w:link w:val="HeaderChar"/>
    <w:hidden/>
    <w:uiPriority w:val="99"/>
    <w:rsid w:val="007F28C0"/>
    <w:pPr>
      <w:jc w:val="left"/>
    </w:pPr>
  </w:style>
  <w:style w:type="character" w:customStyle="1" w:styleId="HeaderChar">
    <w:name w:val="Header Char"/>
    <w:basedOn w:val="DefaultParagraphFont"/>
    <w:link w:val="Header"/>
    <w:uiPriority w:val="99"/>
    <w:rsid w:val="007F28C0"/>
    <w:rPr>
      <w:rFonts w:ascii="Arial" w:eastAsia="Times New Roman" w:hAnsi="Arial" w:cs="Times New Roman"/>
      <w:color w:val="000000" w:themeColor="text1"/>
      <w:spacing w:val="-1"/>
      <w:sz w:val="14"/>
      <w:szCs w:val="14"/>
    </w:rPr>
  </w:style>
  <w:style w:type="paragraph" w:styleId="Footer">
    <w:name w:val="footer"/>
    <w:basedOn w:val="Normal"/>
    <w:link w:val="FooterChar"/>
    <w:hidden/>
    <w:uiPriority w:val="99"/>
    <w:rsid w:val="007F28C0"/>
    <w:pPr>
      <w:tabs>
        <w:tab w:val="right" w:pos="8640"/>
      </w:tabs>
      <w:spacing w:after="0" w:line="240" w:lineRule="auto"/>
      <w:jc w:val="right"/>
    </w:pPr>
    <w:rPr>
      <w:spacing w:val="-1"/>
      <w:sz w:val="14"/>
      <w:szCs w:val="14"/>
    </w:rPr>
  </w:style>
  <w:style w:type="character" w:customStyle="1" w:styleId="FooterChar">
    <w:name w:val="Footer Char"/>
    <w:basedOn w:val="DefaultParagraphFont"/>
    <w:link w:val="Footer"/>
    <w:uiPriority w:val="99"/>
    <w:rsid w:val="007F28C0"/>
    <w:rPr>
      <w:rFonts w:ascii="Arial" w:eastAsia="Times New Roman" w:hAnsi="Arial" w:cs="Times New Roman"/>
      <w:color w:val="000000" w:themeColor="text1"/>
      <w:spacing w:val="-1"/>
      <w:sz w:val="14"/>
      <w:szCs w:val="14"/>
    </w:rPr>
  </w:style>
  <w:style w:type="table" w:styleId="TableColumns1">
    <w:name w:val="Table Columns 1"/>
    <w:basedOn w:val="TableNormal"/>
    <w:uiPriority w:val="99"/>
    <w:semiHidden/>
    <w:unhideWhenUsed/>
    <w:rsid w:val="00776C24"/>
    <w:pPr>
      <w:spacing w:after="9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heading">
    <w:name w:val="Table column heading"/>
    <w:basedOn w:val="Tabletext"/>
    <w:link w:val="TablecolumnheadingChar"/>
    <w:uiPriority w:val="99"/>
    <w:rsid w:val="007F28C0"/>
    <w:pPr>
      <w:keepNext/>
    </w:pPr>
    <w:rPr>
      <w:b/>
      <w:bCs/>
      <w:color w:val="FFFFFF"/>
    </w:rPr>
  </w:style>
  <w:style w:type="paragraph" w:customStyle="1" w:styleId="Tabletext">
    <w:name w:val="Table text"/>
    <w:basedOn w:val="Normal"/>
    <w:link w:val="TabletextChar"/>
    <w:uiPriority w:val="9"/>
    <w:qFormat/>
    <w:rsid w:val="007F28C0"/>
    <w:pPr>
      <w:widowControl w:val="0"/>
      <w:tabs>
        <w:tab w:val="left" w:pos="205"/>
      </w:tabs>
      <w:autoSpaceDE w:val="0"/>
      <w:autoSpaceDN w:val="0"/>
      <w:adjustRightInd w:val="0"/>
      <w:spacing w:before="80" w:after="80" w:line="240" w:lineRule="auto"/>
    </w:pPr>
    <w:rPr>
      <w:rFonts w:cs="Arial"/>
      <w:sz w:val="17"/>
      <w:szCs w:val="18"/>
    </w:rPr>
  </w:style>
  <w:style w:type="character" w:customStyle="1" w:styleId="TabletextChar">
    <w:name w:val="Table text Char"/>
    <w:basedOn w:val="DefaultParagraphFont"/>
    <w:link w:val="Tabletext"/>
    <w:uiPriority w:val="9"/>
    <w:rsid w:val="007F28C0"/>
    <w:rPr>
      <w:rFonts w:ascii="Arial" w:eastAsia="Times New Roman" w:hAnsi="Arial" w:cs="Arial"/>
      <w:color w:val="000000" w:themeColor="text1"/>
      <w:sz w:val="17"/>
      <w:szCs w:val="18"/>
    </w:rPr>
  </w:style>
  <w:style w:type="character" w:customStyle="1" w:styleId="TablecolumnheadingChar">
    <w:name w:val="Table column heading Char"/>
    <w:basedOn w:val="TabletextChar"/>
    <w:link w:val="Tablecolumnheading"/>
    <w:uiPriority w:val="99"/>
    <w:rsid w:val="007F28C0"/>
    <w:rPr>
      <w:rFonts w:ascii="Arial" w:eastAsia="Times New Roman" w:hAnsi="Arial" w:cs="Arial"/>
      <w:b/>
      <w:bCs/>
      <w:color w:val="FFFFFF"/>
      <w:sz w:val="17"/>
      <w:szCs w:val="18"/>
    </w:rPr>
  </w:style>
  <w:style w:type="paragraph" w:customStyle="1" w:styleId="TablesubheadingVPSstafftable">
    <w:name w:val="Table subheading VPS staff table"/>
    <w:basedOn w:val="Tablesubheadingfirstrow"/>
    <w:uiPriority w:val="99"/>
    <w:rsid w:val="007F28C0"/>
    <w:pPr>
      <w:spacing w:before="120"/>
    </w:pPr>
    <w:rPr>
      <w:bCs/>
      <w:sz w:val="16"/>
    </w:rPr>
  </w:style>
  <w:style w:type="paragraph" w:customStyle="1" w:styleId="Tablesubheadingfirstrow">
    <w:name w:val="Table subheading first row"/>
    <w:basedOn w:val="Tablerowheading"/>
    <w:link w:val="TablesubheadingfirstrowChar"/>
    <w:qFormat/>
    <w:rsid w:val="007F28C0"/>
    <w:pPr>
      <w:keepNext/>
      <w:spacing w:before="200" w:after="80"/>
    </w:pPr>
    <w:rPr>
      <w:snapToGrid w:val="0"/>
    </w:rPr>
  </w:style>
  <w:style w:type="paragraph" w:customStyle="1" w:styleId="Tablerowheading">
    <w:name w:val="Table row heading"/>
    <w:basedOn w:val="Normal"/>
    <w:link w:val="TablerowheadingChar"/>
    <w:rsid w:val="007F28C0"/>
    <w:pPr>
      <w:widowControl w:val="0"/>
      <w:autoSpaceDE w:val="0"/>
      <w:autoSpaceDN w:val="0"/>
      <w:adjustRightInd w:val="0"/>
      <w:spacing w:before="90" w:line="240" w:lineRule="auto"/>
    </w:pPr>
    <w:rPr>
      <w:rFonts w:cs="Arial"/>
      <w:b/>
      <w:sz w:val="17"/>
      <w:szCs w:val="18"/>
    </w:rPr>
  </w:style>
  <w:style w:type="character" w:customStyle="1" w:styleId="TablerowheadingChar">
    <w:name w:val="Table row heading Char"/>
    <w:basedOn w:val="DefaultParagraphFont"/>
    <w:link w:val="Tablerowheading"/>
    <w:rsid w:val="007F28C0"/>
    <w:rPr>
      <w:rFonts w:ascii="Arial" w:eastAsia="Times New Roman" w:hAnsi="Arial" w:cs="Arial"/>
      <w:b/>
      <w:color w:val="000000" w:themeColor="text1"/>
      <w:sz w:val="17"/>
      <w:szCs w:val="18"/>
    </w:rPr>
  </w:style>
  <w:style w:type="character" w:customStyle="1" w:styleId="TablesubheadingfirstrowChar">
    <w:name w:val="Table subheading first row Char"/>
    <w:basedOn w:val="TablerowheadingChar"/>
    <w:link w:val="Tablesubheadingfirstrow"/>
    <w:rsid w:val="007F28C0"/>
    <w:rPr>
      <w:rFonts w:ascii="Arial" w:eastAsia="Times New Roman" w:hAnsi="Arial" w:cs="Arial"/>
      <w:b/>
      <w:snapToGrid w:val="0"/>
      <w:color w:val="000000" w:themeColor="text1"/>
      <w:sz w:val="17"/>
      <w:szCs w:val="18"/>
    </w:rPr>
  </w:style>
  <w:style w:type="paragraph" w:customStyle="1" w:styleId="Imprintinformationspaced">
    <w:name w:val="Imprint information spaced"/>
    <w:basedOn w:val="Normal"/>
    <w:uiPriority w:val="99"/>
    <w:rsid w:val="007F28C0"/>
    <w:pPr>
      <w:spacing w:after="360"/>
    </w:pPr>
    <w:rPr>
      <w:sz w:val="17"/>
    </w:rPr>
  </w:style>
  <w:style w:type="table" w:styleId="TableGrid">
    <w:name w:val="Table Grid"/>
    <w:basedOn w:val="TableNormal"/>
    <w:hidden/>
    <w:uiPriority w:val="59"/>
    <w:rsid w:val="007F28C0"/>
    <w:pPr>
      <w:spacing w:after="90" w:line="2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95F83"/>
    <w:pPr>
      <w:keepNext/>
      <w:tabs>
        <w:tab w:val="left" w:pos="851"/>
        <w:tab w:val="right" w:pos="7371"/>
      </w:tabs>
      <w:spacing w:after="180"/>
      <w:ind w:left="57" w:right="567"/>
    </w:pPr>
    <w:rPr>
      <w:b/>
      <w:noProof/>
      <w:lang w:eastAsia="en-AU"/>
    </w:rPr>
  </w:style>
  <w:style w:type="paragraph" w:styleId="ListBullet">
    <w:name w:val="List Bullet"/>
    <w:basedOn w:val="Normal"/>
    <w:uiPriority w:val="99"/>
    <w:qFormat/>
    <w:rsid w:val="00F02CD2"/>
    <w:pPr>
      <w:numPr>
        <w:numId w:val="11"/>
      </w:numPr>
      <w:tabs>
        <w:tab w:val="clear" w:pos="360"/>
        <w:tab w:val="left" w:pos="170"/>
      </w:tabs>
      <w:spacing w:after="40"/>
      <w:ind w:left="142" w:hanging="142"/>
    </w:pPr>
  </w:style>
  <w:style w:type="paragraph" w:styleId="TOC3">
    <w:name w:val="toc 3"/>
    <w:basedOn w:val="Normal"/>
    <w:next w:val="Normal"/>
    <w:autoRedefine/>
    <w:hidden/>
    <w:uiPriority w:val="39"/>
    <w:rsid w:val="007F28C0"/>
    <w:pPr>
      <w:ind w:left="360"/>
    </w:pPr>
  </w:style>
  <w:style w:type="paragraph" w:styleId="TOC2">
    <w:name w:val="toc 2"/>
    <w:basedOn w:val="Normal"/>
    <w:next w:val="Normal"/>
    <w:uiPriority w:val="39"/>
    <w:rsid w:val="000A136C"/>
    <w:pPr>
      <w:tabs>
        <w:tab w:val="right" w:pos="7371"/>
      </w:tabs>
      <w:spacing w:after="220"/>
      <w:ind w:left="1418" w:right="567" w:hanging="284"/>
    </w:pPr>
    <w:rPr>
      <w:noProof/>
    </w:rPr>
  </w:style>
  <w:style w:type="paragraph" w:styleId="Caption">
    <w:name w:val="caption"/>
    <w:basedOn w:val="Normal"/>
    <w:next w:val="Normal"/>
    <w:uiPriority w:val="99"/>
    <w:qFormat/>
    <w:rsid w:val="007F28C0"/>
    <w:pPr>
      <w:keepNext/>
      <w:spacing w:before="200"/>
    </w:pPr>
    <w:rPr>
      <w:b/>
      <w:i/>
      <w:sz w:val="17"/>
    </w:rPr>
  </w:style>
  <w:style w:type="character" w:styleId="CommentReference">
    <w:name w:val="annotation reference"/>
    <w:hidden/>
    <w:unhideWhenUsed/>
    <w:rsid w:val="007F28C0"/>
    <w:rPr>
      <w:sz w:val="16"/>
      <w:szCs w:val="16"/>
    </w:rPr>
  </w:style>
  <w:style w:type="character" w:styleId="FootnoteReference">
    <w:name w:val="footnote reference"/>
    <w:aliases w:val="DET Footnote Reference"/>
    <w:uiPriority w:val="99"/>
    <w:unhideWhenUsed/>
    <w:rsid w:val="007E09BA"/>
    <w:rPr>
      <w:caps w:val="0"/>
      <w:smallCaps w:val="0"/>
      <w:strike w:val="0"/>
      <w:dstrike w:val="0"/>
      <w:vanish w:val="0"/>
      <w:vertAlign w:val="superscript"/>
    </w:rPr>
  </w:style>
  <w:style w:type="paragraph" w:customStyle="1" w:styleId="Normalaftertable">
    <w:name w:val="Normal after table"/>
    <w:basedOn w:val="Normal"/>
    <w:next w:val="Normal"/>
    <w:link w:val="NormalaftertableChar"/>
    <w:qFormat/>
    <w:rsid w:val="007F28C0"/>
    <w:pPr>
      <w:spacing w:before="130"/>
    </w:pPr>
  </w:style>
  <w:style w:type="character" w:customStyle="1" w:styleId="NormalaftertableChar">
    <w:name w:val="Normal after table Char"/>
    <w:basedOn w:val="DefaultParagraphFont"/>
    <w:link w:val="Normalaftertable"/>
    <w:rsid w:val="007F28C0"/>
    <w:rPr>
      <w:rFonts w:ascii="Arial" w:eastAsia="Times New Roman" w:hAnsi="Arial" w:cs="Times New Roman"/>
      <w:color w:val="000000" w:themeColor="text1"/>
      <w:sz w:val="19"/>
      <w:szCs w:val="24"/>
    </w:rPr>
  </w:style>
  <w:style w:type="paragraph" w:customStyle="1" w:styleId="Normalbeforelist">
    <w:name w:val="Normal before list"/>
    <w:basedOn w:val="Normal"/>
    <w:uiPriority w:val="99"/>
    <w:rsid w:val="007F28C0"/>
    <w:pPr>
      <w:keepNext/>
      <w:spacing w:after="40"/>
    </w:pPr>
    <w:rPr>
      <w:szCs w:val="20"/>
    </w:rPr>
  </w:style>
  <w:style w:type="paragraph" w:styleId="CommentText">
    <w:name w:val="annotation text"/>
    <w:basedOn w:val="Normal"/>
    <w:link w:val="CommentTextChar"/>
    <w:hidden/>
    <w:uiPriority w:val="99"/>
    <w:rsid w:val="007F28C0"/>
    <w:pPr>
      <w:spacing w:line="240" w:lineRule="auto"/>
    </w:pPr>
    <w:rPr>
      <w:sz w:val="20"/>
      <w:szCs w:val="20"/>
    </w:rPr>
  </w:style>
  <w:style w:type="character" w:customStyle="1" w:styleId="CommentTextChar">
    <w:name w:val="Comment Text Char"/>
    <w:basedOn w:val="DefaultParagraphFont"/>
    <w:link w:val="CommentText"/>
    <w:uiPriority w:val="99"/>
    <w:rsid w:val="007F28C0"/>
    <w:rPr>
      <w:rFonts w:ascii="Arial" w:eastAsia="Times New Roman" w:hAnsi="Arial" w:cs="Times New Roman"/>
      <w:color w:val="000000" w:themeColor="text1"/>
      <w:sz w:val="20"/>
      <w:szCs w:val="20"/>
    </w:rPr>
  </w:style>
  <w:style w:type="paragraph" w:customStyle="1" w:styleId="Attestationcommittalletterlargespaceafter">
    <w:name w:val="Attestation/committal letter large space after"/>
    <w:basedOn w:val="Normal"/>
    <w:uiPriority w:val="99"/>
    <w:rsid w:val="007F28C0"/>
    <w:pPr>
      <w:spacing w:after="720"/>
    </w:pPr>
    <w:rPr>
      <w:szCs w:val="20"/>
    </w:rPr>
  </w:style>
  <w:style w:type="paragraph" w:customStyle="1" w:styleId="Attestationcommitallettersmallspaceafter">
    <w:name w:val="Attestation/commital letter small space after"/>
    <w:basedOn w:val="Normal"/>
    <w:uiPriority w:val="99"/>
    <w:rsid w:val="007F28C0"/>
    <w:pPr>
      <w:spacing w:after="180"/>
    </w:pPr>
    <w:rPr>
      <w:szCs w:val="20"/>
    </w:rPr>
  </w:style>
  <w:style w:type="paragraph" w:customStyle="1" w:styleId="Contentshead">
    <w:name w:val="Contents head"/>
    <w:basedOn w:val="Heading1"/>
    <w:uiPriority w:val="99"/>
    <w:qFormat/>
    <w:rsid w:val="001F185F"/>
    <w:pPr>
      <w:spacing w:before="480" w:after="0" w:line="240" w:lineRule="auto"/>
      <w:ind w:left="851"/>
    </w:pPr>
  </w:style>
  <w:style w:type="paragraph" w:customStyle="1" w:styleId="Imprintinformation">
    <w:name w:val="Imprint  information"/>
    <w:basedOn w:val="Imprintinformationspaced"/>
    <w:uiPriority w:val="99"/>
    <w:rsid w:val="007F28C0"/>
    <w:pPr>
      <w:spacing w:after="90"/>
    </w:pPr>
    <w:rPr>
      <w:szCs w:val="20"/>
    </w:rPr>
  </w:style>
  <w:style w:type="paragraph" w:customStyle="1" w:styleId="Imrpintinformationheading">
    <w:name w:val="Imrpint information heading"/>
    <w:basedOn w:val="Imprintinformationspaced"/>
    <w:uiPriority w:val="99"/>
    <w:rsid w:val="007F28C0"/>
    <w:rPr>
      <w:b/>
      <w:bCs/>
      <w:szCs w:val="20"/>
    </w:rPr>
  </w:style>
  <w:style w:type="paragraph" w:customStyle="1" w:styleId="Indentedtext">
    <w:name w:val="Indented text"/>
    <w:basedOn w:val="Normal"/>
    <w:uiPriority w:val="99"/>
    <w:rsid w:val="007F28C0"/>
    <w:pPr>
      <w:ind w:left="170"/>
    </w:pPr>
    <w:rPr>
      <w:szCs w:val="20"/>
    </w:rPr>
  </w:style>
  <w:style w:type="paragraph" w:customStyle="1" w:styleId="Tablesuperheading">
    <w:name w:val="Table superheading"/>
    <w:basedOn w:val="Tablecolumnheading"/>
    <w:link w:val="TablesuperheadingChar"/>
    <w:qFormat/>
    <w:rsid w:val="007F28C0"/>
    <w:pPr>
      <w:spacing w:before="360"/>
    </w:pPr>
  </w:style>
  <w:style w:type="character" w:customStyle="1" w:styleId="TablesuperheadingChar">
    <w:name w:val="Table superheading Char"/>
    <w:basedOn w:val="TablecolumnheadingChar"/>
    <w:link w:val="Tablesuperheading"/>
    <w:rsid w:val="007F28C0"/>
    <w:rPr>
      <w:rFonts w:ascii="Arial" w:eastAsia="Times New Roman" w:hAnsi="Arial" w:cs="Arial"/>
      <w:b/>
      <w:bCs/>
      <w:color w:val="FFFFFF"/>
      <w:sz w:val="17"/>
      <w:szCs w:val="18"/>
    </w:rPr>
  </w:style>
  <w:style w:type="paragraph" w:styleId="CommentSubject">
    <w:name w:val="annotation subject"/>
    <w:basedOn w:val="CommentText"/>
    <w:next w:val="CommentText"/>
    <w:link w:val="CommentSubjectChar"/>
    <w:hidden/>
    <w:uiPriority w:val="99"/>
    <w:rsid w:val="007F28C0"/>
    <w:rPr>
      <w:b/>
      <w:bCs/>
    </w:rPr>
  </w:style>
  <w:style w:type="character" w:customStyle="1" w:styleId="CommentSubjectChar">
    <w:name w:val="Comment Subject Char"/>
    <w:basedOn w:val="CommentTextChar"/>
    <w:link w:val="CommentSubject"/>
    <w:uiPriority w:val="99"/>
    <w:rsid w:val="007F28C0"/>
    <w:rPr>
      <w:rFonts w:ascii="Arial" w:eastAsia="Times New Roman" w:hAnsi="Arial" w:cs="Times New Roman"/>
      <w:b/>
      <w:bCs/>
      <w:color w:val="000000" w:themeColor="text1"/>
      <w:sz w:val="20"/>
      <w:szCs w:val="20"/>
    </w:rPr>
  </w:style>
  <w:style w:type="paragraph" w:customStyle="1" w:styleId="Heading4pagebreakbefore">
    <w:name w:val="Heading 4 page break before"/>
    <w:basedOn w:val="Heading4"/>
    <w:link w:val="Heading4pagebreakbeforeChar"/>
    <w:qFormat/>
    <w:rsid w:val="007F28C0"/>
    <w:pPr>
      <w:pageBreakBefore/>
      <w:spacing w:before="0"/>
    </w:pPr>
    <w:rPr>
      <w:bCs/>
      <w:iCs/>
    </w:rPr>
  </w:style>
  <w:style w:type="character" w:customStyle="1" w:styleId="Heading4pagebreakbeforeChar">
    <w:name w:val="Heading 4 page break before Char"/>
    <w:basedOn w:val="Heading4Char"/>
    <w:link w:val="Heading4pagebreakbefore"/>
    <w:rsid w:val="007F28C0"/>
    <w:rPr>
      <w:rFonts w:ascii="Arial" w:eastAsia="Times New Roman" w:hAnsi="Arial" w:cs="Times New Roman"/>
      <w:b/>
      <w:bCs/>
      <w:i/>
      <w:iCs/>
      <w:color w:val="000000" w:themeColor="text1"/>
      <w:sz w:val="19"/>
      <w:szCs w:val="24"/>
    </w:rPr>
  </w:style>
  <w:style w:type="paragraph" w:customStyle="1" w:styleId="TablerowheadingVPSstafftable">
    <w:name w:val="Table row heading VPS staff table"/>
    <w:basedOn w:val="Tablerowheading"/>
    <w:uiPriority w:val="99"/>
    <w:rsid w:val="007F28C0"/>
    <w:pPr>
      <w:keepNext/>
      <w:spacing w:before="0" w:after="0"/>
    </w:pPr>
    <w:rPr>
      <w:bCs/>
      <w:sz w:val="16"/>
    </w:rPr>
  </w:style>
  <w:style w:type="table" w:styleId="TableList1">
    <w:name w:val="Table List 1"/>
    <w:basedOn w:val="TableNormal"/>
    <w:uiPriority w:val="99"/>
    <w:unhideWhenUsed/>
    <w:rsid w:val="00776C24"/>
    <w:pPr>
      <w:spacing w:after="9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hidden/>
    <w:rsid w:val="007F28C0"/>
  </w:style>
  <w:style w:type="paragraph" w:styleId="EndnoteText">
    <w:name w:val="endnote text"/>
    <w:basedOn w:val="Normal"/>
    <w:link w:val="EndnoteTextChar"/>
    <w:hidden/>
    <w:uiPriority w:val="99"/>
    <w:rsid w:val="007F28C0"/>
    <w:pPr>
      <w:spacing w:after="0" w:line="240" w:lineRule="auto"/>
    </w:pPr>
    <w:rPr>
      <w:color w:val="747378"/>
      <w:sz w:val="20"/>
      <w:szCs w:val="20"/>
    </w:rPr>
  </w:style>
  <w:style w:type="character" w:customStyle="1" w:styleId="EndnoteTextChar">
    <w:name w:val="Endnote Text Char"/>
    <w:basedOn w:val="DefaultParagraphFont"/>
    <w:link w:val="EndnoteText"/>
    <w:uiPriority w:val="99"/>
    <w:rsid w:val="007F28C0"/>
    <w:rPr>
      <w:rFonts w:ascii="Arial" w:eastAsia="Times New Roman" w:hAnsi="Arial" w:cs="Times New Roman"/>
      <w:color w:val="747378"/>
      <w:sz w:val="20"/>
      <w:szCs w:val="20"/>
    </w:rPr>
  </w:style>
  <w:style w:type="paragraph" w:customStyle="1" w:styleId="Tabletextobjectivestablesnarrow">
    <w:name w:val="Table text objectives tables narrow"/>
    <w:basedOn w:val="Tabletextobjectivestables"/>
    <w:uiPriority w:val="99"/>
    <w:qFormat/>
    <w:rsid w:val="00A31B6D"/>
    <w:pPr>
      <w:spacing w:before="40" w:after="40"/>
      <w:jc w:val="center"/>
    </w:pPr>
    <w:rPr>
      <w:rFonts w:ascii="Arial Narrow" w:hAnsi="Arial Narrow"/>
    </w:rPr>
  </w:style>
  <w:style w:type="paragraph" w:customStyle="1" w:styleId="Tabletextobjectivestables">
    <w:name w:val="Table text objectives tables"/>
    <w:basedOn w:val="Tabletext"/>
    <w:link w:val="TabletextobjectivestablesChar"/>
    <w:qFormat/>
    <w:rsid w:val="007A55AC"/>
    <w:rPr>
      <w:sz w:val="16"/>
      <w:szCs w:val="16"/>
    </w:rPr>
  </w:style>
  <w:style w:type="character" w:customStyle="1" w:styleId="TabletextobjectivestablesChar">
    <w:name w:val="Table text objectives tables Char"/>
    <w:basedOn w:val="TabletextChar"/>
    <w:link w:val="Tabletextobjectivestables"/>
    <w:rsid w:val="007A55AC"/>
    <w:rPr>
      <w:rFonts w:ascii="Arial" w:eastAsia="Times New Roman" w:hAnsi="Arial" w:cs="Arial"/>
      <w:color w:val="000000" w:themeColor="text1"/>
      <w:sz w:val="16"/>
      <w:szCs w:val="16"/>
    </w:rPr>
  </w:style>
  <w:style w:type="paragraph" w:customStyle="1" w:styleId="Tablerowheadingobjectivestables">
    <w:name w:val="Table row heading objectives tables"/>
    <w:basedOn w:val="Tablerowheading"/>
    <w:link w:val="TablerowheadingobjectivestablesChar"/>
    <w:qFormat/>
    <w:rsid w:val="00A31B6D"/>
    <w:pPr>
      <w:widowControl/>
    </w:pPr>
    <w:rPr>
      <w:rFonts w:ascii="Arial Narrow" w:hAnsi="Arial Narrow"/>
      <w:color w:val="auto"/>
      <w:sz w:val="16"/>
      <w:szCs w:val="16"/>
    </w:rPr>
  </w:style>
  <w:style w:type="character" w:customStyle="1" w:styleId="TablerowheadingobjectivestablesChar">
    <w:name w:val="Table row heading objectives tables Char"/>
    <w:basedOn w:val="TablerowheadingChar"/>
    <w:link w:val="Tablerowheadingobjectivestables"/>
    <w:rsid w:val="00A31B6D"/>
    <w:rPr>
      <w:rFonts w:ascii="Arial Narrow" w:eastAsia="Times New Roman" w:hAnsi="Arial Narrow" w:cs="Arial"/>
      <w:b/>
      <w:color w:val="000000" w:themeColor="text1"/>
      <w:sz w:val="16"/>
      <w:szCs w:val="16"/>
    </w:rPr>
  </w:style>
  <w:style w:type="paragraph" w:customStyle="1" w:styleId="Tablecolumnheadingobjectivestables">
    <w:name w:val="Table column heading objectives tables"/>
    <w:basedOn w:val="Tablecolumnheading"/>
    <w:link w:val="TablecolumnheadingobjectivestablesChar"/>
    <w:qFormat/>
    <w:rsid w:val="007F28C0"/>
    <w:rPr>
      <w:b w:val="0"/>
      <w:sz w:val="16"/>
      <w:szCs w:val="16"/>
      <w:lang w:val="en-US"/>
    </w:rPr>
  </w:style>
  <w:style w:type="character" w:customStyle="1" w:styleId="TablecolumnheadingobjectivestablesChar">
    <w:name w:val="Table column heading objectives tables Char"/>
    <w:basedOn w:val="TablecolumnheadingChar"/>
    <w:link w:val="Tablecolumnheadingobjectivestables"/>
    <w:rsid w:val="007F28C0"/>
    <w:rPr>
      <w:rFonts w:ascii="Arial" w:eastAsia="Times New Roman" w:hAnsi="Arial" w:cs="Arial"/>
      <w:b w:val="0"/>
      <w:bCs/>
      <w:color w:val="FFFFFF"/>
      <w:sz w:val="16"/>
      <w:szCs w:val="16"/>
      <w:lang w:val="en-US"/>
    </w:rPr>
  </w:style>
  <w:style w:type="paragraph" w:styleId="HTMLAddress">
    <w:name w:val="HTML Address"/>
    <w:basedOn w:val="Normal"/>
    <w:link w:val="HTMLAddressChar"/>
    <w:uiPriority w:val="99"/>
    <w:semiHidden/>
    <w:unhideWhenUsed/>
    <w:rsid w:val="00776C24"/>
    <w:pPr>
      <w:spacing w:after="0" w:line="240" w:lineRule="auto"/>
    </w:pPr>
    <w:rPr>
      <w:i/>
      <w:iCs/>
    </w:rPr>
  </w:style>
  <w:style w:type="character" w:customStyle="1" w:styleId="HTMLAddressChar">
    <w:name w:val="HTML Address Char"/>
    <w:basedOn w:val="DefaultParagraphFont"/>
    <w:link w:val="HTMLAddress"/>
    <w:uiPriority w:val="99"/>
    <w:semiHidden/>
    <w:rsid w:val="00776C24"/>
    <w:rPr>
      <w:rFonts w:ascii="Arial" w:eastAsia="Times New Roman" w:hAnsi="Arial" w:cs="Times New Roman"/>
      <w:i/>
      <w:iCs/>
      <w:color w:val="000000" w:themeColor="text1"/>
      <w:sz w:val="19"/>
      <w:szCs w:val="24"/>
    </w:rPr>
  </w:style>
  <w:style w:type="paragraph" w:customStyle="1" w:styleId="TablerowheadingoutputtablesAchievementsEngagement">
    <w:name w:val="Table row heading output tables Achievements &amp; Engagement"/>
    <w:basedOn w:val="Tablerowheadingobjectivestables"/>
    <w:uiPriority w:val="99"/>
    <w:rsid w:val="007F28C0"/>
    <w:pPr>
      <w:spacing w:before="40" w:after="40"/>
    </w:pPr>
    <w:rPr>
      <w:rFonts w:cs="Times New Roman"/>
      <w:bCs/>
      <w:szCs w:val="20"/>
    </w:rPr>
  </w:style>
  <w:style w:type="paragraph" w:customStyle="1" w:styleId="DETTablerowheadingoutputstables">
    <w:name w:val="DET Table row heading outputs tables"/>
    <w:basedOn w:val="Tablecolumnheading"/>
    <w:link w:val="DETTablerowheadingoutputstablesChar"/>
    <w:qFormat/>
    <w:rsid w:val="0017233C"/>
    <w:rPr>
      <w:color w:val="FFFFFF" w:themeColor="background1"/>
      <w:sz w:val="16"/>
      <w:szCs w:val="15"/>
    </w:rPr>
  </w:style>
  <w:style w:type="character" w:customStyle="1" w:styleId="DETTablerowheadingoutputstablesChar">
    <w:name w:val="DET Table row heading outputs tables Char"/>
    <w:basedOn w:val="TablerowheadingChar"/>
    <w:link w:val="DETTablerowheadingoutputstables"/>
    <w:rsid w:val="0017233C"/>
    <w:rPr>
      <w:rFonts w:ascii="Arial" w:eastAsia="Times New Roman" w:hAnsi="Arial" w:cs="Arial"/>
      <w:b/>
      <w:bCs/>
      <w:color w:val="FFFFFF" w:themeColor="background1"/>
      <w:sz w:val="16"/>
      <w:szCs w:val="15"/>
    </w:rPr>
  </w:style>
  <w:style w:type="paragraph" w:customStyle="1" w:styleId="TablerowheadingobjectivestablesAchievements">
    <w:name w:val="Table row heading objectives tables Achievements"/>
    <w:basedOn w:val="Tablerowheadingobjectivestables"/>
    <w:uiPriority w:val="99"/>
    <w:rsid w:val="00C67CDF"/>
    <w:pPr>
      <w:spacing w:before="40" w:after="0"/>
    </w:pPr>
    <w:rPr>
      <w:rFonts w:cs="Times New Roman"/>
      <w:bCs/>
      <w:szCs w:val="20"/>
    </w:rPr>
  </w:style>
  <w:style w:type="paragraph" w:customStyle="1" w:styleId="Heading3aftertable">
    <w:name w:val="Heading 3 after table"/>
    <w:basedOn w:val="Heading3"/>
    <w:uiPriority w:val="99"/>
    <w:rsid w:val="007F28C0"/>
    <w:pPr>
      <w:spacing w:before="360"/>
    </w:pPr>
    <w:rPr>
      <w:rFonts w:cs="Times New Roman"/>
      <w:szCs w:val="20"/>
    </w:rPr>
  </w:style>
  <w:style w:type="paragraph" w:customStyle="1" w:styleId="Heading4aftertable">
    <w:name w:val="Heading 4 after table"/>
    <w:basedOn w:val="Heading4"/>
    <w:uiPriority w:val="99"/>
    <w:rsid w:val="007F28C0"/>
    <w:pPr>
      <w:spacing w:before="360"/>
    </w:pPr>
    <w:rPr>
      <w:iCs/>
      <w:szCs w:val="20"/>
    </w:rPr>
  </w:style>
  <w:style w:type="paragraph" w:styleId="Revision">
    <w:name w:val="Revision"/>
    <w:hidden/>
    <w:uiPriority w:val="99"/>
    <w:semiHidden/>
    <w:rsid w:val="00D73748"/>
    <w:pPr>
      <w:spacing w:after="0" w:line="240" w:lineRule="auto"/>
    </w:pPr>
    <w:rPr>
      <w:rFonts w:ascii="Arial" w:eastAsia="Times New Roman" w:hAnsi="Arial" w:cs="Times New Roman"/>
      <w:color w:val="747378"/>
      <w:sz w:val="19"/>
      <w:szCs w:val="24"/>
    </w:rPr>
  </w:style>
  <w:style w:type="paragraph" w:customStyle="1" w:styleId="Tablecolumnheadingfinancialmiddlerow">
    <w:name w:val="Table column heading financial middle row"/>
    <w:basedOn w:val="Tablecolumnheading"/>
    <w:next w:val="DETTablecolumnheading"/>
    <w:uiPriority w:val="99"/>
    <w:rsid w:val="007F28C0"/>
    <w:pPr>
      <w:spacing w:before="0" w:after="0"/>
      <w:jc w:val="center"/>
    </w:pPr>
    <w:rPr>
      <w:rFonts w:cs="Times New Roman"/>
      <w:szCs w:val="20"/>
    </w:rPr>
  </w:style>
  <w:style w:type="paragraph" w:customStyle="1" w:styleId="DETTablecolumnheading">
    <w:name w:val="DET Table column heading"/>
    <w:basedOn w:val="Tablecolumnheading"/>
    <w:link w:val="DETTablecolumnheadingChar"/>
    <w:qFormat/>
    <w:rsid w:val="004B1764"/>
    <w:pPr>
      <w:jc w:val="center"/>
    </w:pPr>
  </w:style>
  <w:style w:type="character" w:customStyle="1" w:styleId="DETTablecolumnheadingChar">
    <w:name w:val="DET Table column heading Char"/>
    <w:basedOn w:val="TablecolumnheadingChar"/>
    <w:link w:val="DETTablecolumnheading"/>
    <w:rsid w:val="004B1764"/>
    <w:rPr>
      <w:rFonts w:ascii="Arial" w:eastAsia="Times New Roman" w:hAnsi="Arial" w:cs="Arial"/>
      <w:b/>
      <w:bCs/>
      <w:color w:val="FFFFFF"/>
      <w:sz w:val="17"/>
      <w:szCs w:val="18"/>
    </w:rPr>
  </w:style>
  <w:style w:type="paragraph" w:customStyle="1" w:styleId="Captionaftertable">
    <w:name w:val="Caption after table"/>
    <w:basedOn w:val="Caption"/>
    <w:uiPriority w:val="99"/>
    <w:rsid w:val="007F28C0"/>
    <w:pPr>
      <w:spacing w:before="360"/>
    </w:pPr>
    <w:rPr>
      <w:iCs/>
      <w:szCs w:val="20"/>
    </w:rPr>
  </w:style>
  <w:style w:type="paragraph" w:customStyle="1" w:styleId="Captionbeforechart">
    <w:name w:val="Caption before chart"/>
    <w:basedOn w:val="Caption"/>
    <w:uiPriority w:val="99"/>
    <w:rsid w:val="007F28C0"/>
    <w:pPr>
      <w:spacing w:after="0"/>
    </w:pPr>
    <w:rPr>
      <w:iCs/>
      <w:szCs w:val="20"/>
    </w:rPr>
  </w:style>
  <w:style w:type="paragraph" w:customStyle="1" w:styleId="ListBulletbeforetable">
    <w:name w:val="List Bullet before table"/>
    <w:basedOn w:val="ListBullet"/>
    <w:uiPriority w:val="99"/>
    <w:rsid w:val="007F28C0"/>
    <w:pPr>
      <w:numPr>
        <w:numId w:val="0"/>
      </w:numPr>
      <w:spacing w:after="90"/>
    </w:pPr>
    <w:rPr>
      <w:szCs w:val="20"/>
    </w:rPr>
  </w:style>
  <w:style w:type="paragraph" w:styleId="Salutation">
    <w:name w:val="Salutation"/>
    <w:basedOn w:val="Normal"/>
    <w:next w:val="Normal"/>
    <w:link w:val="SalutationChar"/>
    <w:uiPriority w:val="99"/>
    <w:semiHidden/>
    <w:unhideWhenUsed/>
    <w:rsid w:val="00776C24"/>
  </w:style>
  <w:style w:type="character" w:customStyle="1" w:styleId="SalutationChar">
    <w:name w:val="Salutation Char"/>
    <w:basedOn w:val="DefaultParagraphFont"/>
    <w:link w:val="Salutation"/>
    <w:uiPriority w:val="99"/>
    <w:semiHidden/>
    <w:rsid w:val="00776C24"/>
    <w:rPr>
      <w:rFonts w:ascii="Arial" w:eastAsia="Times New Roman" w:hAnsi="Arial" w:cs="Times New Roman"/>
      <w:color w:val="000000" w:themeColor="text1"/>
      <w:sz w:val="19"/>
      <w:szCs w:val="24"/>
    </w:rPr>
  </w:style>
  <w:style w:type="paragraph" w:styleId="DocumentMap">
    <w:name w:val="Document Map"/>
    <w:basedOn w:val="Normal"/>
    <w:link w:val="DocumentMapChar"/>
    <w:hidden/>
    <w:uiPriority w:val="99"/>
    <w:semiHidden/>
    <w:rsid w:val="007F28C0"/>
    <w:pPr>
      <w:shd w:val="clear" w:color="auto" w:fill="000080"/>
      <w:spacing w:after="0" w:line="240" w:lineRule="auto"/>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7F28C0"/>
    <w:rPr>
      <w:rFonts w:ascii="Tahoma" w:eastAsia="Times New Roman" w:hAnsi="Tahoma" w:cs="Tahoma"/>
      <w:sz w:val="20"/>
      <w:szCs w:val="20"/>
      <w:shd w:val="clear" w:color="auto" w:fill="000080"/>
    </w:rPr>
  </w:style>
  <w:style w:type="paragraph" w:styleId="ListParagraph">
    <w:name w:val="List Paragraph"/>
    <w:basedOn w:val="Normal"/>
    <w:hidden/>
    <w:uiPriority w:val="34"/>
    <w:qFormat/>
    <w:rsid w:val="007F28C0"/>
    <w:pPr>
      <w:spacing w:after="0" w:line="240" w:lineRule="auto"/>
      <w:ind w:left="720"/>
      <w:contextualSpacing/>
    </w:pPr>
    <w:rPr>
      <w:rFonts w:ascii="Times New Roman" w:hAnsi="Times New Roman"/>
      <w:color w:val="auto"/>
      <w:sz w:val="24"/>
      <w:szCs w:val="20"/>
    </w:rPr>
  </w:style>
  <w:style w:type="paragraph" w:customStyle="1" w:styleId="Heading2financialstatements">
    <w:name w:val="Heading 2 financial statements"/>
    <w:basedOn w:val="Heading2"/>
    <w:link w:val="Heading2financialstatementsChar"/>
    <w:qFormat/>
    <w:rsid w:val="007F28C0"/>
  </w:style>
  <w:style w:type="character" w:customStyle="1" w:styleId="Heading2financialstatementsChar">
    <w:name w:val="Heading 2 financial statements Char"/>
    <w:basedOn w:val="Heading2Char"/>
    <w:link w:val="Heading2financialstatements"/>
    <w:rsid w:val="007F28C0"/>
    <w:rPr>
      <w:rFonts w:ascii="Arial" w:eastAsia="Times New Roman" w:hAnsi="Arial" w:cs="Arial"/>
      <w:bCs/>
      <w:iCs/>
      <w:color w:val="000000" w:themeColor="text1"/>
      <w:sz w:val="28"/>
      <w:szCs w:val="28"/>
    </w:rPr>
  </w:style>
  <w:style w:type="paragraph" w:customStyle="1" w:styleId="TOCheadingendmatter">
    <w:name w:val="TOC heading endmatter"/>
    <w:basedOn w:val="Heading2financialstatements"/>
    <w:link w:val="TOCheadingendmatterChar"/>
    <w:qFormat/>
    <w:rsid w:val="007F28C0"/>
    <w:pPr>
      <w:outlineLvl w:val="9"/>
    </w:pPr>
  </w:style>
  <w:style w:type="character" w:customStyle="1" w:styleId="TOCheadingendmatterChar">
    <w:name w:val="TOC heading endmatter Char"/>
    <w:basedOn w:val="Heading2financialstatementsChar"/>
    <w:link w:val="TOCheadingendmatter"/>
    <w:rsid w:val="007F28C0"/>
    <w:rPr>
      <w:rFonts w:ascii="Arial" w:eastAsia="Times New Roman" w:hAnsi="Arial" w:cs="Arial"/>
      <w:bCs/>
      <w:iCs/>
      <w:color w:val="000000" w:themeColor="text1"/>
      <w:sz w:val="28"/>
      <w:szCs w:val="28"/>
    </w:rPr>
  </w:style>
  <w:style w:type="paragraph" w:styleId="PlainText">
    <w:name w:val="Plain Text"/>
    <w:basedOn w:val="Normal"/>
    <w:link w:val="PlainTextChar"/>
    <w:hidden/>
    <w:uiPriority w:val="99"/>
    <w:semiHidden/>
    <w:unhideWhenUsed/>
    <w:rsid w:val="007F28C0"/>
    <w:pPr>
      <w:spacing w:after="0"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F28C0"/>
    <w:rPr>
      <w:rFonts w:ascii="Calibri" w:hAnsi="Calibri" w:cs="Consolas"/>
      <w:szCs w:val="21"/>
    </w:rPr>
  </w:style>
  <w:style w:type="paragraph" w:customStyle="1" w:styleId="TabletextVPSstafftable">
    <w:name w:val="Table text VPS staff table"/>
    <w:basedOn w:val="Tabletext"/>
    <w:uiPriority w:val="99"/>
    <w:rsid w:val="007F28C0"/>
    <w:rPr>
      <w:sz w:val="16"/>
    </w:rPr>
  </w:style>
  <w:style w:type="paragraph" w:customStyle="1" w:styleId="Heading2notes">
    <w:name w:val="Heading 2 notes"/>
    <w:basedOn w:val="Heading2financialstatements"/>
    <w:link w:val="Heading2notesChar"/>
    <w:uiPriority w:val="99"/>
    <w:qFormat/>
    <w:rsid w:val="0099731B"/>
    <w:pPr>
      <w:numPr>
        <w:numId w:val="10"/>
      </w:numPr>
      <w:tabs>
        <w:tab w:val="left" w:pos="1134"/>
      </w:tabs>
    </w:pPr>
  </w:style>
  <w:style w:type="character" w:customStyle="1" w:styleId="Heading2notesChar">
    <w:name w:val="Heading 2 notes Char"/>
    <w:basedOn w:val="Heading2financialstatementsChar"/>
    <w:link w:val="Heading2notes"/>
    <w:uiPriority w:val="99"/>
    <w:rsid w:val="0099731B"/>
    <w:rPr>
      <w:rFonts w:ascii="Arial" w:eastAsia="Times New Roman" w:hAnsi="Arial" w:cs="Arial"/>
      <w:bCs/>
      <w:iCs/>
      <w:color w:val="000000" w:themeColor="text1"/>
      <w:sz w:val="28"/>
      <w:szCs w:val="28"/>
    </w:rPr>
  </w:style>
  <w:style w:type="character" w:styleId="HTMLCite">
    <w:name w:val="HTML Cite"/>
    <w:basedOn w:val="DefaultParagraphFont"/>
    <w:uiPriority w:val="99"/>
    <w:semiHidden/>
    <w:unhideWhenUsed/>
    <w:rsid w:val="00776C24"/>
    <w:rPr>
      <w:i/>
      <w:iCs/>
    </w:rPr>
  </w:style>
  <w:style w:type="character" w:styleId="HTMLCode">
    <w:name w:val="HTML Code"/>
    <w:basedOn w:val="DefaultParagraphFont"/>
    <w:uiPriority w:val="99"/>
    <w:semiHidden/>
    <w:unhideWhenUsed/>
    <w:rsid w:val="00776C24"/>
    <w:rPr>
      <w:rFonts w:ascii="Consolas" w:hAnsi="Consolas" w:cs="Consolas"/>
      <w:sz w:val="20"/>
      <w:szCs w:val="20"/>
    </w:rPr>
  </w:style>
  <w:style w:type="paragraph" w:customStyle="1" w:styleId="Heading4notes">
    <w:name w:val="Heading 4 notes"/>
    <w:basedOn w:val="Heading4"/>
    <w:link w:val="Heading4notesChar"/>
    <w:qFormat/>
    <w:rsid w:val="007F28C0"/>
  </w:style>
  <w:style w:type="character" w:customStyle="1" w:styleId="Heading4notesChar">
    <w:name w:val="Heading 4 notes Char"/>
    <w:basedOn w:val="Heading4Char"/>
    <w:link w:val="Heading4notes"/>
    <w:rsid w:val="007F28C0"/>
    <w:rPr>
      <w:rFonts w:ascii="Arial" w:eastAsia="Times New Roman" w:hAnsi="Arial" w:cs="Times New Roman"/>
      <w:b/>
      <w:i/>
      <w:color w:val="000000" w:themeColor="text1"/>
      <w:sz w:val="19"/>
      <w:szCs w:val="24"/>
    </w:rPr>
  </w:style>
  <w:style w:type="paragraph" w:customStyle="1" w:styleId="DETNormalafterlist">
    <w:name w:val="DET Normal after list"/>
    <w:basedOn w:val="Normalaftertable"/>
    <w:next w:val="Normal"/>
    <w:link w:val="DETNormalafterlistChar"/>
    <w:qFormat/>
    <w:rsid w:val="00CD091A"/>
    <w:pPr>
      <w:spacing w:before="240"/>
    </w:pPr>
  </w:style>
  <w:style w:type="character" w:customStyle="1" w:styleId="DETNormalafterlistChar">
    <w:name w:val="DET Normal after list Char"/>
    <w:basedOn w:val="NormalaftertableChar"/>
    <w:link w:val="DETNormalafterlist"/>
    <w:rsid w:val="00CD091A"/>
    <w:rPr>
      <w:rFonts w:ascii="Arial" w:eastAsia="Times New Roman" w:hAnsi="Arial" w:cs="Times New Roman"/>
      <w:color w:val="000000" w:themeColor="text1"/>
      <w:sz w:val="19"/>
      <w:szCs w:val="24"/>
    </w:rPr>
  </w:style>
  <w:style w:type="paragraph" w:styleId="BalloonText">
    <w:name w:val="Balloon Text"/>
    <w:basedOn w:val="Normal"/>
    <w:link w:val="BalloonTextChar"/>
    <w:hidden/>
    <w:uiPriority w:val="99"/>
    <w:unhideWhenUsed/>
    <w:rsid w:val="007F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28C0"/>
    <w:rPr>
      <w:rFonts w:ascii="Tahoma" w:eastAsia="Times New Roman" w:hAnsi="Tahoma" w:cs="Tahoma"/>
      <w:color w:val="000000" w:themeColor="text1"/>
      <w:sz w:val="16"/>
      <w:szCs w:val="16"/>
    </w:rPr>
  </w:style>
  <w:style w:type="paragraph" w:customStyle="1" w:styleId="Tablecolumnheadingfinancialtoprow">
    <w:name w:val="Table column heading financial top row"/>
    <w:basedOn w:val="Tablecolumnheading"/>
    <w:link w:val="TablecolumnheadingfinancialtoprowChar"/>
    <w:rsid w:val="007F28C0"/>
    <w:pPr>
      <w:spacing w:after="0"/>
      <w:jc w:val="center"/>
    </w:pPr>
  </w:style>
  <w:style w:type="character" w:customStyle="1" w:styleId="TablecolumnheadingfinancialtoprowChar">
    <w:name w:val="Table column heading financial top row Char"/>
    <w:basedOn w:val="TabletextChar"/>
    <w:link w:val="Tablecolumnheadingfinancialtoprow"/>
    <w:rsid w:val="007F28C0"/>
    <w:rPr>
      <w:rFonts w:ascii="Arial" w:eastAsia="Times New Roman" w:hAnsi="Arial" w:cs="Arial"/>
      <w:b/>
      <w:bCs/>
      <w:color w:val="FFFFFF"/>
      <w:sz w:val="17"/>
      <w:szCs w:val="18"/>
    </w:rPr>
  </w:style>
  <w:style w:type="paragraph" w:customStyle="1" w:styleId="Tabletotal">
    <w:name w:val="Table total"/>
    <w:basedOn w:val="Normal"/>
    <w:link w:val="TabletotalChar"/>
    <w:qFormat/>
    <w:rsid w:val="007F28C0"/>
    <w:pPr>
      <w:widowControl w:val="0"/>
      <w:tabs>
        <w:tab w:val="left" w:pos="205"/>
      </w:tabs>
      <w:spacing w:before="40" w:after="200"/>
    </w:pPr>
    <w:rPr>
      <w:rFonts w:cs="Arial"/>
      <w:b/>
      <w:sz w:val="17"/>
    </w:rPr>
  </w:style>
  <w:style w:type="character" w:customStyle="1" w:styleId="TabletotalChar">
    <w:name w:val="Table total Char"/>
    <w:basedOn w:val="DefaultParagraphFont"/>
    <w:link w:val="Tabletotal"/>
    <w:rsid w:val="007F28C0"/>
    <w:rPr>
      <w:rFonts w:ascii="Arial" w:eastAsia="Times New Roman" w:hAnsi="Arial" w:cs="Arial"/>
      <w:b/>
      <w:color w:val="000000" w:themeColor="text1"/>
      <w:sz w:val="17"/>
      <w:szCs w:val="24"/>
    </w:rPr>
  </w:style>
  <w:style w:type="paragraph" w:customStyle="1" w:styleId="Tablesubheadingsubsequentrow">
    <w:name w:val="Table subheading subsequent row"/>
    <w:basedOn w:val="Tablesubheadingfirstrow"/>
    <w:link w:val="TablesubheadingsubsequentrowChar"/>
    <w:qFormat/>
    <w:rsid w:val="007F28C0"/>
    <w:pPr>
      <w:spacing w:before="0"/>
    </w:pPr>
  </w:style>
  <w:style w:type="character" w:customStyle="1" w:styleId="TablesubheadingsubsequentrowChar">
    <w:name w:val="Table subheading subsequent row Char"/>
    <w:basedOn w:val="TablesubheadingfirstrowChar"/>
    <w:link w:val="Tablesubheadingsubsequentrow"/>
    <w:rsid w:val="007F28C0"/>
    <w:rPr>
      <w:rFonts w:ascii="Arial" w:eastAsia="Times New Roman" w:hAnsi="Arial" w:cs="Arial"/>
      <w:b/>
      <w:snapToGrid w:val="0"/>
      <w:color w:val="000000" w:themeColor="text1"/>
      <w:sz w:val="17"/>
      <w:szCs w:val="18"/>
    </w:rPr>
  </w:style>
  <w:style w:type="paragraph" w:customStyle="1" w:styleId="Tablesubheadingitalic">
    <w:name w:val="Table subheading italic"/>
    <w:basedOn w:val="Tablesubheadingsubsequentrow"/>
    <w:link w:val="TablesubheadingitalicChar"/>
    <w:uiPriority w:val="99"/>
    <w:qFormat/>
    <w:rsid w:val="007F28C0"/>
    <w:rPr>
      <w:i/>
    </w:rPr>
  </w:style>
  <w:style w:type="character" w:customStyle="1" w:styleId="TablesubheadingitalicChar">
    <w:name w:val="Table subheading italic Char"/>
    <w:basedOn w:val="TablesubheadingsubsequentrowChar"/>
    <w:link w:val="Tablesubheadingitalic"/>
    <w:uiPriority w:val="99"/>
    <w:rsid w:val="007F28C0"/>
    <w:rPr>
      <w:rFonts w:ascii="Arial" w:eastAsia="Times New Roman" w:hAnsi="Arial" w:cs="Arial"/>
      <w:b/>
      <w:i/>
      <w:snapToGrid w:val="0"/>
      <w:color w:val="000000" w:themeColor="text1"/>
      <w:sz w:val="17"/>
      <w:szCs w:val="18"/>
    </w:rPr>
  </w:style>
  <w:style w:type="character" w:styleId="Hyperlink">
    <w:name w:val="Hyperlink"/>
    <w:basedOn w:val="DefaultParagraphFont"/>
    <w:uiPriority w:val="99"/>
    <w:unhideWhenUsed/>
    <w:rsid w:val="00F8284A"/>
    <w:rPr>
      <w:color w:val="auto"/>
    </w:rPr>
  </w:style>
  <w:style w:type="paragraph" w:styleId="Signature">
    <w:name w:val="Signature"/>
    <w:basedOn w:val="Normal"/>
    <w:link w:val="SignatureChar"/>
    <w:uiPriority w:val="99"/>
    <w:semiHidden/>
    <w:unhideWhenUsed/>
    <w:rsid w:val="00776C24"/>
    <w:pPr>
      <w:spacing w:after="0" w:line="240" w:lineRule="auto"/>
      <w:ind w:left="4252"/>
    </w:pPr>
  </w:style>
  <w:style w:type="paragraph" w:customStyle="1" w:styleId="Normalbeforeandafterlist">
    <w:name w:val="Normal before and after list"/>
    <w:basedOn w:val="DETNormalafterlist"/>
    <w:uiPriority w:val="99"/>
    <w:rsid w:val="007F28C0"/>
    <w:pPr>
      <w:spacing w:after="40"/>
    </w:pPr>
    <w:rPr>
      <w:szCs w:val="20"/>
    </w:rPr>
  </w:style>
  <w:style w:type="paragraph" w:customStyle="1" w:styleId="Tabletotalnarrow">
    <w:name w:val="Table total narrow"/>
    <w:basedOn w:val="Tabletotal"/>
    <w:link w:val="TabletotalnarrowChar"/>
    <w:qFormat/>
    <w:rsid w:val="007F28C0"/>
    <w:pPr>
      <w:spacing w:before="20" w:after="120"/>
    </w:pPr>
    <w:rPr>
      <w:rFonts w:ascii="Arial Narrow" w:hAnsi="Arial Narrow"/>
      <w:sz w:val="16"/>
    </w:rPr>
  </w:style>
  <w:style w:type="character" w:customStyle="1" w:styleId="TabletotalnarrowChar">
    <w:name w:val="Table total narrow Char"/>
    <w:basedOn w:val="TabletotalChar"/>
    <w:link w:val="Tabletotalnarrow"/>
    <w:rsid w:val="007F28C0"/>
    <w:rPr>
      <w:rFonts w:ascii="Arial Narrow" w:eastAsia="Times New Roman" w:hAnsi="Arial Narrow" w:cs="Arial"/>
      <w:b/>
      <w:color w:val="000000" w:themeColor="text1"/>
      <w:sz w:val="16"/>
      <w:szCs w:val="24"/>
    </w:rPr>
  </w:style>
  <w:style w:type="paragraph" w:styleId="BodyText">
    <w:name w:val="Body Text"/>
    <w:basedOn w:val="Normal"/>
    <w:link w:val="BodyTextChar"/>
    <w:hidden/>
    <w:uiPriority w:val="99"/>
    <w:rsid w:val="007F28C0"/>
    <w:pPr>
      <w:jc w:val="both"/>
    </w:pPr>
    <w:rPr>
      <w:sz w:val="18"/>
      <w:szCs w:val="18"/>
    </w:rPr>
  </w:style>
  <w:style w:type="character" w:customStyle="1" w:styleId="BodyTextChar">
    <w:name w:val="Body Text Char"/>
    <w:basedOn w:val="DefaultParagraphFont"/>
    <w:link w:val="BodyText"/>
    <w:uiPriority w:val="99"/>
    <w:rsid w:val="007F28C0"/>
    <w:rPr>
      <w:rFonts w:ascii="Arial" w:eastAsia="Times New Roman" w:hAnsi="Arial" w:cs="Times New Roman"/>
      <w:color w:val="000000" w:themeColor="text1"/>
      <w:sz w:val="18"/>
      <w:szCs w:val="18"/>
    </w:rPr>
  </w:style>
  <w:style w:type="paragraph" w:styleId="NormalWeb">
    <w:name w:val="Normal (Web)"/>
    <w:basedOn w:val="Normal"/>
    <w:hidden/>
    <w:uiPriority w:val="99"/>
    <w:rsid w:val="007F28C0"/>
    <w:pPr>
      <w:spacing w:before="96" w:after="240"/>
      <w:ind w:left="120"/>
    </w:pPr>
    <w:rPr>
      <w:lang w:eastAsia="en-AU"/>
    </w:rPr>
  </w:style>
  <w:style w:type="paragraph" w:styleId="EnvelopeAddress">
    <w:name w:val="envelope address"/>
    <w:basedOn w:val="Normal"/>
    <w:uiPriority w:val="99"/>
    <w:semiHidden/>
    <w:unhideWhenUsed/>
    <w:rsid w:val="00776C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table" w:styleId="TableList2">
    <w:name w:val="Table List 2"/>
    <w:basedOn w:val="TableNormal"/>
    <w:uiPriority w:val="99"/>
    <w:unhideWhenUsed/>
    <w:rsid w:val="00776C24"/>
    <w:pPr>
      <w:spacing w:after="9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6C24"/>
    <w:pPr>
      <w:spacing w:after="9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6C24"/>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esnumbered">
    <w:name w:val="Heading 3 notes numbered"/>
    <w:basedOn w:val="Normal"/>
    <w:next w:val="Normal"/>
    <w:link w:val="Heading3notesnumberedChar"/>
    <w:uiPriority w:val="99"/>
    <w:qFormat/>
    <w:rsid w:val="00711F35"/>
    <w:pPr>
      <w:keepNext/>
      <w:numPr>
        <w:numId w:val="1"/>
      </w:numPr>
      <w:tabs>
        <w:tab w:val="left" w:pos="567"/>
      </w:tabs>
      <w:spacing w:before="250" w:line="280" w:lineRule="atLeast"/>
      <w:outlineLvl w:val="2"/>
    </w:pPr>
    <w:rPr>
      <w:rFonts w:cs="Arial"/>
      <w:b/>
      <w:bCs/>
      <w:sz w:val="22"/>
      <w:szCs w:val="19"/>
      <w:lang w:eastAsia="en-AU"/>
    </w:rPr>
  </w:style>
  <w:style w:type="character" w:customStyle="1" w:styleId="Heading3notesnumberedChar">
    <w:name w:val="Heading 3 notes numbered Char"/>
    <w:basedOn w:val="DefaultParagraphFont"/>
    <w:link w:val="Heading3notesnumbered"/>
    <w:uiPriority w:val="99"/>
    <w:rsid w:val="00711F35"/>
    <w:rPr>
      <w:rFonts w:ascii="Arial" w:eastAsia="Times New Roman" w:hAnsi="Arial" w:cs="Arial"/>
      <w:b/>
      <w:bCs/>
      <w:color w:val="000000" w:themeColor="text1"/>
      <w:szCs w:val="19"/>
      <w:lang w:eastAsia="en-AU"/>
    </w:rPr>
  </w:style>
  <w:style w:type="paragraph" w:customStyle="1" w:styleId="Tablecolheadfintopnarrow">
    <w:name w:val="Table col head fin top narrow"/>
    <w:basedOn w:val="Tabletextobjectivestables"/>
    <w:link w:val="TablecolheadfintopnarrowChar"/>
    <w:qFormat/>
    <w:rsid w:val="007F28C0"/>
    <w:pPr>
      <w:keepNext/>
      <w:spacing w:before="60" w:after="0"/>
      <w:jc w:val="center"/>
    </w:pPr>
    <w:rPr>
      <w:color w:val="FFFFFF" w:themeColor="background1"/>
    </w:rPr>
  </w:style>
  <w:style w:type="character" w:customStyle="1" w:styleId="TablecolheadfintopnarrowChar">
    <w:name w:val="Table col head fin top narrow Char"/>
    <w:basedOn w:val="TablecolumnheadingfinancialtoprowChar"/>
    <w:link w:val="Tablecolheadfintopnarrow"/>
    <w:rsid w:val="007F28C0"/>
    <w:rPr>
      <w:rFonts w:ascii="Arial Narrow" w:eastAsia="Times New Roman" w:hAnsi="Arial Narrow" w:cs="Arial"/>
      <w:b w:val="0"/>
      <w:bCs w:val="0"/>
      <w:color w:val="FFFFFF" w:themeColor="background1"/>
      <w:sz w:val="16"/>
      <w:szCs w:val="16"/>
    </w:rPr>
  </w:style>
  <w:style w:type="paragraph" w:customStyle="1" w:styleId="Tablecolheadfinbottomnarrow">
    <w:name w:val="Table col head fin bottom narrow"/>
    <w:basedOn w:val="Tablecolheadfintopnarrow"/>
    <w:link w:val="TablecolheadfinbottomnarrowChar"/>
    <w:qFormat/>
    <w:rsid w:val="007F28C0"/>
    <w:pPr>
      <w:spacing w:before="0" w:after="60"/>
    </w:pPr>
  </w:style>
  <w:style w:type="character" w:customStyle="1" w:styleId="TablecolheadfinbottomnarrowChar">
    <w:name w:val="Table col head fin bottom narrow Char"/>
    <w:basedOn w:val="TablecolheadfintopnarrowChar"/>
    <w:link w:val="Tablecolheadfinbottomnarrow"/>
    <w:rsid w:val="007F28C0"/>
    <w:rPr>
      <w:rFonts w:ascii="Arial Narrow" w:eastAsia="Times New Roman" w:hAnsi="Arial Narrow" w:cs="Arial"/>
      <w:b w:val="0"/>
      <w:bCs w:val="0"/>
      <w:color w:val="FFFFFF" w:themeColor="background1"/>
      <w:sz w:val="16"/>
      <w:szCs w:val="16"/>
    </w:rPr>
  </w:style>
  <w:style w:type="paragraph" w:customStyle="1" w:styleId="Tablesubheadingfirstnarrow">
    <w:name w:val="Table subheading first narrow"/>
    <w:basedOn w:val="Tablesubheadingfirstrow"/>
    <w:link w:val="TablesubheadingfirstnarrowChar"/>
    <w:qFormat/>
    <w:rsid w:val="007F28C0"/>
    <w:rPr>
      <w:rFonts w:ascii="Arial Narrow" w:hAnsi="Arial Narrow"/>
      <w:sz w:val="16"/>
    </w:rPr>
  </w:style>
  <w:style w:type="character" w:customStyle="1" w:styleId="TablesubheadingfirstnarrowChar">
    <w:name w:val="Table subheading first narrow Char"/>
    <w:basedOn w:val="TablesubheadingfirstrowChar"/>
    <w:link w:val="Tablesubheadingfirstnarrow"/>
    <w:rsid w:val="007F28C0"/>
    <w:rPr>
      <w:rFonts w:ascii="Arial Narrow" w:eastAsia="Times New Roman" w:hAnsi="Arial Narrow" w:cs="Arial"/>
      <w:b/>
      <w:snapToGrid w:val="0"/>
      <w:color w:val="000000" w:themeColor="text1"/>
      <w:sz w:val="16"/>
      <w:szCs w:val="18"/>
    </w:rPr>
  </w:style>
  <w:style w:type="paragraph" w:customStyle="1" w:styleId="Tablesubheadingsubsequentnarrow">
    <w:name w:val="Table subheading subsequent narrow"/>
    <w:basedOn w:val="Tablesubheadingsubsequentrow"/>
    <w:link w:val="TablesubheadingsubsequentnarrowChar"/>
    <w:qFormat/>
    <w:rsid w:val="007F28C0"/>
    <w:rPr>
      <w:rFonts w:ascii="Arial Narrow" w:hAnsi="Arial Narrow"/>
      <w:sz w:val="16"/>
    </w:rPr>
  </w:style>
  <w:style w:type="character" w:customStyle="1" w:styleId="TablesubheadingsubsequentnarrowChar">
    <w:name w:val="Table subheading subsequent narrow Char"/>
    <w:basedOn w:val="TablesubheadingfirstnarrowChar"/>
    <w:link w:val="Tablesubheadingsubsequentnarrow"/>
    <w:rsid w:val="007F28C0"/>
    <w:rPr>
      <w:rFonts w:ascii="Arial Narrow" w:eastAsia="Times New Roman" w:hAnsi="Arial Narrow" w:cs="Arial"/>
      <w:b/>
      <w:snapToGrid w:val="0"/>
      <w:color w:val="000000" w:themeColor="text1"/>
      <w:sz w:val="16"/>
      <w:szCs w:val="18"/>
    </w:rPr>
  </w:style>
  <w:style w:type="paragraph" w:customStyle="1" w:styleId="Tablesubheadingfirstrownarrow">
    <w:name w:val="Table subheading first row narrow"/>
    <w:basedOn w:val="Tablesubheadingfirstrow"/>
    <w:uiPriority w:val="99"/>
    <w:rsid w:val="007F28C0"/>
    <w:rPr>
      <w:rFonts w:ascii="Arial Narrow" w:hAnsi="Arial Narrow"/>
      <w:bCs/>
      <w:sz w:val="16"/>
    </w:rPr>
  </w:style>
  <w:style w:type="paragraph" w:customStyle="1" w:styleId="TabletotalbeforeTablesubheadingitalic">
    <w:name w:val="Table total before Table subheading italic"/>
    <w:basedOn w:val="Tabletotal"/>
    <w:uiPriority w:val="99"/>
    <w:rsid w:val="007F28C0"/>
    <w:pPr>
      <w:spacing w:after="40"/>
    </w:pPr>
    <w:rPr>
      <w:rFonts w:cs="Times New Roman"/>
      <w:bCs/>
      <w:szCs w:val="20"/>
    </w:rPr>
  </w:style>
  <w:style w:type="paragraph" w:customStyle="1" w:styleId="ListBulletaftertable">
    <w:name w:val="List Bullet after table"/>
    <w:basedOn w:val="ListBullet"/>
    <w:uiPriority w:val="99"/>
    <w:rsid w:val="007F28C0"/>
    <w:pPr>
      <w:numPr>
        <w:numId w:val="0"/>
      </w:numPr>
      <w:spacing w:before="200"/>
    </w:pPr>
    <w:rPr>
      <w:szCs w:val="20"/>
    </w:rPr>
  </w:style>
  <w:style w:type="paragraph" w:styleId="TOC4">
    <w:name w:val="toc 4"/>
    <w:basedOn w:val="Normal"/>
    <w:next w:val="Normal"/>
    <w:autoRedefine/>
    <w:hidden/>
    <w:uiPriority w:val="39"/>
    <w:unhideWhenUsed/>
    <w:rsid w:val="007F28C0"/>
    <w:pPr>
      <w:spacing w:after="100" w:line="276" w:lineRule="auto"/>
      <w:ind w:left="660"/>
    </w:pPr>
    <w:rPr>
      <w:rFonts w:asciiTheme="minorHAnsi" w:eastAsiaTheme="minorEastAsia" w:hAnsiTheme="minorHAnsi" w:cstheme="minorBidi"/>
      <w:color w:val="auto"/>
      <w:sz w:val="22"/>
      <w:szCs w:val="22"/>
      <w:lang w:eastAsia="en-AU"/>
    </w:rPr>
  </w:style>
  <w:style w:type="paragraph" w:styleId="TOC5">
    <w:name w:val="toc 5"/>
    <w:basedOn w:val="Normal"/>
    <w:next w:val="Normal"/>
    <w:autoRedefine/>
    <w:hidden/>
    <w:uiPriority w:val="39"/>
    <w:unhideWhenUsed/>
    <w:rsid w:val="007F28C0"/>
    <w:pPr>
      <w:spacing w:after="100" w:line="276" w:lineRule="auto"/>
      <w:ind w:left="880"/>
    </w:pPr>
    <w:rPr>
      <w:rFonts w:asciiTheme="minorHAnsi" w:eastAsiaTheme="minorEastAsia" w:hAnsiTheme="minorHAnsi" w:cstheme="minorBidi"/>
      <w:color w:val="auto"/>
      <w:sz w:val="22"/>
      <w:szCs w:val="22"/>
      <w:lang w:eastAsia="en-AU"/>
    </w:rPr>
  </w:style>
  <w:style w:type="paragraph" w:styleId="TOC6">
    <w:name w:val="toc 6"/>
    <w:basedOn w:val="Normal"/>
    <w:next w:val="Normal"/>
    <w:autoRedefine/>
    <w:hidden/>
    <w:uiPriority w:val="39"/>
    <w:unhideWhenUsed/>
    <w:rsid w:val="007F28C0"/>
    <w:pPr>
      <w:spacing w:after="100" w:line="276" w:lineRule="auto"/>
      <w:ind w:left="1100"/>
    </w:pPr>
    <w:rPr>
      <w:rFonts w:asciiTheme="minorHAnsi" w:eastAsiaTheme="minorEastAsia" w:hAnsiTheme="minorHAnsi" w:cstheme="minorBidi"/>
      <w:color w:val="auto"/>
      <w:sz w:val="22"/>
      <w:szCs w:val="22"/>
      <w:lang w:eastAsia="en-AU"/>
    </w:rPr>
  </w:style>
  <w:style w:type="paragraph" w:styleId="TOC7">
    <w:name w:val="toc 7"/>
    <w:basedOn w:val="Normal"/>
    <w:next w:val="Normal"/>
    <w:autoRedefine/>
    <w:hidden/>
    <w:uiPriority w:val="39"/>
    <w:unhideWhenUsed/>
    <w:rsid w:val="007F28C0"/>
    <w:pPr>
      <w:spacing w:after="100" w:line="276" w:lineRule="auto"/>
      <w:ind w:left="1320"/>
    </w:pPr>
    <w:rPr>
      <w:rFonts w:asciiTheme="minorHAnsi" w:eastAsiaTheme="minorEastAsia" w:hAnsiTheme="minorHAnsi" w:cstheme="minorBidi"/>
      <w:color w:val="auto"/>
      <w:sz w:val="22"/>
      <w:szCs w:val="22"/>
      <w:lang w:eastAsia="en-AU"/>
    </w:rPr>
  </w:style>
  <w:style w:type="paragraph" w:styleId="TOC8">
    <w:name w:val="toc 8"/>
    <w:basedOn w:val="Normal"/>
    <w:next w:val="Normal"/>
    <w:autoRedefine/>
    <w:hidden/>
    <w:uiPriority w:val="39"/>
    <w:unhideWhenUsed/>
    <w:rsid w:val="007F28C0"/>
    <w:pPr>
      <w:spacing w:after="100" w:line="276" w:lineRule="auto"/>
      <w:ind w:left="1540"/>
    </w:pPr>
    <w:rPr>
      <w:rFonts w:asciiTheme="minorHAnsi" w:eastAsiaTheme="minorEastAsia" w:hAnsiTheme="minorHAnsi" w:cstheme="minorBidi"/>
      <w:color w:val="auto"/>
      <w:sz w:val="22"/>
      <w:szCs w:val="22"/>
      <w:lang w:eastAsia="en-AU"/>
    </w:rPr>
  </w:style>
  <w:style w:type="paragraph" w:styleId="TOC9">
    <w:name w:val="toc 9"/>
    <w:basedOn w:val="Normal"/>
    <w:next w:val="Normal"/>
    <w:autoRedefine/>
    <w:hidden/>
    <w:uiPriority w:val="39"/>
    <w:unhideWhenUsed/>
    <w:rsid w:val="007F28C0"/>
    <w:pPr>
      <w:spacing w:after="100" w:line="276" w:lineRule="auto"/>
      <w:ind w:left="1760"/>
    </w:pPr>
    <w:rPr>
      <w:rFonts w:asciiTheme="minorHAnsi" w:eastAsiaTheme="minorEastAsia" w:hAnsiTheme="minorHAnsi" w:cstheme="minorBidi"/>
      <w:color w:val="auto"/>
      <w:sz w:val="22"/>
      <w:szCs w:val="22"/>
      <w:lang w:eastAsia="en-AU"/>
    </w:rPr>
  </w:style>
  <w:style w:type="paragraph" w:customStyle="1" w:styleId="Tablecolheadfinmiddlenarrow">
    <w:name w:val="Table col head fin middle narrow"/>
    <w:basedOn w:val="Tablecolheadfinbottomnarrow"/>
    <w:link w:val="TablecolheadfinmiddlenarrowChar"/>
    <w:qFormat/>
    <w:rsid w:val="007F28C0"/>
    <w:pPr>
      <w:spacing w:after="0"/>
    </w:pPr>
  </w:style>
  <w:style w:type="character" w:customStyle="1" w:styleId="TablecolheadfinmiddlenarrowChar">
    <w:name w:val="Table col head fin middle narrow Char"/>
    <w:basedOn w:val="TablecolheadfinbottomnarrowChar"/>
    <w:link w:val="Tablecolheadfinmiddlenarrow"/>
    <w:rsid w:val="007F28C0"/>
    <w:rPr>
      <w:rFonts w:ascii="Arial Narrow" w:eastAsia="Times New Roman" w:hAnsi="Arial Narrow" w:cs="Arial"/>
      <w:b w:val="0"/>
      <w:bCs w:val="0"/>
      <w:color w:val="FFFFFF" w:themeColor="background1"/>
      <w:sz w:val="16"/>
      <w:szCs w:val="16"/>
    </w:rPr>
  </w:style>
  <w:style w:type="paragraph" w:customStyle="1" w:styleId="Tablesubheadingitalicnarrow">
    <w:name w:val="Table subheading italic narrow"/>
    <w:basedOn w:val="Tablesubheadingitalic"/>
    <w:link w:val="TablesubheadingitalicnarrowChar"/>
    <w:qFormat/>
    <w:rsid w:val="007F28C0"/>
    <w:pPr>
      <w:spacing w:after="60"/>
    </w:pPr>
    <w:rPr>
      <w:rFonts w:ascii="Arial Narrow" w:hAnsi="Arial Narrow"/>
      <w:sz w:val="16"/>
      <w:szCs w:val="16"/>
    </w:rPr>
  </w:style>
  <w:style w:type="character" w:customStyle="1" w:styleId="TablesubheadingitalicnarrowChar">
    <w:name w:val="Table subheading italic narrow Char"/>
    <w:basedOn w:val="TablesubheadingitalicChar"/>
    <w:link w:val="Tablesubheadingitalicnarrow"/>
    <w:rsid w:val="007F28C0"/>
    <w:rPr>
      <w:rFonts w:ascii="Arial Narrow" w:eastAsia="Times New Roman" w:hAnsi="Arial Narrow" w:cs="Arial"/>
      <w:b/>
      <w:i/>
      <w:snapToGrid w:val="0"/>
      <w:color w:val="000000" w:themeColor="text1"/>
      <w:sz w:val="16"/>
      <w:szCs w:val="16"/>
    </w:rPr>
  </w:style>
  <w:style w:type="paragraph" w:customStyle="1" w:styleId="Tablesubheadingfirstnarrow75pt">
    <w:name w:val="Table subheading first narrow + 7.5 pt"/>
    <w:basedOn w:val="Tablesubheadingfirstnarrow"/>
    <w:uiPriority w:val="99"/>
    <w:rsid w:val="007F28C0"/>
    <w:pPr>
      <w:spacing w:before="120" w:after="60"/>
    </w:pPr>
    <w:rPr>
      <w:bCs/>
      <w:sz w:val="15"/>
    </w:rPr>
  </w:style>
  <w:style w:type="paragraph" w:customStyle="1" w:styleId="Tablesubheadingfirstrownarrow75pt">
    <w:name w:val="Table subheading first row narrow + 7.5 pt"/>
    <w:basedOn w:val="Tablesubheadingfirstrownarrow"/>
    <w:uiPriority w:val="99"/>
    <w:rsid w:val="007F28C0"/>
    <w:pPr>
      <w:spacing w:before="120" w:after="60"/>
    </w:pPr>
    <w:rPr>
      <w:sz w:val="15"/>
    </w:rPr>
  </w:style>
  <w:style w:type="paragraph" w:customStyle="1" w:styleId="Tablecolheadfinbottomnarrow75pt">
    <w:name w:val="Table col head fin bottom narrow + 7.5 pt"/>
    <w:basedOn w:val="Tablecolheadfinbottomnarrow"/>
    <w:uiPriority w:val="99"/>
    <w:rsid w:val="007F28C0"/>
    <w:rPr>
      <w:sz w:val="15"/>
    </w:rPr>
  </w:style>
  <w:style w:type="paragraph" w:customStyle="1" w:styleId="ListBullet20">
    <w:name w:val="List Bullet_2"/>
    <w:basedOn w:val="ListBullet"/>
    <w:uiPriority w:val="99"/>
    <w:qFormat/>
    <w:rsid w:val="002511E8"/>
    <w:pPr>
      <w:numPr>
        <w:numId w:val="22"/>
      </w:numPr>
      <w:tabs>
        <w:tab w:val="clear" w:pos="170"/>
        <w:tab w:val="left" w:pos="284"/>
      </w:tabs>
      <w:ind w:left="426" w:hanging="284"/>
    </w:pPr>
  </w:style>
  <w:style w:type="paragraph" w:customStyle="1" w:styleId="DETHeading2">
    <w:name w:val="DET Heading 2"/>
    <w:basedOn w:val="Heading2"/>
    <w:next w:val="Normal"/>
    <w:link w:val="DETHeading2Char"/>
    <w:qFormat/>
    <w:rsid w:val="00AD2C55"/>
  </w:style>
  <w:style w:type="character" w:customStyle="1" w:styleId="DETHeading2Char">
    <w:name w:val="DET Heading 2 Char"/>
    <w:basedOn w:val="Heading2Char"/>
    <w:link w:val="DETHeading2"/>
    <w:rsid w:val="007F28C0"/>
    <w:rPr>
      <w:rFonts w:ascii="Arial" w:eastAsia="Times New Roman" w:hAnsi="Arial" w:cs="Arial"/>
      <w:bCs/>
      <w:iCs/>
      <w:color w:val="000000" w:themeColor="text1"/>
      <w:sz w:val="28"/>
      <w:szCs w:val="28"/>
    </w:rPr>
  </w:style>
  <w:style w:type="paragraph" w:customStyle="1" w:styleId="Normalaftertabledeepspace">
    <w:name w:val="Normal after table deep space"/>
    <w:basedOn w:val="Normalaftertable"/>
    <w:uiPriority w:val="99"/>
    <w:rsid w:val="007F28C0"/>
    <w:pPr>
      <w:spacing w:before="360"/>
    </w:pPr>
    <w:rPr>
      <w:szCs w:val="20"/>
    </w:rPr>
  </w:style>
  <w:style w:type="paragraph" w:customStyle="1" w:styleId="Heading1notes">
    <w:name w:val="Heading 1 notes"/>
    <w:basedOn w:val="Heading1"/>
    <w:link w:val="Heading1notesChar"/>
    <w:qFormat/>
    <w:rsid w:val="007F28C0"/>
    <w:pPr>
      <w:ind w:left="-2041"/>
    </w:pPr>
  </w:style>
  <w:style w:type="character" w:customStyle="1" w:styleId="Heading1notesChar">
    <w:name w:val="Heading 1 notes Char"/>
    <w:basedOn w:val="Heading1Char"/>
    <w:link w:val="Heading1notes"/>
    <w:rsid w:val="007F28C0"/>
    <w:rPr>
      <w:rFonts w:ascii="Arial" w:eastAsia="Times New Roman" w:hAnsi="Arial" w:cs="Arial"/>
      <w:bCs/>
      <w:color w:val="000000" w:themeColor="text1"/>
      <w:kern w:val="32"/>
      <w:sz w:val="36"/>
      <w:szCs w:val="36"/>
    </w:rPr>
  </w:style>
  <w:style w:type="character" w:styleId="BookTitle">
    <w:name w:val="Book Title"/>
    <w:basedOn w:val="DefaultParagraphFont"/>
    <w:hidden/>
    <w:uiPriority w:val="33"/>
    <w:qFormat/>
    <w:rsid w:val="007F28C0"/>
    <w:rPr>
      <w:b/>
      <w:bCs/>
      <w:smallCaps/>
      <w:spacing w:val="5"/>
    </w:rPr>
  </w:style>
  <w:style w:type="character" w:styleId="PlaceholderText">
    <w:name w:val="Placeholder Text"/>
    <w:basedOn w:val="DefaultParagraphFont"/>
    <w:hidden/>
    <w:uiPriority w:val="99"/>
    <w:semiHidden/>
    <w:rsid w:val="007F28C0"/>
    <w:rPr>
      <w:color w:val="808080"/>
    </w:rPr>
  </w:style>
  <w:style w:type="paragraph" w:customStyle="1" w:styleId="TablecolumnheadingobjectivestablesAchievements">
    <w:name w:val="Table column heading objectives tables Achievements"/>
    <w:basedOn w:val="Tablecolumnheadingobjectivestables"/>
    <w:uiPriority w:val="99"/>
    <w:rsid w:val="007F28C0"/>
    <w:rPr>
      <w:rFonts w:ascii="Arial Narrow" w:hAnsi="Arial Narrow"/>
      <w:bCs w:val="0"/>
    </w:rPr>
  </w:style>
  <w:style w:type="character" w:styleId="Emphasis">
    <w:name w:val="Emphasis"/>
    <w:basedOn w:val="DefaultParagraphFont"/>
    <w:hidden/>
    <w:uiPriority w:val="20"/>
    <w:qFormat/>
    <w:rsid w:val="007F28C0"/>
    <w:rPr>
      <w:i/>
      <w:iCs/>
    </w:rPr>
  </w:style>
  <w:style w:type="character" w:styleId="Strong">
    <w:name w:val="Strong"/>
    <w:basedOn w:val="DefaultParagraphFont"/>
    <w:hidden/>
    <w:uiPriority w:val="22"/>
    <w:qFormat/>
    <w:rsid w:val="007F28C0"/>
    <w:rPr>
      <w:b/>
      <w:bCs/>
    </w:rPr>
  </w:style>
  <w:style w:type="table" w:styleId="TableSimple1">
    <w:name w:val="Table Simple 1"/>
    <w:basedOn w:val="TableNormal"/>
    <w:uiPriority w:val="99"/>
    <w:semiHidden/>
    <w:unhideWhenUsed/>
    <w:rsid w:val="00776C24"/>
    <w:pPr>
      <w:spacing w:after="9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1">
    <w:name w:val="Table Web 1"/>
    <w:basedOn w:val="TableNormal"/>
    <w:uiPriority w:val="99"/>
    <w:semiHidden/>
    <w:unhideWhenUsed/>
    <w:rsid w:val="00776C24"/>
    <w:pPr>
      <w:spacing w:after="9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776C24"/>
    <w:pPr>
      <w:numPr>
        <w:numId w:val="12"/>
      </w:numPr>
    </w:pPr>
  </w:style>
  <w:style w:type="numbering" w:styleId="1ai">
    <w:name w:val="Outline List 1"/>
    <w:basedOn w:val="NoList"/>
    <w:uiPriority w:val="99"/>
    <w:semiHidden/>
    <w:unhideWhenUsed/>
    <w:rsid w:val="00776C24"/>
    <w:pPr>
      <w:numPr>
        <w:numId w:val="13"/>
      </w:numPr>
    </w:pPr>
  </w:style>
  <w:style w:type="character" w:customStyle="1" w:styleId="Heading7Char">
    <w:name w:val="Heading 7 Char"/>
    <w:basedOn w:val="DefaultParagraphFont"/>
    <w:link w:val="Heading7"/>
    <w:uiPriority w:val="9"/>
    <w:semiHidden/>
    <w:rsid w:val="00AD2C5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AD2C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C5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776C24"/>
    <w:pPr>
      <w:numPr>
        <w:numId w:val="14"/>
      </w:numPr>
    </w:pPr>
  </w:style>
  <w:style w:type="paragraph" w:styleId="Bibliography">
    <w:name w:val="Bibliography"/>
    <w:basedOn w:val="Normal"/>
    <w:next w:val="Normal"/>
    <w:uiPriority w:val="37"/>
    <w:semiHidden/>
    <w:unhideWhenUsed/>
    <w:rsid w:val="00776C24"/>
  </w:style>
  <w:style w:type="paragraph" w:styleId="BlockText">
    <w:name w:val="Block Text"/>
    <w:basedOn w:val="Normal"/>
    <w:uiPriority w:val="99"/>
    <w:semiHidden/>
    <w:unhideWhenUsed/>
    <w:rsid w:val="00776C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76C24"/>
    <w:pPr>
      <w:ind w:firstLine="360"/>
      <w:jc w:val="left"/>
    </w:pPr>
    <w:rPr>
      <w:sz w:val="19"/>
      <w:szCs w:val="24"/>
    </w:rPr>
  </w:style>
  <w:style w:type="character" w:customStyle="1" w:styleId="BodyTextFirstIndentChar">
    <w:name w:val="Body Text First Indent Char"/>
    <w:basedOn w:val="BodyTextChar"/>
    <w:link w:val="BodyTextFirstIndent"/>
    <w:uiPriority w:val="99"/>
    <w:semiHidden/>
    <w:rsid w:val="00776C24"/>
    <w:rPr>
      <w:rFonts w:ascii="Arial" w:eastAsia="Times New Roman" w:hAnsi="Arial" w:cs="Times New Roman"/>
      <w:color w:val="000000" w:themeColor="text1"/>
      <w:sz w:val="19"/>
      <w:szCs w:val="24"/>
    </w:rPr>
  </w:style>
  <w:style w:type="paragraph" w:styleId="BodyTextIndent">
    <w:name w:val="Body Text Indent"/>
    <w:basedOn w:val="Normal"/>
    <w:link w:val="BodyTextIndentChar"/>
    <w:hidden/>
    <w:uiPriority w:val="99"/>
    <w:semiHidden/>
    <w:unhideWhenUsed/>
    <w:rsid w:val="00776C24"/>
    <w:pPr>
      <w:spacing w:after="120"/>
      <w:ind w:left="283"/>
    </w:pPr>
  </w:style>
  <w:style w:type="character" w:customStyle="1" w:styleId="BodyTextIndentChar">
    <w:name w:val="Body Text Indent Char"/>
    <w:basedOn w:val="DefaultParagraphFont"/>
    <w:link w:val="BodyTextIndent"/>
    <w:uiPriority w:val="99"/>
    <w:semiHidden/>
    <w:rsid w:val="00776C24"/>
    <w:rPr>
      <w:rFonts w:ascii="Arial" w:eastAsia="Times New Roman" w:hAnsi="Arial" w:cs="Times New Roman"/>
      <w:color w:val="000000" w:themeColor="text1"/>
      <w:sz w:val="19"/>
      <w:szCs w:val="24"/>
    </w:rPr>
  </w:style>
  <w:style w:type="paragraph" w:styleId="Closing">
    <w:name w:val="Closing"/>
    <w:basedOn w:val="Normal"/>
    <w:link w:val="ClosingChar"/>
    <w:uiPriority w:val="99"/>
    <w:semiHidden/>
    <w:unhideWhenUsed/>
    <w:rsid w:val="00776C24"/>
    <w:pPr>
      <w:spacing w:after="0" w:line="240" w:lineRule="auto"/>
      <w:ind w:left="4252"/>
    </w:pPr>
  </w:style>
  <w:style w:type="character" w:customStyle="1" w:styleId="ClosingChar">
    <w:name w:val="Closing Char"/>
    <w:basedOn w:val="DefaultParagraphFont"/>
    <w:link w:val="Closing"/>
    <w:uiPriority w:val="99"/>
    <w:semiHidden/>
    <w:rsid w:val="00776C24"/>
    <w:rPr>
      <w:rFonts w:ascii="Arial" w:eastAsia="Times New Roman" w:hAnsi="Arial" w:cs="Times New Roman"/>
      <w:color w:val="000000" w:themeColor="text1"/>
      <w:sz w:val="19"/>
      <w:szCs w:val="24"/>
    </w:rPr>
  </w:style>
  <w:style w:type="table" w:styleId="ColorfulGrid">
    <w:name w:val="Colorful Grid"/>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76C2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76C2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76C2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76C2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76C2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76C2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76C2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76C2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76C2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76C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76C2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76C2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76C2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76C2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76C2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76C2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76C2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76C2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76C24"/>
  </w:style>
  <w:style w:type="character" w:customStyle="1" w:styleId="DateChar">
    <w:name w:val="Date Char"/>
    <w:basedOn w:val="DefaultParagraphFont"/>
    <w:link w:val="Date"/>
    <w:uiPriority w:val="99"/>
    <w:semiHidden/>
    <w:rsid w:val="00776C24"/>
    <w:rPr>
      <w:rFonts w:ascii="Arial" w:eastAsia="Times New Roman" w:hAnsi="Arial" w:cs="Times New Roman"/>
      <w:color w:val="000000" w:themeColor="text1"/>
      <w:sz w:val="19"/>
      <w:szCs w:val="24"/>
    </w:rPr>
  </w:style>
  <w:style w:type="paragraph" w:styleId="EnvelopeReturn">
    <w:name w:val="envelope return"/>
    <w:basedOn w:val="Normal"/>
    <w:uiPriority w:val="99"/>
    <w:semiHidden/>
    <w:unhideWhenUsed/>
    <w:rsid w:val="00776C2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8284A"/>
    <w:rPr>
      <w:color w:val="auto"/>
      <w:u w:val="none"/>
    </w:rPr>
  </w:style>
  <w:style w:type="character" w:styleId="HTMLDefinition">
    <w:name w:val="HTML Definition"/>
    <w:basedOn w:val="DefaultParagraphFont"/>
    <w:uiPriority w:val="99"/>
    <w:semiHidden/>
    <w:unhideWhenUsed/>
    <w:rsid w:val="00776C24"/>
    <w:rPr>
      <w:i/>
      <w:iCs/>
    </w:rPr>
  </w:style>
  <w:style w:type="character" w:styleId="HTMLKeyboard">
    <w:name w:val="HTML Keyboard"/>
    <w:basedOn w:val="DefaultParagraphFont"/>
    <w:uiPriority w:val="99"/>
    <w:semiHidden/>
    <w:unhideWhenUsed/>
    <w:rsid w:val="00776C24"/>
    <w:rPr>
      <w:rFonts w:ascii="Consolas" w:hAnsi="Consolas" w:cs="Consolas"/>
      <w:sz w:val="20"/>
      <w:szCs w:val="20"/>
    </w:rPr>
  </w:style>
  <w:style w:type="paragraph" w:styleId="HTMLPreformatted">
    <w:name w:val="HTML Preformatted"/>
    <w:basedOn w:val="Normal"/>
    <w:link w:val="HTMLPreformattedChar"/>
    <w:uiPriority w:val="99"/>
    <w:semiHidden/>
    <w:unhideWhenUsed/>
    <w:rsid w:val="00776C2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6C24"/>
    <w:rPr>
      <w:rFonts w:ascii="Consolas" w:eastAsia="Times New Roman" w:hAnsi="Consolas" w:cs="Consolas"/>
      <w:color w:val="000000" w:themeColor="text1"/>
      <w:sz w:val="20"/>
      <w:szCs w:val="20"/>
    </w:rPr>
  </w:style>
  <w:style w:type="character" w:styleId="HTMLSample">
    <w:name w:val="HTML Sample"/>
    <w:basedOn w:val="DefaultParagraphFont"/>
    <w:uiPriority w:val="99"/>
    <w:semiHidden/>
    <w:unhideWhenUsed/>
    <w:rsid w:val="00776C24"/>
    <w:rPr>
      <w:rFonts w:ascii="Consolas" w:hAnsi="Consolas" w:cs="Consolas"/>
      <w:sz w:val="24"/>
      <w:szCs w:val="24"/>
    </w:rPr>
  </w:style>
  <w:style w:type="character" w:styleId="HTMLTypewriter">
    <w:name w:val="HTML Typewriter"/>
    <w:basedOn w:val="DefaultParagraphFont"/>
    <w:uiPriority w:val="99"/>
    <w:semiHidden/>
    <w:unhideWhenUsed/>
    <w:rsid w:val="00776C24"/>
    <w:rPr>
      <w:rFonts w:ascii="Consolas" w:hAnsi="Consolas" w:cs="Consolas"/>
      <w:sz w:val="20"/>
      <w:szCs w:val="20"/>
    </w:rPr>
  </w:style>
  <w:style w:type="character" w:styleId="HTMLVariable">
    <w:name w:val="HTML Variable"/>
    <w:basedOn w:val="DefaultParagraphFont"/>
    <w:uiPriority w:val="99"/>
    <w:semiHidden/>
    <w:unhideWhenUsed/>
    <w:rsid w:val="00776C24"/>
    <w:rPr>
      <w:i/>
      <w:iCs/>
    </w:rPr>
  </w:style>
  <w:style w:type="paragraph" w:styleId="Index1">
    <w:name w:val="index 1"/>
    <w:basedOn w:val="Normal"/>
    <w:next w:val="Normal"/>
    <w:autoRedefine/>
    <w:uiPriority w:val="99"/>
    <w:semiHidden/>
    <w:unhideWhenUsed/>
    <w:rsid w:val="00776C24"/>
    <w:pPr>
      <w:spacing w:after="0" w:line="240" w:lineRule="auto"/>
      <w:ind w:left="190" w:hanging="190"/>
    </w:pPr>
  </w:style>
  <w:style w:type="paragraph" w:styleId="Index2">
    <w:name w:val="index 2"/>
    <w:basedOn w:val="Normal"/>
    <w:next w:val="Normal"/>
    <w:autoRedefine/>
    <w:uiPriority w:val="99"/>
    <w:semiHidden/>
    <w:unhideWhenUsed/>
    <w:rsid w:val="00776C24"/>
    <w:pPr>
      <w:spacing w:after="0" w:line="240" w:lineRule="auto"/>
      <w:ind w:left="380" w:hanging="190"/>
    </w:pPr>
  </w:style>
  <w:style w:type="paragraph" w:styleId="Index3">
    <w:name w:val="index 3"/>
    <w:basedOn w:val="Normal"/>
    <w:next w:val="Normal"/>
    <w:autoRedefine/>
    <w:uiPriority w:val="99"/>
    <w:semiHidden/>
    <w:unhideWhenUsed/>
    <w:rsid w:val="00776C24"/>
    <w:pPr>
      <w:spacing w:after="0" w:line="240" w:lineRule="auto"/>
      <w:ind w:left="570" w:hanging="190"/>
    </w:pPr>
  </w:style>
  <w:style w:type="paragraph" w:styleId="Index4">
    <w:name w:val="index 4"/>
    <w:basedOn w:val="Normal"/>
    <w:next w:val="Normal"/>
    <w:autoRedefine/>
    <w:uiPriority w:val="99"/>
    <w:semiHidden/>
    <w:unhideWhenUsed/>
    <w:rsid w:val="00776C24"/>
    <w:pPr>
      <w:spacing w:after="0" w:line="240" w:lineRule="auto"/>
      <w:ind w:left="760" w:hanging="190"/>
    </w:pPr>
  </w:style>
  <w:style w:type="paragraph" w:styleId="Index5">
    <w:name w:val="index 5"/>
    <w:basedOn w:val="Normal"/>
    <w:next w:val="Normal"/>
    <w:autoRedefine/>
    <w:uiPriority w:val="99"/>
    <w:semiHidden/>
    <w:unhideWhenUsed/>
    <w:rsid w:val="00776C24"/>
    <w:pPr>
      <w:spacing w:after="0" w:line="240" w:lineRule="auto"/>
      <w:ind w:left="950" w:hanging="190"/>
    </w:pPr>
  </w:style>
  <w:style w:type="paragraph" w:styleId="Index6">
    <w:name w:val="index 6"/>
    <w:basedOn w:val="Normal"/>
    <w:next w:val="Normal"/>
    <w:autoRedefine/>
    <w:uiPriority w:val="99"/>
    <w:semiHidden/>
    <w:unhideWhenUsed/>
    <w:rsid w:val="00776C24"/>
    <w:pPr>
      <w:spacing w:after="0" w:line="240" w:lineRule="auto"/>
      <w:ind w:left="1140" w:hanging="190"/>
    </w:pPr>
  </w:style>
  <w:style w:type="paragraph" w:styleId="Index7">
    <w:name w:val="index 7"/>
    <w:basedOn w:val="Normal"/>
    <w:next w:val="Normal"/>
    <w:autoRedefine/>
    <w:uiPriority w:val="99"/>
    <w:semiHidden/>
    <w:unhideWhenUsed/>
    <w:rsid w:val="00776C24"/>
    <w:pPr>
      <w:spacing w:after="0" w:line="240" w:lineRule="auto"/>
      <w:ind w:left="1330" w:hanging="190"/>
    </w:pPr>
  </w:style>
  <w:style w:type="paragraph" w:styleId="Index8">
    <w:name w:val="index 8"/>
    <w:basedOn w:val="Normal"/>
    <w:next w:val="Normal"/>
    <w:autoRedefine/>
    <w:uiPriority w:val="99"/>
    <w:semiHidden/>
    <w:unhideWhenUsed/>
    <w:rsid w:val="00776C24"/>
    <w:pPr>
      <w:spacing w:after="0" w:line="240" w:lineRule="auto"/>
      <w:ind w:left="1520" w:hanging="190"/>
    </w:pPr>
  </w:style>
  <w:style w:type="paragraph" w:styleId="Index9">
    <w:name w:val="index 9"/>
    <w:basedOn w:val="Normal"/>
    <w:next w:val="Normal"/>
    <w:autoRedefine/>
    <w:uiPriority w:val="99"/>
    <w:semiHidden/>
    <w:unhideWhenUsed/>
    <w:rsid w:val="00776C24"/>
    <w:pPr>
      <w:spacing w:after="0" w:line="240" w:lineRule="auto"/>
      <w:ind w:left="1710" w:hanging="190"/>
    </w:pPr>
  </w:style>
  <w:style w:type="paragraph" w:styleId="IndexHeading">
    <w:name w:val="index heading"/>
    <w:basedOn w:val="Normal"/>
    <w:next w:val="Index1"/>
    <w:uiPriority w:val="99"/>
    <w:semiHidden/>
    <w:unhideWhenUsed/>
    <w:rsid w:val="00776C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C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6C24"/>
    <w:rPr>
      <w:rFonts w:ascii="Arial" w:eastAsia="Times New Roman" w:hAnsi="Arial" w:cs="Times New Roman"/>
      <w:b/>
      <w:bCs/>
      <w:i/>
      <w:iCs/>
      <w:color w:val="4F81BD" w:themeColor="accent1"/>
      <w:sz w:val="19"/>
      <w:szCs w:val="24"/>
    </w:rPr>
  </w:style>
  <w:style w:type="table" w:styleId="LightGrid">
    <w:name w:val="Light Grid"/>
    <w:basedOn w:val="TableNormal"/>
    <w:uiPriority w:val="62"/>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76C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6C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6C2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6C2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6C2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6C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76C2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76C24"/>
  </w:style>
  <w:style w:type="paragraph" w:styleId="List">
    <w:name w:val="List"/>
    <w:basedOn w:val="Normal"/>
    <w:uiPriority w:val="99"/>
    <w:unhideWhenUsed/>
    <w:rsid w:val="00776C24"/>
    <w:pPr>
      <w:ind w:left="283" w:hanging="283"/>
      <w:contextualSpacing/>
    </w:pPr>
  </w:style>
  <w:style w:type="paragraph" w:styleId="List2">
    <w:name w:val="List 2"/>
    <w:basedOn w:val="Normal"/>
    <w:uiPriority w:val="99"/>
    <w:semiHidden/>
    <w:unhideWhenUsed/>
    <w:rsid w:val="00776C24"/>
    <w:pPr>
      <w:ind w:left="566" w:hanging="283"/>
      <w:contextualSpacing/>
    </w:pPr>
  </w:style>
  <w:style w:type="paragraph" w:styleId="List3">
    <w:name w:val="List 3"/>
    <w:basedOn w:val="Normal"/>
    <w:uiPriority w:val="99"/>
    <w:semiHidden/>
    <w:unhideWhenUsed/>
    <w:rsid w:val="00776C24"/>
    <w:pPr>
      <w:ind w:left="849" w:hanging="283"/>
      <w:contextualSpacing/>
    </w:pPr>
  </w:style>
  <w:style w:type="paragraph" w:styleId="List4">
    <w:name w:val="List 4"/>
    <w:basedOn w:val="Normal"/>
    <w:uiPriority w:val="99"/>
    <w:semiHidden/>
    <w:unhideWhenUsed/>
    <w:rsid w:val="00776C24"/>
    <w:pPr>
      <w:ind w:left="1132" w:hanging="283"/>
      <w:contextualSpacing/>
    </w:pPr>
  </w:style>
  <w:style w:type="paragraph" w:styleId="List5">
    <w:name w:val="List 5"/>
    <w:basedOn w:val="Normal"/>
    <w:uiPriority w:val="99"/>
    <w:semiHidden/>
    <w:unhideWhenUsed/>
    <w:rsid w:val="00776C24"/>
    <w:pPr>
      <w:ind w:left="1415" w:hanging="283"/>
      <w:contextualSpacing/>
    </w:pPr>
  </w:style>
  <w:style w:type="paragraph" w:styleId="ListBullet3">
    <w:name w:val="List Bullet 3"/>
    <w:basedOn w:val="Normal"/>
    <w:uiPriority w:val="99"/>
    <w:semiHidden/>
    <w:unhideWhenUsed/>
    <w:rsid w:val="00776C24"/>
    <w:pPr>
      <w:numPr>
        <w:numId w:val="2"/>
      </w:numPr>
      <w:contextualSpacing/>
    </w:pPr>
  </w:style>
  <w:style w:type="paragraph" w:styleId="ListBullet4">
    <w:name w:val="List Bullet 4"/>
    <w:basedOn w:val="Normal"/>
    <w:uiPriority w:val="99"/>
    <w:semiHidden/>
    <w:unhideWhenUsed/>
    <w:rsid w:val="00776C24"/>
    <w:pPr>
      <w:numPr>
        <w:numId w:val="3"/>
      </w:numPr>
      <w:contextualSpacing/>
    </w:pPr>
  </w:style>
  <w:style w:type="paragraph" w:styleId="ListBullet5">
    <w:name w:val="List Bullet 5"/>
    <w:basedOn w:val="Normal"/>
    <w:uiPriority w:val="99"/>
    <w:semiHidden/>
    <w:unhideWhenUsed/>
    <w:rsid w:val="00776C24"/>
    <w:pPr>
      <w:numPr>
        <w:numId w:val="4"/>
      </w:numPr>
      <w:contextualSpacing/>
    </w:pPr>
  </w:style>
  <w:style w:type="paragraph" w:styleId="ListContinue">
    <w:name w:val="List Continue"/>
    <w:basedOn w:val="Normal"/>
    <w:uiPriority w:val="99"/>
    <w:unhideWhenUsed/>
    <w:rsid w:val="00776C24"/>
    <w:pPr>
      <w:spacing w:after="120"/>
      <w:ind w:left="283"/>
      <w:contextualSpacing/>
    </w:pPr>
  </w:style>
  <w:style w:type="paragraph" w:styleId="ListContinue2">
    <w:name w:val="List Continue 2"/>
    <w:basedOn w:val="Normal"/>
    <w:uiPriority w:val="99"/>
    <w:semiHidden/>
    <w:unhideWhenUsed/>
    <w:rsid w:val="00776C24"/>
    <w:pPr>
      <w:spacing w:after="120"/>
      <w:ind w:left="566"/>
      <w:contextualSpacing/>
    </w:pPr>
  </w:style>
  <w:style w:type="paragraph" w:styleId="ListContinue3">
    <w:name w:val="List Continue 3"/>
    <w:basedOn w:val="Normal"/>
    <w:uiPriority w:val="99"/>
    <w:semiHidden/>
    <w:unhideWhenUsed/>
    <w:rsid w:val="00776C24"/>
    <w:pPr>
      <w:spacing w:after="120"/>
      <w:ind w:left="849"/>
      <w:contextualSpacing/>
    </w:pPr>
  </w:style>
  <w:style w:type="paragraph" w:styleId="ListContinue4">
    <w:name w:val="List Continue 4"/>
    <w:basedOn w:val="Normal"/>
    <w:uiPriority w:val="99"/>
    <w:semiHidden/>
    <w:unhideWhenUsed/>
    <w:rsid w:val="00776C24"/>
    <w:pPr>
      <w:spacing w:after="120"/>
      <w:ind w:left="1132"/>
      <w:contextualSpacing/>
    </w:pPr>
  </w:style>
  <w:style w:type="paragraph" w:styleId="ListContinue5">
    <w:name w:val="List Continue 5"/>
    <w:basedOn w:val="Normal"/>
    <w:uiPriority w:val="99"/>
    <w:semiHidden/>
    <w:unhideWhenUsed/>
    <w:rsid w:val="00776C24"/>
    <w:pPr>
      <w:spacing w:after="120"/>
      <w:ind w:left="1415"/>
      <w:contextualSpacing/>
    </w:pPr>
  </w:style>
  <w:style w:type="paragraph" w:styleId="ListNumber">
    <w:name w:val="List Number"/>
    <w:basedOn w:val="Normal"/>
    <w:uiPriority w:val="99"/>
    <w:unhideWhenUsed/>
    <w:rsid w:val="00776C24"/>
    <w:pPr>
      <w:numPr>
        <w:numId w:val="5"/>
      </w:numPr>
      <w:contextualSpacing/>
    </w:pPr>
  </w:style>
  <w:style w:type="paragraph" w:styleId="ListNumber2">
    <w:name w:val="List Number 2"/>
    <w:basedOn w:val="Normal"/>
    <w:uiPriority w:val="99"/>
    <w:semiHidden/>
    <w:unhideWhenUsed/>
    <w:rsid w:val="00776C24"/>
    <w:pPr>
      <w:numPr>
        <w:numId w:val="6"/>
      </w:numPr>
      <w:contextualSpacing/>
    </w:pPr>
  </w:style>
  <w:style w:type="paragraph" w:styleId="ListNumber3">
    <w:name w:val="List Number 3"/>
    <w:basedOn w:val="Normal"/>
    <w:uiPriority w:val="99"/>
    <w:semiHidden/>
    <w:unhideWhenUsed/>
    <w:rsid w:val="00776C24"/>
    <w:pPr>
      <w:numPr>
        <w:numId w:val="7"/>
      </w:numPr>
      <w:contextualSpacing/>
    </w:pPr>
  </w:style>
  <w:style w:type="paragraph" w:styleId="ListNumber4">
    <w:name w:val="List Number 4"/>
    <w:basedOn w:val="Normal"/>
    <w:uiPriority w:val="99"/>
    <w:semiHidden/>
    <w:unhideWhenUsed/>
    <w:rsid w:val="00776C24"/>
    <w:pPr>
      <w:numPr>
        <w:numId w:val="8"/>
      </w:numPr>
      <w:contextualSpacing/>
    </w:pPr>
  </w:style>
  <w:style w:type="paragraph" w:styleId="ListNumber5">
    <w:name w:val="List Number 5"/>
    <w:basedOn w:val="Normal"/>
    <w:uiPriority w:val="99"/>
    <w:semiHidden/>
    <w:unhideWhenUsed/>
    <w:rsid w:val="00776C24"/>
    <w:pPr>
      <w:numPr>
        <w:numId w:val="9"/>
      </w:numPr>
      <w:contextualSpacing/>
    </w:pPr>
  </w:style>
  <w:style w:type="paragraph" w:styleId="MacroText">
    <w:name w:val="macro"/>
    <w:link w:val="MacroTextChar"/>
    <w:uiPriority w:val="99"/>
    <w:unhideWhenUsed/>
    <w:rsid w:val="00776C2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nsolas" w:eastAsia="Times New Roman" w:hAnsi="Consolas" w:cs="Consolas"/>
      <w:color w:val="000000" w:themeColor="text1"/>
      <w:sz w:val="20"/>
      <w:szCs w:val="20"/>
    </w:rPr>
  </w:style>
  <w:style w:type="character" w:customStyle="1" w:styleId="MacroTextChar">
    <w:name w:val="Macro Text Char"/>
    <w:basedOn w:val="DefaultParagraphFont"/>
    <w:link w:val="MacroText"/>
    <w:uiPriority w:val="99"/>
    <w:rsid w:val="00776C24"/>
    <w:rPr>
      <w:rFonts w:ascii="Consolas" w:eastAsia="Times New Roman" w:hAnsi="Consolas" w:cs="Consolas"/>
      <w:color w:val="000000" w:themeColor="text1"/>
      <w:sz w:val="20"/>
      <w:szCs w:val="20"/>
    </w:rPr>
  </w:style>
  <w:style w:type="table" w:styleId="MediumGrid1">
    <w:name w:val="Medium Grid 1"/>
    <w:basedOn w:val="TableNormal"/>
    <w:uiPriority w:val="67"/>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76C2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76C2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76C2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76C2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76C2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76C2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76C2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76C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76C24"/>
    <w:rPr>
      <w:rFonts w:asciiTheme="majorHAnsi" w:eastAsiaTheme="majorEastAsia" w:hAnsiTheme="majorHAnsi" w:cstheme="majorBidi"/>
      <w:color w:val="000000" w:themeColor="text1"/>
      <w:sz w:val="24"/>
      <w:szCs w:val="24"/>
      <w:shd w:val="pct20" w:color="auto" w:fill="auto"/>
    </w:rPr>
  </w:style>
  <w:style w:type="paragraph" w:styleId="NormalIndent">
    <w:name w:val="Normal Indent"/>
    <w:basedOn w:val="Normal"/>
    <w:uiPriority w:val="99"/>
    <w:unhideWhenUsed/>
    <w:rsid w:val="00776C24"/>
    <w:pPr>
      <w:ind w:left="720"/>
    </w:pPr>
  </w:style>
  <w:style w:type="paragraph" w:styleId="NoteHeading">
    <w:name w:val="Note Heading"/>
    <w:basedOn w:val="Normal"/>
    <w:next w:val="Normal"/>
    <w:link w:val="NoteHeadingChar"/>
    <w:uiPriority w:val="99"/>
    <w:semiHidden/>
    <w:unhideWhenUsed/>
    <w:rsid w:val="00776C24"/>
    <w:pPr>
      <w:spacing w:after="0" w:line="240" w:lineRule="auto"/>
    </w:pPr>
  </w:style>
  <w:style w:type="character" w:customStyle="1" w:styleId="NoteHeadingChar">
    <w:name w:val="Note Heading Char"/>
    <w:basedOn w:val="DefaultParagraphFont"/>
    <w:link w:val="NoteHeading"/>
    <w:uiPriority w:val="99"/>
    <w:semiHidden/>
    <w:rsid w:val="00776C24"/>
    <w:rPr>
      <w:rFonts w:ascii="Arial" w:eastAsia="Times New Roman" w:hAnsi="Arial" w:cs="Times New Roman"/>
      <w:color w:val="000000" w:themeColor="text1"/>
      <w:sz w:val="19"/>
      <w:szCs w:val="24"/>
    </w:rPr>
  </w:style>
  <w:style w:type="character" w:customStyle="1" w:styleId="SignatureChar">
    <w:name w:val="Signature Char"/>
    <w:basedOn w:val="DefaultParagraphFont"/>
    <w:link w:val="Signature"/>
    <w:uiPriority w:val="99"/>
    <w:semiHidden/>
    <w:rsid w:val="00776C24"/>
    <w:rPr>
      <w:rFonts w:ascii="Arial" w:eastAsia="Times New Roman" w:hAnsi="Arial" w:cs="Times New Roman"/>
      <w:color w:val="000000" w:themeColor="text1"/>
      <w:sz w:val="19"/>
      <w:szCs w:val="24"/>
    </w:rPr>
  </w:style>
  <w:style w:type="table" w:styleId="Table3Deffects1">
    <w:name w:val="Table 3D effects 1"/>
    <w:basedOn w:val="TableNormal"/>
    <w:uiPriority w:val="99"/>
    <w:semiHidden/>
    <w:unhideWhenUsed/>
    <w:rsid w:val="00776C24"/>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6C24"/>
    <w:pPr>
      <w:spacing w:after="9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6C24"/>
    <w:pPr>
      <w:spacing w:after="9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6C24"/>
    <w:pPr>
      <w:spacing w:after="9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6C24"/>
    <w:pPr>
      <w:spacing w:after="9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6C24"/>
    <w:pPr>
      <w:spacing w:after="9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6C24"/>
    <w:pPr>
      <w:spacing w:after="9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6C24"/>
    <w:pPr>
      <w:spacing w:after="9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776C24"/>
    <w:pPr>
      <w:spacing w:after="9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6C24"/>
    <w:pPr>
      <w:spacing w:after="9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6C24"/>
    <w:pPr>
      <w:spacing w:after="9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6C24"/>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6C24"/>
    <w:pPr>
      <w:spacing w:after="9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6C24"/>
    <w:pPr>
      <w:spacing w:after="9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6C24"/>
    <w:pPr>
      <w:spacing w:after="9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6C24"/>
    <w:pPr>
      <w:spacing w:after="9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6C24"/>
    <w:pPr>
      <w:spacing w:after="9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6C24"/>
    <w:pPr>
      <w:spacing w:after="9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6C24"/>
    <w:pPr>
      <w:spacing w:after="9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6C24"/>
    <w:pPr>
      <w:spacing w:after="9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6C24"/>
    <w:pPr>
      <w:spacing w:after="0"/>
      <w:ind w:left="190" w:hanging="190"/>
    </w:pPr>
  </w:style>
  <w:style w:type="paragraph" w:styleId="TableofFigures">
    <w:name w:val="table of figures"/>
    <w:basedOn w:val="Normal"/>
    <w:next w:val="Normal"/>
    <w:link w:val="TableofFiguresChar"/>
    <w:unhideWhenUsed/>
    <w:qFormat/>
    <w:rsid w:val="00776C24"/>
    <w:pPr>
      <w:spacing w:after="0"/>
    </w:pPr>
  </w:style>
  <w:style w:type="table" w:styleId="TableProfessional">
    <w:name w:val="Table Professional"/>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76C24"/>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6C24"/>
    <w:pPr>
      <w:spacing w:after="9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6C24"/>
    <w:pPr>
      <w:spacing w:after="9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6C24"/>
    <w:pPr>
      <w:spacing w:after="9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6C24"/>
    <w:pPr>
      <w:spacing w:after="9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76C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C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76C2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76C24"/>
    <w:pPr>
      <w:keepLines/>
      <w:pageBreakBefore w:val="0"/>
      <w:spacing w:before="480" w:after="0" w:line="220" w:lineRule="atLeast"/>
      <w:outlineLvl w:val="9"/>
    </w:pPr>
    <w:rPr>
      <w:rFonts w:asciiTheme="majorHAnsi" w:eastAsiaTheme="majorEastAsia" w:hAnsiTheme="majorHAnsi" w:cstheme="majorBidi"/>
      <w:b/>
      <w:color w:val="365F91" w:themeColor="accent1" w:themeShade="BF"/>
      <w:kern w:val="0"/>
      <w:sz w:val="28"/>
      <w:szCs w:val="28"/>
    </w:rPr>
  </w:style>
  <w:style w:type="paragraph" w:customStyle="1" w:styleId="Tablerowheadingtopoutputstables">
    <w:name w:val="Table row heading top outputs tables"/>
    <w:basedOn w:val="DETTablerowheadingoutputstables"/>
    <w:uiPriority w:val="99"/>
    <w:qFormat/>
    <w:rsid w:val="00903144"/>
    <w:pPr>
      <w:jc w:val="center"/>
    </w:pPr>
  </w:style>
  <w:style w:type="numbering" w:customStyle="1" w:styleId="1111111">
    <w:name w:val="1 / 1.1 / 1.1.11"/>
    <w:basedOn w:val="NoList"/>
    <w:next w:val="111111"/>
    <w:uiPriority w:val="99"/>
    <w:unhideWhenUsed/>
    <w:rsid w:val="00903144"/>
    <w:pPr>
      <w:numPr>
        <w:numId w:val="16"/>
      </w:numPr>
    </w:pPr>
  </w:style>
  <w:style w:type="numbering" w:customStyle="1" w:styleId="1ai1">
    <w:name w:val="1 / a / i1"/>
    <w:basedOn w:val="NoList"/>
    <w:next w:val="1ai"/>
    <w:uiPriority w:val="99"/>
    <w:unhideWhenUsed/>
    <w:rsid w:val="00903144"/>
    <w:pPr>
      <w:numPr>
        <w:numId w:val="17"/>
      </w:numPr>
    </w:pPr>
  </w:style>
  <w:style w:type="numbering" w:customStyle="1" w:styleId="ArticleSection1">
    <w:name w:val="Article / Section1"/>
    <w:basedOn w:val="NoList"/>
    <w:next w:val="ArticleSection"/>
    <w:uiPriority w:val="99"/>
    <w:unhideWhenUsed/>
    <w:rsid w:val="00903144"/>
    <w:pPr>
      <w:numPr>
        <w:numId w:val="18"/>
      </w:numPr>
    </w:pPr>
  </w:style>
  <w:style w:type="paragraph" w:customStyle="1" w:styleId="Tabletextnoindent">
    <w:name w:val="Table text no indent"/>
    <w:basedOn w:val="Tabletext"/>
    <w:uiPriority w:val="99"/>
    <w:qFormat/>
    <w:rsid w:val="00EE64D7"/>
    <w:rPr>
      <w:color w:val="auto"/>
    </w:rPr>
  </w:style>
  <w:style w:type="character" w:customStyle="1" w:styleId="TableofFiguresChar">
    <w:name w:val="Table of Figures Char"/>
    <w:link w:val="TableofFigures"/>
    <w:rsid w:val="005E77C8"/>
    <w:rPr>
      <w:rFonts w:ascii="Arial" w:eastAsia="Times New Roman" w:hAnsi="Arial" w:cs="Times New Roman"/>
      <w:color w:val="000000" w:themeColor="text1"/>
      <w:sz w:val="19"/>
      <w:szCs w:val="24"/>
    </w:rPr>
  </w:style>
  <w:style w:type="paragraph" w:customStyle="1" w:styleId="DETHeading2appendicesnumbered">
    <w:name w:val="DET Heading 2 appendices numbered"/>
    <w:basedOn w:val="Heading2notes"/>
    <w:qFormat/>
    <w:rsid w:val="00497F31"/>
    <w:pPr>
      <w:numPr>
        <w:numId w:val="19"/>
      </w:numPr>
      <w:tabs>
        <w:tab w:val="clear" w:pos="1134"/>
        <w:tab w:val="left" w:pos="1701"/>
      </w:tabs>
    </w:pPr>
  </w:style>
  <w:style w:type="paragraph" w:customStyle="1" w:styleId="Tablebullet">
    <w:name w:val="Table bullet"/>
    <w:basedOn w:val="Normal"/>
    <w:uiPriority w:val="9"/>
    <w:qFormat/>
    <w:rsid w:val="00B70B34"/>
    <w:pPr>
      <w:widowControl w:val="0"/>
      <w:numPr>
        <w:numId w:val="20"/>
      </w:numPr>
      <w:tabs>
        <w:tab w:val="left" w:pos="113"/>
        <w:tab w:val="left" w:pos="284"/>
      </w:tabs>
      <w:autoSpaceDE w:val="0"/>
      <w:autoSpaceDN w:val="0"/>
      <w:adjustRightInd w:val="0"/>
      <w:spacing w:before="80" w:after="80" w:line="240" w:lineRule="auto"/>
    </w:pPr>
    <w:rPr>
      <w:rFonts w:eastAsia="Arial" w:cs="Arial"/>
      <w:color w:val="auto"/>
      <w:sz w:val="17"/>
      <w:szCs w:val="18"/>
      <w:lang w:eastAsia="en-AU"/>
    </w:rPr>
  </w:style>
  <w:style w:type="paragraph" w:customStyle="1" w:styleId="ToCome">
    <w:name w:val="ToCome"/>
    <w:basedOn w:val="Normal"/>
    <w:uiPriority w:val="99"/>
    <w:qFormat/>
    <w:rsid w:val="006E11B2"/>
    <w:rPr>
      <w:b/>
      <w:color w:val="FF0000"/>
    </w:rPr>
  </w:style>
  <w:style w:type="paragraph" w:customStyle="1" w:styleId="Tabletextheadingleft">
    <w:name w:val="Table text heading left"/>
    <w:basedOn w:val="Normal"/>
    <w:uiPriority w:val="99"/>
    <w:rsid w:val="004E6984"/>
    <w:pPr>
      <w:spacing w:after="0" w:line="240" w:lineRule="auto"/>
    </w:pPr>
    <w:rPr>
      <w:rFonts w:ascii="Calibri" w:hAnsi="Calibri"/>
      <w:i/>
      <w:sz w:val="20"/>
      <w:szCs w:val="18"/>
    </w:rPr>
  </w:style>
  <w:style w:type="paragraph" w:customStyle="1" w:styleId="DETFootnoteTextforobjectivestablesOHStable">
    <w:name w:val="DET Footnote Text for objectives tables &amp; OHS table"/>
    <w:basedOn w:val="Normal"/>
    <w:next w:val="Normal"/>
    <w:link w:val="DETFootnoteTextforobjectivestablesOHStableChar"/>
    <w:qFormat/>
    <w:rsid w:val="00B51AB3"/>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DETFootnoteTextforobjectivestablesOHStableChar">
    <w:name w:val="DET Footnote Text for objectives tables &amp; OHS table Char"/>
    <w:basedOn w:val="DefaultParagraphFont"/>
    <w:link w:val="DETFootnoteTextforobjectivestablesOHStable"/>
    <w:rsid w:val="00063662"/>
    <w:rPr>
      <w:rFonts w:ascii="Arial Narrow" w:eastAsia="Times New Roman" w:hAnsi="Arial Narrow" w:cs="Arial"/>
      <w:color w:val="000000" w:themeColor="text1"/>
      <w:sz w:val="15"/>
      <w:szCs w:val="16"/>
    </w:rPr>
  </w:style>
  <w:style w:type="paragraph" w:customStyle="1" w:styleId="Heading3notes">
    <w:name w:val="Heading 3 notes"/>
    <w:basedOn w:val="Heading3"/>
    <w:link w:val="Heading3notesChar"/>
    <w:qFormat/>
    <w:rsid w:val="004E6984"/>
    <w:pPr>
      <w:ind w:left="340" w:hanging="340"/>
    </w:pPr>
    <w:rPr>
      <w:lang w:eastAsia="en-AU"/>
    </w:rPr>
  </w:style>
  <w:style w:type="character" w:customStyle="1" w:styleId="Heading3notesChar">
    <w:name w:val="Heading 3 notes Char"/>
    <w:basedOn w:val="Heading3Char"/>
    <w:link w:val="Heading3notes"/>
    <w:rsid w:val="004E6984"/>
    <w:rPr>
      <w:rFonts w:ascii="Arial" w:eastAsia="Times New Roman" w:hAnsi="Arial" w:cs="Arial"/>
      <w:bCs/>
      <w:color w:val="000000" w:themeColor="text1"/>
      <w:szCs w:val="19"/>
      <w:lang w:eastAsia="en-AU"/>
    </w:rPr>
  </w:style>
  <w:style w:type="paragraph" w:customStyle="1" w:styleId="StyleTablesubheadingsubsequentnarrow75pt">
    <w:name w:val="Style Table subheading subsequent narrow + 7.5 pt"/>
    <w:basedOn w:val="Tablesubheadingsubsequentnarrow"/>
    <w:uiPriority w:val="99"/>
    <w:rsid w:val="004E6984"/>
    <w:rPr>
      <w:bCs/>
      <w:sz w:val="15"/>
    </w:rPr>
  </w:style>
  <w:style w:type="paragraph" w:customStyle="1" w:styleId="TablecolumnheadingVPSstafftable">
    <w:name w:val="Table column heading VPS staff table"/>
    <w:basedOn w:val="Tablecolumnheading"/>
    <w:uiPriority w:val="99"/>
    <w:rsid w:val="004E6984"/>
    <w:rPr>
      <w:sz w:val="16"/>
    </w:rPr>
  </w:style>
  <w:style w:type="table" w:customStyle="1" w:styleId="TableGrid10">
    <w:name w:val="Table Grid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5"/>
    <w:link w:val="TableheadingChar"/>
    <w:qFormat/>
    <w:rsid w:val="004E6984"/>
    <w:pPr>
      <w:spacing w:before="100" w:after="40"/>
      <w:ind w:left="1170" w:hanging="1170"/>
    </w:pPr>
    <w:rPr>
      <w:rFonts w:ascii="Calibri" w:eastAsia="Tahoma" w:hAnsi="Calibri" w:cs="Arial"/>
      <w:i w:val="0"/>
      <w:iCs/>
      <w:sz w:val="21"/>
      <w:szCs w:val="20"/>
      <w:lang w:eastAsia="en-AU"/>
    </w:rPr>
  </w:style>
  <w:style w:type="character" w:customStyle="1" w:styleId="TableheadingChar">
    <w:name w:val="Table heading Char"/>
    <w:link w:val="Tableheading"/>
    <w:rsid w:val="004E6984"/>
    <w:rPr>
      <w:rFonts w:ascii="Calibri" w:eastAsia="Tahoma" w:hAnsi="Calibri" w:cs="Arial"/>
      <w:iCs/>
      <w:color w:val="000000" w:themeColor="text1"/>
      <w:sz w:val="21"/>
      <w:szCs w:val="20"/>
      <w:lang w:eastAsia="en-AU"/>
    </w:rPr>
  </w:style>
  <w:style w:type="paragraph" w:customStyle="1" w:styleId="TOCTitle">
    <w:name w:val="TOC Title"/>
    <w:basedOn w:val="Header"/>
    <w:link w:val="TOCTitleChar"/>
    <w:rsid w:val="004E6984"/>
    <w:pPr>
      <w:ind w:left="-336"/>
    </w:pPr>
    <w:rPr>
      <w:sz w:val="36"/>
      <w:szCs w:val="36"/>
    </w:rPr>
  </w:style>
  <w:style w:type="character" w:customStyle="1" w:styleId="TOCTitleChar">
    <w:name w:val="TOC Title Char"/>
    <w:link w:val="TOCTitle"/>
    <w:rsid w:val="004E6984"/>
    <w:rPr>
      <w:rFonts w:ascii="Arial" w:eastAsia="Times New Roman" w:hAnsi="Arial" w:cs="Times New Roman"/>
      <w:color w:val="000000" w:themeColor="text1"/>
      <w:spacing w:val="-1"/>
      <w:sz w:val="36"/>
      <w:szCs w:val="36"/>
    </w:rPr>
  </w:style>
  <w:style w:type="table" w:customStyle="1" w:styleId="TableGrid11">
    <w:name w:val="Table Grid1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semiHidden/>
    <w:unhideWhenUsed/>
    <w:rsid w:val="0011351A"/>
  </w:style>
  <w:style w:type="numbering" w:customStyle="1" w:styleId="1ai11">
    <w:name w:val="1 / a / i11"/>
    <w:basedOn w:val="NoList"/>
    <w:next w:val="1ai"/>
    <w:uiPriority w:val="99"/>
    <w:semiHidden/>
    <w:unhideWhenUsed/>
    <w:rsid w:val="0011351A"/>
  </w:style>
  <w:style w:type="numbering" w:customStyle="1" w:styleId="ArticleSection11">
    <w:name w:val="Article / Section11"/>
    <w:basedOn w:val="NoList"/>
    <w:next w:val="ArticleSection"/>
    <w:uiPriority w:val="99"/>
    <w:semiHidden/>
    <w:unhideWhenUsed/>
    <w:rsid w:val="0011351A"/>
  </w:style>
  <w:style w:type="table" w:customStyle="1" w:styleId="TableGrid12">
    <w:name w:val="Table Grid12"/>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9"/>
    <w:qFormat/>
    <w:rsid w:val="00CD091A"/>
    <w:pPr>
      <w:spacing w:before="30" w:after="30" w:line="240" w:lineRule="auto"/>
    </w:pPr>
    <w:rPr>
      <w:rFonts w:cs="Arial"/>
      <w:color w:val="auto"/>
      <w:sz w:val="17"/>
      <w:szCs w:val="18"/>
      <w:lang w:eastAsia="en-AU"/>
    </w:rPr>
  </w:style>
  <w:style w:type="paragraph" w:customStyle="1" w:styleId="ReportTitle">
    <w:name w:val="Report Title"/>
    <w:basedOn w:val="Normal"/>
    <w:uiPriority w:val="99"/>
    <w:rsid w:val="009E5173"/>
    <w:pPr>
      <w:spacing w:after="35" w:line="480" w:lineRule="exact"/>
    </w:pPr>
    <w:rPr>
      <w:color w:val="D2000B"/>
      <w:spacing w:val="-12"/>
      <w:sz w:val="46"/>
      <w:szCs w:val="46"/>
    </w:rPr>
  </w:style>
  <w:style w:type="paragraph" w:customStyle="1" w:styleId="Tabletextobjectivestablesitalic">
    <w:name w:val="Table text objectives tables italic"/>
    <w:basedOn w:val="Tabletextobjectivestables"/>
    <w:uiPriority w:val="99"/>
    <w:qFormat/>
    <w:rsid w:val="007A55AC"/>
    <w:rPr>
      <w:rFonts w:ascii="Arial Narrow" w:hAnsi="Arial Narrow"/>
      <w:i/>
      <w:color w:val="auto"/>
    </w:rPr>
  </w:style>
  <w:style w:type="numbering" w:customStyle="1" w:styleId="MD2007111">
    <w:name w:val="MD2007111"/>
    <w:rsid w:val="00552289"/>
    <w:pPr>
      <w:numPr>
        <w:numId w:val="23"/>
      </w:numPr>
    </w:pPr>
  </w:style>
  <w:style w:type="paragraph" w:styleId="Quote">
    <w:name w:val="Quote"/>
    <w:basedOn w:val="Normal"/>
    <w:link w:val="QuoteChar"/>
    <w:uiPriority w:val="99"/>
    <w:qFormat/>
    <w:rsid w:val="008C2071"/>
    <w:rPr>
      <w:b/>
      <w:color w:val="auto"/>
      <w:szCs w:val="19"/>
    </w:rPr>
  </w:style>
  <w:style w:type="character" w:customStyle="1" w:styleId="QuoteChar">
    <w:name w:val="Quote Char"/>
    <w:basedOn w:val="DefaultParagraphFont"/>
    <w:link w:val="Quote"/>
    <w:uiPriority w:val="99"/>
    <w:rsid w:val="008C2071"/>
    <w:rPr>
      <w:rFonts w:ascii="Arial" w:eastAsia="Times New Roman" w:hAnsi="Arial" w:cs="Times New Roman"/>
      <w:b/>
      <w:sz w:val="19"/>
      <w:szCs w:val="19"/>
    </w:rPr>
  </w:style>
  <w:style w:type="paragraph" w:customStyle="1" w:styleId="TOC1fin">
    <w:name w:val="TOC 1 fin"/>
    <w:basedOn w:val="TOC1"/>
    <w:uiPriority w:val="99"/>
    <w:qFormat/>
    <w:rsid w:val="008149C6"/>
    <w:pPr>
      <w:tabs>
        <w:tab w:val="clear" w:pos="851"/>
        <w:tab w:val="left" w:pos="1134"/>
      </w:tabs>
      <w:ind w:left="1134" w:hanging="1134"/>
    </w:pPr>
  </w:style>
  <w:style w:type="paragraph" w:customStyle="1" w:styleId="Tabletextoutputs">
    <w:name w:val="Table text outputs"/>
    <w:basedOn w:val="Tabletextnoindent"/>
    <w:uiPriority w:val="99"/>
    <w:qFormat/>
    <w:rsid w:val="008C2071"/>
    <w:rPr>
      <w:rFonts w:ascii="Arial Narrow" w:hAnsi="Arial Narrow"/>
      <w:sz w:val="16"/>
      <w:szCs w:val="16"/>
      <w:lang w:eastAsia="en-AU"/>
    </w:rPr>
  </w:style>
  <w:style w:type="paragraph" w:customStyle="1" w:styleId="Tabletextoutputtablesnotes">
    <w:name w:val="Table text output tables notes"/>
    <w:basedOn w:val="Normal"/>
    <w:link w:val="TabletextoutputtablesnotesChar"/>
    <w:rsid w:val="008C2071"/>
    <w:pPr>
      <w:spacing w:after="0" w:line="240" w:lineRule="auto"/>
      <w:ind w:left="170"/>
    </w:pPr>
    <w:rPr>
      <w:rFonts w:ascii="Calibri" w:hAnsi="Calibri"/>
      <w:i/>
      <w:color w:val="auto"/>
      <w:sz w:val="15"/>
      <w:szCs w:val="20"/>
      <w:lang w:eastAsia="en-AU"/>
    </w:rPr>
  </w:style>
  <w:style w:type="character" w:customStyle="1" w:styleId="TabletextoutputtablesnotesChar">
    <w:name w:val="Table text output tables notes Char"/>
    <w:link w:val="Tabletextoutputtablesnotes"/>
    <w:rsid w:val="008C2071"/>
    <w:rPr>
      <w:rFonts w:ascii="Calibri" w:eastAsia="Times New Roman" w:hAnsi="Calibri" w:cs="Times New Roman"/>
      <w:i/>
      <w:sz w:val="15"/>
      <w:szCs w:val="20"/>
      <w:lang w:eastAsia="en-AU"/>
    </w:rPr>
  </w:style>
  <w:style w:type="paragraph" w:customStyle="1" w:styleId="Reference">
    <w:name w:val="Reference"/>
    <w:basedOn w:val="Normal"/>
    <w:link w:val="ReferenceChar"/>
    <w:rsid w:val="008C2071"/>
    <w:pPr>
      <w:spacing w:after="0" w:line="240" w:lineRule="auto"/>
    </w:pPr>
    <w:rPr>
      <w:rFonts w:ascii="Times New Roman" w:hAnsi="Times New Roman"/>
      <w:color w:val="auto"/>
      <w:sz w:val="14"/>
      <w:szCs w:val="14"/>
      <w:lang w:val="en-GB"/>
    </w:rPr>
  </w:style>
  <w:style w:type="character" w:customStyle="1" w:styleId="ReferenceChar">
    <w:name w:val="Reference Char"/>
    <w:link w:val="Reference"/>
    <w:rsid w:val="008C2071"/>
    <w:rPr>
      <w:rFonts w:ascii="Times New Roman" w:eastAsia="Times New Roman" w:hAnsi="Times New Roman" w:cs="Times New Roman"/>
      <w:sz w:val="14"/>
      <w:szCs w:val="14"/>
      <w:lang w:val="en-GB"/>
    </w:rPr>
  </w:style>
  <w:style w:type="paragraph" w:customStyle="1" w:styleId="TableBullet0">
    <w:name w:val="Table Bullet"/>
    <w:basedOn w:val="Normal"/>
    <w:uiPriority w:val="10"/>
    <w:qFormat/>
    <w:rsid w:val="008C2071"/>
    <w:pPr>
      <w:tabs>
        <w:tab w:val="num" w:pos="227"/>
      </w:tabs>
      <w:spacing w:after="0"/>
      <w:ind w:left="227" w:hanging="227"/>
    </w:pPr>
    <w:rPr>
      <w:rFonts w:ascii="Calibri" w:hAnsi="Calibri" w:cs="Calibri"/>
      <w:color w:val="auto"/>
      <w:sz w:val="20"/>
      <w:szCs w:val="22"/>
    </w:rPr>
  </w:style>
  <w:style w:type="paragraph" w:customStyle="1" w:styleId="Normalgrey">
    <w:name w:val="Normal grey"/>
    <w:basedOn w:val="Normal"/>
    <w:uiPriority w:val="99"/>
    <w:qFormat/>
    <w:rsid w:val="008C2071"/>
    <w:pPr>
      <w:spacing w:before="60" w:after="60" w:line="240" w:lineRule="auto"/>
    </w:pPr>
    <w:rPr>
      <w:rFonts w:ascii="Calibri" w:eastAsia="Calibri" w:hAnsi="Calibri"/>
      <w:color w:val="6E6E64"/>
      <w:sz w:val="22"/>
      <w:szCs w:val="21"/>
    </w:rPr>
  </w:style>
  <w:style w:type="paragraph" w:customStyle="1" w:styleId="NoParagraphStyle">
    <w:name w:val="[No Paragraph Style]"/>
    <w:basedOn w:val="Normal"/>
    <w:uiPriority w:val="99"/>
    <w:rsid w:val="008C2071"/>
    <w:pPr>
      <w:spacing w:after="0" w:line="288" w:lineRule="auto"/>
    </w:pPr>
    <w:rPr>
      <w:rFonts w:ascii="Times-Roman" w:eastAsiaTheme="minorHAnsi" w:hAnsi="Times-Roman"/>
      <w:color w:val="000000"/>
      <w:sz w:val="24"/>
    </w:rPr>
  </w:style>
  <w:style w:type="paragraph" w:customStyle="1" w:styleId="Captionafterlist">
    <w:name w:val="Caption after list"/>
    <w:basedOn w:val="Caption"/>
    <w:uiPriority w:val="99"/>
    <w:rsid w:val="008C2071"/>
    <w:rPr>
      <w:bCs/>
      <w:iCs/>
      <w:color w:val="auto"/>
      <w:szCs w:val="20"/>
    </w:rPr>
  </w:style>
  <w:style w:type="paragraph" w:customStyle="1" w:styleId="Heading1RoO">
    <w:name w:val="Heading 1 RoO"/>
    <w:basedOn w:val="Heading2"/>
    <w:link w:val="Heading1RoOChar"/>
    <w:qFormat/>
    <w:rsid w:val="008C2071"/>
  </w:style>
  <w:style w:type="character" w:customStyle="1" w:styleId="Heading1RoOChar">
    <w:name w:val="Heading 1 RoO Char"/>
    <w:basedOn w:val="Heading2Char"/>
    <w:link w:val="Heading1RoO"/>
    <w:rsid w:val="008C2071"/>
    <w:rPr>
      <w:rFonts w:ascii="Arial" w:eastAsia="Times New Roman" w:hAnsi="Arial" w:cs="Arial"/>
      <w:bCs/>
      <w:iCs/>
      <w:color w:val="000000" w:themeColor="text1"/>
      <w:sz w:val="28"/>
      <w:szCs w:val="28"/>
    </w:rPr>
  </w:style>
  <w:style w:type="paragraph" w:customStyle="1" w:styleId="Heading2Notes0">
    <w:name w:val="Heading 2 Notes"/>
    <w:basedOn w:val="Heading2"/>
    <w:link w:val="Heading2NotesChar0"/>
    <w:uiPriority w:val="99"/>
    <w:rsid w:val="008C2071"/>
    <w:pPr>
      <w:numPr>
        <w:numId w:val="24"/>
      </w:numPr>
      <w:tabs>
        <w:tab w:val="left" w:pos="1260"/>
      </w:tabs>
      <w:spacing w:after="120"/>
      <w:ind w:left="1276" w:hanging="1276"/>
    </w:pPr>
  </w:style>
  <w:style w:type="character" w:customStyle="1" w:styleId="Heading2NotesChar0">
    <w:name w:val="Heading 2 Notes Char"/>
    <w:basedOn w:val="Heading2Char"/>
    <w:link w:val="Heading2Notes0"/>
    <w:uiPriority w:val="99"/>
    <w:locked/>
    <w:rsid w:val="008C2071"/>
    <w:rPr>
      <w:rFonts w:ascii="Arial" w:eastAsia="Times New Roman" w:hAnsi="Arial" w:cs="Arial"/>
      <w:bCs/>
      <w:iCs/>
      <w:color w:val="000000" w:themeColor="text1"/>
      <w:sz w:val="28"/>
      <w:szCs w:val="28"/>
    </w:rPr>
  </w:style>
  <w:style w:type="paragraph" w:customStyle="1" w:styleId="Heading3Numbering">
    <w:name w:val="Heading 3 Numbering"/>
    <w:basedOn w:val="Heading3"/>
    <w:link w:val="Heading3NumberingChar"/>
    <w:rsid w:val="008C2071"/>
    <w:pPr>
      <w:tabs>
        <w:tab w:val="num" w:pos="720"/>
      </w:tabs>
      <w:spacing w:before="160"/>
      <w:ind w:left="720" w:hanging="720"/>
    </w:pPr>
    <w:rPr>
      <w:color w:val="auto"/>
    </w:rPr>
  </w:style>
  <w:style w:type="character" w:customStyle="1" w:styleId="Heading3NumberingChar">
    <w:name w:val="Heading 3 Numbering Char"/>
    <w:link w:val="Heading3Numbering"/>
    <w:rsid w:val="008C2071"/>
    <w:rPr>
      <w:rFonts w:ascii="Arial" w:eastAsia="Times New Roman" w:hAnsi="Arial" w:cs="Arial"/>
      <w:bCs/>
      <w:szCs w:val="19"/>
    </w:rPr>
  </w:style>
  <w:style w:type="paragraph" w:customStyle="1" w:styleId="HeadingforNotescont">
    <w:name w:val="Heading for Notes (cont)"/>
    <w:basedOn w:val="Normal"/>
    <w:link w:val="HeadingforNotescontChar"/>
    <w:rsid w:val="008C2071"/>
    <w:pPr>
      <w:keepNext/>
      <w:tabs>
        <w:tab w:val="left" w:pos="1170"/>
      </w:tabs>
      <w:spacing w:before="240"/>
      <w:ind w:left="1170" w:hanging="1170"/>
      <w:outlineLvl w:val="2"/>
    </w:pPr>
    <w:rPr>
      <w:rFonts w:cs="Arial"/>
      <w:b/>
      <w:bCs/>
      <w:color w:val="auto"/>
      <w:kern w:val="28"/>
      <w:sz w:val="24"/>
      <w:lang w:eastAsia="en-AU"/>
    </w:rPr>
  </w:style>
  <w:style w:type="character" w:customStyle="1" w:styleId="HeadingforNotescontChar">
    <w:name w:val="Heading for Notes (cont) Char"/>
    <w:link w:val="HeadingforNotescont"/>
    <w:locked/>
    <w:rsid w:val="008C2071"/>
    <w:rPr>
      <w:rFonts w:ascii="Arial" w:eastAsia="Times New Roman" w:hAnsi="Arial" w:cs="Arial"/>
      <w:b/>
      <w:bCs/>
      <w:kern w:val="28"/>
      <w:sz w:val="24"/>
      <w:szCs w:val="24"/>
      <w:lang w:eastAsia="en-AU"/>
    </w:rPr>
  </w:style>
  <w:style w:type="paragraph" w:customStyle="1" w:styleId="Imprintbullet">
    <w:name w:val="Imprint bullet"/>
    <w:basedOn w:val="Imprintinformation"/>
    <w:uiPriority w:val="99"/>
    <w:qFormat/>
    <w:rsid w:val="006016B9"/>
    <w:pPr>
      <w:numPr>
        <w:numId w:val="25"/>
      </w:numPr>
      <w:tabs>
        <w:tab w:val="left" w:pos="170"/>
      </w:tabs>
    </w:pPr>
    <w:rPr>
      <w:color w:val="auto"/>
      <w:sz w:val="16"/>
    </w:rPr>
  </w:style>
  <w:style w:type="paragraph" w:customStyle="1" w:styleId="Imprintinformation0">
    <w:name w:val="Imprint information"/>
    <w:basedOn w:val="Normal"/>
    <w:uiPriority w:val="99"/>
    <w:rsid w:val="008C2071"/>
    <w:rPr>
      <w:color w:val="auto"/>
      <w:sz w:val="16"/>
    </w:rPr>
  </w:style>
  <w:style w:type="numbering" w:customStyle="1" w:styleId="Listnumber10">
    <w:name w:val="List number 1"/>
    <w:basedOn w:val="NoList"/>
    <w:rsid w:val="008C2071"/>
    <w:pPr>
      <w:numPr>
        <w:numId w:val="26"/>
      </w:numPr>
    </w:pPr>
  </w:style>
  <w:style w:type="numbering" w:customStyle="1" w:styleId="ListNumber1">
    <w:name w:val="List Number1"/>
    <w:basedOn w:val="NoList"/>
    <w:rsid w:val="008C2071"/>
    <w:pPr>
      <w:numPr>
        <w:numId w:val="27"/>
      </w:numPr>
    </w:pPr>
  </w:style>
  <w:style w:type="paragraph" w:customStyle="1" w:styleId="Normalaftertableandbeforelist">
    <w:name w:val="Normal after table and before list"/>
    <w:basedOn w:val="Normalaftertable"/>
    <w:uiPriority w:val="99"/>
    <w:rsid w:val="008C2071"/>
    <w:pPr>
      <w:spacing w:after="40"/>
    </w:pPr>
    <w:rPr>
      <w:color w:val="auto"/>
      <w:szCs w:val="20"/>
    </w:rPr>
  </w:style>
  <w:style w:type="paragraph" w:customStyle="1" w:styleId="NormalIndent2">
    <w:name w:val="Normal Indent 2"/>
    <w:basedOn w:val="Normal"/>
    <w:uiPriority w:val="99"/>
    <w:rsid w:val="008C2071"/>
    <w:pPr>
      <w:ind w:left="450"/>
    </w:pPr>
    <w:rPr>
      <w:rFonts w:ascii="Garamond" w:hAnsi="Garamond"/>
      <w:color w:val="auto"/>
    </w:rPr>
  </w:style>
  <w:style w:type="numbering" w:customStyle="1" w:styleId="Normalnumberedlist">
    <w:name w:val="Normal numbered list"/>
    <w:basedOn w:val="NoList"/>
    <w:rsid w:val="008C2071"/>
    <w:pPr>
      <w:numPr>
        <w:numId w:val="28"/>
      </w:numPr>
    </w:pPr>
  </w:style>
  <w:style w:type="paragraph" w:customStyle="1" w:styleId="Normalspaceabove">
    <w:name w:val="Normal spaceabove"/>
    <w:basedOn w:val="Normal"/>
    <w:uiPriority w:val="99"/>
    <w:qFormat/>
    <w:rsid w:val="008C2071"/>
    <w:pPr>
      <w:spacing w:before="960"/>
    </w:pPr>
    <w:rPr>
      <w:rFonts w:cs="Arial"/>
      <w:b/>
      <w:color w:val="auto"/>
      <w:szCs w:val="19"/>
    </w:rPr>
  </w:style>
  <w:style w:type="paragraph" w:customStyle="1" w:styleId="NoteHeading0">
    <w:name w:val="NoteHeading"/>
    <w:basedOn w:val="Normal"/>
    <w:link w:val="NoteHeadingChar0"/>
    <w:rsid w:val="008C2071"/>
    <w:pPr>
      <w:tabs>
        <w:tab w:val="left" w:pos="1224"/>
      </w:tabs>
      <w:spacing w:after="120"/>
    </w:pPr>
    <w:rPr>
      <w:rFonts w:cs="Arial"/>
      <w:b/>
      <w:bCs/>
      <w:color w:val="auto"/>
      <w:sz w:val="28"/>
      <w:szCs w:val="28"/>
      <w:lang w:val="en-GB"/>
    </w:rPr>
  </w:style>
  <w:style w:type="character" w:customStyle="1" w:styleId="NoteHeadingChar0">
    <w:name w:val="NoteHeading Char"/>
    <w:link w:val="NoteHeading0"/>
    <w:locked/>
    <w:rsid w:val="008C2071"/>
    <w:rPr>
      <w:rFonts w:ascii="Arial" w:eastAsia="Times New Roman" w:hAnsi="Arial" w:cs="Arial"/>
      <w:b/>
      <w:bCs/>
      <w:sz w:val="28"/>
      <w:szCs w:val="28"/>
      <w:lang w:val="en-GB"/>
    </w:rPr>
  </w:style>
  <w:style w:type="paragraph" w:customStyle="1" w:styleId="NoteHeadingcontinued">
    <w:name w:val="NoteHeading continued"/>
    <w:basedOn w:val="NoteHeading0"/>
    <w:link w:val="NoteHeadingcontinuedChar"/>
    <w:rsid w:val="008C2071"/>
  </w:style>
  <w:style w:type="character" w:customStyle="1" w:styleId="NoteHeadingcontinuedChar">
    <w:name w:val="NoteHeading continued Char"/>
    <w:basedOn w:val="NoteHeadingChar0"/>
    <w:link w:val="NoteHeadingcontinued"/>
    <w:locked/>
    <w:rsid w:val="008C2071"/>
    <w:rPr>
      <w:rFonts w:ascii="Arial" w:eastAsia="Times New Roman" w:hAnsi="Arial" w:cs="Arial"/>
      <w:b/>
      <w:bCs/>
      <w:sz w:val="28"/>
      <w:szCs w:val="28"/>
      <w:lang w:val="en-GB"/>
    </w:rPr>
  </w:style>
  <w:style w:type="paragraph" w:customStyle="1" w:styleId="Notes">
    <w:name w:val="Notes"/>
    <w:basedOn w:val="Normal"/>
    <w:link w:val="NotesChar"/>
    <w:qFormat/>
    <w:rsid w:val="008C2071"/>
    <w:pPr>
      <w:tabs>
        <w:tab w:val="left" w:pos="454"/>
      </w:tabs>
      <w:spacing w:after="0"/>
      <w:ind w:left="459" w:hanging="459"/>
    </w:pPr>
    <w:rPr>
      <w:rFonts w:ascii="Calibri" w:eastAsia="Tahoma" w:hAnsi="Calibri" w:cs="Tahoma"/>
      <w:i/>
      <w:iCs/>
      <w:color w:val="auto"/>
      <w:sz w:val="16"/>
    </w:rPr>
  </w:style>
  <w:style w:type="character" w:customStyle="1" w:styleId="NotesChar">
    <w:name w:val="Notes Char"/>
    <w:link w:val="Notes"/>
    <w:locked/>
    <w:rsid w:val="008C2071"/>
    <w:rPr>
      <w:rFonts w:ascii="Calibri" w:eastAsia="Tahoma" w:hAnsi="Calibri" w:cs="Tahoma"/>
      <w:i/>
      <w:iCs/>
      <w:sz w:val="16"/>
      <w:szCs w:val="24"/>
    </w:rPr>
  </w:style>
  <w:style w:type="numbering" w:customStyle="1" w:styleId="Numberedlist">
    <w:name w:val="Numbered list"/>
    <w:basedOn w:val="NoList"/>
    <w:rsid w:val="008C2071"/>
    <w:pPr>
      <w:numPr>
        <w:numId w:val="29"/>
      </w:numPr>
    </w:pPr>
  </w:style>
  <w:style w:type="paragraph" w:customStyle="1" w:styleId="SmallLine">
    <w:name w:val="Small Line"/>
    <w:basedOn w:val="Normal"/>
    <w:link w:val="SmallLineChar"/>
    <w:rsid w:val="008C2071"/>
    <w:pPr>
      <w:spacing w:after="0"/>
    </w:pPr>
    <w:rPr>
      <w:rFonts w:ascii="Garamond" w:eastAsia="Tahoma" w:hAnsi="Garamond" w:cs="Tahoma"/>
      <w:color w:val="auto"/>
      <w:sz w:val="4"/>
      <w:szCs w:val="4"/>
    </w:rPr>
  </w:style>
  <w:style w:type="character" w:customStyle="1" w:styleId="SmallLineChar">
    <w:name w:val="Small Line Char"/>
    <w:link w:val="SmallLine"/>
    <w:locked/>
    <w:rsid w:val="008C2071"/>
    <w:rPr>
      <w:rFonts w:ascii="Garamond" w:eastAsia="Tahoma" w:hAnsi="Garamond" w:cs="Tahoma"/>
      <w:sz w:val="4"/>
      <w:szCs w:val="4"/>
    </w:rPr>
  </w:style>
  <w:style w:type="paragraph" w:customStyle="1" w:styleId="TableBulletDash">
    <w:name w:val="Table Bullet Dash"/>
    <w:basedOn w:val="Normal"/>
    <w:uiPriority w:val="10"/>
    <w:semiHidden/>
    <w:rsid w:val="008C2071"/>
    <w:pPr>
      <w:tabs>
        <w:tab w:val="num" w:pos="454"/>
      </w:tabs>
      <w:spacing w:after="0" w:line="260" w:lineRule="atLeast"/>
      <w:ind w:left="454" w:hanging="227"/>
    </w:pPr>
    <w:rPr>
      <w:rFonts w:ascii="Calibri" w:hAnsi="Calibri" w:cs="Calibri"/>
      <w:color w:val="auto"/>
      <w:sz w:val="22"/>
      <w:szCs w:val="22"/>
    </w:rPr>
  </w:style>
  <w:style w:type="paragraph" w:customStyle="1" w:styleId="Tablecolumnsubheading">
    <w:name w:val="Table column subheading"/>
    <w:basedOn w:val="Tablerowheading"/>
    <w:link w:val="TablecolumnsubheadingChar"/>
    <w:qFormat/>
    <w:rsid w:val="008C2071"/>
    <w:pPr>
      <w:keepNext/>
      <w:spacing w:before="360"/>
    </w:pPr>
    <w:rPr>
      <w:snapToGrid w:val="0"/>
    </w:rPr>
  </w:style>
  <w:style w:type="character" w:customStyle="1" w:styleId="TablecolumnsubheadingChar">
    <w:name w:val="Table column subheading Char"/>
    <w:basedOn w:val="TablerowheadingChar"/>
    <w:link w:val="Tablecolumnsubheading"/>
    <w:rsid w:val="008C2071"/>
    <w:rPr>
      <w:rFonts w:ascii="Arial" w:eastAsia="Times New Roman" w:hAnsi="Arial" w:cs="Arial"/>
      <w:b/>
      <w:snapToGrid w:val="0"/>
      <w:color w:val="000000" w:themeColor="text1"/>
      <w:sz w:val="17"/>
      <w:szCs w:val="18"/>
    </w:rPr>
  </w:style>
  <w:style w:type="paragraph" w:customStyle="1" w:styleId="Tablecolumnsubheadingitalic">
    <w:name w:val="Table column subheading italic"/>
    <w:basedOn w:val="Tablecolumnsubheading"/>
    <w:next w:val="Tabletext"/>
    <w:link w:val="TablecolumnsubheadingitalicChar"/>
    <w:qFormat/>
    <w:rsid w:val="008C2071"/>
    <w:pPr>
      <w:spacing w:before="40"/>
    </w:pPr>
    <w:rPr>
      <w:i/>
    </w:rPr>
  </w:style>
  <w:style w:type="character" w:customStyle="1" w:styleId="TablecolumnsubheadingitalicChar">
    <w:name w:val="Table column subheading italic Char"/>
    <w:basedOn w:val="TabletextChar"/>
    <w:link w:val="Tablecolumnsubheadingitalic"/>
    <w:rsid w:val="008C2071"/>
    <w:rPr>
      <w:rFonts w:ascii="Arial" w:eastAsia="Times New Roman" w:hAnsi="Arial" w:cs="Arial"/>
      <w:b/>
      <w:i/>
      <w:snapToGrid w:val="0"/>
      <w:color w:val="000000" w:themeColor="text1"/>
      <w:sz w:val="17"/>
      <w:szCs w:val="18"/>
    </w:rPr>
  </w:style>
  <w:style w:type="paragraph" w:customStyle="1" w:styleId="Tablecolumnsuperheading">
    <w:name w:val="Table column superheading"/>
    <w:basedOn w:val="Tablecolumnheading"/>
    <w:link w:val="TablecolumnsuperheadingChar"/>
    <w:qFormat/>
    <w:rsid w:val="008C2071"/>
    <w:pPr>
      <w:spacing w:before="360"/>
    </w:pPr>
  </w:style>
  <w:style w:type="character" w:customStyle="1" w:styleId="TablecolumnsuperheadingChar">
    <w:name w:val="Table column superheading Char"/>
    <w:basedOn w:val="TablecolumnheadingChar"/>
    <w:link w:val="Tablecolumnsuperheading"/>
    <w:rsid w:val="008C2071"/>
    <w:rPr>
      <w:rFonts w:ascii="Arial" w:eastAsia="Times New Roman" w:hAnsi="Arial" w:cs="Arial"/>
      <w:b/>
      <w:bCs/>
      <w:color w:val="FFFFFF"/>
      <w:sz w:val="17"/>
      <w:szCs w:val="18"/>
    </w:rPr>
  </w:style>
  <w:style w:type="paragraph" w:customStyle="1" w:styleId="TableEntry">
    <w:name w:val="Table Entry"/>
    <w:basedOn w:val="Normal"/>
    <w:uiPriority w:val="99"/>
    <w:rsid w:val="008C2071"/>
    <w:pPr>
      <w:spacing w:before="60" w:after="60"/>
    </w:pPr>
    <w:rPr>
      <w:rFonts w:ascii="Times New Roman" w:hAnsi="Times New Roman"/>
      <w:color w:val="auto"/>
      <w:sz w:val="20"/>
      <w:szCs w:val="22"/>
    </w:rPr>
  </w:style>
  <w:style w:type="paragraph" w:customStyle="1" w:styleId="Tablegrandtotal">
    <w:name w:val="Table grand total"/>
    <w:basedOn w:val="Tabletext"/>
    <w:next w:val="Tabletext"/>
    <w:uiPriority w:val="99"/>
    <w:qFormat/>
    <w:rsid w:val="008C2071"/>
    <w:pPr>
      <w:spacing w:before="240" w:after="240"/>
    </w:pPr>
    <w:rPr>
      <w:b/>
      <w:color w:val="auto"/>
    </w:rPr>
  </w:style>
  <w:style w:type="paragraph" w:customStyle="1" w:styleId="Tablerowheading18before">
    <w:name w:val="Table row heading_18before"/>
    <w:basedOn w:val="Tablerowheading"/>
    <w:uiPriority w:val="99"/>
    <w:qFormat/>
    <w:rsid w:val="008C2071"/>
    <w:pPr>
      <w:spacing w:before="360"/>
    </w:pPr>
    <w:rPr>
      <w:color w:val="auto"/>
    </w:rPr>
  </w:style>
  <w:style w:type="paragraph" w:customStyle="1" w:styleId="Tablesubheadingitalic18before">
    <w:name w:val="Table subheading italic_18before"/>
    <w:basedOn w:val="Tablesubheadingitalic"/>
    <w:uiPriority w:val="99"/>
    <w:qFormat/>
    <w:rsid w:val="008C2071"/>
    <w:pPr>
      <w:spacing w:before="360"/>
    </w:pPr>
    <w:rPr>
      <w:color w:val="auto"/>
    </w:rPr>
  </w:style>
  <w:style w:type="paragraph" w:customStyle="1" w:styleId="Tablesubtotal">
    <w:name w:val="Table subtotal"/>
    <w:basedOn w:val="Tabletext"/>
    <w:uiPriority w:val="99"/>
    <w:qFormat/>
    <w:rsid w:val="008C2071"/>
    <w:pPr>
      <w:spacing w:after="0"/>
    </w:pPr>
    <w:rPr>
      <w:b/>
      <w:bCs/>
      <w:color w:val="auto"/>
    </w:rPr>
  </w:style>
  <w:style w:type="paragraph" w:customStyle="1" w:styleId="TablesubtotalbeforeTabletotalcolumnsubheadingitalic">
    <w:name w:val="Table subtotal before Table total/column subheading italic"/>
    <w:basedOn w:val="Tabletext"/>
    <w:next w:val="Tabletext"/>
    <w:uiPriority w:val="99"/>
    <w:rsid w:val="008C2071"/>
    <w:pPr>
      <w:spacing w:after="360"/>
    </w:pPr>
    <w:rPr>
      <w:b/>
      <w:color w:val="auto"/>
    </w:rPr>
  </w:style>
  <w:style w:type="paragraph" w:customStyle="1" w:styleId="Tabletextbullet">
    <w:name w:val="Table text bullet"/>
    <w:basedOn w:val="Tabletextnoindent"/>
    <w:uiPriority w:val="99"/>
    <w:qFormat/>
    <w:rsid w:val="008C2071"/>
    <w:pPr>
      <w:numPr>
        <w:numId w:val="30"/>
      </w:numPr>
      <w:tabs>
        <w:tab w:val="clear" w:pos="205"/>
        <w:tab w:val="left" w:pos="170"/>
      </w:tabs>
    </w:pPr>
    <w:rPr>
      <w:lang w:eastAsia="en-AU"/>
    </w:rPr>
  </w:style>
  <w:style w:type="paragraph" w:customStyle="1" w:styleId="Tabletextheading">
    <w:name w:val="Table text heading"/>
    <w:basedOn w:val="Normal"/>
    <w:link w:val="TabletextheadingChar"/>
    <w:qFormat/>
    <w:rsid w:val="008C2071"/>
    <w:pPr>
      <w:spacing w:before="30" w:after="30"/>
      <w:jc w:val="right"/>
    </w:pPr>
    <w:rPr>
      <w:rFonts w:cs="Arial"/>
      <w:i/>
      <w:iCs/>
      <w:noProof/>
      <w:color w:val="auto"/>
    </w:rPr>
  </w:style>
  <w:style w:type="character" w:customStyle="1" w:styleId="TabletextheadingChar">
    <w:name w:val="Table text heading Char"/>
    <w:link w:val="Tabletextheading"/>
    <w:rsid w:val="008C2071"/>
    <w:rPr>
      <w:rFonts w:ascii="Arial" w:eastAsia="Times New Roman" w:hAnsi="Arial" w:cs="Arial"/>
      <w:i/>
      <w:iCs/>
      <w:noProof/>
      <w:sz w:val="19"/>
      <w:szCs w:val="24"/>
    </w:rPr>
  </w:style>
  <w:style w:type="paragraph" w:customStyle="1" w:styleId="TabletextheadingCentred">
    <w:name w:val="Table text heading Centred"/>
    <w:basedOn w:val="Tabletextheading"/>
    <w:link w:val="TabletextheadingCentredChar"/>
    <w:rsid w:val="008C2071"/>
    <w:pPr>
      <w:jc w:val="center"/>
    </w:pPr>
    <w:rPr>
      <w:rFonts w:ascii="Calibri" w:eastAsia="Tahoma" w:hAnsi="Calibri"/>
      <w:noProof w:val="0"/>
      <w:szCs w:val="20"/>
      <w:lang w:eastAsia="en-AU"/>
    </w:rPr>
  </w:style>
  <w:style w:type="character" w:customStyle="1" w:styleId="TabletextheadingCentredChar">
    <w:name w:val="Table text heading Centred Char"/>
    <w:link w:val="TabletextheadingCentred"/>
    <w:locked/>
    <w:rsid w:val="008C2071"/>
    <w:rPr>
      <w:rFonts w:ascii="Calibri" w:eastAsia="Tahoma" w:hAnsi="Calibri" w:cs="Arial"/>
      <w:i/>
      <w:iCs/>
      <w:sz w:val="19"/>
      <w:szCs w:val="20"/>
      <w:lang w:eastAsia="en-AU"/>
    </w:rPr>
  </w:style>
  <w:style w:type="paragraph" w:customStyle="1" w:styleId="TabletotalbeforeTablecolumnsubheading">
    <w:name w:val="Table total before Table column subheading"/>
    <w:basedOn w:val="Tabletotal"/>
    <w:link w:val="TabletotalbeforeTablecolumnsubheadingChar"/>
    <w:qFormat/>
    <w:rsid w:val="008C2071"/>
    <w:pPr>
      <w:tabs>
        <w:tab w:val="clear" w:pos="205"/>
      </w:tabs>
      <w:autoSpaceDE w:val="0"/>
      <w:autoSpaceDN w:val="0"/>
      <w:adjustRightInd w:val="0"/>
      <w:spacing w:before="120" w:after="40" w:line="240" w:lineRule="auto"/>
    </w:pPr>
    <w:rPr>
      <w:bCs/>
      <w:szCs w:val="18"/>
    </w:rPr>
  </w:style>
  <w:style w:type="character" w:customStyle="1" w:styleId="TabletotalbeforeTablecolumnsubheadingChar">
    <w:name w:val="Table total before Table column subheading Char"/>
    <w:basedOn w:val="TabletotalChar"/>
    <w:link w:val="TabletotalbeforeTablecolumnsubheading"/>
    <w:rsid w:val="008C2071"/>
    <w:rPr>
      <w:rFonts w:ascii="Arial" w:eastAsia="Times New Roman" w:hAnsi="Arial" w:cs="Arial"/>
      <w:b/>
      <w:bCs/>
      <w:color w:val="000000" w:themeColor="text1"/>
      <w:sz w:val="17"/>
      <w:szCs w:val="18"/>
    </w:rPr>
  </w:style>
  <w:style w:type="paragraph" w:customStyle="1" w:styleId="TOCTitleNotestotheFinancialStatements">
    <w:name w:val="TOC Title Notes to the Financial Statements"/>
    <w:basedOn w:val="TOCTitle"/>
    <w:next w:val="Normal"/>
    <w:link w:val="TOCTitleNotestotheFinancialStatementsChar"/>
    <w:qFormat/>
    <w:rsid w:val="008C2071"/>
    <w:pPr>
      <w:tabs>
        <w:tab w:val="clear" w:pos="8640"/>
        <w:tab w:val="right" w:pos="7371"/>
      </w:tabs>
      <w:spacing w:after="720" w:line="220" w:lineRule="atLeast"/>
      <w:ind w:left="-335"/>
      <w:outlineLvl w:val="0"/>
    </w:pPr>
    <w:rPr>
      <w:rFonts w:cs="Arial"/>
      <w:kern w:val="32"/>
    </w:rPr>
  </w:style>
  <w:style w:type="character" w:customStyle="1" w:styleId="TOCTitleNotestotheFinancialStatementsChar">
    <w:name w:val="TOC Title Notes to the Financial Statements Char"/>
    <w:basedOn w:val="Heading1Char"/>
    <w:link w:val="TOCTitleNotestotheFinancialStatements"/>
    <w:rsid w:val="008C2071"/>
    <w:rPr>
      <w:rFonts w:ascii="Arial" w:eastAsia="Times New Roman" w:hAnsi="Arial" w:cs="Arial"/>
      <w:bCs w:val="0"/>
      <w:color w:val="000000" w:themeColor="text1"/>
      <w:spacing w:val="-1"/>
      <w:kern w:val="32"/>
      <w:sz w:val="36"/>
      <w:szCs w:val="36"/>
    </w:rPr>
  </w:style>
  <w:style w:type="paragraph" w:customStyle="1" w:styleId="Tablerowheading12before">
    <w:name w:val="Table row heading_12before"/>
    <w:basedOn w:val="Tablerowheading18before"/>
    <w:uiPriority w:val="99"/>
    <w:qFormat/>
    <w:rsid w:val="008C2071"/>
    <w:pPr>
      <w:spacing w:before="240"/>
    </w:pPr>
  </w:style>
  <w:style w:type="paragraph" w:customStyle="1" w:styleId="Tabletextnoindenttight">
    <w:name w:val="Table text no indent_tight"/>
    <w:basedOn w:val="Tabletextnoindent"/>
    <w:uiPriority w:val="99"/>
    <w:qFormat/>
    <w:rsid w:val="008C2071"/>
    <w:pPr>
      <w:spacing w:before="40" w:after="40"/>
    </w:pPr>
    <w:rPr>
      <w:lang w:eastAsia="en-AU"/>
    </w:rPr>
  </w:style>
  <w:style w:type="paragraph" w:customStyle="1" w:styleId="Tabletextnoindent18before">
    <w:name w:val="Table text no indent_18before"/>
    <w:basedOn w:val="Tabletextnoindent"/>
    <w:uiPriority w:val="99"/>
    <w:qFormat/>
    <w:rsid w:val="008C2071"/>
    <w:pPr>
      <w:spacing w:before="360"/>
    </w:pPr>
    <w:rPr>
      <w:lang w:eastAsia="en-AU"/>
    </w:rPr>
  </w:style>
  <w:style w:type="paragraph" w:customStyle="1" w:styleId="Tabletextnoindentindent">
    <w:name w:val="Table text no indent_indent"/>
    <w:basedOn w:val="Tabletextnoindent"/>
    <w:uiPriority w:val="99"/>
    <w:qFormat/>
    <w:rsid w:val="008C2071"/>
    <w:pPr>
      <w:ind w:left="170"/>
    </w:pPr>
    <w:rPr>
      <w:lang w:eastAsia="en-AU"/>
    </w:rPr>
  </w:style>
  <w:style w:type="paragraph" w:customStyle="1" w:styleId="Tabletextoutputstight">
    <w:name w:val="Table text outputs_tight"/>
    <w:basedOn w:val="Tabletextoutputs"/>
    <w:uiPriority w:val="99"/>
    <w:qFormat/>
    <w:rsid w:val="008C2071"/>
    <w:pPr>
      <w:spacing w:before="40" w:after="40"/>
    </w:pPr>
  </w:style>
  <w:style w:type="paragraph" w:customStyle="1" w:styleId="Heading3Notesbold">
    <w:name w:val="Heading 3 Notes bold"/>
    <w:basedOn w:val="Heading3notesnumbered"/>
    <w:uiPriority w:val="99"/>
    <w:qFormat/>
    <w:rsid w:val="008C2071"/>
    <w:pPr>
      <w:numPr>
        <w:numId w:val="0"/>
      </w:numPr>
    </w:pPr>
    <w:rPr>
      <w:color w:val="auto"/>
    </w:rPr>
  </w:style>
  <w:style w:type="paragraph" w:styleId="ListBullet2">
    <w:name w:val="List Bullet 2"/>
    <w:basedOn w:val="Normal"/>
    <w:uiPriority w:val="99"/>
    <w:unhideWhenUsed/>
    <w:qFormat/>
    <w:rsid w:val="004453B1"/>
    <w:pPr>
      <w:numPr>
        <w:numId w:val="21"/>
      </w:numPr>
      <w:contextualSpacing/>
    </w:pPr>
  </w:style>
  <w:style w:type="paragraph" w:styleId="FootnoteText">
    <w:name w:val="footnote text"/>
    <w:basedOn w:val="Normal"/>
    <w:link w:val="FootnoteTextChar"/>
    <w:uiPriority w:val="99"/>
    <w:rsid w:val="00DF1B63"/>
    <w:pPr>
      <w:spacing w:after="0" w:line="240" w:lineRule="auto"/>
    </w:pPr>
    <w:rPr>
      <w:sz w:val="17"/>
      <w:szCs w:val="20"/>
    </w:rPr>
  </w:style>
  <w:style w:type="character" w:customStyle="1" w:styleId="FootnoteTextChar">
    <w:name w:val="Footnote Text Char"/>
    <w:basedOn w:val="DefaultParagraphFont"/>
    <w:link w:val="FootnoteText"/>
    <w:uiPriority w:val="99"/>
    <w:rsid w:val="00DF1B63"/>
    <w:rPr>
      <w:rFonts w:ascii="Arial" w:eastAsia="Times New Roman" w:hAnsi="Arial" w:cs="Times New Roman"/>
      <w:color w:val="000000" w:themeColor="text1"/>
      <w:sz w:val="17"/>
      <w:szCs w:val="20"/>
    </w:rPr>
  </w:style>
  <w:style w:type="table" w:customStyle="1" w:styleId="TableGrid20">
    <w:name w:val="Table Grid2"/>
    <w:basedOn w:val="TableNormal"/>
    <w:next w:val="TableGrid"/>
    <w:uiPriority w:val="59"/>
    <w:rsid w:val="0024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Body">
    <w:name w:val="AR Body"/>
    <w:link w:val="ARBodyChar"/>
    <w:autoRedefine/>
    <w:qFormat/>
    <w:rsid w:val="00C12F58"/>
    <w:pPr>
      <w:pBdr>
        <w:top w:val="nil"/>
        <w:left w:val="nil"/>
        <w:bottom w:val="nil"/>
        <w:right w:val="nil"/>
        <w:between w:val="nil"/>
        <w:bar w:val="nil"/>
      </w:pBdr>
      <w:tabs>
        <w:tab w:val="left" w:pos="851"/>
      </w:tabs>
      <w:spacing w:after="80"/>
    </w:pPr>
    <w:rPr>
      <w:snapToGrid w:val="0"/>
      <w:sz w:val="18"/>
      <w:bdr w:val="nil"/>
    </w:rPr>
  </w:style>
  <w:style w:type="character" w:customStyle="1" w:styleId="ARBodyChar">
    <w:name w:val="AR Body Char"/>
    <w:basedOn w:val="DefaultParagraphFont"/>
    <w:link w:val="ARBody"/>
    <w:rsid w:val="00C12F58"/>
    <w:rPr>
      <w:snapToGrid w:val="0"/>
      <w:sz w:val="18"/>
      <w:bdr w:val="nil"/>
    </w:rPr>
  </w:style>
  <w:style w:type="paragraph" w:customStyle="1" w:styleId="DETNormallistbullet">
    <w:name w:val="DET Normal list bullet"/>
    <w:basedOn w:val="Normal"/>
    <w:next w:val="DETNormalafterlist"/>
    <w:link w:val="DETNormallistbulletChar"/>
    <w:qFormat/>
    <w:rsid w:val="005B7590"/>
    <w:pPr>
      <w:numPr>
        <w:numId w:val="31"/>
      </w:numPr>
    </w:pPr>
  </w:style>
  <w:style w:type="paragraph" w:customStyle="1" w:styleId="ARDotpoints">
    <w:name w:val="AR Dot points"/>
    <w:basedOn w:val="Normal"/>
    <w:link w:val="ARDotpointsChar"/>
    <w:autoRedefine/>
    <w:uiPriority w:val="99"/>
    <w:qFormat/>
    <w:rsid w:val="00FE7049"/>
    <w:pPr>
      <w:numPr>
        <w:numId w:val="32"/>
      </w:numPr>
      <w:spacing w:after="120" w:line="276" w:lineRule="auto"/>
    </w:pPr>
    <w:rPr>
      <w:rFonts w:asciiTheme="minorHAnsi" w:hAnsiTheme="minorHAnsi"/>
      <w:color w:val="auto"/>
      <w:sz w:val="18"/>
      <w:szCs w:val="22"/>
      <w:lang w:eastAsia="en-AU"/>
    </w:rPr>
  </w:style>
  <w:style w:type="character" w:customStyle="1" w:styleId="DETNormallistbulletChar">
    <w:name w:val="DET Normal list bullet Char"/>
    <w:basedOn w:val="DefaultParagraphFont"/>
    <w:link w:val="DETNormallistbullet"/>
    <w:rsid w:val="005B7590"/>
    <w:rPr>
      <w:rFonts w:ascii="Arial" w:eastAsia="Times New Roman" w:hAnsi="Arial" w:cs="Times New Roman"/>
      <w:color w:val="000000" w:themeColor="text1"/>
      <w:sz w:val="19"/>
      <w:szCs w:val="24"/>
    </w:rPr>
  </w:style>
  <w:style w:type="character" w:customStyle="1" w:styleId="ARDotpointsChar">
    <w:name w:val="AR Dot points Char"/>
    <w:link w:val="ARDotpoints"/>
    <w:uiPriority w:val="99"/>
    <w:rsid w:val="00FE7049"/>
    <w:rPr>
      <w:rFonts w:eastAsia="Times New Roman" w:cs="Times New Roman"/>
      <w:sz w:val="18"/>
      <w:lang w:eastAsia="en-AU"/>
    </w:rPr>
  </w:style>
  <w:style w:type="paragraph" w:customStyle="1" w:styleId="DETTablebulletlist">
    <w:name w:val="DET Table bullet list"/>
    <w:basedOn w:val="ListBullet"/>
    <w:qFormat/>
    <w:rsid w:val="00CD091A"/>
    <w:pPr>
      <w:tabs>
        <w:tab w:val="clear" w:pos="170"/>
        <w:tab w:val="left" w:pos="11"/>
        <w:tab w:val="num" w:pos="360"/>
      </w:tabs>
      <w:spacing w:before="80" w:after="80" w:line="240" w:lineRule="auto"/>
      <w:ind w:left="360" w:hanging="360"/>
    </w:pPr>
    <w:rPr>
      <w:rFonts w:eastAsiaTheme="minorHAnsi" w:cstheme="minorBidi"/>
      <w:color w:val="auto"/>
      <w:sz w:val="17"/>
      <w:szCs w:val="16"/>
      <w:lang w:val="en-US"/>
    </w:rPr>
  </w:style>
  <w:style w:type="character" w:customStyle="1" w:styleId="DETTableheadingChar">
    <w:name w:val="DET Table heading Char"/>
    <w:basedOn w:val="ARBodyChar"/>
    <w:link w:val="DETTableheading"/>
    <w:locked/>
    <w:rsid w:val="007540CD"/>
    <w:rPr>
      <w:rFonts w:ascii="Arial" w:hAnsi="Arial"/>
      <w:b/>
      <w:i/>
      <w:snapToGrid/>
      <w:color w:val="000000"/>
      <w:sz w:val="17"/>
      <w:bdr w:val="none" w:sz="0" w:space="0" w:color="auto" w:frame="1"/>
    </w:rPr>
  </w:style>
  <w:style w:type="paragraph" w:customStyle="1" w:styleId="DETTableheading">
    <w:name w:val="DET Table heading"/>
    <w:basedOn w:val="ARBody"/>
    <w:next w:val="ARBody"/>
    <w:link w:val="DETTableheadingChar"/>
    <w:autoRedefine/>
    <w:qFormat/>
    <w:rsid w:val="007540CD"/>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b/>
      <w:i/>
      <w:snapToGrid/>
      <w:color w:val="000000"/>
      <w:sz w:val="17"/>
      <w:bdr w:val="none" w:sz="0" w:space="0" w:color="auto" w:frame="1"/>
    </w:rPr>
  </w:style>
  <w:style w:type="character" w:customStyle="1" w:styleId="ARHeading4Char">
    <w:name w:val="AR Heading 4 Char"/>
    <w:basedOn w:val="DefaultParagraphFont"/>
    <w:link w:val="ARHeading4"/>
    <w:locked/>
    <w:rsid w:val="001C288E"/>
    <w:rPr>
      <w:b/>
      <w:color w:val="709FDB" w:themeColor="text2" w:themeTint="80"/>
      <w:sz w:val="18"/>
      <w:bdr w:val="none" w:sz="0" w:space="0" w:color="auto" w:frame="1"/>
    </w:rPr>
  </w:style>
  <w:style w:type="paragraph" w:customStyle="1" w:styleId="ARHeading4">
    <w:name w:val="AR Heading 4"/>
    <w:basedOn w:val="Heading4"/>
    <w:link w:val="ARHeading4Char"/>
    <w:qFormat/>
    <w:rsid w:val="001C288E"/>
    <w:pPr>
      <w:keepLines/>
      <w:tabs>
        <w:tab w:val="clear" w:pos="397"/>
        <w:tab w:val="left" w:pos="851"/>
      </w:tabs>
      <w:snapToGrid w:val="0"/>
      <w:spacing w:before="120" w:after="120" w:line="240" w:lineRule="auto"/>
    </w:pPr>
    <w:rPr>
      <w:rFonts w:asciiTheme="minorHAnsi" w:eastAsiaTheme="minorHAnsi" w:hAnsiTheme="minorHAnsi" w:cstheme="minorBidi"/>
      <w:i w:val="0"/>
      <w:color w:val="709FDB" w:themeColor="text2" w:themeTint="80"/>
      <w:sz w:val="18"/>
      <w:szCs w:val="22"/>
      <w:bdr w:val="none" w:sz="0" w:space="0" w:color="auto" w:frame="1"/>
    </w:rPr>
  </w:style>
  <w:style w:type="paragraph" w:customStyle="1" w:styleId="FootnoteTextforobjectivestablesOHStable1">
    <w:name w:val="Footnote Text for objectives tables &amp; OHS table1"/>
    <w:basedOn w:val="Normal"/>
    <w:next w:val="Normal"/>
    <w:uiPriority w:val="99"/>
    <w:qFormat/>
    <w:rsid w:val="00BB285D"/>
    <w:pPr>
      <w:widowControl w:val="0"/>
      <w:tabs>
        <w:tab w:val="left" w:pos="170"/>
      </w:tabs>
      <w:autoSpaceDE w:val="0"/>
      <w:autoSpaceDN w:val="0"/>
      <w:adjustRightInd w:val="0"/>
      <w:spacing w:after="0" w:line="150" w:lineRule="exact"/>
      <w:ind w:left="170" w:hanging="170"/>
    </w:pPr>
    <w:rPr>
      <w:rFonts w:ascii="Arial Narrow" w:hAnsi="Arial Narrow"/>
      <w:sz w:val="15"/>
      <w:szCs w:val="20"/>
    </w:rPr>
  </w:style>
  <w:style w:type="paragraph" w:customStyle="1" w:styleId="ARFootnote">
    <w:name w:val="AR Footnote"/>
    <w:basedOn w:val="FootnoteText"/>
    <w:autoRedefine/>
    <w:uiPriority w:val="99"/>
    <w:qFormat/>
    <w:rsid w:val="005F1A89"/>
    <w:pPr>
      <w:spacing w:before="60"/>
    </w:pPr>
    <w:rPr>
      <w:rFonts w:eastAsia="Calibri"/>
      <w:color w:val="auto"/>
      <w:sz w:val="14"/>
      <w:vertAlign w:val="superscript"/>
      <w:lang w:val="en-US"/>
    </w:rPr>
  </w:style>
  <w:style w:type="paragraph" w:customStyle="1" w:styleId="ARHeading5">
    <w:name w:val="AR Heading 5"/>
    <w:basedOn w:val="ARBody"/>
    <w:next w:val="ARBody"/>
    <w:uiPriority w:val="99"/>
    <w:qFormat/>
    <w:rsid w:val="00E829BC"/>
    <w:pPr>
      <w:tabs>
        <w:tab w:val="clear" w:pos="851"/>
      </w:tabs>
      <w:spacing w:before="120"/>
    </w:pPr>
    <w:rPr>
      <w:snapToGrid/>
      <w:color w:val="709FDB" w:themeColor="text2" w:themeTint="80"/>
      <w:u w:val="single"/>
    </w:rPr>
  </w:style>
  <w:style w:type="paragraph" w:customStyle="1" w:styleId="SectionHeading-White">
    <w:name w:val="Section Heading-White"/>
    <w:basedOn w:val="Normal"/>
    <w:next w:val="Normal"/>
    <w:uiPriority w:val="99"/>
    <w:qFormat/>
    <w:rsid w:val="00A008F8"/>
    <w:pPr>
      <w:pBdr>
        <w:bottom w:val="single" w:sz="12" w:space="6" w:color="EEECE1" w:themeColor="background2"/>
      </w:pBdr>
      <w:spacing w:after="160" w:line="216" w:lineRule="auto"/>
      <w:ind w:right="2268"/>
    </w:pPr>
    <w:rPr>
      <w:rFonts w:asciiTheme="majorHAnsi" w:eastAsiaTheme="majorEastAsia" w:hAnsiTheme="majorHAnsi" w:cstheme="majorHAnsi"/>
      <w:b/>
      <w:caps/>
      <w:color w:val="EEECE1" w:themeColor="background2"/>
      <w:sz w:val="24"/>
      <w:szCs w:val="32"/>
    </w:rPr>
  </w:style>
  <w:style w:type="paragraph" w:customStyle="1" w:styleId="TableHeadingWhite">
    <w:name w:val="Table Heading White"/>
    <w:basedOn w:val="Normal"/>
    <w:autoRedefine/>
    <w:uiPriority w:val="99"/>
    <w:qFormat/>
    <w:rsid w:val="001F5EA1"/>
    <w:pPr>
      <w:spacing w:before="60" w:after="60" w:line="240" w:lineRule="auto"/>
      <w:jc w:val="center"/>
    </w:pPr>
    <w:rPr>
      <w:rFonts w:asciiTheme="minorHAnsi" w:eastAsiaTheme="minorHAnsi" w:hAnsiTheme="minorHAnsi" w:cstheme="minorBidi"/>
      <w:b/>
      <w:color w:val="EEECE1" w:themeColor="background2"/>
      <w:sz w:val="14"/>
      <w:szCs w:val="16"/>
      <w:lang w:val="en-US" w:eastAsia="en-AU"/>
    </w:rPr>
  </w:style>
  <w:style w:type="paragraph" w:customStyle="1" w:styleId="DETTableTextFinancial">
    <w:name w:val="DET Table Text Financial"/>
    <w:basedOn w:val="TableText0"/>
    <w:qFormat/>
    <w:rsid w:val="00BE753C"/>
    <w:pPr>
      <w:spacing w:before="60" w:after="60"/>
    </w:pPr>
    <w:rPr>
      <w:rFonts w:eastAsiaTheme="minorHAnsi"/>
      <w:bCs/>
      <w:sz w:val="16"/>
      <w:szCs w:val="52"/>
      <w:lang w:eastAsia="en-US"/>
    </w:rPr>
  </w:style>
  <w:style w:type="paragraph" w:customStyle="1" w:styleId="ARHeading2">
    <w:name w:val="AR Heading 2"/>
    <w:basedOn w:val="Normal"/>
    <w:next w:val="Heading1"/>
    <w:autoRedefine/>
    <w:uiPriority w:val="99"/>
    <w:qFormat/>
    <w:rsid w:val="0045134B"/>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character" w:styleId="SubtleEmphasis">
    <w:name w:val="Subtle Emphasis"/>
    <w:basedOn w:val="DefaultParagraphFont"/>
    <w:uiPriority w:val="19"/>
    <w:qFormat/>
    <w:rsid w:val="00837349"/>
    <w:rPr>
      <w:i/>
      <w:iCs/>
      <w:color w:val="404040" w:themeColor="text1" w:themeTint="BF"/>
    </w:rPr>
  </w:style>
  <w:style w:type="character" w:styleId="SubtleReference">
    <w:name w:val="Subtle Reference"/>
    <w:basedOn w:val="DefaultParagraphFont"/>
    <w:uiPriority w:val="31"/>
    <w:qFormat/>
    <w:rsid w:val="0056397F"/>
    <w:rPr>
      <w:smallCaps/>
      <w:color w:val="5A5A5A" w:themeColor="text1" w:themeTint="A5"/>
    </w:rPr>
  </w:style>
  <w:style w:type="paragraph" w:customStyle="1" w:styleId="Pa9">
    <w:name w:val="Pa9"/>
    <w:basedOn w:val="Normal"/>
    <w:next w:val="Normal"/>
    <w:uiPriority w:val="99"/>
    <w:rsid w:val="00170E98"/>
    <w:pPr>
      <w:autoSpaceDE w:val="0"/>
      <w:autoSpaceDN w:val="0"/>
      <w:adjustRightInd w:val="0"/>
      <w:spacing w:after="0" w:line="201" w:lineRule="atLeast"/>
    </w:pPr>
    <w:rPr>
      <w:rFonts w:ascii="Tiempos Text Regular" w:eastAsiaTheme="minorHAnsi" w:hAnsi="Tiempos Text Regular" w:cstheme="minorBidi"/>
      <w:color w:val="auto"/>
      <w:sz w:val="24"/>
    </w:rPr>
  </w:style>
  <w:style w:type="character" w:customStyle="1" w:styleId="Heading1Char1">
    <w:name w:val="Heading 1 Char1"/>
    <w:aliases w:val="Heading 1 Section Heading Char1"/>
    <w:basedOn w:val="DefaultParagraphFont"/>
    <w:uiPriority w:val="9"/>
    <w:rsid w:val="00FE7F8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Reset numbering Char1,Reset numbering1 Char1"/>
    <w:basedOn w:val="DefaultParagraphFont"/>
    <w:uiPriority w:val="9"/>
    <w:semiHidden/>
    <w:rsid w:val="00FE7F8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Level 1 - 1 Char1"/>
    <w:basedOn w:val="DefaultParagraphFont"/>
    <w:uiPriority w:val="9"/>
    <w:semiHidden/>
    <w:rsid w:val="00FE7F8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FE7F8B"/>
    <w:pPr>
      <w:spacing w:before="96" w:after="240"/>
      <w:ind w:left="120"/>
    </w:pPr>
    <w:rPr>
      <w:lang w:eastAsia="en-AU"/>
    </w:rPr>
  </w:style>
  <w:style w:type="character" w:customStyle="1" w:styleId="NormalafterlistChar">
    <w:name w:val="Normal after list Char"/>
    <w:basedOn w:val="NormalaftertableChar"/>
    <w:link w:val="Normalafterlist"/>
    <w:locked/>
    <w:rsid w:val="00FE7F8B"/>
    <w:rPr>
      <w:rFonts w:ascii="Arial" w:eastAsia="Times New Roman" w:hAnsi="Arial" w:cs="Times New Roman"/>
      <w:color w:val="000000" w:themeColor="text1"/>
      <w:sz w:val="19"/>
      <w:szCs w:val="24"/>
    </w:rPr>
  </w:style>
  <w:style w:type="paragraph" w:customStyle="1" w:styleId="Normalafterlist">
    <w:name w:val="Normal after list"/>
    <w:basedOn w:val="Normalaftertable"/>
    <w:next w:val="Normal"/>
    <w:link w:val="NormalafterlistChar"/>
    <w:qFormat/>
    <w:rsid w:val="00FE7F8B"/>
    <w:pPr>
      <w:spacing w:before="90"/>
    </w:pPr>
  </w:style>
  <w:style w:type="character" w:customStyle="1" w:styleId="Heading2appendicesChar">
    <w:name w:val="Heading 2 appendices Char"/>
    <w:basedOn w:val="Heading2Char"/>
    <w:link w:val="Heading2appendices"/>
    <w:locked/>
    <w:rsid w:val="00FE7F8B"/>
    <w:rPr>
      <w:rFonts w:ascii="Arial" w:eastAsia="Times New Roman" w:hAnsi="Arial" w:cs="Arial"/>
      <w:bCs w:val="0"/>
      <w:iCs w:val="0"/>
      <w:color w:val="000000" w:themeColor="text1"/>
      <w:sz w:val="28"/>
      <w:szCs w:val="28"/>
    </w:rPr>
  </w:style>
  <w:style w:type="paragraph" w:customStyle="1" w:styleId="Heading2appendices">
    <w:name w:val="Heading 2 appendices"/>
    <w:basedOn w:val="Heading2"/>
    <w:next w:val="Normal"/>
    <w:link w:val="Heading2appendicesChar"/>
    <w:qFormat/>
    <w:rsid w:val="00FE7F8B"/>
    <w:rPr>
      <w:bCs w:val="0"/>
      <w:iCs w:val="0"/>
    </w:rPr>
  </w:style>
  <w:style w:type="paragraph" w:customStyle="1" w:styleId="Heading2appendicesnumbered">
    <w:name w:val="Heading 2 appendices numbered"/>
    <w:basedOn w:val="Heading2notes"/>
    <w:uiPriority w:val="99"/>
    <w:qFormat/>
    <w:rsid w:val="00FE7F8B"/>
    <w:pPr>
      <w:numPr>
        <w:numId w:val="0"/>
      </w:numPr>
      <w:tabs>
        <w:tab w:val="clear" w:pos="1134"/>
        <w:tab w:val="left" w:pos="1701"/>
      </w:tabs>
      <w:ind w:left="360" w:hanging="360"/>
    </w:pPr>
    <w:rPr>
      <w:bCs w:val="0"/>
      <w:iCs w:val="0"/>
    </w:rPr>
  </w:style>
  <w:style w:type="character" w:customStyle="1" w:styleId="FootnoteTextforobjectivestablesOHStableChar">
    <w:name w:val="Footnote Text for objectives tables &amp; OHS table Char"/>
    <w:basedOn w:val="DefaultParagraphFont"/>
    <w:link w:val="FootnoteTextforobjectivestablesOHStable"/>
    <w:locked/>
    <w:rsid w:val="00FE7F8B"/>
    <w:rPr>
      <w:rFonts w:ascii="Arial Narrow" w:eastAsia="Times New Roman" w:hAnsi="Arial Narrow" w:cs="Arial"/>
      <w:color w:val="000000" w:themeColor="text1"/>
      <w:sz w:val="15"/>
      <w:szCs w:val="16"/>
    </w:rPr>
  </w:style>
  <w:style w:type="paragraph" w:customStyle="1" w:styleId="FootnoteTextforobjectivestablesOHStable">
    <w:name w:val="Footnote Text for objectives tables &amp; OHS table"/>
    <w:basedOn w:val="Normal"/>
    <w:next w:val="Normal"/>
    <w:link w:val="FootnoteTextforobjectivestablesOHStableChar"/>
    <w:qFormat/>
    <w:rsid w:val="00FE7F8B"/>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Heading2AppendicesChar0">
    <w:name w:val="Heading 2 Appendices Char"/>
    <w:basedOn w:val="Heading2Char"/>
    <w:link w:val="Heading2Appendices0"/>
    <w:locked/>
    <w:rsid w:val="00FE7F8B"/>
    <w:rPr>
      <w:rFonts w:ascii="Arial" w:eastAsia="Times New Roman" w:hAnsi="Arial" w:cs="Arial"/>
      <w:bCs w:val="0"/>
      <w:iCs w:val="0"/>
      <w:color w:val="000000" w:themeColor="text1"/>
      <w:sz w:val="28"/>
      <w:szCs w:val="28"/>
    </w:rPr>
  </w:style>
  <w:style w:type="paragraph" w:customStyle="1" w:styleId="Heading2Appendices0">
    <w:name w:val="Heading 2 Appendices"/>
    <w:basedOn w:val="Heading2"/>
    <w:link w:val="Heading2AppendicesChar0"/>
    <w:qFormat/>
    <w:rsid w:val="00FE7F8B"/>
    <w:rPr>
      <w:bCs w:val="0"/>
      <w:iCs w:val="0"/>
    </w:rPr>
  </w:style>
  <w:style w:type="character" w:customStyle="1" w:styleId="NormallistbulletChar">
    <w:name w:val="Normal list bullet Char"/>
    <w:basedOn w:val="DefaultParagraphFont"/>
    <w:link w:val="Normallistbullet"/>
    <w:uiPriority w:val="99"/>
    <w:locked/>
    <w:rsid w:val="00FE7F8B"/>
    <w:rPr>
      <w:rFonts w:ascii="Arial" w:eastAsia="Times New Roman" w:hAnsi="Arial" w:cs="Times New Roman"/>
      <w:color w:val="000000" w:themeColor="text1"/>
      <w:sz w:val="19"/>
      <w:szCs w:val="24"/>
    </w:rPr>
  </w:style>
  <w:style w:type="paragraph" w:customStyle="1" w:styleId="Normallistbullet">
    <w:name w:val="Normal list bullet"/>
    <w:basedOn w:val="Normal"/>
    <w:next w:val="Normalafterlist"/>
    <w:link w:val="NormallistbulletChar"/>
    <w:uiPriority w:val="99"/>
    <w:qFormat/>
    <w:rsid w:val="00FE7F8B"/>
    <w:pPr>
      <w:ind w:left="717" w:hanging="360"/>
    </w:pPr>
  </w:style>
  <w:style w:type="paragraph" w:customStyle="1" w:styleId="Tablebulletlist">
    <w:name w:val="Table bullet list"/>
    <w:basedOn w:val="ListBullet"/>
    <w:uiPriority w:val="99"/>
    <w:qFormat/>
    <w:rsid w:val="00FE7F8B"/>
    <w:pPr>
      <w:numPr>
        <w:numId w:val="0"/>
      </w:numPr>
      <w:tabs>
        <w:tab w:val="clear" w:pos="170"/>
      </w:tabs>
      <w:spacing w:before="100" w:after="100" w:line="240" w:lineRule="auto"/>
      <w:ind w:left="501" w:right="122" w:hanging="360"/>
    </w:pPr>
    <w:rPr>
      <w:rFonts w:asciiTheme="minorHAnsi" w:eastAsiaTheme="minorHAnsi" w:hAnsiTheme="minorHAnsi" w:cstheme="minorBidi"/>
      <w:color w:val="343741"/>
      <w:sz w:val="16"/>
      <w:szCs w:val="16"/>
      <w:lang w:val="en-US"/>
    </w:rPr>
  </w:style>
  <w:style w:type="character" w:customStyle="1" w:styleId="ARTableheadingChar">
    <w:name w:val="AR Table heading Char"/>
    <w:basedOn w:val="ARBodyChar"/>
    <w:link w:val="ARTableheading"/>
    <w:locked/>
    <w:rsid w:val="00FE7F8B"/>
    <w:rPr>
      <w:rFonts w:ascii="Arial" w:hAnsi="Arial" w:cs="Arial"/>
      <w:b/>
      <w:i/>
      <w:snapToGrid w:val="0"/>
      <w:color w:val="000000"/>
      <w:sz w:val="17"/>
      <w:bdr w:val="none" w:sz="0" w:space="0" w:color="auto" w:frame="1"/>
    </w:rPr>
  </w:style>
  <w:style w:type="paragraph" w:customStyle="1" w:styleId="ARTableheading">
    <w:name w:val="AR Table heading"/>
    <w:basedOn w:val="ARBody"/>
    <w:next w:val="ARBody"/>
    <w:link w:val="ARTableheadingChar"/>
    <w:autoRedefine/>
    <w:qFormat/>
    <w:rsid w:val="00FE7F8B"/>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cs="Arial"/>
      <w:b/>
      <w:i/>
      <w:color w:val="000000"/>
      <w:sz w:val="17"/>
      <w:bdr w:val="none" w:sz="0" w:space="0" w:color="auto" w:frame="1"/>
    </w:rPr>
  </w:style>
  <w:style w:type="paragraph" w:customStyle="1" w:styleId="TableTextFinancial">
    <w:name w:val="Table Text Financial"/>
    <w:basedOn w:val="TableText0"/>
    <w:uiPriority w:val="99"/>
    <w:qFormat/>
    <w:rsid w:val="00FE7F8B"/>
    <w:pPr>
      <w:spacing w:before="0" w:after="60"/>
    </w:pPr>
    <w:rPr>
      <w:rFonts w:eastAsiaTheme="minorHAnsi"/>
      <w:bCs/>
      <w:sz w:val="16"/>
      <w:szCs w:val="52"/>
      <w:lang w:eastAsia="en-US"/>
    </w:rPr>
  </w:style>
  <w:style w:type="paragraph" w:customStyle="1" w:styleId="Tabledash">
    <w:name w:val="Table dash"/>
    <w:basedOn w:val="Tablebullet"/>
    <w:uiPriority w:val="9"/>
    <w:rsid w:val="00FE7F8B"/>
    <w:pPr>
      <w:widowControl/>
      <w:numPr>
        <w:numId w:val="0"/>
      </w:numPr>
      <w:tabs>
        <w:tab w:val="clear" w:pos="113"/>
        <w:tab w:val="clear" w:pos="284"/>
      </w:tabs>
      <w:autoSpaceDE/>
      <w:autoSpaceDN/>
      <w:adjustRightInd/>
      <w:spacing w:before="50" w:after="50" w:line="264" w:lineRule="auto"/>
      <w:ind w:left="576" w:hanging="288"/>
    </w:pPr>
    <w:rPr>
      <w:rFonts w:asciiTheme="minorHAnsi" w:eastAsiaTheme="minorEastAsia" w:hAnsiTheme="minorHAnsi" w:cstheme="minorBidi"/>
      <w:spacing w:val="2"/>
      <w:szCs w:val="20"/>
    </w:rPr>
  </w:style>
  <w:style w:type="paragraph" w:customStyle="1" w:styleId="Tablerowheadingoutputstables">
    <w:name w:val="Table row heading outputs tables"/>
    <w:basedOn w:val="Normal"/>
    <w:link w:val="TablerowheadingoutputstablesChar"/>
    <w:rsid w:val="00FE7F8B"/>
  </w:style>
  <w:style w:type="character" w:customStyle="1" w:styleId="TablerowheadingoutputstablesChar">
    <w:name w:val="Table row heading outputs tables Char"/>
    <w:basedOn w:val="TablerowheadingChar"/>
    <w:link w:val="Tablerowheadingoutputstables"/>
    <w:locked/>
    <w:rsid w:val="00FE7F8B"/>
    <w:rPr>
      <w:rFonts w:ascii="Arial" w:eastAsia="Times New Roman" w:hAnsi="Arial" w:cs="Times New Roman"/>
      <w:b w:val="0"/>
      <w:color w:val="000000" w:themeColor="text1"/>
      <w:sz w:val="19"/>
      <w:szCs w:val="24"/>
    </w:rPr>
  </w:style>
  <w:style w:type="paragraph" w:customStyle="1" w:styleId="Tablecolumnheadingfinancialbottomrow">
    <w:name w:val="Table column heading financial bottom row"/>
    <w:basedOn w:val="Normal"/>
    <w:link w:val="TablecolumnheadingfinancialbottomrowChar"/>
    <w:rsid w:val="00FE7F8B"/>
  </w:style>
  <w:style w:type="character" w:customStyle="1" w:styleId="TablecolumnheadingfinancialbottomrowChar">
    <w:name w:val="Table column heading financial bottom row Char"/>
    <w:basedOn w:val="TablecolumnheadingChar"/>
    <w:link w:val="Tablecolumnheadingfinancialbottomrow"/>
    <w:locked/>
    <w:rsid w:val="00FE7F8B"/>
    <w:rPr>
      <w:rFonts w:ascii="Arial" w:eastAsia="Times New Roman" w:hAnsi="Arial" w:cs="Times New Roman"/>
      <w:b w:val="0"/>
      <w:bCs w:val="0"/>
      <w:color w:val="000000" w:themeColor="text1"/>
      <w:sz w:val="19"/>
      <w:szCs w:val="24"/>
    </w:rPr>
  </w:style>
  <w:style w:type="paragraph" w:customStyle="1" w:styleId="ARHead2">
    <w:name w:val="AR Head 2"/>
    <w:basedOn w:val="Normal"/>
    <w:next w:val="Heading1"/>
    <w:autoRedefine/>
    <w:qFormat/>
    <w:rsid w:val="00201A69"/>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paragraph" w:customStyle="1" w:styleId="Body">
    <w:name w:val="Body"/>
    <w:autoRedefine/>
    <w:rsid w:val="00201A69"/>
    <w:pPr>
      <w:pBdr>
        <w:top w:val="nil"/>
        <w:left w:val="nil"/>
        <w:bottom w:val="nil"/>
        <w:right w:val="nil"/>
        <w:between w:val="nil"/>
        <w:bar w:val="nil"/>
      </w:pBdr>
      <w:spacing w:after="80"/>
    </w:pPr>
    <w:rPr>
      <w:rFonts w:eastAsia="Calibri" w:cs="Calibri"/>
      <w:color w:val="343741"/>
      <w:sz w:val="18"/>
      <w:u w:color="000000"/>
      <w:bdr w:val="nil"/>
    </w:rPr>
  </w:style>
  <w:style w:type="character" w:customStyle="1" w:styleId="CharStyle6">
    <w:name w:val="Char Style 6"/>
    <w:link w:val="Style5"/>
    <w:uiPriority w:val="99"/>
    <w:rsid w:val="00EF1327"/>
    <w:rPr>
      <w:rFonts w:ascii="Arial" w:hAnsi="Arial" w:cs="Arial"/>
      <w:i/>
      <w:iCs/>
      <w:shd w:val="clear" w:color="auto" w:fill="FFFFFF"/>
    </w:rPr>
  </w:style>
  <w:style w:type="character" w:customStyle="1" w:styleId="CharStyle7">
    <w:name w:val="Char Style 7"/>
    <w:uiPriority w:val="99"/>
    <w:rsid w:val="00EF1327"/>
    <w:rPr>
      <w:rFonts w:ascii="Arial" w:hAnsi="Arial" w:cs="Arial"/>
      <w:i/>
      <w:iCs/>
      <w:color w:val="2C2C2C"/>
      <w:spacing w:val="0"/>
      <w:sz w:val="22"/>
      <w:szCs w:val="22"/>
    </w:rPr>
  </w:style>
  <w:style w:type="character" w:customStyle="1" w:styleId="CharStyle9">
    <w:name w:val="Char Style 9"/>
    <w:link w:val="Style8"/>
    <w:uiPriority w:val="99"/>
    <w:rsid w:val="00EF1327"/>
    <w:rPr>
      <w:rFonts w:ascii="Arial" w:hAnsi="Arial" w:cs="Arial"/>
      <w:shd w:val="clear" w:color="auto" w:fill="FFFFFF"/>
    </w:rPr>
  </w:style>
  <w:style w:type="character" w:customStyle="1" w:styleId="CharStyle10">
    <w:name w:val="Char Style 10"/>
    <w:uiPriority w:val="99"/>
    <w:rsid w:val="00EF1327"/>
    <w:rPr>
      <w:rFonts w:ascii="Arial" w:hAnsi="Arial" w:cs="Arial"/>
      <w:color w:val="2C2C2C"/>
      <w:spacing w:val="0"/>
      <w:sz w:val="22"/>
      <w:szCs w:val="22"/>
    </w:rPr>
  </w:style>
  <w:style w:type="character" w:customStyle="1" w:styleId="CharStyle11">
    <w:name w:val="Char Style 11"/>
    <w:uiPriority w:val="99"/>
    <w:rsid w:val="00EF1327"/>
    <w:rPr>
      <w:rFonts w:ascii="Arial" w:hAnsi="Arial" w:cs="Arial"/>
      <w:i w:val="0"/>
      <w:iCs w:val="0"/>
      <w:color w:val="2C2C2C"/>
      <w:spacing w:val="0"/>
      <w:sz w:val="22"/>
      <w:szCs w:val="22"/>
    </w:rPr>
  </w:style>
  <w:style w:type="character" w:customStyle="1" w:styleId="CharStyle12">
    <w:name w:val="Char Style 12"/>
    <w:uiPriority w:val="99"/>
    <w:rsid w:val="00EF1327"/>
    <w:rPr>
      <w:rFonts w:ascii="Arial" w:hAnsi="Arial" w:cs="Arial"/>
      <w:i/>
      <w:iCs/>
      <w:color w:val="2C2C2C"/>
      <w:spacing w:val="0"/>
      <w:sz w:val="22"/>
      <w:szCs w:val="22"/>
    </w:rPr>
  </w:style>
  <w:style w:type="paragraph" w:customStyle="1" w:styleId="Style5">
    <w:name w:val="Style 5"/>
    <w:basedOn w:val="Normal"/>
    <w:link w:val="CharStyle6"/>
    <w:uiPriority w:val="99"/>
    <w:rsid w:val="00EF1327"/>
    <w:pPr>
      <w:widowControl w:val="0"/>
      <w:shd w:val="clear" w:color="auto" w:fill="FFFFFF"/>
      <w:spacing w:before="720" w:after="60" w:line="240" w:lineRule="atLeast"/>
      <w:jc w:val="both"/>
    </w:pPr>
    <w:rPr>
      <w:rFonts w:eastAsiaTheme="minorHAnsi" w:cs="Arial"/>
      <w:i/>
      <w:iCs/>
      <w:color w:val="auto"/>
      <w:sz w:val="22"/>
      <w:szCs w:val="22"/>
    </w:rPr>
  </w:style>
  <w:style w:type="paragraph" w:customStyle="1" w:styleId="Style8">
    <w:name w:val="Style 8"/>
    <w:basedOn w:val="Normal"/>
    <w:link w:val="CharStyle9"/>
    <w:uiPriority w:val="99"/>
    <w:rsid w:val="00EF1327"/>
    <w:pPr>
      <w:widowControl w:val="0"/>
      <w:shd w:val="clear" w:color="auto" w:fill="FFFFFF"/>
      <w:spacing w:before="60" w:after="180" w:line="274" w:lineRule="exact"/>
      <w:jc w:val="both"/>
    </w:pPr>
    <w:rPr>
      <w:rFonts w:eastAsiaTheme="minorHAnsi" w:cs="Arial"/>
      <w:color w:val="auto"/>
      <w:sz w:val="22"/>
      <w:szCs w:val="22"/>
    </w:rPr>
  </w:style>
  <w:style w:type="paragraph" w:customStyle="1" w:styleId="xFiguretext">
    <w:name w:val="x: Figure text"/>
    <w:basedOn w:val="Normal"/>
    <w:rsid w:val="00EE610D"/>
    <w:pPr>
      <w:spacing w:after="120" w:line="360" w:lineRule="auto"/>
    </w:pPr>
    <w:rPr>
      <w:rFonts w:ascii="Times New Roman" w:hAnsi="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022">
      <w:bodyDiv w:val="1"/>
      <w:marLeft w:val="0"/>
      <w:marRight w:val="0"/>
      <w:marTop w:val="0"/>
      <w:marBottom w:val="0"/>
      <w:divBdr>
        <w:top w:val="none" w:sz="0" w:space="0" w:color="auto"/>
        <w:left w:val="none" w:sz="0" w:space="0" w:color="auto"/>
        <w:bottom w:val="none" w:sz="0" w:space="0" w:color="auto"/>
        <w:right w:val="none" w:sz="0" w:space="0" w:color="auto"/>
      </w:divBdr>
    </w:div>
    <w:div w:id="142966574">
      <w:bodyDiv w:val="1"/>
      <w:marLeft w:val="0"/>
      <w:marRight w:val="0"/>
      <w:marTop w:val="0"/>
      <w:marBottom w:val="0"/>
      <w:divBdr>
        <w:top w:val="none" w:sz="0" w:space="0" w:color="auto"/>
        <w:left w:val="none" w:sz="0" w:space="0" w:color="auto"/>
        <w:bottom w:val="none" w:sz="0" w:space="0" w:color="auto"/>
        <w:right w:val="none" w:sz="0" w:space="0" w:color="auto"/>
      </w:divBdr>
    </w:div>
    <w:div w:id="157698158">
      <w:bodyDiv w:val="1"/>
      <w:marLeft w:val="0"/>
      <w:marRight w:val="0"/>
      <w:marTop w:val="0"/>
      <w:marBottom w:val="0"/>
      <w:divBdr>
        <w:top w:val="none" w:sz="0" w:space="0" w:color="auto"/>
        <w:left w:val="none" w:sz="0" w:space="0" w:color="auto"/>
        <w:bottom w:val="none" w:sz="0" w:space="0" w:color="auto"/>
        <w:right w:val="none" w:sz="0" w:space="0" w:color="auto"/>
      </w:divBdr>
    </w:div>
    <w:div w:id="253320618">
      <w:bodyDiv w:val="1"/>
      <w:marLeft w:val="0"/>
      <w:marRight w:val="0"/>
      <w:marTop w:val="0"/>
      <w:marBottom w:val="0"/>
      <w:divBdr>
        <w:top w:val="none" w:sz="0" w:space="0" w:color="auto"/>
        <w:left w:val="none" w:sz="0" w:space="0" w:color="auto"/>
        <w:bottom w:val="none" w:sz="0" w:space="0" w:color="auto"/>
        <w:right w:val="none" w:sz="0" w:space="0" w:color="auto"/>
      </w:divBdr>
    </w:div>
    <w:div w:id="373697199">
      <w:bodyDiv w:val="1"/>
      <w:marLeft w:val="0"/>
      <w:marRight w:val="0"/>
      <w:marTop w:val="0"/>
      <w:marBottom w:val="0"/>
      <w:divBdr>
        <w:top w:val="none" w:sz="0" w:space="0" w:color="auto"/>
        <w:left w:val="none" w:sz="0" w:space="0" w:color="auto"/>
        <w:bottom w:val="none" w:sz="0" w:space="0" w:color="auto"/>
        <w:right w:val="none" w:sz="0" w:space="0" w:color="auto"/>
      </w:divBdr>
    </w:div>
    <w:div w:id="378744653">
      <w:bodyDiv w:val="1"/>
      <w:marLeft w:val="0"/>
      <w:marRight w:val="0"/>
      <w:marTop w:val="0"/>
      <w:marBottom w:val="0"/>
      <w:divBdr>
        <w:top w:val="none" w:sz="0" w:space="0" w:color="auto"/>
        <w:left w:val="none" w:sz="0" w:space="0" w:color="auto"/>
        <w:bottom w:val="none" w:sz="0" w:space="0" w:color="auto"/>
        <w:right w:val="none" w:sz="0" w:space="0" w:color="auto"/>
      </w:divBdr>
    </w:div>
    <w:div w:id="390277899">
      <w:bodyDiv w:val="1"/>
      <w:marLeft w:val="0"/>
      <w:marRight w:val="0"/>
      <w:marTop w:val="0"/>
      <w:marBottom w:val="0"/>
      <w:divBdr>
        <w:top w:val="none" w:sz="0" w:space="0" w:color="auto"/>
        <w:left w:val="none" w:sz="0" w:space="0" w:color="auto"/>
        <w:bottom w:val="none" w:sz="0" w:space="0" w:color="auto"/>
        <w:right w:val="none" w:sz="0" w:space="0" w:color="auto"/>
      </w:divBdr>
    </w:div>
    <w:div w:id="491335857">
      <w:bodyDiv w:val="1"/>
      <w:marLeft w:val="0"/>
      <w:marRight w:val="0"/>
      <w:marTop w:val="0"/>
      <w:marBottom w:val="0"/>
      <w:divBdr>
        <w:top w:val="none" w:sz="0" w:space="0" w:color="auto"/>
        <w:left w:val="none" w:sz="0" w:space="0" w:color="auto"/>
        <w:bottom w:val="none" w:sz="0" w:space="0" w:color="auto"/>
        <w:right w:val="none" w:sz="0" w:space="0" w:color="auto"/>
      </w:divBdr>
    </w:div>
    <w:div w:id="506679641">
      <w:bodyDiv w:val="1"/>
      <w:marLeft w:val="0"/>
      <w:marRight w:val="0"/>
      <w:marTop w:val="0"/>
      <w:marBottom w:val="0"/>
      <w:divBdr>
        <w:top w:val="none" w:sz="0" w:space="0" w:color="auto"/>
        <w:left w:val="none" w:sz="0" w:space="0" w:color="auto"/>
        <w:bottom w:val="none" w:sz="0" w:space="0" w:color="auto"/>
        <w:right w:val="none" w:sz="0" w:space="0" w:color="auto"/>
      </w:divBdr>
    </w:div>
    <w:div w:id="643001484">
      <w:bodyDiv w:val="1"/>
      <w:marLeft w:val="0"/>
      <w:marRight w:val="0"/>
      <w:marTop w:val="0"/>
      <w:marBottom w:val="0"/>
      <w:divBdr>
        <w:top w:val="none" w:sz="0" w:space="0" w:color="auto"/>
        <w:left w:val="none" w:sz="0" w:space="0" w:color="auto"/>
        <w:bottom w:val="none" w:sz="0" w:space="0" w:color="auto"/>
        <w:right w:val="none" w:sz="0" w:space="0" w:color="auto"/>
      </w:divBdr>
    </w:div>
    <w:div w:id="644822869">
      <w:bodyDiv w:val="1"/>
      <w:marLeft w:val="0"/>
      <w:marRight w:val="0"/>
      <w:marTop w:val="0"/>
      <w:marBottom w:val="0"/>
      <w:divBdr>
        <w:top w:val="none" w:sz="0" w:space="0" w:color="auto"/>
        <w:left w:val="none" w:sz="0" w:space="0" w:color="auto"/>
        <w:bottom w:val="none" w:sz="0" w:space="0" w:color="auto"/>
        <w:right w:val="none" w:sz="0" w:space="0" w:color="auto"/>
      </w:divBdr>
    </w:div>
    <w:div w:id="646205076">
      <w:bodyDiv w:val="1"/>
      <w:marLeft w:val="0"/>
      <w:marRight w:val="0"/>
      <w:marTop w:val="0"/>
      <w:marBottom w:val="0"/>
      <w:divBdr>
        <w:top w:val="none" w:sz="0" w:space="0" w:color="auto"/>
        <w:left w:val="none" w:sz="0" w:space="0" w:color="auto"/>
        <w:bottom w:val="none" w:sz="0" w:space="0" w:color="auto"/>
        <w:right w:val="none" w:sz="0" w:space="0" w:color="auto"/>
      </w:divBdr>
    </w:div>
    <w:div w:id="720594342">
      <w:bodyDiv w:val="1"/>
      <w:marLeft w:val="0"/>
      <w:marRight w:val="0"/>
      <w:marTop w:val="0"/>
      <w:marBottom w:val="0"/>
      <w:divBdr>
        <w:top w:val="none" w:sz="0" w:space="0" w:color="auto"/>
        <w:left w:val="none" w:sz="0" w:space="0" w:color="auto"/>
        <w:bottom w:val="none" w:sz="0" w:space="0" w:color="auto"/>
        <w:right w:val="none" w:sz="0" w:space="0" w:color="auto"/>
      </w:divBdr>
    </w:div>
    <w:div w:id="809204967">
      <w:bodyDiv w:val="1"/>
      <w:marLeft w:val="0"/>
      <w:marRight w:val="0"/>
      <w:marTop w:val="0"/>
      <w:marBottom w:val="0"/>
      <w:divBdr>
        <w:top w:val="none" w:sz="0" w:space="0" w:color="auto"/>
        <w:left w:val="none" w:sz="0" w:space="0" w:color="auto"/>
        <w:bottom w:val="none" w:sz="0" w:space="0" w:color="auto"/>
        <w:right w:val="none" w:sz="0" w:space="0" w:color="auto"/>
      </w:divBdr>
    </w:div>
    <w:div w:id="835995304">
      <w:bodyDiv w:val="1"/>
      <w:marLeft w:val="0"/>
      <w:marRight w:val="0"/>
      <w:marTop w:val="0"/>
      <w:marBottom w:val="0"/>
      <w:divBdr>
        <w:top w:val="none" w:sz="0" w:space="0" w:color="auto"/>
        <w:left w:val="none" w:sz="0" w:space="0" w:color="auto"/>
        <w:bottom w:val="none" w:sz="0" w:space="0" w:color="auto"/>
        <w:right w:val="none" w:sz="0" w:space="0" w:color="auto"/>
      </w:divBdr>
    </w:div>
    <w:div w:id="1002200722">
      <w:bodyDiv w:val="1"/>
      <w:marLeft w:val="0"/>
      <w:marRight w:val="0"/>
      <w:marTop w:val="0"/>
      <w:marBottom w:val="0"/>
      <w:divBdr>
        <w:top w:val="none" w:sz="0" w:space="0" w:color="auto"/>
        <w:left w:val="none" w:sz="0" w:space="0" w:color="auto"/>
        <w:bottom w:val="none" w:sz="0" w:space="0" w:color="auto"/>
        <w:right w:val="none" w:sz="0" w:space="0" w:color="auto"/>
      </w:divBdr>
    </w:div>
    <w:div w:id="1025524108">
      <w:bodyDiv w:val="1"/>
      <w:marLeft w:val="0"/>
      <w:marRight w:val="0"/>
      <w:marTop w:val="0"/>
      <w:marBottom w:val="0"/>
      <w:divBdr>
        <w:top w:val="none" w:sz="0" w:space="0" w:color="auto"/>
        <w:left w:val="none" w:sz="0" w:space="0" w:color="auto"/>
        <w:bottom w:val="none" w:sz="0" w:space="0" w:color="auto"/>
        <w:right w:val="none" w:sz="0" w:space="0" w:color="auto"/>
      </w:divBdr>
    </w:div>
    <w:div w:id="1076049726">
      <w:bodyDiv w:val="1"/>
      <w:marLeft w:val="0"/>
      <w:marRight w:val="0"/>
      <w:marTop w:val="0"/>
      <w:marBottom w:val="0"/>
      <w:divBdr>
        <w:top w:val="none" w:sz="0" w:space="0" w:color="auto"/>
        <w:left w:val="none" w:sz="0" w:space="0" w:color="auto"/>
        <w:bottom w:val="none" w:sz="0" w:space="0" w:color="auto"/>
        <w:right w:val="none" w:sz="0" w:space="0" w:color="auto"/>
      </w:divBdr>
    </w:div>
    <w:div w:id="1254633525">
      <w:bodyDiv w:val="1"/>
      <w:marLeft w:val="0"/>
      <w:marRight w:val="0"/>
      <w:marTop w:val="0"/>
      <w:marBottom w:val="0"/>
      <w:divBdr>
        <w:top w:val="none" w:sz="0" w:space="0" w:color="auto"/>
        <w:left w:val="none" w:sz="0" w:space="0" w:color="auto"/>
        <w:bottom w:val="none" w:sz="0" w:space="0" w:color="auto"/>
        <w:right w:val="none" w:sz="0" w:space="0" w:color="auto"/>
      </w:divBdr>
    </w:div>
    <w:div w:id="1271473399">
      <w:bodyDiv w:val="1"/>
      <w:marLeft w:val="0"/>
      <w:marRight w:val="0"/>
      <w:marTop w:val="0"/>
      <w:marBottom w:val="0"/>
      <w:divBdr>
        <w:top w:val="none" w:sz="0" w:space="0" w:color="auto"/>
        <w:left w:val="none" w:sz="0" w:space="0" w:color="auto"/>
        <w:bottom w:val="none" w:sz="0" w:space="0" w:color="auto"/>
        <w:right w:val="none" w:sz="0" w:space="0" w:color="auto"/>
      </w:divBdr>
    </w:div>
    <w:div w:id="1333333916">
      <w:bodyDiv w:val="1"/>
      <w:marLeft w:val="0"/>
      <w:marRight w:val="0"/>
      <w:marTop w:val="0"/>
      <w:marBottom w:val="0"/>
      <w:divBdr>
        <w:top w:val="none" w:sz="0" w:space="0" w:color="auto"/>
        <w:left w:val="none" w:sz="0" w:space="0" w:color="auto"/>
        <w:bottom w:val="none" w:sz="0" w:space="0" w:color="auto"/>
        <w:right w:val="none" w:sz="0" w:space="0" w:color="auto"/>
      </w:divBdr>
    </w:div>
    <w:div w:id="1338118520">
      <w:bodyDiv w:val="1"/>
      <w:marLeft w:val="0"/>
      <w:marRight w:val="0"/>
      <w:marTop w:val="0"/>
      <w:marBottom w:val="0"/>
      <w:divBdr>
        <w:top w:val="none" w:sz="0" w:space="0" w:color="auto"/>
        <w:left w:val="none" w:sz="0" w:space="0" w:color="auto"/>
        <w:bottom w:val="none" w:sz="0" w:space="0" w:color="auto"/>
        <w:right w:val="none" w:sz="0" w:space="0" w:color="auto"/>
      </w:divBdr>
    </w:div>
    <w:div w:id="1500347572">
      <w:bodyDiv w:val="1"/>
      <w:marLeft w:val="0"/>
      <w:marRight w:val="0"/>
      <w:marTop w:val="0"/>
      <w:marBottom w:val="0"/>
      <w:divBdr>
        <w:top w:val="none" w:sz="0" w:space="0" w:color="auto"/>
        <w:left w:val="none" w:sz="0" w:space="0" w:color="auto"/>
        <w:bottom w:val="none" w:sz="0" w:space="0" w:color="auto"/>
        <w:right w:val="none" w:sz="0" w:space="0" w:color="auto"/>
      </w:divBdr>
    </w:div>
    <w:div w:id="1585798109">
      <w:bodyDiv w:val="1"/>
      <w:marLeft w:val="0"/>
      <w:marRight w:val="0"/>
      <w:marTop w:val="0"/>
      <w:marBottom w:val="0"/>
      <w:divBdr>
        <w:top w:val="none" w:sz="0" w:space="0" w:color="auto"/>
        <w:left w:val="none" w:sz="0" w:space="0" w:color="auto"/>
        <w:bottom w:val="none" w:sz="0" w:space="0" w:color="auto"/>
        <w:right w:val="none" w:sz="0" w:space="0" w:color="auto"/>
      </w:divBdr>
    </w:div>
    <w:div w:id="1623147264">
      <w:bodyDiv w:val="1"/>
      <w:marLeft w:val="0"/>
      <w:marRight w:val="0"/>
      <w:marTop w:val="0"/>
      <w:marBottom w:val="0"/>
      <w:divBdr>
        <w:top w:val="none" w:sz="0" w:space="0" w:color="auto"/>
        <w:left w:val="none" w:sz="0" w:space="0" w:color="auto"/>
        <w:bottom w:val="none" w:sz="0" w:space="0" w:color="auto"/>
        <w:right w:val="none" w:sz="0" w:space="0" w:color="auto"/>
      </w:divBdr>
    </w:div>
    <w:div w:id="1629505918">
      <w:bodyDiv w:val="1"/>
      <w:marLeft w:val="0"/>
      <w:marRight w:val="0"/>
      <w:marTop w:val="0"/>
      <w:marBottom w:val="0"/>
      <w:divBdr>
        <w:top w:val="none" w:sz="0" w:space="0" w:color="auto"/>
        <w:left w:val="none" w:sz="0" w:space="0" w:color="auto"/>
        <w:bottom w:val="none" w:sz="0" w:space="0" w:color="auto"/>
        <w:right w:val="none" w:sz="0" w:space="0" w:color="auto"/>
      </w:divBdr>
    </w:div>
    <w:div w:id="1652979442">
      <w:bodyDiv w:val="1"/>
      <w:marLeft w:val="0"/>
      <w:marRight w:val="0"/>
      <w:marTop w:val="0"/>
      <w:marBottom w:val="0"/>
      <w:divBdr>
        <w:top w:val="none" w:sz="0" w:space="0" w:color="auto"/>
        <w:left w:val="none" w:sz="0" w:space="0" w:color="auto"/>
        <w:bottom w:val="none" w:sz="0" w:space="0" w:color="auto"/>
        <w:right w:val="none" w:sz="0" w:space="0" w:color="auto"/>
      </w:divBdr>
    </w:div>
    <w:div w:id="1681005305">
      <w:bodyDiv w:val="1"/>
      <w:marLeft w:val="0"/>
      <w:marRight w:val="0"/>
      <w:marTop w:val="0"/>
      <w:marBottom w:val="0"/>
      <w:divBdr>
        <w:top w:val="none" w:sz="0" w:space="0" w:color="auto"/>
        <w:left w:val="none" w:sz="0" w:space="0" w:color="auto"/>
        <w:bottom w:val="none" w:sz="0" w:space="0" w:color="auto"/>
        <w:right w:val="none" w:sz="0" w:space="0" w:color="auto"/>
      </w:divBdr>
    </w:div>
    <w:div w:id="1930382710">
      <w:bodyDiv w:val="1"/>
      <w:marLeft w:val="0"/>
      <w:marRight w:val="0"/>
      <w:marTop w:val="0"/>
      <w:marBottom w:val="0"/>
      <w:divBdr>
        <w:top w:val="none" w:sz="0" w:space="0" w:color="auto"/>
        <w:left w:val="none" w:sz="0" w:space="0" w:color="auto"/>
        <w:bottom w:val="none" w:sz="0" w:space="0" w:color="auto"/>
        <w:right w:val="none" w:sz="0" w:space="0" w:color="auto"/>
      </w:divBdr>
    </w:div>
    <w:div w:id="2014600832">
      <w:bodyDiv w:val="1"/>
      <w:marLeft w:val="0"/>
      <w:marRight w:val="0"/>
      <w:marTop w:val="0"/>
      <w:marBottom w:val="0"/>
      <w:divBdr>
        <w:top w:val="none" w:sz="0" w:space="0" w:color="auto"/>
        <w:left w:val="none" w:sz="0" w:space="0" w:color="auto"/>
        <w:bottom w:val="none" w:sz="0" w:space="0" w:color="auto"/>
        <w:right w:val="none" w:sz="0" w:space="0" w:color="auto"/>
      </w:divBdr>
    </w:div>
    <w:div w:id="2060519757">
      <w:bodyDiv w:val="1"/>
      <w:marLeft w:val="0"/>
      <w:marRight w:val="0"/>
      <w:marTop w:val="0"/>
      <w:marBottom w:val="0"/>
      <w:divBdr>
        <w:top w:val="none" w:sz="0" w:space="0" w:color="auto"/>
        <w:left w:val="none" w:sz="0" w:space="0" w:color="auto"/>
        <w:bottom w:val="none" w:sz="0" w:space="0" w:color="auto"/>
        <w:right w:val="none" w:sz="0" w:space="0" w:color="auto"/>
      </w:divBdr>
    </w:div>
    <w:div w:id="2069455252">
      <w:bodyDiv w:val="1"/>
      <w:marLeft w:val="0"/>
      <w:marRight w:val="0"/>
      <w:marTop w:val="0"/>
      <w:marBottom w:val="0"/>
      <w:divBdr>
        <w:top w:val="none" w:sz="0" w:space="0" w:color="auto"/>
        <w:left w:val="none" w:sz="0" w:space="0" w:color="auto"/>
        <w:bottom w:val="none" w:sz="0" w:space="0" w:color="auto"/>
        <w:right w:val="none" w:sz="0" w:space="0" w:color="auto"/>
      </w:divBdr>
    </w:div>
    <w:div w:id="21213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C:/Users/Sarah/Documents/My%20work%20stuff/DET/DET%20AR%20Final/DET%20Annual%20Report%202015-16%20-%20Final%20draft%20-%20Financial%20statements%20-%2021%20Sept%202016.docx" TargetMode="External"/><Relationship Id="rId26" Type="http://schemas.openxmlformats.org/officeDocument/2006/relationships/hyperlink" Target="file:///C:/Users/Sarah/Documents/My%20work%20stuff/DET/DET%20AR%20Final/DET%20Annual%20Report%202015-16%20-%20Final%20draft%20-%20Financial%20statements%20-%2021%20Sept%202016.docx" TargetMode="External"/><Relationship Id="rId39" Type="http://schemas.openxmlformats.org/officeDocument/2006/relationships/hyperlink" Target="file:///C:/Users/Sarah/Documents/My%20work%20stuff/DET/DET%20AR%20Final/DET%20Annual%20Report%202015-16%20-%20Final%20draft%20-%20Financial%20statements%20-%2021%20Sept%202016.docx" TargetMode="External"/><Relationship Id="rId21" Type="http://schemas.openxmlformats.org/officeDocument/2006/relationships/hyperlink" Target="file:///C:/Users/Sarah/Documents/My%20work%20stuff/DET/DET%20AR%20Final/DET%20Annual%20Report%202015-16%20-%20Final%20draft%20-%20Financial%20statements%20-%2021%20Sept%202016.docx" TargetMode="External"/><Relationship Id="rId34" Type="http://schemas.openxmlformats.org/officeDocument/2006/relationships/hyperlink" Target="file:///C:/Users/Sarah/Documents/My%20work%20stuff/DET/DET%20AR%20Final/DET%20Annual%20Report%202015-16%20-%20Final%20draft%20-%20Financial%20statements%20-%2021%20Sept%202016.docx" TargetMode="External"/><Relationship Id="rId42" Type="http://schemas.openxmlformats.org/officeDocument/2006/relationships/hyperlink" Target="file:///C:/Users/Sarah/Documents/My%20work%20stuff/DET/DET%20AR%20Final/DET%20Annual%20Report%202015-16%20-%20Final%20draft%20-%20Financial%20statements%20-%2021%20Sept%202016.docx"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file:///C:/Users/Sarah/Documents/My%20work%20stuff/DET/DET%20AR%20Final/DET%20Annual%20Report%202015-16%20-%20Final%20draft%20-%20Financial%20statements%20-%2021%20Sept%202016.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Sarah/Documents/My%20work%20stuff/DET/DET%20AR%20Final/DET%20Annual%20Report%202015-16%20-%20Final%20draft%20-%20Financial%20statements%20-%2021%20Sept%202016.docx" TargetMode="External"/><Relationship Id="rId32" Type="http://schemas.openxmlformats.org/officeDocument/2006/relationships/hyperlink" Target="file:///C:/Users/Sarah/Documents/My%20work%20stuff/DET/DET%20AR%20Final/DET%20Annual%20Report%202015-16%20-%20Final%20draft%20-%20Financial%20statements%20-%2021%20Sept%202016.docx" TargetMode="External"/><Relationship Id="rId37" Type="http://schemas.openxmlformats.org/officeDocument/2006/relationships/hyperlink" Target="file:///C:/Users/Sarah/Documents/My%20work%20stuff/DET/DET%20AR%20Final/DET%20Annual%20Report%202015-16%20-%20Final%20draft%20-%20Financial%20statements%20-%2021%20Sept%202016.docx" TargetMode="External"/><Relationship Id="rId40" Type="http://schemas.openxmlformats.org/officeDocument/2006/relationships/hyperlink" Target="file:///C:/Users/Sarah/Documents/My%20work%20stuff/DET/DET%20AR%20Final/DET%20Annual%20Report%202015-16%20-%20Final%20draft%20-%20Financial%20statements%20-%2021%20Sept%202016.docx"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Sarah/Documents/My%20work%20stuff/DET/DET%20AR%20Final/DET%20Annual%20Report%202015-16%20-%20Final%20draft%20-%20Financial%20statements%20-%2021%20Sept%202016.docx" TargetMode="External"/><Relationship Id="rId28" Type="http://schemas.openxmlformats.org/officeDocument/2006/relationships/hyperlink" Target="file:///C:/Users/Sarah/Documents/My%20work%20stuff/DET/DET%20AR%20Final/DET%20Annual%20Report%202015-16%20-%20Final%20draft%20-%20Financial%20statements%20-%2021%20Sept%202016.docx" TargetMode="External"/><Relationship Id="rId36" Type="http://schemas.openxmlformats.org/officeDocument/2006/relationships/hyperlink" Target="file:///C:/Users/Sarah/Documents/My%20work%20stuff/DET/DET%20AR%20Final/DET%20Annual%20Report%202015-16%20-%20Final%20draft%20-%20Financial%20statements%20-%2021%20Sept%202016.docx" TargetMode="External"/><Relationship Id="rId10" Type="http://schemas.openxmlformats.org/officeDocument/2006/relationships/webSettings" Target="webSettings.xml"/><Relationship Id="rId19" Type="http://schemas.openxmlformats.org/officeDocument/2006/relationships/hyperlink" Target="file:///C:/Users/Sarah/Documents/My%20work%20stuff/DET/DET%20AR%20Final/DET%20Annual%20Report%202015-16%20-%20Final%20draft%20-%20Financial%20statements%20-%2021%20Sept%202016.docx" TargetMode="External"/><Relationship Id="rId31" Type="http://schemas.openxmlformats.org/officeDocument/2006/relationships/hyperlink" Target="file:///C:/Users/Sarah/Documents/My%20work%20stuff/DET/DET%20AR%20Final/DET%20Annual%20Report%202015-16%20-%20Final%20draft%20-%20Financial%20statements%20-%2021%20Sept%202016.doc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Sarah/Documents/My%20work%20stuff/DET/DET%20AR%20Final/DET%20Annual%20Report%202015-16%20-%20Final%20draft%20-%20Financial%20statements%20-%2021%20Sept%202016.docx" TargetMode="External"/><Relationship Id="rId27" Type="http://schemas.openxmlformats.org/officeDocument/2006/relationships/hyperlink" Target="file:///C:/Users/Sarah/Documents/My%20work%20stuff/DET/DET%20AR%20Final/DET%20Annual%20Report%202015-16%20-%20Final%20draft%20-%20Financial%20statements%20-%2021%20Sept%202016.docx" TargetMode="External"/><Relationship Id="rId30" Type="http://schemas.openxmlformats.org/officeDocument/2006/relationships/hyperlink" Target="file:///C:/Users/Sarah/Documents/My%20work%20stuff/DET/DET%20AR%20Final/DET%20Annual%20Report%202015-16%20-%20Final%20draft%20-%20Financial%20statements%20-%2021%20Sept%202016.docx" TargetMode="External"/><Relationship Id="rId35" Type="http://schemas.openxmlformats.org/officeDocument/2006/relationships/hyperlink" Target="file:///C:/Users/Sarah/Documents/My%20work%20stuff/DET/DET%20AR%20Final/DET%20Annual%20Report%202015-16%20-%20Final%20draft%20-%20Financial%20statements%20-%2021%20Sept%202016.docx" TargetMode="External"/><Relationship Id="rId43" Type="http://schemas.openxmlformats.org/officeDocument/2006/relationships/hyperlink" Target="file:///C:/Users/Sarah/Documents/My%20work%20stuff/DET/DET%20AR%20Final/DET%20Annual%20Report%202015-16%20-%20Final%20draft%20-%20Financial%20statements%20-%2021%20Sept%202016.docx" TargetMode="External"/><Relationship Id="rId8" Type="http://schemas.microsoft.com/office/2007/relationships/stylesWithEffects" Target="stylesWithEffects.xml"/><Relationship Id="rId12" Type="http://schemas.openxmlformats.org/officeDocument/2006/relationships/endnotes" Target="endnotes.xml"/><Relationship Id="rId17" Type="http://schemas.openxmlformats.org/officeDocument/2006/relationships/hyperlink" Target="file:///C:/Users/Sarah/Documents/My%20work%20stuff/DET/DET%20AR%20Final/DET%20Annual%20Report%202015-16%20-%20Final%20draft%20-%20Financial%20statements%20-%2021%20Sept%202016.docx" TargetMode="External"/><Relationship Id="rId25" Type="http://schemas.openxmlformats.org/officeDocument/2006/relationships/hyperlink" Target="file:///C:/Users/Sarah/Documents/My%20work%20stuff/DET/DET%20AR%20Final/DET%20Annual%20Report%202015-16%20-%20Final%20draft%20-%20Financial%20statements%20-%2021%20Sept%202016.docx" TargetMode="External"/><Relationship Id="rId33" Type="http://schemas.openxmlformats.org/officeDocument/2006/relationships/hyperlink" Target="file:///C:/Users/Sarah/Documents/My%20work%20stuff/DET/DET%20AR%20Final/DET%20Annual%20Report%202015-16%20-%20Final%20draft%20-%20Financial%20statements%20-%2021%20Sept%202016.docx" TargetMode="External"/><Relationship Id="rId38" Type="http://schemas.openxmlformats.org/officeDocument/2006/relationships/hyperlink" Target="file:///C:/Users/Sarah/Documents/My%20work%20stuff/DET/DET%20AR%20Final/DET%20Annual%20Report%202015-16%20-%20Final%20draft%20-%20Financial%20statements%20-%2021%20Sept%202016.docx" TargetMode="External"/><Relationship Id="rId46" Type="http://schemas.openxmlformats.org/officeDocument/2006/relationships/fontTable" Target="fontTable.xml"/><Relationship Id="rId20" Type="http://schemas.openxmlformats.org/officeDocument/2006/relationships/hyperlink" Target="file:///C:/Users/Sarah/Documents/My%20work%20stuff/DET/DET%20AR%20Final/DET%20Annual%20Report%202015-16%20-%20Final%20draft%20-%20Financial%20statements%20-%2021%20Sept%202016.docx" TargetMode="External"/><Relationship Id="rId41" Type="http://schemas.openxmlformats.org/officeDocument/2006/relationships/hyperlink" Target="file:///C:/Users/Sarah/Documents/My%20work%20stuff/DET/DET%20AR%20Final/DET%20Annual%20Report%202015-16%20-%20Final%20draft%20-%20Financial%20statements%20-%2021%20Sept%2020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Financial Statement for Department of Education and Training  Annual Report 2015-16</DEECD_Keywords>
    <PublishingExpirationDate xmlns="http://schemas.microsoft.com/sharepoint/v3" xsi:nil="true"/>
    <DEECD_Description xmlns="http://schemas.microsoft.com/sharepoint/v3">Financial Statement for Department of Education and Training  Annual Report 2015-16</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EF18741F-F262-4485-BDFC-C7E06D16E334}"/>
</file>

<file path=customXml/itemProps2.xml><?xml version="1.0" encoding="utf-8"?>
<ds:datastoreItem xmlns:ds="http://schemas.openxmlformats.org/officeDocument/2006/customXml" ds:itemID="{BF141C86-C05F-455D-9A0B-91CAD6C10016}"/>
</file>

<file path=customXml/itemProps3.xml><?xml version="1.0" encoding="utf-8"?>
<ds:datastoreItem xmlns:ds="http://schemas.openxmlformats.org/officeDocument/2006/customXml" ds:itemID="{270CC773-C135-4175-B98C-A7AAA2A067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B7C109-9E23-4340-8910-E295D576A35E}"/>
</file>

<file path=customXml/itemProps5.xml><?xml version="1.0" encoding="utf-8"?>
<ds:datastoreItem xmlns:ds="http://schemas.openxmlformats.org/officeDocument/2006/customXml" ds:itemID="{270CC773-C135-4175-B98C-A7AAA2A067E4}"/>
</file>

<file path=docProps/app.xml><?xml version="1.0" encoding="utf-8"?>
<Properties xmlns="http://schemas.openxmlformats.org/officeDocument/2006/extended-properties" xmlns:vt="http://schemas.openxmlformats.org/officeDocument/2006/docPropsVTypes">
  <Template>Normal</Template>
  <TotalTime>4</TotalTime>
  <Pages>1</Pages>
  <Words>27802</Words>
  <Characters>158472</Characters>
  <Application>Microsoft Office Word</Application>
  <DocSecurity>0</DocSecurity>
  <Lines>1320</Lines>
  <Paragraphs>371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Annual Report 2014-15</vt:lpstr>
      <vt:lpstr>Financial statements</vt:lpstr>
      <vt:lpstr>    Accountable Officer's and Chief Finance and Accounting Officer's declaration</vt:lpstr>
      <vt:lpstr>    Auditor-General’s independent auditor’s report</vt:lpstr>
      <vt:lpstr>    Comprehensive operating statement for the financial year ended 30 June 2016</vt:lpstr>
      <vt:lpstr>    Balance sheet as at 30 June 2016</vt:lpstr>
      <vt:lpstr>    Statement of changes in equity for the financial year ended 30 June 2016</vt:lpstr>
      <vt:lpstr>    Cash flow statement for the financial year ended 30 June 2016</vt:lpstr>
      <vt:lpstr>    Notes to the financial statements </vt:lpstr>
      <vt:lpstr>    Summary of significant accounting policies</vt:lpstr>
      <vt:lpstr>        Statement of compliance</vt:lpstr>
      <vt:lpstr>        Basis of accounting preparation and measurement</vt:lpstr>
      <vt:lpstr>        Reporting entity</vt:lpstr>
      <vt:lpstr>        Scope and presentation of financial statements</vt:lpstr>
      <vt:lpstr>        Income from transactions</vt:lpstr>
      <vt:lpstr>        Expenses from transactions</vt:lpstr>
      <vt:lpstr>        Other economic flows </vt:lpstr>
      <vt:lpstr>        Administered income</vt:lpstr>
      <vt:lpstr>        Financial instruments</vt:lpstr>
      <vt:lpstr>        Financial assets</vt:lpstr>
      <vt:lpstr>        Non-financial assets</vt:lpstr>
      <vt:lpstr>        Liabilities</vt:lpstr>
      <vt:lpstr>        Leases</vt:lpstr>
      <vt:lpstr>        Equity</vt:lpstr>
      <vt:lpstr>        Commitments</vt:lpstr>
      <vt:lpstr>        Contingent assets and contingent liabilities</vt:lpstr>
      <vt:lpstr>        Public Private Partnerships (Service concession arrangements)</vt:lpstr>
      <vt:lpstr>        Accounting for goods and services tax</vt:lpstr>
      <vt:lpstr>        Foreign currency</vt:lpstr>
      <vt:lpstr>        Events after reporting date</vt:lpstr>
      <vt:lpstr>        Correction of prior year errors</vt:lpstr>
      <vt:lpstr>        Reclassification of financial information</vt:lpstr>
      <vt:lpstr>        Australian Accounting Standards and interpretation issues that are not yet effec</vt:lpstr>
      <vt:lpstr>    Departmental (controlled) outputs</vt:lpstr>
      <vt:lpstr>        Strategy, Review and Regulation</vt:lpstr>
      <vt:lpstr>        Early Childhood Development</vt:lpstr>
      <vt:lpstr>        School Education</vt:lpstr>
      <vt:lpstr>        Higher Education and Skills</vt:lpstr>
      <vt:lpstr>        Support Services Delivery</vt:lpstr>
      <vt:lpstr>        Support for Students with Disabilities</vt:lpstr>
    </vt:vector>
  </TitlesOfParts>
  <Company>Department of Education and Training</Company>
  <LinksUpToDate>false</LinksUpToDate>
  <CharactersWithSpaces>185903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Statements and Notes</dc:title>
  <dc:creator>Department of Education and Training</dc:creator>
  <cp:lastModifiedBy>Millar, Julie R</cp:lastModifiedBy>
  <cp:revision>4</cp:revision>
  <cp:lastPrinted>2016-10-13T01:32:00Z</cp:lastPrinted>
  <dcterms:created xsi:type="dcterms:W3CDTF">2016-10-13T01:15:00Z</dcterms:created>
  <dcterms:modified xsi:type="dcterms:W3CDTF">2016-10-13T01:32:00Z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Order">
    <vt:r8>2844800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