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Start"/>
    <w:bookmarkStart w:id="1" w:name="_GoBack"/>
    <w:bookmarkEnd w:id="1"/>
    <w:p w:rsidR="00D70734" w:rsidRDefault="00D70734" w:rsidP="00030839">
      <w:pPr>
        <w:jc w:val="left"/>
        <w:rPr>
          <w:color w:val="76923C" w:themeColor="accent3" w:themeShade="BF"/>
          <w:sz w:val="46"/>
        </w:rPr>
      </w:pPr>
      <w:r w:rsidRPr="001F29E3">
        <w:rPr>
          <w:rFonts w:cs="Arial"/>
          <w:noProof/>
          <w:lang w:eastAsia="en-AU"/>
        </w:rPr>
        <mc:AlternateContent>
          <mc:Choice Requires="wpg">
            <w:drawing>
              <wp:inline distT="0" distB="0" distL="0" distR="0" wp14:anchorId="17499B33" wp14:editId="7DD3A16B">
                <wp:extent cx="2329180" cy="422275"/>
                <wp:effectExtent l="0" t="0" r="0" b="0"/>
                <wp:docPr id="3098" name="Logo Vic"/>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29180" cy="422275"/>
                          <a:chOff x="-17207" y="-1468"/>
                          <a:chExt cx="40176" cy="7261"/>
                        </a:xfrm>
                      </wpg:grpSpPr>
                      <wps:wsp>
                        <wps:cNvPr id="3099" name="Freeform 1961"/>
                        <wps:cNvSpPr>
                          <a:spLocks noChangeAspect="1" noEditPoints="1"/>
                        </wps:cNvSpPr>
                        <wps:spPr bwMode="auto">
                          <a:xfrm>
                            <a:off x="-17207" y="-1468"/>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1962"/>
                        <wps:cNvSpPr>
                          <a:spLocks noChangeAspect="1" noEditPoints="1"/>
                        </wps:cNvSpPr>
                        <wps:spPr bwMode="auto">
                          <a:xfrm>
                            <a:off x="-3253" y="1286"/>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Logo Vic" o:spid="_x0000_s1026" style="width:183.4pt;height:33.25pt;mso-position-horizontal-relative:char;mso-position-vertical-relative:line" coordorigin="-17207,-1468"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">
                <o:lock v:ext="edit" aspectratio="t"/>
                <v:shape id="Freeform 1961" o:spid="_x0000_s1027" style="position:absolute;left:-17207;top:-1468;width:12446;height:7115;visibility:visible;mso-wrap-style:square;v-text-anchor:top" coordsize="5269,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Y5cMA&#10;AADdAAAADwAAAGRycy9kb3ducmV2LnhtbESPQYvCMBSE78L+h/AW9qaprohWoyyCoF7E6rLXR/Ns&#10;yzYvpUk1/nsjCB6HmfmGWayCqcWVWldZVjAcJCCIc6srLhScT5v+FITzyBpry6TgTg5Wy4/eAlNt&#10;b3yka+YLESHsUlRQet+kUrq8JINuYBvi6F1sa9BH2RZSt3iLcFPLUZJMpMGK40KJDa1Lyv+zzijo&#10;DsM93cfh0IQs3/12xMep+1Pq6zP8zEF4Cv4dfrW3WsF3MpvB80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VY5cMAAADdAAAADwAAAAAAAAAAAAAAAACYAgAAZHJzL2Rv&#10;d25yZXYueG1sUEsFBgAAAAAEAAQA9QAAAIgD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1962" o:spid="_x0000_s1028" style="position:absolute;left:-3253;top:1286;width:26222;height:4507;visibility:visible;mso-wrap-style:square;v-text-anchor:top" coordsize="11101,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5XccMA&#10;AADdAAAADwAAAGRycy9kb3ducmV2LnhtbERPz2vCMBS+D/wfwhO8DJtqYZTOKCJsCDvI2jE8vjVv&#10;bVnzEpKo3X9vDoMdP77fm91kRnElHwbLClZZDoK4tXrgTsFH87IsQYSIrHG0TAp+KcBuO3vYYKXt&#10;jd/pWsdOpBAOFSroY3SVlKHtyWDIrCNO3Lf1BmOCvpPa4y2Fm1Gu8/xJGhw4NfTo6NBT+1NfjALd&#10;FF+vrTuX2h3828l80t7yo1KL+bR/BhFpiv/iP/dRKyhWedqf3qQn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5XccMAAADdAAAADwAAAAAAAAAAAAAAAACYAgAAZHJzL2Rv&#10;d25yZXYueG1sUEsFBgAAAAAEAAQA9QAAAIgD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anchorlock/>
              </v:group>
            </w:pict>
          </mc:Fallback>
        </mc:AlternateContent>
      </w:r>
    </w:p>
    <w:p w:rsidR="0097609C" w:rsidRPr="001F29E3" w:rsidRDefault="00AD4AE7" w:rsidP="00165D92">
      <w:pPr>
        <w:jc w:val="left"/>
        <w:rPr>
          <w:rFonts w:cs="Arial"/>
          <w:color w:val="FF0000"/>
        </w:rPr>
      </w:pPr>
      <w:r w:rsidRPr="00512EAB">
        <w:rPr>
          <w:color w:val="76923C" w:themeColor="accent3" w:themeShade="BF"/>
          <w:sz w:val="46"/>
        </w:rPr>
        <w:t xml:space="preserve">Victorian Training Market Quarterly Report </w:t>
      </w:r>
      <w:bookmarkEnd w:id="0"/>
      <w:r w:rsidR="00692C68" w:rsidRPr="00512EAB">
        <w:rPr>
          <w:color w:val="76923C" w:themeColor="accent3" w:themeShade="BF"/>
          <w:sz w:val="46"/>
        </w:rPr>
        <w:br/>
        <w:t>Q1 2013</w:t>
      </w:r>
    </w:p>
    <w:p w:rsidR="0097609C" w:rsidRPr="001F29E3" w:rsidRDefault="0097609C" w:rsidP="00DA3526">
      <w:pPr>
        <w:rPr>
          <w:rFonts w:cs="Arial"/>
        </w:rPr>
        <w:sectPr w:rsidR="0097609C" w:rsidRPr="001F29E3" w:rsidSect="002D6A3A">
          <w:pgSz w:w="11907" w:h="16840" w:code="9"/>
          <w:pgMar w:top="471" w:right="346" w:bottom="12106" w:left="7938" w:header="136" w:footer="709" w:gutter="0"/>
          <w:cols w:space="708"/>
          <w:titlePg/>
          <w:docGrid w:linePitch="360"/>
        </w:sectPr>
      </w:pPr>
    </w:p>
    <w:p w:rsidR="00CA71CC" w:rsidRDefault="00CA71CC" w:rsidP="00DA3526">
      <w:pPr>
        <w:pStyle w:val="CopyrightDetailsBold"/>
        <w:jc w:val="left"/>
        <w:rPr>
          <w:rFonts w:cs="Arial"/>
        </w:rPr>
      </w:pPr>
      <w:r>
        <w:rPr>
          <w:rFonts w:cs="Arial"/>
        </w:rPr>
        <w:lastRenderedPageBreak/>
        <w:t>Published</w:t>
      </w:r>
      <w:r w:rsidR="00AD4AE7" w:rsidRPr="001F29E3">
        <w:rPr>
          <w:rFonts w:cs="Arial"/>
        </w:rPr>
        <w:t xml:space="preserve"> by </w:t>
      </w:r>
      <w:r>
        <w:rPr>
          <w:rFonts w:cs="Arial"/>
        </w:rPr>
        <w:t>the</w:t>
      </w:r>
    </w:p>
    <w:p w:rsidR="00AD4AE7" w:rsidRPr="001F29E3" w:rsidRDefault="00AD4AE7" w:rsidP="00DA3526">
      <w:pPr>
        <w:pStyle w:val="CopyrightDetailsBold"/>
        <w:jc w:val="left"/>
        <w:rPr>
          <w:rFonts w:cs="Arial"/>
        </w:rPr>
      </w:pPr>
      <w:r w:rsidRPr="001F29E3">
        <w:rPr>
          <w:rFonts w:cs="Arial"/>
        </w:rPr>
        <w:t>Department of Education and</w:t>
      </w:r>
      <w:r w:rsidRPr="001F29E3">
        <w:rPr>
          <w:rFonts w:cs="Arial"/>
        </w:rPr>
        <w:br/>
        <w:t>Early Childhood Development</w:t>
      </w:r>
    </w:p>
    <w:p w:rsidR="00AD4AE7" w:rsidRPr="001F29E3" w:rsidRDefault="00AD4AE7" w:rsidP="00DA3526">
      <w:pPr>
        <w:pStyle w:val="CopyrightDetails"/>
        <w:jc w:val="left"/>
        <w:rPr>
          <w:rFonts w:cs="Arial"/>
        </w:rPr>
      </w:pPr>
      <w:r w:rsidRPr="001F29E3">
        <w:rPr>
          <w:rFonts w:cs="Arial"/>
        </w:rPr>
        <w:t>Melbourne</w:t>
      </w:r>
      <w:r w:rsidRPr="001F29E3">
        <w:rPr>
          <w:rFonts w:cs="Arial"/>
        </w:rPr>
        <w:br/>
      </w:r>
      <w:r w:rsidR="003B33FB" w:rsidRPr="00C526D7">
        <w:rPr>
          <w:rFonts w:cs="Arial"/>
        </w:rPr>
        <w:t>June</w:t>
      </w:r>
      <w:r w:rsidRPr="00C526D7">
        <w:rPr>
          <w:rFonts w:cs="Arial"/>
        </w:rPr>
        <w:t xml:space="preserve"> 201</w:t>
      </w:r>
      <w:r w:rsidR="00DA3526" w:rsidRPr="00C526D7">
        <w:rPr>
          <w:rFonts w:cs="Arial"/>
        </w:rPr>
        <w:t>3</w:t>
      </w:r>
    </w:p>
    <w:p w:rsidR="00AD4AE7" w:rsidRPr="001F29E3" w:rsidRDefault="00AD4AE7" w:rsidP="00DA3526">
      <w:pPr>
        <w:pStyle w:val="CopyrightDetails"/>
        <w:jc w:val="left"/>
        <w:rPr>
          <w:rFonts w:cs="Arial"/>
        </w:rPr>
      </w:pPr>
    </w:p>
    <w:p w:rsidR="00AD4AE7" w:rsidRPr="001F29E3" w:rsidRDefault="00AD4AE7" w:rsidP="00DA3526">
      <w:pPr>
        <w:pStyle w:val="CopyrightDetails"/>
        <w:jc w:val="left"/>
        <w:rPr>
          <w:rFonts w:cs="Arial"/>
        </w:rPr>
      </w:pPr>
      <w:r w:rsidRPr="001F29E3">
        <w:rPr>
          <w:rFonts w:cs="Arial"/>
        </w:rPr>
        <w:t>©State of Victoria (Department of Education</w:t>
      </w:r>
      <w:r w:rsidRPr="001F29E3">
        <w:rPr>
          <w:rFonts w:cs="Arial"/>
        </w:rPr>
        <w:br/>
        <w:t>and Early Childhood Development) 201</w:t>
      </w:r>
      <w:r w:rsidR="00DA3526" w:rsidRPr="001F29E3">
        <w:rPr>
          <w:rFonts w:cs="Arial"/>
        </w:rPr>
        <w:t>3</w:t>
      </w:r>
    </w:p>
    <w:p w:rsidR="00AD4AE7" w:rsidRPr="001F29E3" w:rsidRDefault="00AD4AE7" w:rsidP="00DA3526">
      <w:pPr>
        <w:pStyle w:val="CopyrightDetails"/>
        <w:jc w:val="left"/>
        <w:rPr>
          <w:rFonts w:cs="Arial"/>
        </w:rPr>
      </w:pPr>
    </w:p>
    <w:p w:rsidR="00030839" w:rsidRDefault="00AD4AE7" w:rsidP="00DA3526">
      <w:pPr>
        <w:pStyle w:val="CopyrightDetails"/>
        <w:jc w:val="left"/>
        <w:rPr>
          <w:rFonts w:cs="Arial"/>
        </w:rPr>
      </w:pPr>
      <w:r w:rsidRPr="001F29E3">
        <w:rPr>
          <w:rFonts w:cs="Arial"/>
        </w:rPr>
        <w:t>The copyright in this document is owned by the State of Victoria (Department of Education and Early Childhood Development), or in the case of some materials, by third parties (third party materials). No part may be reproduced by any process except in accordance with the provisions of the Copyright Act 1968, the National Education Access Licence for Schools (NEALS) (see below) or with permission.</w:t>
      </w:r>
    </w:p>
    <w:p w:rsidR="00030839" w:rsidRDefault="00030839" w:rsidP="00DA3526">
      <w:pPr>
        <w:pStyle w:val="CopyrightDetails"/>
        <w:jc w:val="left"/>
        <w:rPr>
          <w:rFonts w:cs="Arial"/>
        </w:rPr>
      </w:pPr>
    </w:p>
    <w:p w:rsidR="00AD4AE7" w:rsidRPr="001F29E3" w:rsidRDefault="00AD4AE7" w:rsidP="00DA3526">
      <w:pPr>
        <w:pStyle w:val="CopyrightDetails"/>
        <w:jc w:val="left"/>
        <w:rPr>
          <w:rFonts w:cs="Arial"/>
        </w:rPr>
      </w:pPr>
      <w:r w:rsidRPr="001F29E3">
        <w:rPr>
          <w:rFonts w:cs="Arial"/>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AD4AE7" w:rsidRPr="001F29E3" w:rsidRDefault="00AD4AE7" w:rsidP="00DA3526">
      <w:pPr>
        <w:pStyle w:val="CopyrightDetails"/>
        <w:jc w:val="left"/>
        <w:rPr>
          <w:rFonts w:cs="Arial"/>
        </w:rPr>
      </w:pPr>
    </w:p>
    <w:p w:rsidR="00AD4AE7" w:rsidRDefault="00AD4AE7" w:rsidP="00CA71CC">
      <w:pPr>
        <w:pStyle w:val="CopyrightDetails"/>
        <w:jc w:val="left"/>
        <w:rPr>
          <w:rFonts w:cs="Arial"/>
        </w:rPr>
      </w:pPr>
      <w:r w:rsidRPr="001F29E3">
        <w:rPr>
          <w:rFonts w:cs="Arial"/>
        </w:rPr>
        <w:t>Authorised by the Department of Education</w:t>
      </w:r>
      <w:r w:rsidRPr="001F29E3">
        <w:rPr>
          <w:rFonts w:cs="Arial"/>
        </w:rPr>
        <w:br/>
        <w:t>and Early Childhood Development</w:t>
      </w:r>
      <w:r w:rsidR="001A1AD1" w:rsidRPr="001F29E3">
        <w:rPr>
          <w:rFonts w:cs="Arial"/>
        </w:rPr>
        <w:t xml:space="preserve">, </w:t>
      </w:r>
      <w:r w:rsidRPr="001F29E3">
        <w:rPr>
          <w:rFonts w:cs="Arial"/>
        </w:rPr>
        <w:br/>
        <w:t>2 Treasury Place, East Melbourne, Victoria, 300</w:t>
      </w:r>
      <w:r w:rsidR="00CA03C0" w:rsidRPr="001F29E3">
        <w:rPr>
          <w:rFonts w:cs="Arial"/>
        </w:rPr>
        <w:t>2</w:t>
      </w:r>
    </w:p>
    <w:p w:rsidR="00CA71CC" w:rsidRDefault="00CA71CC" w:rsidP="00CA71CC">
      <w:pPr>
        <w:pStyle w:val="CopyrightDetails"/>
        <w:jc w:val="left"/>
        <w:rPr>
          <w:rFonts w:cs="Arial"/>
        </w:rPr>
      </w:pPr>
      <w:r>
        <w:rPr>
          <w:rFonts w:cs="Arial"/>
        </w:rPr>
        <w:t>This document is also available on the internet at</w:t>
      </w:r>
    </w:p>
    <w:p w:rsidR="00CA71CC" w:rsidRPr="001F29E3" w:rsidRDefault="00CA71CC" w:rsidP="00CA71CC">
      <w:pPr>
        <w:pStyle w:val="CopyrightDetails"/>
        <w:jc w:val="left"/>
        <w:rPr>
          <w:rFonts w:cs="Arial"/>
        </w:rPr>
        <w:sectPr w:rsidR="00CA71CC" w:rsidRPr="001F29E3" w:rsidSect="002D6A3A">
          <w:headerReference w:type="even" r:id="rId9"/>
          <w:headerReference w:type="default" r:id="rId10"/>
          <w:footerReference w:type="even" r:id="rId11"/>
          <w:footerReference w:type="default" r:id="rId12"/>
          <w:headerReference w:type="first" r:id="rId13"/>
          <w:footerReference w:type="first" r:id="rId14"/>
          <w:pgSz w:w="11907" w:h="16840" w:code="9"/>
          <w:pgMar w:top="907" w:right="4536" w:bottom="1009" w:left="1707" w:header="420" w:footer="216" w:gutter="0"/>
          <w:cols w:space="708"/>
          <w:docGrid w:linePitch="360"/>
        </w:sectPr>
      </w:pPr>
      <w:r>
        <w:rPr>
          <w:rFonts w:cs="Arial"/>
        </w:rPr>
        <w:t>www.education.vic.gov.au</w:t>
      </w:r>
    </w:p>
    <w:p w:rsidR="003778A9" w:rsidRDefault="0020796B" w:rsidP="003778A9">
      <w:pPr>
        <w:pStyle w:val="TOC1"/>
        <w:rPr>
          <w:rFonts w:asciiTheme="minorHAnsi" w:eastAsiaTheme="minorEastAsia" w:hAnsiTheme="minorHAnsi" w:cstheme="minorBidi"/>
          <w:b w:val="0"/>
          <w:bCs w:val="0"/>
          <w:caps w:val="0"/>
          <w:sz w:val="22"/>
          <w:szCs w:val="22"/>
          <w:lang w:eastAsia="en-AU"/>
        </w:rPr>
      </w:pPr>
      <w:r w:rsidRPr="001F29E3">
        <w:rPr>
          <w:rFonts w:ascii="Arial" w:hAnsi="Arial"/>
          <w:sz w:val="16"/>
          <w:szCs w:val="16"/>
        </w:rPr>
        <w:lastRenderedPageBreak/>
        <w:fldChar w:fldCharType="begin"/>
      </w:r>
      <w:r w:rsidRPr="001F29E3">
        <w:rPr>
          <w:rFonts w:ascii="Arial" w:hAnsi="Arial"/>
          <w:sz w:val="16"/>
          <w:szCs w:val="16"/>
        </w:rPr>
        <w:instrText xml:space="preserve"> TOC \o "1-2" </w:instrText>
      </w:r>
      <w:r w:rsidRPr="001F29E3">
        <w:rPr>
          <w:rFonts w:ascii="Arial" w:hAnsi="Arial"/>
          <w:sz w:val="16"/>
          <w:szCs w:val="16"/>
        </w:rPr>
        <w:fldChar w:fldCharType="separate"/>
      </w:r>
      <w:r w:rsidR="003778A9" w:rsidRPr="002323AA">
        <w:t>Executive Summary</w:t>
      </w:r>
      <w:r w:rsidR="003778A9">
        <w:tab/>
      </w:r>
      <w:r w:rsidR="003778A9">
        <w:fldChar w:fldCharType="begin"/>
      </w:r>
      <w:r w:rsidR="003778A9">
        <w:instrText xml:space="preserve"> PAGEREF _Toc359501551 \h </w:instrText>
      </w:r>
      <w:r w:rsidR="003778A9">
        <w:fldChar w:fldCharType="separate"/>
      </w:r>
      <w:r w:rsidR="00F94B14">
        <w:t>5</w:t>
      </w:r>
      <w:r w:rsidR="003778A9">
        <w:fldChar w:fldCharType="end"/>
      </w:r>
    </w:p>
    <w:p w:rsidR="003778A9" w:rsidRDefault="003778A9" w:rsidP="003778A9">
      <w:pPr>
        <w:pStyle w:val="TOC2"/>
        <w:tabs>
          <w:tab w:val="right" w:pos="6698"/>
        </w:tabs>
        <w:spacing w:before="0" w:after="120" w:line="240" w:lineRule="auto"/>
        <w:rPr>
          <w:rFonts w:eastAsiaTheme="minorEastAsia" w:cstheme="minorBidi"/>
          <w:b w:val="0"/>
          <w:bCs w:val="0"/>
          <w:noProof/>
          <w:sz w:val="22"/>
          <w:szCs w:val="22"/>
          <w:lang w:eastAsia="en-AU"/>
        </w:rPr>
      </w:pPr>
      <w:r>
        <w:rPr>
          <w:noProof/>
        </w:rPr>
        <w:t>The Policy Context of Vocational Training</w:t>
      </w:r>
      <w:r>
        <w:rPr>
          <w:noProof/>
        </w:rPr>
        <w:tab/>
      </w:r>
      <w:r>
        <w:rPr>
          <w:noProof/>
        </w:rPr>
        <w:fldChar w:fldCharType="begin"/>
      </w:r>
      <w:r>
        <w:rPr>
          <w:noProof/>
        </w:rPr>
        <w:instrText xml:space="preserve"> PAGEREF _Toc359501552 \h </w:instrText>
      </w:r>
      <w:r>
        <w:rPr>
          <w:noProof/>
        </w:rPr>
      </w:r>
      <w:r>
        <w:rPr>
          <w:noProof/>
        </w:rPr>
        <w:fldChar w:fldCharType="separate"/>
      </w:r>
      <w:r w:rsidR="00F94B14">
        <w:rPr>
          <w:noProof/>
        </w:rPr>
        <w:t>9</w:t>
      </w:r>
      <w:r>
        <w:rPr>
          <w:noProof/>
        </w:rPr>
        <w:fldChar w:fldCharType="end"/>
      </w:r>
    </w:p>
    <w:p w:rsidR="003778A9" w:rsidRDefault="003778A9" w:rsidP="003778A9">
      <w:pPr>
        <w:pStyle w:val="TOC1"/>
        <w:rPr>
          <w:rFonts w:asciiTheme="minorHAnsi" w:eastAsiaTheme="minorEastAsia" w:hAnsiTheme="minorHAnsi" w:cstheme="minorBidi"/>
          <w:b w:val="0"/>
          <w:bCs w:val="0"/>
          <w:caps w:val="0"/>
          <w:sz w:val="22"/>
          <w:szCs w:val="22"/>
          <w:lang w:eastAsia="en-AU"/>
        </w:rPr>
      </w:pPr>
      <w:r w:rsidRPr="002323AA">
        <w:t>Purpose and Background</w:t>
      </w:r>
      <w:r>
        <w:tab/>
      </w:r>
      <w:r>
        <w:fldChar w:fldCharType="begin"/>
      </w:r>
      <w:r>
        <w:instrText xml:space="preserve"> PAGEREF _Toc359501553 \h </w:instrText>
      </w:r>
      <w:r>
        <w:fldChar w:fldCharType="separate"/>
      </w:r>
      <w:r w:rsidR="00F94B14">
        <w:t>12</w:t>
      </w:r>
      <w:r>
        <w:fldChar w:fldCharType="end"/>
      </w:r>
    </w:p>
    <w:p w:rsidR="003778A9" w:rsidRDefault="003778A9" w:rsidP="003778A9">
      <w:pPr>
        <w:pStyle w:val="TOC2"/>
        <w:tabs>
          <w:tab w:val="right" w:pos="6698"/>
        </w:tabs>
        <w:spacing w:before="0" w:after="120" w:line="240" w:lineRule="auto"/>
        <w:rPr>
          <w:rFonts w:eastAsiaTheme="minorEastAsia" w:cstheme="minorBidi"/>
          <w:b w:val="0"/>
          <w:bCs w:val="0"/>
          <w:noProof/>
          <w:sz w:val="22"/>
          <w:szCs w:val="22"/>
          <w:lang w:eastAsia="en-AU"/>
        </w:rPr>
      </w:pPr>
      <w:r>
        <w:rPr>
          <w:noProof/>
        </w:rPr>
        <w:t>Notes about the data and time periods</w:t>
      </w:r>
      <w:r>
        <w:rPr>
          <w:noProof/>
        </w:rPr>
        <w:tab/>
      </w:r>
      <w:r>
        <w:rPr>
          <w:noProof/>
        </w:rPr>
        <w:fldChar w:fldCharType="begin"/>
      </w:r>
      <w:r>
        <w:rPr>
          <w:noProof/>
        </w:rPr>
        <w:instrText xml:space="preserve"> PAGEREF _Toc359501554 \h </w:instrText>
      </w:r>
      <w:r>
        <w:rPr>
          <w:noProof/>
        </w:rPr>
      </w:r>
      <w:r>
        <w:rPr>
          <w:noProof/>
        </w:rPr>
        <w:fldChar w:fldCharType="separate"/>
      </w:r>
      <w:r w:rsidR="00F94B14">
        <w:rPr>
          <w:noProof/>
        </w:rPr>
        <w:t>12</w:t>
      </w:r>
      <w:r>
        <w:rPr>
          <w:noProof/>
        </w:rPr>
        <w:fldChar w:fldCharType="end"/>
      </w:r>
    </w:p>
    <w:p w:rsidR="003778A9" w:rsidRDefault="003778A9" w:rsidP="003778A9">
      <w:pPr>
        <w:pStyle w:val="TOC2"/>
        <w:tabs>
          <w:tab w:val="right" w:pos="6698"/>
        </w:tabs>
        <w:spacing w:before="0" w:after="120" w:line="240" w:lineRule="auto"/>
        <w:rPr>
          <w:rFonts w:eastAsiaTheme="minorEastAsia" w:cstheme="minorBidi"/>
          <w:b w:val="0"/>
          <w:bCs w:val="0"/>
          <w:noProof/>
          <w:sz w:val="22"/>
          <w:szCs w:val="22"/>
          <w:lang w:eastAsia="en-AU"/>
        </w:rPr>
      </w:pPr>
      <w:r>
        <w:rPr>
          <w:noProof/>
        </w:rPr>
        <w:t>Reporting scope</w:t>
      </w:r>
      <w:r>
        <w:rPr>
          <w:noProof/>
        </w:rPr>
        <w:tab/>
      </w:r>
      <w:r>
        <w:rPr>
          <w:noProof/>
        </w:rPr>
        <w:fldChar w:fldCharType="begin"/>
      </w:r>
      <w:r>
        <w:rPr>
          <w:noProof/>
        </w:rPr>
        <w:instrText xml:space="preserve"> PAGEREF _Toc359501555 \h </w:instrText>
      </w:r>
      <w:r>
        <w:rPr>
          <w:noProof/>
        </w:rPr>
      </w:r>
      <w:r>
        <w:rPr>
          <w:noProof/>
        </w:rPr>
        <w:fldChar w:fldCharType="separate"/>
      </w:r>
      <w:r w:rsidR="00F94B14">
        <w:rPr>
          <w:noProof/>
        </w:rPr>
        <w:t>12</w:t>
      </w:r>
      <w:r>
        <w:rPr>
          <w:noProof/>
        </w:rPr>
        <w:fldChar w:fldCharType="end"/>
      </w:r>
    </w:p>
    <w:p w:rsidR="003778A9" w:rsidRDefault="003778A9" w:rsidP="003778A9">
      <w:pPr>
        <w:pStyle w:val="TOC1"/>
        <w:rPr>
          <w:rFonts w:asciiTheme="minorHAnsi" w:eastAsiaTheme="minorEastAsia" w:hAnsiTheme="minorHAnsi" w:cstheme="minorBidi"/>
          <w:b w:val="0"/>
          <w:bCs w:val="0"/>
          <w:caps w:val="0"/>
          <w:sz w:val="22"/>
          <w:szCs w:val="22"/>
          <w:lang w:eastAsia="en-AU"/>
        </w:rPr>
      </w:pPr>
      <w:r>
        <w:t>Victorian Vocational Training Summary</w:t>
      </w:r>
      <w:r>
        <w:tab/>
      </w:r>
      <w:r>
        <w:fldChar w:fldCharType="begin"/>
      </w:r>
      <w:r>
        <w:instrText xml:space="preserve"> PAGEREF _Toc359501556 \h </w:instrText>
      </w:r>
      <w:r>
        <w:fldChar w:fldCharType="separate"/>
      </w:r>
      <w:r w:rsidR="00F94B14">
        <w:t>13</w:t>
      </w:r>
      <w:r>
        <w:fldChar w:fldCharType="end"/>
      </w:r>
    </w:p>
    <w:p w:rsidR="003778A9" w:rsidRDefault="003778A9" w:rsidP="003778A9">
      <w:pPr>
        <w:pStyle w:val="TOC2"/>
        <w:tabs>
          <w:tab w:val="right" w:pos="6698"/>
        </w:tabs>
        <w:spacing w:before="0" w:after="120" w:line="240" w:lineRule="auto"/>
        <w:rPr>
          <w:rFonts w:eastAsiaTheme="minorEastAsia" w:cstheme="minorBidi"/>
          <w:b w:val="0"/>
          <w:bCs w:val="0"/>
          <w:noProof/>
          <w:sz w:val="22"/>
          <w:szCs w:val="22"/>
          <w:lang w:eastAsia="en-AU"/>
        </w:rPr>
      </w:pPr>
      <w:r>
        <w:rPr>
          <w:noProof/>
        </w:rPr>
        <w:t>Vocational Training by Funding Type</w:t>
      </w:r>
      <w:r>
        <w:rPr>
          <w:noProof/>
        </w:rPr>
        <w:tab/>
      </w:r>
      <w:r>
        <w:rPr>
          <w:noProof/>
        </w:rPr>
        <w:fldChar w:fldCharType="begin"/>
      </w:r>
      <w:r>
        <w:rPr>
          <w:noProof/>
        </w:rPr>
        <w:instrText xml:space="preserve"> PAGEREF _Toc359501557 \h </w:instrText>
      </w:r>
      <w:r>
        <w:rPr>
          <w:noProof/>
        </w:rPr>
      </w:r>
      <w:r>
        <w:rPr>
          <w:noProof/>
        </w:rPr>
        <w:fldChar w:fldCharType="separate"/>
      </w:r>
      <w:r w:rsidR="00F94B14">
        <w:rPr>
          <w:noProof/>
        </w:rPr>
        <w:t>13</w:t>
      </w:r>
      <w:r>
        <w:rPr>
          <w:noProof/>
        </w:rPr>
        <w:fldChar w:fldCharType="end"/>
      </w:r>
    </w:p>
    <w:p w:rsidR="003778A9" w:rsidRDefault="003778A9" w:rsidP="003778A9">
      <w:pPr>
        <w:pStyle w:val="TOC2"/>
        <w:tabs>
          <w:tab w:val="right" w:pos="6698"/>
        </w:tabs>
        <w:spacing w:before="0" w:after="120" w:line="240" w:lineRule="auto"/>
        <w:rPr>
          <w:rFonts w:eastAsiaTheme="minorEastAsia" w:cstheme="minorBidi"/>
          <w:b w:val="0"/>
          <w:bCs w:val="0"/>
          <w:noProof/>
          <w:sz w:val="22"/>
          <w:szCs w:val="22"/>
          <w:lang w:eastAsia="en-AU"/>
        </w:rPr>
      </w:pPr>
      <w:r>
        <w:rPr>
          <w:noProof/>
        </w:rPr>
        <w:t>Qualification Levels</w:t>
      </w:r>
      <w:r>
        <w:rPr>
          <w:noProof/>
        </w:rPr>
        <w:tab/>
      </w:r>
      <w:r>
        <w:rPr>
          <w:noProof/>
        </w:rPr>
        <w:fldChar w:fldCharType="begin"/>
      </w:r>
      <w:r>
        <w:rPr>
          <w:noProof/>
        </w:rPr>
        <w:instrText xml:space="preserve"> PAGEREF _Toc359501558 \h </w:instrText>
      </w:r>
      <w:r>
        <w:rPr>
          <w:noProof/>
        </w:rPr>
      </w:r>
      <w:r>
        <w:rPr>
          <w:noProof/>
        </w:rPr>
        <w:fldChar w:fldCharType="separate"/>
      </w:r>
      <w:r w:rsidR="00F94B14">
        <w:rPr>
          <w:noProof/>
        </w:rPr>
        <w:t>18</w:t>
      </w:r>
      <w:r>
        <w:rPr>
          <w:noProof/>
        </w:rPr>
        <w:fldChar w:fldCharType="end"/>
      </w:r>
    </w:p>
    <w:p w:rsidR="003778A9" w:rsidRDefault="003778A9" w:rsidP="003778A9">
      <w:pPr>
        <w:pStyle w:val="TOC2"/>
        <w:tabs>
          <w:tab w:val="right" w:pos="6698"/>
        </w:tabs>
        <w:spacing w:before="0" w:after="120" w:line="240" w:lineRule="auto"/>
        <w:rPr>
          <w:rFonts w:eastAsiaTheme="minorEastAsia" w:cstheme="minorBidi"/>
          <w:b w:val="0"/>
          <w:bCs w:val="0"/>
          <w:noProof/>
          <w:sz w:val="22"/>
          <w:szCs w:val="22"/>
          <w:lang w:eastAsia="en-AU"/>
        </w:rPr>
      </w:pPr>
      <w:r>
        <w:rPr>
          <w:noProof/>
        </w:rPr>
        <w:t>Age Profile</w:t>
      </w:r>
      <w:r>
        <w:rPr>
          <w:noProof/>
        </w:rPr>
        <w:tab/>
      </w:r>
      <w:r>
        <w:rPr>
          <w:noProof/>
        </w:rPr>
        <w:fldChar w:fldCharType="begin"/>
      </w:r>
      <w:r>
        <w:rPr>
          <w:noProof/>
        </w:rPr>
        <w:instrText xml:space="preserve"> PAGEREF _Toc359501559 \h </w:instrText>
      </w:r>
      <w:r>
        <w:rPr>
          <w:noProof/>
        </w:rPr>
      </w:r>
      <w:r>
        <w:rPr>
          <w:noProof/>
        </w:rPr>
        <w:fldChar w:fldCharType="separate"/>
      </w:r>
      <w:r w:rsidR="00F94B14">
        <w:rPr>
          <w:noProof/>
        </w:rPr>
        <w:t>22</w:t>
      </w:r>
      <w:r>
        <w:rPr>
          <w:noProof/>
        </w:rPr>
        <w:fldChar w:fldCharType="end"/>
      </w:r>
    </w:p>
    <w:p w:rsidR="003778A9" w:rsidRDefault="003778A9" w:rsidP="003778A9">
      <w:pPr>
        <w:pStyle w:val="TOC2"/>
        <w:tabs>
          <w:tab w:val="right" w:pos="6698"/>
        </w:tabs>
        <w:spacing w:before="0" w:after="120" w:line="240" w:lineRule="auto"/>
        <w:rPr>
          <w:rFonts w:eastAsiaTheme="minorEastAsia" w:cstheme="minorBidi"/>
          <w:b w:val="0"/>
          <w:bCs w:val="0"/>
          <w:noProof/>
          <w:sz w:val="22"/>
          <w:szCs w:val="22"/>
          <w:lang w:eastAsia="en-AU"/>
        </w:rPr>
      </w:pPr>
      <w:r>
        <w:rPr>
          <w:noProof/>
        </w:rPr>
        <w:t>Apprentices and Trainees</w:t>
      </w:r>
      <w:r>
        <w:rPr>
          <w:noProof/>
        </w:rPr>
        <w:tab/>
      </w:r>
      <w:r>
        <w:rPr>
          <w:noProof/>
        </w:rPr>
        <w:fldChar w:fldCharType="begin"/>
      </w:r>
      <w:r>
        <w:rPr>
          <w:noProof/>
        </w:rPr>
        <w:instrText xml:space="preserve"> PAGEREF _Toc359501560 \h </w:instrText>
      </w:r>
      <w:r>
        <w:rPr>
          <w:noProof/>
        </w:rPr>
      </w:r>
      <w:r>
        <w:rPr>
          <w:noProof/>
        </w:rPr>
        <w:fldChar w:fldCharType="separate"/>
      </w:r>
      <w:r w:rsidR="00F94B14">
        <w:rPr>
          <w:noProof/>
        </w:rPr>
        <w:t>25</w:t>
      </w:r>
      <w:r>
        <w:rPr>
          <w:noProof/>
        </w:rPr>
        <w:fldChar w:fldCharType="end"/>
      </w:r>
    </w:p>
    <w:p w:rsidR="003778A9" w:rsidRDefault="003778A9" w:rsidP="003778A9">
      <w:pPr>
        <w:pStyle w:val="TOC2"/>
        <w:tabs>
          <w:tab w:val="right" w:pos="6698"/>
        </w:tabs>
        <w:spacing w:before="0" w:after="120" w:line="240" w:lineRule="auto"/>
        <w:rPr>
          <w:rFonts w:eastAsiaTheme="minorEastAsia" w:cstheme="minorBidi"/>
          <w:b w:val="0"/>
          <w:bCs w:val="0"/>
          <w:noProof/>
          <w:sz w:val="22"/>
          <w:szCs w:val="22"/>
          <w:lang w:eastAsia="en-AU"/>
        </w:rPr>
      </w:pPr>
      <w:r>
        <w:rPr>
          <w:noProof/>
        </w:rPr>
        <w:t>Government subsidised regional activity</w:t>
      </w:r>
      <w:r>
        <w:rPr>
          <w:noProof/>
        </w:rPr>
        <w:tab/>
      </w:r>
      <w:r>
        <w:rPr>
          <w:noProof/>
        </w:rPr>
        <w:fldChar w:fldCharType="begin"/>
      </w:r>
      <w:r>
        <w:rPr>
          <w:noProof/>
        </w:rPr>
        <w:instrText xml:space="preserve"> PAGEREF _Toc359501561 \h </w:instrText>
      </w:r>
      <w:r>
        <w:rPr>
          <w:noProof/>
        </w:rPr>
      </w:r>
      <w:r>
        <w:rPr>
          <w:noProof/>
        </w:rPr>
        <w:fldChar w:fldCharType="separate"/>
      </w:r>
      <w:r w:rsidR="00F94B14">
        <w:rPr>
          <w:noProof/>
        </w:rPr>
        <w:t>28</w:t>
      </w:r>
      <w:r>
        <w:rPr>
          <w:noProof/>
        </w:rPr>
        <w:fldChar w:fldCharType="end"/>
      </w:r>
    </w:p>
    <w:p w:rsidR="003778A9" w:rsidRDefault="003778A9" w:rsidP="003778A9">
      <w:pPr>
        <w:pStyle w:val="TOC2"/>
        <w:tabs>
          <w:tab w:val="right" w:pos="6698"/>
        </w:tabs>
        <w:spacing w:before="0" w:after="120" w:line="240" w:lineRule="auto"/>
        <w:rPr>
          <w:rFonts w:eastAsiaTheme="minorEastAsia" w:cstheme="minorBidi"/>
          <w:b w:val="0"/>
          <w:bCs w:val="0"/>
          <w:noProof/>
          <w:sz w:val="22"/>
          <w:szCs w:val="22"/>
          <w:lang w:eastAsia="en-AU"/>
        </w:rPr>
      </w:pPr>
      <w:r>
        <w:rPr>
          <w:noProof/>
        </w:rPr>
        <w:t>Government Subsidised Delivery by Provider Type</w:t>
      </w:r>
      <w:r>
        <w:rPr>
          <w:noProof/>
        </w:rPr>
        <w:tab/>
      </w:r>
      <w:r>
        <w:rPr>
          <w:noProof/>
        </w:rPr>
        <w:fldChar w:fldCharType="begin"/>
      </w:r>
      <w:r>
        <w:rPr>
          <w:noProof/>
        </w:rPr>
        <w:instrText xml:space="preserve"> PAGEREF _Toc359501562 \h </w:instrText>
      </w:r>
      <w:r>
        <w:rPr>
          <w:noProof/>
        </w:rPr>
      </w:r>
      <w:r>
        <w:rPr>
          <w:noProof/>
        </w:rPr>
        <w:fldChar w:fldCharType="separate"/>
      </w:r>
      <w:r w:rsidR="00F94B14">
        <w:rPr>
          <w:noProof/>
        </w:rPr>
        <w:t>30</w:t>
      </w:r>
      <w:r>
        <w:rPr>
          <w:noProof/>
        </w:rPr>
        <w:fldChar w:fldCharType="end"/>
      </w:r>
    </w:p>
    <w:p w:rsidR="003778A9" w:rsidRDefault="003778A9" w:rsidP="003778A9">
      <w:pPr>
        <w:pStyle w:val="TOC2"/>
        <w:tabs>
          <w:tab w:val="right" w:pos="6698"/>
        </w:tabs>
        <w:spacing w:before="0" w:after="120" w:line="240" w:lineRule="auto"/>
        <w:rPr>
          <w:rFonts w:eastAsiaTheme="minorEastAsia" w:cstheme="minorBidi"/>
          <w:b w:val="0"/>
          <w:bCs w:val="0"/>
          <w:noProof/>
          <w:sz w:val="22"/>
          <w:szCs w:val="22"/>
          <w:lang w:eastAsia="en-AU"/>
        </w:rPr>
      </w:pPr>
      <w:r>
        <w:rPr>
          <w:noProof/>
        </w:rPr>
        <w:t>Adult, Community and Further Education (ACFE) Performance</w:t>
      </w:r>
      <w:r>
        <w:rPr>
          <w:noProof/>
        </w:rPr>
        <w:tab/>
      </w:r>
      <w:r>
        <w:rPr>
          <w:noProof/>
        </w:rPr>
        <w:fldChar w:fldCharType="begin"/>
      </w:r>
      <w:r>
        <w:rPr>
          <w:noProof/>
        </w:rPr>
        <w:instrText xml:space="preserve"> PAGEREF _Toc359501563 \h </w:instrText>
      </w:r>
      <w:r>
        <w:rPr>
          <w:noProof/>
        </w:rPr>
      </w:r>
      <w:r>
        <w:rPr>
          <w:noProof/>
        </w:rPr>
        <w:fldChar w:fldCharType="separate"/>
      </w:r>
      <w:r w:rsidR="00F94B14">
        <w:rPr>
          <w:noProof/>
        </w:rPr>
        <w:t>31</w:t>
      </w:r>
      <w:r>
        <w:rPr>
          <w:noProof/>
        </w:rPr>
        <w:fldChar w:fldCharType="end"/>
      </w:r>
    </w:p>
    <w:p w:rsidR="003778A9" w:rsidRDefault="003778A9" w:rsidP="003778A9">
      <w:pPr>
        <w:pStyle w:val="TOC1"/>
        <w:rPr>
          <w:rFonts w:asciiTheme="minorHAnsi" w:eastAsiaTheme="minorEastAsia" w:hAnsiTheme="minorHAnsi" w:cstheme="minorBidi"/>
          <w:b w:val="0"/>
          <w:bCs w:val="0"/>
          <w:caps w:val="0"/>
          <w:sz w:val="22"/>
          <w:szCs w:val="22"/>
          <w:lang w:eastAsia="en-AU"/>
        </w:rPr>
      </w:pPr>
      <w:r w:rsidRPr="002323AA">
        <w:t>Responsiveness to Skills Needs</w:t>
      </w:r>
      <w:r>
        <w:tab/>
      </w:r>
      <w:r>
        <w:fldChar w:fldCharType="begin"/>
      </w:r>
      <w:r>
        <w:instrText xml:space="preserve"> PAGEREF _Toc359501564 \h </w:instrText>
      </w:r>
      <w:r>
        <w:fldChar w:fldCharType="separate"/>
      </w:r>
      <w:r w:rsidR="00F94B14">
        <w:t>34</w:t>
      </w:r>
      <w:r>
        <w:fldChar w:fldCharType="end"/>
      </w:r>
    </w:p>
    <w:p w:rsidR="003778A9" w:rsidRDefault="003778A9" w:rsidP="003778A9">
      <w:pPr>
        <w:pStyle w:val="TOC2"/>
        <w:tabs>
          <w:tab w:val="right" w:pos="6698"/>
        </w:tabs>
        <w:spacing w:before="0" w:after="120" w:line="240" w:lineRule="auto"/>
        <w:rPr>
          <w:rFonts w:eastAsiaTheme="minorEastAsia" w:cstheme="minorBidi"/>
          <w:b w:val="0"/>
          <w:bCs w:val="0"/>
          <w:noProof/>
          <w:sz w:val="22"/>
          <w:szCs w:val="22"/>
          <w:lang w:eastAsia="en-AU"/>
        </w:rPr>
      </w:pPr>
      <w:r>
        <w:rPr>
          <w:noProof/>
        </w:rPr>
        <w:t>Overall Responsiveness of the Training Market</w:t>
      </w:r>
      <w:r>
        <w:rPr>
          <w:noProof/>
        </w:rPr>
        <w:tab/>
      </w:r>
      <w:r>
        <w:rPr>
          <w:noProof/>
        </w:rPr>
        <w:fldChar w:fldCharType="begin"/>
      </w:r>
      <w:r>
        <w:rPr>
          <w:noProof/>
        </w:rPr>
        <w:instrText xml:space="preserve"> PAGEREF _Toc359501565 \h </w:instrText>
      </w:r>
      <w:r>
        <w:rPr>
          <w:noProof/>
        </w:rPr>
      </w:r>
      <w:r>
        <w:rPr>
          <w:noProof/>
        </w:rPr>
        <w:fldChar w:fldCharType="separate"/>
      </w:r>
      <w:r w:rsidR="00F94B14">
        <w:rPr>
          <w:noProof/>
        </w:rPr>
        <w:t>35</w:t>
      </w:r>
      <w:r>
        <w:rPr>
          <w:noProof/>
        </w:rPr>
        <w:fldChar w:fldCharType="end"/>
      </w:r>
    </w:p>
    <w:p w:rsidR="003778A9" w:rsidRDefault="003778A9" w:rsidP="003778A9">
      <w:pPr>
        <w:pStyle w:val="TOC2"/>
        <w:tabs>
          <w:tab w:val="right" w:pos="6698"/>
        </w:tabs>
        <w:spacing w:before="0" w:after="120" w:line="240" w:lineRule="auto"/>
        <w:rPr>
          <w:rFonts w:eastAsiaTheme="minorEastAsia" w:cstheme="minorBidi"/>
          <w:b w:val="0"/>
          <w:bCs w:val="0"/>
          <w:noProof/>
          <w:sz w:val="22"/>
          <w:szCs w:val="22"/>
          <w:lang w:eastAsia="en-AU"/>
        </w:rPr>
      </w:pPr>
      <w:r>
        <w:rPr>
          <w:noProof/>
        </w:rPr>
        <w:t>Analysis of Specialised and In Shortage Courses by Industry Sector</w:t>
      </w:r>
      <w:r>
        <w:rPr>
          <w:noProof/>
        </w:rPr>
        <w:tab/>
      </w:r>
      <w:r>
        <w:rPr>
          <w:noProof/>
        </w:rPr>
        <w:fldChar w:fldCharType="begin"/>
      </w:r>
      <w:r>
        <w:rPr>
          <w:noProof/>
        </w:rPr>
        <w:instrText xml:space="preserve"> PAGEREF _Toc359501566 \h </w:instrText>
      </w:r>
      <w:r>
        <w:rPr>
          <w:noProof/>
        </w:rPr>
      </w:r>
      <w:r>
        <w:rPr>
          <w:noProof/>
        </w:rPr>
        <w:fldChar w:fldCharType="separate"/>
      </w:r>
      <w:r w:rsidR="00F94B14">
        <w:rPr>
          <w:noProof/>
        </w:rPr>
        <w:t>37</w:t>
      </w:r>
      <w:r>
        <w:rPr>
          <w:noProof/>
        </w:rPr>
        <w:fldChar w:fldCharType="end"/>
      </w:r>
    </w:p>
    <w:p w:rsidR="003778A9" w:rsidRDefault="003778A9" w:rsidP="003778A9">
      <w:pPr>
        <w:pStyle w:val="TOC2"/>
        <w:tabs>
          <w:tab w:val="right" w:pos="6698"/>
        </w:tabs>
        <w:spacing w:before="0" w:after="120" w:line="240" w:lineRule="auto"/>
        <w:rPr>
          <w:rFonts w:eastAsiaTheme="minorEastAsia" w:cstheme="minorBidi"/>
          <w:b w:val="0"/>
          <w:bCs w:val="0"/>
          <w:noProof/>
          <w:sz w:val="22"/>
          <w:szCs w:val="22"/>
          <w:lang w:eastAsia="en-AU"/>
        </w:rPr>
      </w:pPr>
      <w:r>
        <w:rPr>
          <w:noProof/>
        </w:rPr>
        <w:t>Analysis of Specialised and In Shortage Related Courses by occupations</w:t>
      </w:r>
      <w:r>
        <w:rPr>
          <w:noProof/>
        </w:rPr>
        <w:tab/>
      </w:r>
      <w:r>
        <w:rPr>
          <w:noProof/>
        </w:rPr>
        <w:fldChar w:fldCharType="begin"/>
      </w:r>
      <w:r>
        <w:rPr>
          <w:noProof/>
        </w:rPr>
        <w:instrText xml:space="preserve"> PAGEREF _Toc359501567 \h </w:instrText>
      </w:r>
      <w:r>
        <w:rPr>
          <w:noProof/>
        </w:rPr>
      </w:r>
      <w:r>
        <w:rPr>
          <w:noProof/>
        </w:rPr>
        <w:fldChar w:fldCharType="separate"/>
      </w:r>
      <w:r w:rsidR="00F94B14">
        <w:rPr>
          <w:noProof/>
        </w:rPr>
        <w:t>39</w:t>
      </w:r>
      <w:r>
        <w:rPr>
          <w:noProof/>
        </w:rPr>
        <w:fldChar w:fldCharType="end"/>
      </w:r>
    </w:p>
    <w:p w:rsidR="003778A9" w:rsidRDefault="003778A9" w:rsidP="003778A9">
      <w:pPr>
        <w:pStyle w:val="TOC1"/>
        <w:rPr>
          <w:rFonts w:asciiTheme="minorHAnsi" w:eastAsiaTheme="minorEastAsia" w:hAnsiTheme="minorHAnsi" w:cstheme="minorBidi"/>
          <w:b w:val="0"/>
          <w:bCs w:val="0"/>
          <w:caps w:val="0"/>
          <w:sz w:val="22"/>
          <w:szCs w:val="22"/>
          <w:lang w:eastAsia="en-AU"/>
        </w:rPr>
      </w:pPr>
      <w:r w:rsidRPr="002323AA">
        <w:t>Learner Cohorts and Foundation Level Training</w:t>
      </w:r>
      <w:r>
        <w:tab/>
      </w:r>
      <w:r>
        <w:fldChar w:fldCharType="begin"/>
      </w:r>
      <w:r>
        <w:instrText xml:space="preserve"> PAGEREF _Toc359501568 \h </w:instrText>
      </w:r>
      <w:r>
        <w:fldChar w:fldCharType="separate"/>
      </w:r>
      <w:r w:rsidR="00F94B14">
        <w:t>42</w:t>
      </w:r>
      <w:r>
        <w:fldChar w:fldCharType="end"/>
      </w:r>
    </w:p>
    <w:p w:rsidR="003778A9" w:rsidRDefault="003778A9" w:rsidP="003778A9">
      <w:pPr>
        <w:pStyle w:val="TOC2"/>
        <w:tabs>
          <w:tab w:val="right" w:pos="6698"/>
        </w:tabs>
        <w:spacing w:before="0" w:after="120" w:line="240" w:lineRule="auto"/>
        <w:rPr>
          <w:rFonts w:eastAsiaTheme="minorEastAsia" w:cstheme="minorBidi"/>
          <w:b w:val="0"/>
          <w:bCs w:val="0"/>
          <w:noProof/>
          <w:sz w:val="22"/>
          <w:szCs w:val="22"/>
          <w:lang w:eastAsia="en-AU"/>
        </w:rPr>
      </w:pPr>
      <w:r>
        <w:rPr>
          <w:noProof/>
        </w:rPr>
        <w:t>Vocational Training Delivery to Specific Learner Cohorts</w:t>
      </w:r>
      <w:r>
        <w:rPr>
          <w:noProof/>
        </w:rPr>
        <w:tab/>
      </w:r>
      <w:r>
        <w:rPr>
          <w:noProof/>
        </w:rPr>
        <w:fldChar w:fldCharType="begin"/>
      </w:r>
      <w:r>
        <w:rPr>
          <w:noProof/>
        </w:rPr>
        <w:instrText xml:space="preserve"> PAGEREF _Toc359501569 \h </w:instrText>
      </w:r>
      <w:r>
        <w:rPr>
          <w:noProof/>
        </w:rPr>
      </w:r>
      <w:r>
        <w:rPr>
          <w:noProof/>
        </w:rPr>
        <w:fldChar w:fldCharType="separate"/>
      </w:r>
      <w:r w:rsidR="00F94B14">
        <w:rPr>
          <w:noProof/>
        </w:rPr>
        <w:t>42</w:t>
      </w:r>
      <w:r>
        <w:rPr>
          <w:noProof/>
        </w:rPr>
        <w:fldChar w:fldCharType="end"/>
      </w:r>
    </w:p>
    <w:p w:rsidR="003778A9" w:rsidRDefault="003778A9" w:rsidP="003778A9">
      <w:pPr>
        <w:pStyle w:val="TOC2"/>
        <w:tabs>
          <w:tab w:val="right" w:pos="6698"/>
        </w:tabs>
        <w:spacing w:before="0" w:after="120" w:line="240" w:lineRule="auto"/>
        <w:rPr>
          <w:rFonts w:eastAsiaTheme="minorEastAsia" w:cstheme="minorBidi"/>
          <w:b w:val="0"/>
          <w:bCs w:val="0"/>
          <w:noProof/>
          <w:sz w:val="22"/>
          <w:szCs w:val="22"/>
          <w:lang w:eastAsia="en-AU"/>
        </w:rPr>
      </w:pPr>
      <w:r>
        <w:rPr>
          <w:noProof/>
        </w:rPr>
        <w:t>Indigenous Students</w:t>
      </w:r>
      <w:r>
        <w:rPr>
          <w:noProof/>
        </w:rPr>
        <w:tab/>
      </w:r>
      <w:r>
        <w:rPr>
          <w:noProof/>
        </w:rPr>
        <w:fldChar w:fldCharType="begin"/>
      </w:r>
      <w:r>
        <w:rPr>
          <w:noProof/>
        </w:rPr>
        <w:instrText xml:space="preserve"> PAGEREF _Toc359501570 \h </w:instrText>
      </w:r>
      <w:r>
        <w:rPr>
          <w:noProof/>
        </w:rPr>
      </w:r>
      <w:r>
        <w:rPr>
          <w:noProof/>
        </w:rPr>
        <w:fldChar w:fldCharType="separate"/>
      </w:r>
      <w:r w:rsidR="00F94B14">
        <w:rPr>
          <w:noProof/>
        </w:rPr>
        <w:t>43</w:t>
      </w:r>
      <w:r>
        <w:rPr>
          <w:noProof/>
        </w:rPr>
        <w:fldChar w:fldCharType="end"/>
      </w:r>
    </w:p>
    <w:p w:rsidR="003778A9" w:rsidRDefault="003778A9" w:rsidP="003778A9">
      <w:pPr>
        <w:pStyle w:val="TOC2"/>
        <w:tabs>
          <w:tab w:val="right" w:pos="6698"/>
        </w:tabs>
        <w:spacing w:before="0" w:after="120" w:line="240" w:lineRule="auto"/>
        <w:rPr>
          <w:rFonts w:eastAsiaTheme="minorEastAsia" w:cstheme="minorBidi"/>
          <w:b w:val="0"/>
          <w:bCs w:val="0"/>
          <w:noProof/>
          <w:sz w:val="22"/>
          <w:szCs w:val="22"/>
          <w:lang w:eastAsia="en-AU"/>
        </w:rPr>
      </w:pPr>
      <w:r>
        <w:rPr>
          <w:noProof/>
        </w:rPr>
        <w:t>Students with a Disability</w:t>
      </w:r>
      <w:r>
        <w:rPr>
          <w:noProof/>
        </w:rPr>
        <w:tab/>
      </w:r>
      <w:r>
        <w:rPr>
          <w:noProof/>
        </w:rPr>
        <w:fldChar w:fldCharType="begin"/>
      </w:r>
      <w:r>
        <w:rPr>
          <w:noProof/>
        </w:rPr>
        <w:instrText xml:space="preserve"> PAGEREF _Toc359501571 \h </w:instrText>
      </w:r>
      <w:r>
        <w:rPr>
          <w:noProof/>
        </w:rPr>
      </w:r>
      <w:r>
        <w:rPr>
          <w:noProof/>
        </w:rPr>
        <w:fldChar w:fldCharType="separate"/>
      </w:r>
      <w:r w:rsidR="00F94B14">
        <w:rPr>
          <w:noProof/>
        </w:rPr>
        <w:t>44</w:t>
      </w:r>
      <w:r>
        <w:rPr>
          <w:noProof/>
        </w:rPr>
        <w:fldChar w:fldCharType="end"/>
      </w:r>
    </w:p>
    <w:p w:rsidR="003778A9" w:rsidRDefault="003778A9" w:rsidP="003778A9">
      <w:pPr>
        <w:pStyle w:val="TOC2"/>
        <w:tabs>
          <w:tab w:val="right" w:pos="6698"/>
        </w:tabs>
        <w:spacing w:before="0" w:after="120" w:line="240" w:lineRule="auto"/>
        <w:rPr>
          <w:rFonts w:eastAsiaTheme="minorEastAsia" w:cstheme="minorBidi"/>
          <w:b w:val="0"/>
          <w:bCs w:val="0"/>
          <w:noProof/>
          <w:sz w:val="22"/>
          <w:szCs w:val="22"/>
          <w:lang w:eastAsia="en-AU"/>
        </w:rPr>
      </w:pPr>
      <w:r>
        <w:rPr>
          <w:noProof/>
        </w:rPr>
        <w:t>Students with a Culturally and Linguistically Diverse (CALD) Background</w:t>
      </w:r>
      <w:r>
        <w:rPr>
          <w:noProof/>
        </w:rPr>
        <w:tab/>
      </w:r>
      <w:r>
        <w:rPr>
          <w:noProof/>
        </w:rPr>
        <w:fldChar w:fldCharType="begin"/>
      </w:r>
      <w:r>
        <w:rPr>
          <w:noProof/>
        </w:rPr>
        <w:instrText xml:space="preserve"> PAGEREF _Toc359501572 \h </w:instrText>
      </w:r>
      <w:r>
        <w:rPr>
          <w:noProof/>
        </w:rPr>
      </w:r>
      <w:r>
        <w:rPr>
          <w:noProof/>
        </w:rPr>
        <w:fldChar w:fldCharType="separate"/>
      </w:r>
      <w:r w:rsidR="00F94B14">
        <w:rPr>
          <w:noProof/>
        </w:rPr>
        <w:t>45</w:t>
      </w:r>
      <w:r>
        <w:rPr>
          <w:noProof/>
        </w:rPr>
        <w:fldChar w:fldCharType="end"/>
      </w:r>
    </w:p>
    <w:p w:rsidR="003778A9" w:rsidRDefault="003778A9" w:rsidP="003778A9">
      <w:pPr>
        <w:pStyle w:val="TOC2"/>
        <w:tabs>
          <w:tab w:val="right" w:pos="6698"/>
        </w:tabs>
        <w:spacing w:before="0" w:after="120" w:line="240" w:lineRule="auto"/>
        <w:rPr>
          <w:rFonts w:eastAsiaTheme="minorEastAsia" w:cstheme="minorBidi"/>
          <w:b w:val="0"/>
          <w:bCs w:val="0"/>
          <w:noProof/>
          <w:sz w:val="22"/>
          <w:szCs w:val="22"/>
          <w:lang w:eastAsia="en-AU"/>
        </w:rPr>
      </w:pPr>
      <w:r>
        <w:rPr>
          <w:noProof/>
        </w:rPr>
        <w:t>Unemployed Students</w:t>
      </w:r>
      <w:r>
        <w:rPr>
          <w:noProof/>
        </w:rPr>
        <w:tab/>
      </w:r>
      <w:r>
        <w:rPr>
          <w:noProof/>
        </w:rPr>
        <w:fldChar w:fldCharType="begin"/>
      </w:r>
      <w:r>
        <w:rPr>
          <w:noProof/>
        </w:rPr>
        <w:instrText xml:space="preserve"> PAGEREF _Toc359501573 \h </w:instrText>
      </w:r>
      <w:r>
        <w:rPr>
          <w:noProof/>
        </w:rPr>
      </w:r>
      <w:r>
        <w:rPr>
          <w:noProof/>
        </w:rPr>
        <w:fldChar w:fldCharType="separate"/>
      </w:r>
      <w:r w:rsidR="00F94B14">
        <w:rPr>
          <w:noProof/>
        </w:rPr>
        <w:t>46</w:t>
      </w:r>
      <w:r>
        <w:rPr>
          <w:noProof/>
        </w:rPr>
        <w:fldChar w:fldCharType="end"/>
      </w:r>
    </w:p>
    <w:p w:rsidR="003778A9" w:rsidRDefault="003778A9" w:rsidP="003778A9">
      <w:pPr>
        <w:pStyle w:val="TOC2"/>
        <w:tabs>
          <w:tab w:val="right" w:pos="6698"/>
        </w:tabs>
        <w:spacing w:before="0" w:after="120" w:line="240" w:lineRule="auto"/>
        <w:rPr>
          <w:rFonts w:eastAsiaTheme="minorEastAsia" w:cstheme="minorBidi"/>
          <w:b w:val="0"/>
          <w:bCs w:val="0"/>
          <w:noProof/>
          <w:sz w:val="22"/>
          <w:szCs w:val="22"/>
          <w:lang w:eastAsia="en-AU"/>
        </w:rPr>
      </w:pPr>
      <w:r>
        <w:rPr>
          <w:noProof/>
        </w:rPr>
        <w:t>Young People (Aged 15 to 19) Without Year 12 or Equivalent and Not at School</w:t>
      </w:r>
      <w:r>
        <w:rPr>
          <w:noProof/>
        </w:rPr>
        <w:tab/>
      </w:r>
      <w:r>
        <w:rPr>
          <w:noProof/>
        </w:rPr>
        <w:fldChar w:fldCharType="begin"/>
      </w:r>
      <w:r>
        <w:rPr>
          <w:noProof/>
        </w:rPr>
        <w:instrText xml:space="preserve"> PAGEREF _Toc359501574 \h </w:instrText>
      </w:r>
      <w:r>
        <w:rPr>
          <w:noProof/>
        </w:rPr>
      </w:r>
      <w:r>
        <w:rPr>
          <w:noProof/>
        </w:rPr>
        <w:fldChar w:fldCharType="separate"/>
      </w:r>
      <w:r w:rsidR="00F94B14">
        <w:rPr>
          <w:noProof/>
        </w:rPr>
        <w:t>47</w:t>
      </w:r>
      <w:r>
        <w:rPr>
          <w:noProof/>
        </w:rPr>
        <w:fldChar w:fldCharType="end"/>
      </w:r>
    </w:p>
    <w:p w:rsidR="003778A9" w:rsidRDefault="003778A9" w:rsidP="003778A9">
      <w:pPr>
        <w:pStyle w:val="TOC2"/>
        <w:tabs>
          <w:tab w:val="right" w:pos="6698"/>
        </w:tabs>
        <w:spacing w:before="0" w:after="120" w:line="240" w:lineRule="auto"/>
        <w:rPr>
          <w:rFonts w:eastAsiaTheme="minorEastAsia" w:cstheme="minorBidi"/>
          <w:b w:val="0"/>
          <w:bCs w:val="0"/>
          <w:noProof/>
          <w:sz w:val="22"/>
          <w:szCs w:val="22"/>
          <w:lang w:eastAsia="en-AU"/>
        </w:rPr>
      </w:pPr>
      <w:r>
        <w:rPr>
          <w:noProof/>
        </w:rPr>
        <w:t>Older Students with Low Prior Qualifications</w:t>
      </w:r>
      <w:r>
        <w:rPr>
          <w:noProof/>
        </w:rPr>
        <w:tab/>
      </w:r>
      <w:r>
        <w:rPr>
          <w:noProof/>
        </w:rPr>
        <w:fldChar w:fldCharType="begin"/>
      </w:r>
      <w:r>
        <w:rPr>
          <w:noProof/>
        </w:rPr>
        <w:instrText xml:space="preserve"> PAGEREF _Toc359501575 \h </w:instrText>
      </w:r>
      <w:r>
        <w:rPr>
          <w:noProof/>
        </w:rPr>
      </w:r>
      <w:r>
        <w:rPr>
          <w:noProof/>
        </w:rPr>
        <w:fldChar w:fldCharType="separate"/>
      </w:r>
      <w:r w:rsidR="00F94B14">
        <w:rPr>
          <w:noProof/>
        </w:rPr>
        <w:t>47</w:t>
      </w:r>
      <w:r>
        <w:rPr>
          <w:noProof/>
        </w:rPr>
        <w:fldChar w:fldCharType="end"/>
      </w:r>
    </w:p>
    <w:p w:rsidR="003778A9" w:rsidRDefault="003778A9" w:rsidP="003778A9">
      <w:pPr>
        <w:pStyle w:val="TOC2"/>
        <w:tabs>
          <w:tab w:val="right" w:pos="6698"/>
        </w:tabs>
        <w:spacing w:before="0" w:after="120" w:line="240" w:lineRule="auto"/>
        <w:rPr>
          <w:rFonts w:eastAsiaTheme="minorEastAsia" w:cstheme="minorBidi"/>
          <w:b w:val="0"/>
          <w:bCs w:val="0"/>
          <w:noProof/>
          <w:sz w:val="22"/>
          <w:szCs w:val="22"/>
          <w:lang w:eastAsia="en-AU"/>
        </w:rPr>
      </w:pPr>
      <w:r>
        <w:rPr>
          <w:noProof/>
        </w:rPr>
        <w:t>Foundation Level Training</w:t>
      </w:r>
      <w:r>
        <w:rPr>
          <w:noProof/>
        </w:rPr>
        <w:tab/>
      </w:r>
      <w:r>
        <w:rPr>
          <w:noProof/>
        </w:rPr>
        <w:fldChar w:fldCharType="begin"/>
      </w:r>
      <w:r>
        <w:rPr>
          <w:noProof/>
        </w:rPr>
        <w:instrText xml:space="preserve"> PAGEREF _Toc359501576 \h </w:instrText>
      </w:r>
      <w:r>
        <w:rPr>
          <w:noProof/>
        </w:rPr>
      </w:r>
      <w:r>
        <w:rPr>
          <w:noProof/>
        </w:rPr>
        <w:fldChar w:fldCharType="separate"/>
      </w:r>
      <w:r w:rsidR="00F94B14">
        <w:rPr>
          <w:noProof/>
        </w:rPr>
        <w:t>48</w:t>
      </w:r>
      <w:r>
        <w:rPr>
          <w:noProof/>
        </w:rPr>
        <w:fldChar w:fldCharType="end"/>
      </w:r>
    </w:p>
    <w:p w:rsidR="000C300D" w:rsidRDefault="0020796B" w:rsidP="003778A9">
      <w:pPr>
        <w:tabs>
          <w:tab w:val="right" w:pos="6663"/>
        </w:tabs>
        <w:spacing w:after="120" w:line="240" w:lineRule="auto"/>
        <w:rPr>
          <w:rFonts w:cs="Arial"/>
          <w:b/>
          <w:bCs/>
          <w:caps/>
          <w:sz w:val="16"/>
          <w:szCs w:val="16"/>
        </w:rPr>
      </w:pPr>
      <w:r w:rsidRPr="001F29E3">
        <w:rPr>
          <w:rFonts w:cs="Arial"/>
          <w:b/>
          <w:bCs/>
          <w:caps/>
          <w:sz w:val="16"/>
          <w:szCs w:val="16"/>
        </w:rPr>
        <w:fldChar w:fldCharType="end"/>
      </w:r>
    </w:p>
    <w:p w:rsidR="000C300D" w:rsidRPr="005D184D" w:rsidRDefault="000C300D" w:rsidP="005D184D">
      <w:pPr>
        <w:spacing w:after="0" w:line="240" w:lineRule="auto"/>
        <w:jc w:val="left"/>
        <w:rPr>
          <w:rFonts w:cs="Arial"/>
          <w:b/>
          <w:bCs/>
          <w:caps/>
          <w:sz w:val="16"/>
          <w:szCs w:val="16"/>
        </w:rPr>
        <w:sectPr w:rsidR="000C300D" w:rsidRPr="005D184D" w:rsidSect="007B52ED">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829" w:right="1797" w:bottom="1440" w:left="3402" w:header="2194" w:footer="709" w:gutter="0"/>
          <w:cols w:space="708"/>
          <w:titlePg/>
          <w:docGrid w:linePitch="360"/>
        </w:sectPr>
      </w:pPr>
      <w:r>
        <w:rPr>
          <w:rFonts w:cs="Arial"/>
          <w:b/>
          <w:bCs/>
          <w:caps/>
          <w:sz w:val="16"/>
          <w:szCs w:val="16"/>
        </w:rPr>
        <w:br w:type="page"/>
      </w:r>
    </w:p>
    <w:p w:rsidR="000C300D" w:rsidRPr="004302D8" w:rsidRDefault="000C300D" w:rsidP="00D15283">
      <w:pPr>
        <w:pStyle w:val="Heading3"/>
        <w:pBdr>
          <w:top w:val="single" w:sz="4" w:space="1" w:color="auto"/>
          <w:left w:val="single" w:sz="4" w:space="1" w:color="auto"/>
          <w:bottom w:val="single" w:sz="4" w:space="1" w:color="auto"/>
          <w:right w:val="single" w:sz="4" w:space="1" w:color="auto"/>
        </w:pBdr>
        <w:rPr>
          <w:sz w:val="28"/>
          <w:szCs w:val="28"/>
        </w:rPr>
      </w:pPr>
      <w:bookmarkStart w:id="2" w:name="_Toc319069085"/>
      <w:bookmarkStart w:id="3" w:name="_Ref350270560"/>
      <w:bookmarkStart w:id="4" w:name="_Ref350270581"/>
      <w:bookmarkStart w:id="5" w:name="_Ref350271358"/>
      <w:bookmarkStart w:id="6" w:name="_Ref350271377"/>
      <w:bookmarkStart w:id="7" w:name="_Toc313801732"/>
      <w:bookmarkStart w:id="8" w:name="_Toc314810780"/>
      <w:bookmarkStart w:id="9" w:name="_Toc315061190"/>
      <w:bookmarkStart w:id="10" w:name="_Toc315064345"/>
      <w:bookmarkStart w:id="11" w:name="_Toc315064952"/>
      <w:bookmarkStart w:id="12" w:name="_Toc315424662"/>
      <w:bookmarkStart w:id="13" w:name="_Toc315680736"/>
      <w:bookmarkStart w:id="14" w:name="_Toc315683686"/>
      <w:bookmarkStart w:id="15" w:name="_Toc316050550"/>
      <w:bookmarkStart w:id="16" w:name="_Toc316050840"/>
      <w:bookmarkStart w:id="17" w:name="_Toc316051380"/>
      <w:bookmarkStart w:id="18" w:name="_Toc316054622"/>
      <w:bookmarkStart w:id="19" w:name="_Toc316054743"/>
      <w:bookmarkStart w:id="20" w:name="_Toc316534692"/>
      <w:bookmarkStart w:id="21" w:name="_Toc316629494"/>
      <w:bookmarkStart w:id="22" w:name="_Toc316629584"/>
      <w:bookmarkStart w:id="23" w:name="_Toc317173938"/>
      <w:bookmarkStart w:id="24" w:name="_Toc317174087"/>
      <w:r w:rsidRPr="004302D8">
        <w:rPr>
          <w:sz w:val="28"/>
          <w:szCs w:val="28"/>
        </w:rPr>
        <w:lastRenderedPageBreak/>
        <w:t>Notes on data</w:t>
      </w:r>
      <w:r w:rsidR="00D15283" w:rsidRPr="004302D8">
        <w:rPr>
          <w:sz w:val="28"/>
          <w:szCs w:val="28"/>
        </w:rPr>
        <w:t xml:space="preserve"> included in this report</w:t>
      </w:r>
    </w:p>
    <w:p w:rsidR="000C300D" w:rsidRDefault="000C300D" w:rsidP="00D15283">
      <w:pPr>
        <w:pStyle w:val="BodyText"/>
        <w:pBdr>
          <w:top w:val="single" w:sz="4" w:space="1" w:color="auto"/>
          <w:left w:val="single" w:sz="4" w:space="1" w:color="auto"/>
          <w:bottom w:val="single" w:sz="4" w:space="1" w:color="auto"/>
          <w:right w:val="single" w:sz="4" w:space="1" w:color="auto"/>
        </w:pBdr>
        <w:jc w:val="both"/>
        <w:rPr>
          <w:sz w:val="19"/>
        </w:rPr>
      </w:pPr>
      <w:r>
        <w:rPr>
          <w:sz w:val="19"/>
        </w:rPr>
        <w:t xml:space="preserve">The Victorian Training Market Report is compiled on the basis of training activity data submitted to the Department of Education and Early Child Development by funded training providers. Data included in the Report is based on reported date, i.e. the date training activity data is submitted to the Department. Quarter 1 2013 includes training activity data that was submitted to the Department </w:t>
      </w:r>
      <w:r w:rsidR="00E5616C">
        <w:rPr>
          <w:sz w:val="19"/>
        </w:rPr>
        <w:t>between</w:t>
      </w:r>
      <w:r>
        <w:rPr>
          <w:sz w:val="19"/>
        </w:rPr>
        <w:t xml:space="preserve"> January </w:t>
      </w:r>
      <w:r w:rsidR="00E5616C">
        <w:rPr>
          <w:sz w:val="19"/>
        </w:rPr>
        <w:t>and</w:t>
      </w:r>
      <w:r>
        <w:rPr>
          <w:sz w:val="19"/>
        </w:rPr>
        <w:t xml:space="preserve"> March 2013.</w:t>
      </w:r>
    </w:p>
    <w:p w:rsidR="00D15283" w:rsidRDefault="00D15283" w:rsidP="00D15283">
      <w:pPr>
        <w:pStyle w:val="BodyText"/>
        <w:pBdr>
          <w:top w:val="single" w:sz="4" w:space="1" w:color="auto"/>
          <w:left w:val="single" w:sz="4" w:space="1" w:color="auto"/>
          <w:bottom w:val="single" w:sz="4" w:space="1" w:color="auto"/>
          <w:right w:val="single" w:sz="4" w:space="1" w:color="auto"/>
        </w:pBdr>
        <w:jc w:val="both"/>
        <w:rPr>
          <w:sz w:val="19"/>
        </w:rPr>
      </w:pPr>
    </w:p>
    <w:p w:rsidR="00D15283" w:rsidRDefault="00D15283" w:rsidP="00D15283">
      <w:pPr>
        <w:pStyle w:val="Heading3"/>
        <w:pBdr>
          <w:top w:val="single" w:sz="4" w:space="1" w:color="auto"/>
          <w:left w:val="single" w:sz="4" w:space="1" w:color="auto"/>
          <w:bottom w:val="single" w:sz="4" w:space="1" w:color="auto"/>
          <w:right w:val="single" w:sz="4" w:space="1" w:color="auto"/>
        </w:pBdr>
      </w:pPr>
      <w:r>
        <w:t xml:space="preserve">Data collection </w:t>
      </w:r>
    </w:p>
    <w:p w:rsidR="000301A6" w:rsidRDefault="000C300D" w:rsidP="00D15283">
      <w:pPr>
        <w:pStyle w:val="BodyText"/>
        <w:pBdr>
          <w:top w:val="single" w:sz="4" w:space="1" w:color="auto"/>
          <w:left w:val="single" w:sz="4" w:space="1" w:color="auto"/>
          <w:bottom w:val="single" w:sz="4" w:space="1" w:color="auto"/>
          <w:right w:val="single" w:sz="4" w:space="1" w:color="auto"/>
        </w:pBdr>
        <w:jc w:val="both"/>
        <w:rPr>
          <w:sz w:val="19"/>
        </w:rPr>
      </w:pPr>
      <w:r w:rsidRPr="000C300D">
        <w:rPr>
          <w:sz w:val="19"/>
        </w:rPr>
        <w:t xml:space="preserve">The commentary contained in the report generally compares first quarter reported figures for 2013 with first quarter figures in 2012. Full year figures from 2008 to 2012 are included to show longer term trends. The figures in the first quarter are a snapshot in time and should be treated as indicative only as they are based on preliminary enrolment data reported to the </w:t>
      </w:r>
      <w:r w:rsidR="00AF4DCF">
        <w:rPr>
          <w:sz w:val="19"/>
        </w:rPr>
        <w:t>Department</w:t>
      </w:r>
      <w:r w:rsidRPr="000C300D">
        <w:rPr>
          <w:sz w:val="19"/>
        </w:rPr>
        <w:t xml:space="preserve"> by training providers</w:t>
      </w:r>
      <w:r w:rsidR="00AF4DCF">
        <w:rPr>
          <w:sz w:val="19"/>
        </w:rPr>
        <w:t xml:space="preserve">. </w:t>
      </w:r>
    </w:p>
    <w:p w:rsidR="000301A6" w:rsidRDefault="00AF4DCF" w:rsidP="00D15283">
      <w:pPr>
        <w:pStyle w:val="BodyText"/>
        <w:pBdr>
          <w:top w:val="single" w:sz="4" w:space="1" w:color="auto"/>
          <w:left w:val="single" w:sz="4" w:space="1" w:color="auto"/>
          <w:bottom w:val="single" w:sz="4" w:space="1" w:color="auto"/>
          <w:right w:val="single" w:sz="4" w:space="1" w:color="auto"/>
        </w:pBdr>
        <w:jc w:val="both"/>
        <w:rPr>
          <w:sz w:val="19"/>
        </w:rPr>
      </w:pPr>
      <w:r>
        <w:rPr>
          <w:sz w:val="19"/>
        </w:rPr>
        <w:t>In some cases some providers may not have submitted their full quarter’s training data which could impact on the overall state result for the quarter. In particular, some providers may have students who have commenced a course in the later part of a quarter and as a consequence of provider processes this information may not be reported to the Department until the following quarter. For example, two TAFEs had about 2,000 course commencements that occurred in Quarter 1 2013, but were not reported until Quarter 2 2013 (</w:t>
      </w:r>
      <w:r w:rsidR="00793CB5">
        <w:rPr>
          <w:sz w:val="19"/>
        </w:rPr>
        <w:t xml:space="preserve">quarter so far i.e. </w:t>
      </w:r>
      <w:r>
        <w:rPr>
          <w:sz w:val="19"/>
        </w:rPr>
        <w:t>April-May 2013).</w:t>
      </w:r>
      <w:r w:rsidRPr="000C300D">
        <w:rPr>
          <w:sz w:val="19"/>
        </w:rPr>
        <w:t xml:space="preserve"> </w:t>
      </w:r>
      <w:r w:rsidR="007C3A1B">
        <w:rPr>
          <w:sz w:val="19"/>
        </w:rPr>
        <w:t>Such activity not reported in Q</w:t>
      </w:r>
      <w:r w:rsidR="00793CB5">
        <w:rPr>
          <w:sz w:val="19"/>
        </w:rPr>
        <w:t>uarter 1</w:t>
      </w:r>
      <w:r w:rsidR="000C300D" w:rsidRPr="000C300D">
        <w:rPr>
          <w:sz w:val="19"/>
        </w:rPr>
        <w:t xml:space="preserve"> will </w:t>
      </w:r>
      <w:r w:rsidR="000C300D">
        <w:rPr>
          <w:sz w:val="19"/>
        </w:rPr>
        <w:t>be included</w:t>
      </w:r>
      <w:r w:rsidR="000C300D" w:rsidRPr="000C300D">
        <w:rPr>
          <w:sz w:val="19"/>
        </w:rPr>
        <w:t xml:space="preserve"> as part of </w:t>
      </w:r>
      <w:r w:rsidR="00793CB5">
        <w:rPr>
          <w:sz w:val="19"/>
        </w:rPr>
        <w:t xml:space="preserve">the </w:t>
      </w:r>
      <w:r w:rsidR="000C300D" w:rsidRPr="000C300D">
        <w:rPr>
          <w:sz w:val="19"/>
        </w:rPr>
        <w:t xml:space="preserve">Quarter 2 </w:t>
      </w:r>
      <w:r w:rsidR="00C062BF">
        <w:rPr>
          <w:sz w:val="19"/>
        </w:rPr>
        <w:t>Training Market Report</w:t>
      </w:r>
      <w:r>
        <w:rPr>
          <w:sz w:val="19"/>
        </w:rPr>
        <w:t>, which will include training activity cumulative up to June 2013.</w:t>
      </w:r>
    </w:p>
    <w:p w:rsidR="000C300D" w:rsidRDefault="00AF4DCF" w:rsidP="00D15283">
      <w:pPr>
        <w:pStyle w:val="BodyText"/>
        <w:pBdr>
          <w:top w:val="single" w:sz="4" w:space="1" w:color="auto"/>
          <w:left w:val="single" w:sz="4" w:space="1" w:color="auto"/>
          <w:bottom w:val="single" w:sz="4" w:space="1" w:color="auto"/>
          <w:right w:val="single" w:sz="4" w:space="1" w:color="auto"/>
        </w:pBdr>
        <w:jc w:val="both"/>
        <w:rPr>
          <w:sz w:val="19"/>
        </w:rPr>
      </w:pPr>
      <w:r>
        <w:rPr>
          <w:sz w:val="19"/>
        </w:rPr>
        <w:t>All data is subject to change until the end of the calendar year.</w:t>
      </w:r>
    </w:p>
    <w:p w:rsidR="004302D8" w:rsidRDefault="004302D8" w:rsidP="00D15283">
      <w:pPr>
        <w:pStyle w:val="BodyText"/>
        <w:pBdr>
          <w:top w:val="single" w:sz="4" w:space="1" w:color="auto"/>
          <w:left w:val="single" w:sz="4" w:space="1" w:color="auto"/>
          <w:bottom w:val="single" w:sz="4" w:space="1" w:color="auto"/>
          <w:right w:val="single" w:sz="4" w:space="1" w:color="auto"/>
        </w:pBdr>
        <w:jc w:val="both"/>
        <w:rPr>
          <w:sz w:val="19"/>
        </w:rPr>
      </w:pPr>
    </w:p>
    <w:p w:rsidR="004302D8" w:rsidRPr="004302D8" w:rsidRDefault="004302D8" w:rsidP="00D15283">
      <w:pPr>
        <w:pStyle w:val="BodyText"/>
        <w:pBdr>
          <w:top w:val="single" w:sz="4" w:space="1" w:color="auto"/>
          <w:left w:val="single" w:sz="4" w:space="1" w:color="auto"/>
          <w:bottom w:val="single" w:sz="4" w:space="1" w:color="auto"/>
          <w:right w:val="single" w:sz="4" w:space="1" w:color="auto"/>
        </w:pBdr>
        <w:jc w:val="both"/>
        <w:rPr>
          <w:b/>
          <w:bCs/>
          <w:color w:val="76923C" w:themeColor="accent3" w:themeShade="BF"/>
          <w:sz w:val="19"/>
          <w:szCs w:val="19"/>
        </w:rPr>
      </w:pPr>
      <w:r>
        <w:rPr>
          <w:b/>
          <w:bCs/>
          <w:color w:val="76923C" w:themeColor="accent3" w:themeShade="BF"/>
          <w:sz w:val="19"/>
          <w:szCs w:val="19"/>
        </w:rPr>
        <w:t>Data presentation</w:t>
      </w:r>
    </w:p>
    <w:p w:rsidR="000C300D" w:rsidRDefault="000C300D" w:rsidP="00D15283">
      <w:pPr>
        <w:pStyle w:val="BodyText"/>
        <w:pBdr>
          <w:top w:val="single" w:sz="4" w:space="1" w:color="auto"/>
          <w:left w:val="single" w:sz="4" w:space="1" w:color="auto"/>
          <w:bottom w:val="single" w:sz="4" w:space="1" w:color="auto"/>
          <w:right w:val="single" w:sz="4" w:space="1" w:color="auto"/>
        </w:pBdr>
        <w:jc w:val="both"/>
        <w:rPr>
          <w:sz w:val="19"/>
        </w:rPr>
      </w:pPr>
      <w:r w:rsidRPr="000C300D">
        <w:rPr>
          <w:sz w:val="19"/>
        </w:rPr>
        <w:t>Owing to the preliminary nature of this VET data, figures in the first quarter should be treated as being indicative only. Figures are generally rounded to the nearest 100.</w:t>
      </w:r>
      <w:r w:rsidR="004302D8">
        <w:rPr>
          <w:sz w:val="19"/>
        </w:rPr>
        <w:t xml:space="preserve"> </w:t>
      </w:r>
    </w:p>
    <w:p w:rsidR="00370B87" w:rsidRPr="000C300D" w:rsidRDefault="00370B87" w:rsidP="00D15283">
      <w:pPr>
        <w:pStyle w:val="BodyText"/>
        <w:pBdr>
          <w:top w:val="single" w:sz="4" w:space="1" w:color="auto"/>
          <w:left w:val="single" w:sz="4" w:space="1" w:color="auto"/>
          <w:bottom w:val="single" w:sz="4" w:space="1" w:color="auto"/>
          <w:right w:val="single" w:sz="4" w:space="1" w:color="auto"/>
        </w:pBdr>
        <w:jc w:val="both"/>
        <w:rPr>
          <w:sz w:val="19"/>
        </w:rPr>
      </w:pPr>
    </w:p>
    <w:p w:rsidR="000C300D" w:rsidRDefault="000C300D">
      <w:pPr>
        <w:spacing w:after="0" w:line="240" w:lineRule="auto"/>
        <w:jc w:val="left"/>
        <w:rPr>
          <w:rFonts w:cs="Arial"/>
          <w:color w:val="76923C" w:themeColor="accent3" w:themeShade="BF"/>
          <w:spacing w:val="-12"/>
          <w:sz w:val="46"/>
          <w:szCs w:val="46"/>
        </w:rPr>
      </w:pPr>
      <w:r>
        <w:rPr>
          <w:rFonts w:cs="Arial"/>
        </w:rPr>
        <w:br w:type="page"/>
      </w:r>
    </w:p>
    <w:p w:rsidR="00351166" w:rsidRPr="001F29E3" w:rsidRDefault="00351166" w:rsidP="00A9260A">
      <w:pPr>
        <w:pStyle w:val="Heading1"/>
        <w:rPr>
          <w:rFonts w:cs="Arial"/>
        </w:rPr>
      </w:pPr>
      <w:bookmarkStart w:id="25" w:name="_Toc359501551"/>
      <w:r w:rsidRPr="001F29E3">
        <w:rPr>
          <w:rFonts w:cs="Arial"/>
        </w:rPr>
        <w:lastRenderedPageBreak/>
        <w:t>Executive Summary</w:t>
      </w:r>
      <w:bookmarkEnd w:id="2"/>
      <w:bookmarkEnd w:id="3"/>
      <w:bookmarkEnd w:id="4"/>
      <w:bookmarkEnd w:id="5"/>
      <w:bookmarkEnd w:id="6"/>
      <w:bookmarkEnd w:id="25"/>
    </w:p>
    <w:p w:rsidR="00351166" w:rsidRPr="001F29E3" w:rsidRDefault="00351166" w:rsidP="00351166">
      <w:pPr>
        <w:pStyle w:val="BodyText"/>
      </w:pPr>
    </w:p>
    <w:p w:rsidR="009F59E5" w:rsidRPr="001F29E3" w:rsidRDefault="00351166" w:rsidP="00351166">
      <w:pPr>
        <w:pStyle w:val="BodyText"/>
        <w:jc w:val="both"/>
        <w:rPr>
          <w:sz w:val="19"/>
        </w:rPr>
      </w:pPr>
      <w:r w:rsidRPr="001F29E3">
        <w:rPr>
          <w:sz w:val="19"/>
        </w:rPr>
        <w:t xml:space="preserve">This Victorian Training Market Report </w:t>
      </w:r>
      <w:r w:rsidR="00507BAC">
        <w:rPr>
          <w:sz w:val="19"/>
        </w:rPr>
        <w:t xml:space="preserve">quarter one </w:t>
      </w:r>
      <w:r w:rsidR="000D5B80">
        <w:rPr>
          <w:sz w:val="19"/>
        </w:rPr>
        <w:t xml:space="preserve">2013 </w:t>
      </w:r>
      <w:r w:rsidRPr="001F29E3">
        <w:rPr>
          <w:sz w:val="19"/>
        </w:rPr>
        <w:t xml:space="preserve">is the latest in an on-going series of reports produced by the Department of Education and Early Childhood Development (DEECD). The aim of the report is to provide a summary of Victorian training market performance and responsiveness to industry. </w:t>
      </w:r>
      <w:r w:rsidR="00013468" w:rsidRPr="001F29E3">
        <w:rPr>
          <w:sz w:val="19"/>
        </w:rPr>
        <w:t xml:space="preserve">The quarter one </w:t>
      </w:r>
      <w:r w:rsidR="00050691">
        <w:rPr>
          <w:sz w:val="19"/>
        </w:rPr>
        <w:t xml:space="preserve">(Q1) </w:t>
      </w:r>
      <w:r w:rsidR="00013468" w:rsidRPr="001F29E3">
        <w:rPr>
          <w:sz w:val="19"/>
        </w:rPr>
        <w:t xml:space="preserve">report provides an overview based on a snapshot of preliminary data covering the period January to March 2013. </w:t>
      </w:r>
    </w:p>
    <w:p w:rsidR="00351166" w:rsidRPr="00165D92" w:rsidRDefault="00351166" w:rsidP="00165D92">
      <w:pPr>
        <w:pStyle w:val="Heading3"/>
      </w:pPr>
      <w:r w:rsidRPr="00165D92">
        <w:t>Context</w:t>
      </w:r>
    </w:p>
    <w:p w:rsidR="00351166" w:rsidRPr="001F29E3" w:rsidRDefault="00351166" w:rsidP="00351166">
      <w:pPr>
        <w:rPr>
          <w:rFonts w:cs="Arial"/>
          <w:bCs/>
          <w:iCs/>
        </w:rPr>
      </w:pPr>
      <w:r w:rsidRPr="001F29E3">
        <w:rPr>
          <w:rFonts w:cs="Arial"/>
        </w:rPr>
        <w:t>With expenditure of $2.</w:t>
      </w:r>
      <w:r w:rsidR="00141912" w:rsidRPr="001F29E3">
        <w:rPr>
          <w:rFonts w:cs="Arial"/>
        </w:rPr>
        <w:t>5</w:t>
      </w:r>
      <w:r w:rsidRPr="001F29E3">
        <w:rPr>
          <w:rFonts w:cs="Arial"/>
        </w:rPr>
        <w:t xml:space="preserve"> billion in 201</w:t>
      </w:r>
      <w:r w:rsidR="00141912" w:rsidRPr="001F29E3">
        <w:rPr>
          <w:rFonts w:cs="Arial"/>
        </w:rPr>
        <w:t>2</w:t>
      </w:r>
      <w:r w:rsidRPr="001F29E3">
        <w:rPr>
          <w:rFonts w:cs="Arial"/>
        </w:rPr>
        <w:t>-1</w:t>
      </w:r>
      <w:r w:rsidR="00141912" w:rsidRPr="001F29E3">
        <w:rPr>
          <w:rFonts w:cs="Arial"/>
        </w:rPr>
        <w:t>3</w:t>
      </w:r>
      <w:r w:rsidRPr="001F29E3">
        <w:rPr>
          <w:rFonts w:cs="Arial"/>
        </w:rPr>
        <w:t xml:space="preserve">, the DEECD has specific responsibility for the government-subsidised </w:t>
      </w:r>
      <w:r w:rsidR="00B03850" w:rsidRPr="001F29E3">
        <w:rPr>
          <w:rFonts w:cs="Arial"/>
        </w:rPr>
        <w:t xml:space="preserve">Vocational </w:t>
      </w:r>
      <w:r w:rsidR="00416B67" w:rsidRPr="001F29E3">
        <w:rPr>
          <w:rFonts w:cs="Arial"/>
        </w:rPr>
        <w:t>T</w:t>
      </w:r>
      <w:r w:rsidR="00B03850" w:rsidRPr="001F29E3">
        <w:rPr>
          <w:rFonts w:cs="Arial"/>
        </w:rPr>
        <w:t>raining</w:t>
      </w:r>
      <w:r w:rsidRPr="001F29E3">
        <w:rPr>
          <w:rFonts w:cs="Arial"/>
        </w:rPr>
        <w:t xml:space="preserve"> market in Victoria to support industry in the provision of a highly skilled and capable workforce. </w:t>
      </w:r>
    </w:p>
    <w:p w:rsidR="00351166" w:rsidRPr="001F29E3" w:rsidRDefault="00351166" w:rsidP="00351166">
      <w:pPr>
        <w:spacing w:line="240" w:lineRule="auto"/>
        <w:rPr>
          <w:rFonts w:cs="Arial"/>
          <w:bCs/>
          <w:iCs/>
        </w:rPr>
      </w:pPr>
      <w:r w:rsidRPr="001F29E3">
        <w:rPr>
          <w:rFonts w:cs="Arial"/>
          <w:bCs/>
          <w:iCs/>
        </w:rPr>
        <w:t xml:space="preserve">The Victorian system does this through the </w:t>
      </w:r>
      <w:r w:rsidRPr="001F29E3">
        <w:rPr>
          <w:rFonts w:cs="Arial"/>
          <w:bCs/>
          <w:iCs/>
          <w:u w:val="single"/>
        </w:rPr>
        <w:t>Victorian Training Guarantee</w:t>
      </w:r>
      <w:r w:rsidRPr="001F29E3">
        <w:rPr>
          <w:rFonts w:cs="Arial"/>
          <w:lang w:val="en-US"/>
        </w:rPr>
        <w:t xml:space="preserve">, which provides an </w:t>
      </w:r>
      <w:r w:rsidRPr="001F29E3">
        <w:rPr>
          <w:rFonts w:cs="Arial"/>
          <w:bCs/>
          <w:iCs/>
          <w:lang w:val="en-US"/>
        </w:rPr>
        <w:t xml:space="preserve">unlimited number of government </w:t>
      </w:r>
      <w:proofErr w:type="spellStart"/>
      <w:r w:rsidR="00F952B3" w:rsidRPr="001F29E3">
        <w:rPr>
          <w:rFonts w:cs="Arial"/>
          <w:bCs/>
          <w:iCs/>
          <w:lang w:val="en-US"/>
        </w:rPr>
        <w:t>subsidised</w:t>
      </w:r>
      <w:proofErr w:type="spellEnd"/>
      <w:r w:rsidRPr="001F29E3">
        <w:rPr>
          <w:rFonts w:cs="Arial"/>
          <w:bCs/>
          <w:iCs/>
          <w:lang w:val="en-US"/>
        </w:rPr>
        <w:t xml:space="preserve"> training places available to people who meet the eligibility criteria. </w:t>
      </w:r>
      <w:r w:rsidRPr="001F29E3">
        <w:rPr>
          <w:rFonts w:cs="Arial"/>
          <w:bCs/>
          <w:iCs/>
        </w:rPr>
        <w:t xml:space="preserve">In July 2012, further reforms to the system refocused training subsidies away from over-supplied courses or those with little connection to job prospects towards courses of greatest public benefit and future jobs growth. </w:t>
      </w:r>
    </w:p>
    <w:p w:rsidR="006738FB" w:rsidRDefault="006738FB" w:rsidP="00A9260A">
      <w:pPr>
        <w:pStyle w:val="Heading3"/>
      </w:pPr>
    </w:p>
    <w:p w:rsidR="00131DDA" w:rsidRDefault="00131DDA" w:rsidP="00131DDA">
      <w:pPr>
        <w:pStyle w:val="Heading3"/>
      </w:pPr>
      <w:r>
        <w:t>2012 Outcomes (full year)</w:t>
      </w:r>
    </w:p>
    <w:p w:rsidR="00131DDA" w:rsidRDefault="00131DDA" w:rsidP="00131DDA">
      <w:r>
        <w:t>The Victorian training market has seen significant growth over the last five years. Between 2008 and 2012 there was a 7</w:t>
      </w:r>
      <w:r w:rsidR="00517D0F">
        <w:t>6</w:t>
      </w:r>
      <w:r>
        <w:t xml:space="preserve"> per cent increase in government funded enrolments. </w:t>
      </w:r>
    </w:p>
    <w:p w:rsidR="00131DDA" w:rsidRDefault="00131DDA" w:rsidP="00131DDA">
      <w:r>
        <w:t xml:space="preserve">In 2012 </w:t>
      </w:r>
      <w:r w:rsidR="004B558C">
        <w:t>6</w:t>
      </w:r>
      <w:r w:rsidR="00517D0F">
        <w:t>03</w:t>
      </w:r>
      <w:r w:rsidR="004B558C">
        <w:t>,000</w:t>
      </w:r>
      <w:r>
        <w:t xml:space="preserve"> </w:t>
      </w:r>
      <w:r w:rsidR="00517D0F">
        <w:t>people</w:t>
      </w:r>
      <w:r>
        <w:t xml:space="preserve"> were</w:t>
      </w:r>
      <w:r w:rsidR="004B558C">
        <w:t xml:space="preserve"> enrolled in</w:t>
      </w:r>
      <w:r>
        <w:t xml:space="preserve"> training. The vast majority of these, </w:t>
      </w:r>
      <w:r w:rsidR="004B558C">
        <w:t>almost 510,000</w:t>
      </w:r>
      <w:r>
        <w:t xml:space="preserve">, were </w:t>
      </w:r>
      <w:r w:rsidR="00050691">
        <w:t xml:space="preserve">in </w:t>
      </w:r>
      <w:r>
        <w:t xml:space="preserve">government </w:t>
      </w:r>
      <w:r w:rsidR="004B558C">
        <w:t>subsidised</w:t>
      </w:r>
      <w:r>
        <w:t xml:space="preserve"> enrolments, up </w:t>
      </w:r>
      <w:r w:rsidR="00517D0F">
        <w:t>18</w:t>
      </w:r>
      <w:r>
        <w:t xml:space="preserve"> per cent from 2011. Steady growth has occurred at all qualification levels and across TAFE, private and adult and community education providers. </w:t>
      </w:r>
    </w:p>
    <w:p w:rsidR="00131DDA" w:rsidRDefault="00131DDA" w:rsidP="00131DDA">
      <w:r>
        <w:t xml:space="preserve">In 2012, enrolments for ‘in shortage’ qualifications increased by 18 per cent to over 150,000 enrolments. </w:t>
      </w:r>
      <w:proofErr w:type="gramStart"/>
      <w:r>
        <w:t>Training in specialised qualifications increased by 11 per cent to over 80,000 enrolments.</w:t>
      </w:r>
      <w:proofErr w:type="gramEnd"/>
      <w:r>
        <w:t xml:space="preserve"> </w:t>
      </w:r>
    </w:p>
    <w:p w:rsidR="00131DDA" w:rsidRDefault="00131DDA" w:rsidP="00131DDA">
      <w:r>
        <w:t xml:space="preserve">In 2012 there were 134,300 apprentices and trainees in government subsidised training. This was a </w:t>
      </w:r>
      <w:r w:rsidR="00385F2D">
        <w:t>6</w:t>
      </w:r>
      <w:r>
        <w:t xml:space="preserve"> per cent increase compared to 2011 and continues a rising trend seen since 2008. </w:t>
      </w:r>
    </w:p>
    <w:p w:rsidR="00131DDA" w:rsidRDefault="00131DDA" w:rsidP="00131DDA">
      <w:r>
        <w:t xml:space="preserve">Higher need learners are actively engaged in vocational education and training (VET) in Victoria, with growth across important groups such as indigenous students, students with a disability and culturally and linguistically diverse (CALD) students. </w:t>
      </w:r>
    </w:p>
    <w:p w:rsidR="00131DDA" w:rsidRDefault="002D49D9" w:rsidP="00131DDA">
      <w:r>
        <w:t xml:space="preserve">In 2012 there were </w:t>
      </w:r>
      <w:r w:rsidR="00131DDA">
        <w:t xml:space="preserve">approximately 6,200 indigenous students, over 40,000 students with a disability and 126,000 CALD students in vocational training. VET continues to be an important pathway to employment, </w:t>
      </w:r>
      <w:r w:rsidR="00385F2D">
        <w:t>almost</w:t>
      </w:r>
      <w:r w:rsidR="00131DDA">
        <w:t xml:space="preserve"> 120,000 unemployed students engaged in government subsided training, a growth of 33 per cent between 2011 and 2012. </w:t>
      </w:r>
    </w:p>
    <w:p w:rsidR="004B558C" w:rsidRDefault="004B558C" w:rsidP="00131DDA"/>
    <w:p w:rsidR="00131DDA" w:rsidRDefault="00131DDA" w:rsidP="004B558C">
      <w:pPr>
        <w:pStyle w:val="Heading3"/>
      </w:pPr>
      <w:r>
        <w:t xml:space="preserve">Q1 2013 Overview </w:t>
      </w:r>
    </w:p>
    <w:p w:rsidR="00131DDA" w:rsidRDefault="00131DDA" w:rsidP="00131DDA">
      <w:r>
        <w:t xml:space="preserve">There were 278,200 government subsidised enrolments in the first quarter of 2013. While the data is preliminary, it does represent a slowdown in the market of </w:t>
      </w:r>
      <w:r w:rsidR="001F3AE1">
        <w:t>7</w:t>
      </w:r>
      <w:r>
        <w:t xml:space="preserve"> per cent (or 21,000 fewer enrolments) when compared to Q1 2012. However, in line with the full year trends, this still represents</w:t>
      </w:r>
      <w:r w:rsidR="00385F2D">
        <w:t xml:space="preserve"> a 28 per cent increase (61,500</w:t>
      </w:r>
      <w:r>
        <w:t xml:space="preserve">) compared to the same period in 2011. </w:t>
      </w:r>
    </w:p>
    <w:p w:rsidR="002D49D9" w:rsidRDefault="002D49D9">
      <w:pPr>
        <w:spacing w:after="0" w:line="240" w:lineRule="auto"/>
        <w:jc w:val="left"/>
      </w:pPr>
    </w:p>
    <w:p w:rsidR="00131DDA" w:rsidRDefault="00131DDA" w:rsidP="00131DDA">
      <w:r>
        <w:t xml:space="preserve">Similarly, there were 38,700 TAFE domestic </w:t>
      </w:r>
      <w:proofErr w:type="gramStart"/>
      <w:r>
        <w:t>fee</w:t>
      </w:r>
      <w:proofErr w:type="gramEnd"/>
      <w:r>
        <w:t xml:space="preserve"> for service</w:t>
      </w:r>
      <w:r w:rsidR="000E296F">
        <w:rPr>
          <w:rStyle w:val="FootnoteReference"/>
        </w:rPr>
        <w:footnoteReference w:id="1"/>
      </w:r>
      <w:r>
        <w:t xml:space="preserve"> enrolments in Q1 2013. This is down by </w:t>
      </w:r>
      <w:r w:rsidR="00385F2D">
        <w:t>6 per cent (</w:t>
      </w:r>
      <w:r>
        <w:t>2,500) compared to Q1 2012, but up by 12 per cent (4,200 extra enrolments) compared to the same quarter in 2011.</w:t>
      </w:r>
    </w:p>
    <w:p w:rsidR="00131DDA" w:rsidRPr="00131DDA" w:rsidRDefault="00131DDA" w:rsidP="00131DDA"/>
    <w:p w:rsidR="004111E3" w:rsidRDefault="004111E3">
      <w:pPr>
        <w:spacing w:after="0" w:line="240" w:lineRule="auto"/>
        <w:jc w:val="left"/>
        <w:rPr>
          <w:rFonts w:cs="Arial"/>
          <w:b/>
          <w:bCs/>
          <w:color w:val="76923C" w:themeColor="accent3" w:themeShade="BF"/>
          <w:szCs w:val="19"/>
        </w:rPr>
      </w:pPr>
      <w:r>
        <w:br w:type="page"/>
      </w:r>
    </w:p>
    <w:p w:rsidR="00AD2D2A" w:rsidRPr="001E2B36" w:rsidRDefault="00AD2D2A" w:rsidP="00AD2D2A">
      <w:pPr>
        <w:pStyle w:val="Caption"/>
      </w:pPr>
      <w:r>
        <w:lastRenderedPageBreak/>
        <w:t>Government subsidised and TAFE Fee for service course enrolments, 2008-2012, Q1 2011, Q1 2012 and Q1 2013</w:t>
      </w:r>
    </w:p>
    <w:p w:rsidR="00AD2D2A" w:rsidRDefault="00AD2D2A" w:rsidP="00512EAB">
      <w:pPr>
        <w:pStyle w:val="Heading3"/>
      </w:pPr>
      <w:r>
        <w:rPr>
          <w:noProof/>
          <w:lang w:eastAsia="en-AU"/>
        </w:rPr>
        <w:drawing>
          <wp:inline distT="0" distB="0" distL="0" distR="0" wp14:anchorId="504CDE96" wp14:editId="300408F2">
            <wp:extent cx="5756529" cy="31821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802" cy="3183921"/>
                    </a:xfrm>
                    <a:prstGeom prst="rect">
                      <a:avLst/>
                    </a:prstGeom>
                    <a:noFill/>
                  </pic:spPr>
                </pic:pic>
              </a:graphicData>
            </a:graphic>
          </wp:inline>
        </w:drawing>
      </w:r>
    </w:p>
    <w:p w:rsidR="00AD2D2A" w:rsidRDefault="00AD2D2A" w:rsidP="00512EAB">
      <w:pPr>
        <w:pStyle w:val="Heading3"/>
      </w:pPr>
    </w:p>
    <w:p w:rsidR="009921B4" w:rsidRPr="009921B4" w:rsidRDefault="009921B4" w:rsidP="009921B4">
      <w:pPr>
        <w:pStyle w:val="Heading3"/>
      </w:pPr>
      <w:r w:rsidRPr="009921B4">
        <w:t xml:space="preserve">Apprenticeships and trainees </w:t>
      </w:r>
    </w:p>
    <w:p w:rsidR="009921B4" w:rsidRPr="009921B4" w:rsidRDefault="00385F2D" w:rsidP="009921B4">
      <w:pPr>
        <w:rPr>
          <w:rFonts w:cs="Arial"/>
        </w:rPr>
      </w:pPr>
      <w:r>
        <w:rPr>
          <w:rFonts w:cs="Arial"/>
        </w:rPr>
        <w:t>More than</w:t>
      </w:r>
      <w:r w:rsidR="009921B4" w:rsidRPr="009921B4">
        <w:rPr>
          <w:rFonts w:cs="Arial"/>
        </w:rPr>
        <w:t xml:space="preserve"> half of the </w:t>
      </w:r>
      <w:r>
        <w:rPr>
          <w:rFonts w:cs="Arial"/>
        </w:rPr>
        <w:t>decrease</w:t>
      </w:r>
      <w:r w:rsidR="009921B4" w:rsidRPr="009921B4">
        <w:rPr>
          <w:rFonts w:cs="Arial"/>
        </w:rPr>
        <w:t xml:space="preserve"> in government subsidised enrolments in Q1 2013 can be attributed to a reduction in apprenticeship and trainee</w:t>
      </w:r>
      <w:r w:rsidR="00050691">
        <w:rPr>
          <w:rFonts w:cs="Arial"/>
        </w:rPr>
        <w:t>ship</w:t>
      </w:r>
      <w:r w:rsidR="009921B4" w:rsidRPr="009921B4">
        <w:rPr>
          <w:rFonts w:cs="Arial"/>
        </w:rPr>
        <w:t xml:space="preserve"> training. In Q1 2013 there were 61,800 government subsidised apprentices and trainees enrolments, which represents a 16 per cent </w:t>
      </w:r>
      <w:r>
        <w:rPr>
          <w:rFonts w:cs="Arial"/>
        </w:rPr>
        <w:t xml:space="preserve">decline </w:t>
      </w:r>
      <w:r w:rsidR="009921B4" w:rsidRPr="009921B4">
        <w:rPr>
          <w:rFonts w:cs="Arial"/>
        </w:rPr>
        <w:t xml:space="preserve">(or 12,100 fewer enrolments) compared to Q1 2012. </w:t>
      </w:r>
    </w:p>
    <w:p w:rsidR="00E715EF" w:rsidRDefault="009921B4" w:rsidP="00E715EF">
      <w:pPr>
        <w:rPr>
          <w:rFonts w:cs="Arial"/>
        </w:rPr>
      </w:pPr>
      <w:r w:rsidRPr="009921B4">
        <w:rPr>
          <w:rFonts w:cs="Arial"/>
        </w:rPr>
        <w:t xml:space="preserve">These trends are attributable to a number of factors.  Apprentice numbers are highly correlated with business conditions. Fifty six per cent of all apprentices are employed in the construction sector which has faced a challenging 12 months. </w:t>
      </w:r>
    </w:p>
    <w:p w:rsidR="009921B4" w:rsidRPr="00E715EF" w:rsidRDefault="009921B4" w:rsidP="00E715EF">
      <w:pPr>
        <w:rPr>
          <w:rFonts w:cs="Arial"/>
        </w:rPr>
      </w:pPr>
      <w:r w:rsidRPr="009921B4">
        <w:t>The reduction in traineeship enrolments is attributable to a number of factors including government incentives</w:t>
      </w:r>
      <w:r>
        <w:rPr>
          <w:rStyle w:val="FootnoteReference"/>
        </w:rPr>
        <w:footnoteReference w:id="2"/>
      </w:r>
      <w:r w:rsidRPr="009921B4">
        <w:t>, government subsidy levels and potential correction due to previous enrolment patterns. The decline in traineeships generally occurred in those qualifications which have attracted lower levels of subsidy with the introduction of the reforms from July 2012, for example qualifications in hospitality, retail and competitive manufacturing.</w:t>
      </w:r>
    </w:p>
    <w:p w:rsidR="00E715EF" w:rsidRPr="00E715EF" w:rsidRDefault="00E715EF" w:rsidP="00E715EF"/>
    <w:p w:rsidR="000E296F" w:rsidRPr="001F29E3" w:rsidRDefault="000E296F" w:rsidP="000E296F">
      <w:pPr>
        <w:pStyle w:val="Heading3"/>
      </w:pPr>
      <w:r w:rsidRPr="001F29E3">
        <w:t>Market Responsiveness</w:t>
      </w:r>
    </w:p>
    <w:p w:rsidR="000E296F" w:rsidRDefault="000E296F" w:rsidP="000E296F">
      <w:pPr>
        <w:rPr>
          <w:rFonts w:cs="Arial"/>
        </w:rPr>
      </w:pPr>
      <w:r w:rsidRPr="000E296F">
        <w:rPr>
          <w:rFonts w:cs="Arial"/>
        </w:rPr>
        <w:t xml:space="preserve">In contrast to the overall trends when comparing Q1 2012 to Q1 2013, there was a marked growth in vocational training activity in areas of critical importance to the Victorian economy, addressing skills shortages and occupations with specialised skill requirements. Government subsidised enrolments in Q1 2013 were </w:t>
      </w:r>
      <w:r>
        <w:rPr>
          <w:rFonts w:cs="Arial"/>
        </w:rPr>
        <w:t>6</w:t>
      </w:r>
      <w:r w:rsidRPr="000E296F">
        <w:rPr>
          <w:rFonts w:cs="Arial"/>
        </w:rPr>
        <w:t xml:space="preserve"> per cent higher in ‘in shortage’ qualifications and </w:t>
      </w:r>
      <w:r>
        <w:rPr>
          <w:rFonts w:cs="Arial"/>
        </w:rPr>
        <w:t>1</w:t>
      </w:r>
      <w:r w:rsidRPr="000E296F">
        <w:rPr>
          <w:rFonts w:cs="Arial"/>
        </w:rPr>
        <w:t xml:space="preserve"> per cent higher in ‘specialised’ qualifications, compared with Q1 2012 figures, equating to 80,600 and 44,000 enrolments respectively. TAFE institutes are currently delivering 51 per cent of training of this nature.</w:t>
      </w:r>
      <w:r>
        <w:rPr>
          <w:rFonts w:cs="Arial"/>
        </w:rPr>
        <w:t xml:space="preserve"> </w:t>
      </w:r>
    </w:p>
    <w:p w:rsidR="001E2B36" w:rsidRPr="001F29E3" w:rsidRDefault="001E2B36" w:rsidP="009C1600">
      <w:pPr>
        <w:rPr>
          <w:rFonts w:cs="Arial"/>
          <w:b/>
          <w:color w:val="76923C" w:themeColor="accent3" w:themeShade="BF"/>
          <w:sz w:val="16"/>
        </w:rPr>
      </w:pPr>
    </w:p>
    <w:p w:rsidR="00CF32FB" w:rsidRPr="001F29E3" w:rsidRDefault="00CF32FB" w:rsidP="00CF32FB">
      <w:pPr>
        <w:pStyle w:val="Heading3"/>
      </w:pPr>
      <w:r w:rsidRPr="001F29E3">
        <w:t>Profile of Vocational Education and Training Government Subsidy</w:t>
      </w:r>
    </w:p>
    <w:p w:rsidR="00CF32FB" w:rsidRPr="001F29E3" w:rsidRDefault="00CF591B" w:rsidP="00CF32FB">
      <w:pPr>
        <w:rPr>
          <w:rFonts w:cs="Arial"/>
        </w:rPr>
      </w:pPr>
      <w:r>
        <w:rPr>
          <w:rFonts w:cs="Arial"/>
        </w:rPr>
        <w:t>As part of the Refocusing V</w:t>
      </w:r>
      <w:r w:rsidR="00CF32FB" w:rsidRPr="001F29E3">
        <w:rPr>
          <w:rFonts w:cs="Arial"/>
        </w:rPr>
        <w:t xml:space="preserve">ocational </w:t>
      </w:r>
      <w:r>
        <w:rPr>
          <w:rFonts w:cs="Arial"/>
        </w:rPr>
        <w:t>Training r</w:t>
      </w:r>
      <w:r w:rsidR="00CF32FB" w:rsidRPr="001F29E3">
        <w:rPr>
          <w:rFonts w:cs="Arial"/>
        </w:rPr>
        <w:t>eform, the government is retaining and strengthening the individual entitlement to a subsidised training place to ensure that businesses and students continue to have choice over what and where they study and ensuring the cost of such access remains sustainable and in areas of greatest public value. The public value of courses has been assessed on the basis of its value to the economy (in terms of jobs or productivity and essential services) and the extent to which government investment is required to stimulate delivery of, and participation in, this training to meet industry needs.</w:t>
      </w:r>
    </w:p>
    <w:p w:rsidR="00CF32FB" w:rsidRPr="001F29E3" w:rsidRDefault="00CF32FB" w:rsidP="00CF32FB">
      <w:pPr>
        <w:rPr>
          <w:rFonts w:cs="Arial"/>
        </w:rPr>
      </w:pPr>
      <w:r w:rsidRPr="001F29E3">
        <w:rPr>
          <w:rFonts w:cs="Arial"/>
        </w:rPr>
        <w:lastRenderedPageBreak/>
        <w:t xml:space="preserve">The subsidy for each course reflects an assessment of its current ‘public value’- with courses of greatest public value receiving the highest level of subsidy (Band A), and courses of lowest public value the least (Band E).  For example, the highest subsidy bands (Bands A and B) include all apprenticeships, all foundation courses and many courses relating to skills shortage and specialised occupations such as builders, electricians, plumbers, aged care, nursing and renewable energy. </w:t>
      </w:r>
    </w:p>
    <w:p w:rsidR="00CF32FB" w:rsidRDefault="00CF32FB" w:rsidP="00CF32FB">
      <w:pPr>
        <w:rPr>
          <w:rFonts w:cs="Arial"/>
        </w:rPr>
      </w:pPr>
      <w:r w:rsidRPr="001F29E3">
        <w:rPr>
          <w:rFonts w:cs="Arial"/>
        </w:rPr>
        <w:t xml:space="preserve">There has been a marked shift in commencement patterns since the reforms were introduced in July 2012. Following the reforms, 65 per cent of government subsidised commencing enrolments in </w:t>
      </w:r>
      <w:r>
        <w:rPr>
          <w:rFonts w:cs="Arial"/>
        </w:rPr>
        <w:t xml:space="preserve">July-December </w:t>
      </w:r>
      <w:r w:rsidRPr="001F29E3">
        <w:rPr>
          <w:rFonts w:cs="Arial"/>
        </w:rPr>
        <w:t xml:space="preserve">2012 were within Bands A and B, whereas in the pre July 2012 period, 49 per cent of commencements were within these bands. </w:t>
      </w:r>
      <w:r>
        <w:rPr>
          <w:rFonts w:cs="Arial"/>
        </w:rPr>
        <w:t xml:space="preserve">In Q1 2013, 65 per cent of all government subsidised commencing course enrolments were within subsidy bands A and B.  This compared with 52 per cent of commencements in subsidy bands A and B in Q1 2012.  </w:t>
      </w:r>
      <w:r w:rsidRPr="007902FD">
        <w:rPr>
          <w:rFonts w:cs="Arial"/>
        </w:rPr>
        <w:t xml:space="preserve">Courses with less vocational outcome, or labour market </w:t>
      </w:r>
      <w:r>
        <w:rPr>
          <w:rFonts w:cs="Arial"/>
        </w:rPr>
        <w:t>requirement</w:t>
      </w:r>
      <w:r w:rsidRPr="007902FD">
        <w:rPr>
          <w:rFonts w:cs="Arial"/>
        </w:rPr>
        <w:t xml:space="preserve"> (Band D &amp; E) represented 11 per cent of all government subsidised commencements in </w:t>
      </w:r>
      <w:r>
        <w:rPr>
          <w:rFonts w:cs="Arial"/>
        </w:rPr>
        <w:t>Q1 2013</w:t>
      </w:r>
      <w:r w:rsidRPr="007902FD">
        <w:rPr>
          <w:rFonts w:cs="Arial"/>
        </w:rPr>
        <w:t>,</w:t>
      </w:r>
      <w:r>
        <w:rPr>
          <w:rFonts w:cs="Arial"/>
        </w:rPr>
        <w:t xml:space="preserve"> </w:t>
      </w:r>
      <w:r w:rsidRPr="007902FD">
        <w:rPr>
          <w:rFonts w:cs="Arial"/>
        </w:rPr>
        <w:t>down from 25 per cent over the same period in 2012.</w:t>
      </w:r>
    </w:p>
    <w:p w:rsidR="00CF32FB" w:rsidRDefault="00CF32FB" w:rsidP="00CF32FB">
      <w:pPr>
        <w:pStyle w:val="Caption"/>
        <w:jc w:val="left"/>
      </w:pPr>
      <w:r w:rsidRPr="001F29E3">
        <w:t xml:space="preserve">Commencing </w:t>
      </w:r>
      <w:r>
        <w:t xml:space="preserve">course </w:t>
      </w:r>
      <w:r w:rsidRPr="001F29E3">
        <w:t xml:space="preserve">enrolments by </w:t>
      </w:r>
      <w:r>
        <w:t>f</w:t>
      </w:r>
      <w:r w:rsidRPr="001F29E3">
        <w:t xml:space="preserve">unding </w:t>
      </w:r>
      <w:r>
        <w:t>b</w:t>
      </w:r>
      <w:r w:rsidRPr="001F29E3">
        <w:t>ands</w:t>
      </w:r>
      <w:r>
        <w:t>, July-December 2012, Q1 2012 and Q1 2013</w:t>
      </w:r>
      <w:r w:rsidRPr="001F29E3">
        <w:t xml:space="preserve"> </w:t>
      </w:r>
    </w:p>
    <w:p w:rsidR="00CF32FB" w:rsidRPr="001F29E3" w:rsidRDefault="00CF32FB" w:rsidP="00CF32FB">
      <w:pPr>
        <w:jc w:val="center"/>
        <w:rPr>
          <w:rFonts w:cs="Arial"/>
          <w:b/>
          <w:color w:val="76923C" w:themeColor="accent3" w:themeShade="BF"/>
          <w:sz w:val="16"/>
        </w:rPr>
      </w:pPr>
      <w:r>
        <w:rPr>
          <w:rFonts w:cs="Arial"/>
          <w:b/>
          <w:noProof/>
          <w:color w:val="76923C" w:themeColor="accent3" w:themeShade="BF"/>
          <w:sz w:val="16"/>
          <w:lang w:eastAsia="en-AU"/>
        </w:rPr>
        <w:drawing>
          <wp:inline distT="0" distB="0" distL="0" distR="0" wp14:anchorId="25D7E756" wp14:editId="66D2834A">
            <wp:extent cx="5407660" cy="217043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7660" cy="2170430"/>
                    </a:xfrm>
                    <a:prstGeom prst="rect">
                      <a:avLst/>
                    </a:prstGeom>
                    <a:noFill/>
                  </pic:spPr>
                </pic:pic>
              </a:graphicData>
            </a:graphic>
          </wp:inline>
        </w:drawing>
      </w:r>
    </w:p>
    <w:p w:rsidR="00CF32FB" w:rsidRPr="001F29E3" w:rsidRDefault="00CF32FB" w:rsidP="00CF32FB">
      <w:pPr>
        <w:rPr>
          <w:rFonts w:cs="Arial"/>
        </w:rPr>
      </w:pPr>
    </w:p>
    <w:p w:rsidR="00D06C0E" w:rsidRDefault="00D06C0E" w:rsidP="009C3D2B">
      <w:pPr>
        <w:pStyle w:val="Heading3"/>
      </w:pPr>
    </w:p>
    <w:p w:rsidR="006738FB" w:rsidRPr="00CF32FB" w:rsidRDefault="006738FB" w:rsidP="009C3D2B">
      <w:pPr>
        <w:pStyle w:val="Heading3"/>
      </w:pPr>
      <w:r w:rsidRPr="00CF32FB">
        <w:t>Training Delivery Trends</w:t>
      </w:r>
    </w:p>
    <w:p w:rsidR="006738FB" w:rsidRPr="001F29E3" w:rsidRDefault="00C008B3" w:rsidP="006738FB">
      <w:pPr>
        <w:rPr>
          <w:rFonts w:cs="Arial"/>
        </w:rPr>
      </w:pPr>
      <w:r w:rsidRPr="001F29E3">
        <w:rPr>
          <w:rFonts w:cs="Arial"/>
        </w:rPr>
        <w:t xml:space="preserve">While overall there was a 7 per cent decline in subsidised enrolments in Q1 2013 compared to Q1 2012, this pattern was not uniform across all </w:t>
      </w:r>
      <w:r w:rsidR="006738FB" w:rsidRPr="001F29E3">
        <w:rPr>
          <w:rFonts w:cs="Arial"/>
        </w:rPr>
        <w:t>Australian Qualification Framework (AQF) levels</w:t>
      </w:r>
      <w:r w:rsidRPr="001F29E3">
        <w:rPr>
          <w:rFonts w:cs="Arial"/>
        </w:rPr>
        <w:t xml:space="preserve">. Subsidised enrolments in </w:t>
      </w:r>
      <w:r w:rsidR="006738FB" w:rsidRPr="001F29E3">
        <w:rPr>
          <w:rFonts w:cs="Arial"/>
        </w:rPr>
        <w:t xml:space="preserve">Certificate I–II </w:t>
      </w:r>
      <w:r w:rsidRPr="001F29E3">
        <w:rPr>
          <w:rFonts w:cs="Arial"/>
        </w:rPr>
        <w:t xml:space="preserve">were </w:t>
      </w:r>
      <w:r w:rsidR="006738FB" w:rsidRPr="001F29E3">
        <w:rPr>
          <w:rFonts w:cs="Arial"/>
        </w:rPr>
        <w:t xml:space="preserve">up </w:t>
      </w:r>
      <w:r w:rsidRPr="001F29E3">
        <w:rPr>
          <w:rFonts w:cs="Arial"/>
        </w:rPr>
        <w:t xml:space="preserve">by </w:t>
      </w:r>
      <w:r w:rsidR="008F06D9">
        <w:rPr>
          <w:rFonts w:cs="Arial"/>
        </w:rPr>
        <w:t>4</w:t>
      </w:r>
      <w:r w:rsidR="006738FB" w:rsidRPr="001F29E3">
        <w:rPr>
          <w:rFonts w:cs="Arial"/>
        </w:rPr>
        <w:t xml:space="preserve"> per cent, Certificate III-IV </w:t>
      </w:r>
      <w:r w:rsidRPr="001F29E3">
        <w:rPr>
          <w:rFonts w:cs="Arial"/>
        </w:rPr>
        <w:t xml:space="preserve">down by </w:t>
      </w:r>
      <w:r w:rsidR="008F06D9">
        <w:rPr>
          <w:rFonts w:cs="Arial"/>
        </w:rPr>
        <w:t>6</w:t>
      </w:r>
      <w:r w:rsidR="006738FB" w:rsidRPr="001F29E3">
        <w:rPr>
          <w:rFonts w:cs="Arial"/>
        </w:rPr>
        <w:t xml:space="preserve"> per cent</w:t>
      </w:r>
      <w:r w:rsidRPr="001F29E3">
        <w:rPr>
          <w:rFonts w:cs="Arial"/>
        </w:rPr>
        <w:t xml:space="preserve"> and</w:t>
      </w:r>
      <w:r w:rsidR="006738FB" w:rsidRPr="001F29E3">
        <w:rPr>
          <w:rFonts w:cs="Arial"/>
        </w:rPr>
        <w:t xml:space="preserve"> Diploma </w:t>
      </w:r>
      <w:r w:rsidRPr="001F29E3">
        <w:rPr>
          <w:rFonts w:cs="Arial"/>
        </w:rPr>
        <w:t>down by 1</w:t>
      </w:r>
      <w:r w:rsidR="008F06D9">
        <w:rPr>
          <w:rFonts w:cs="Arial"/>
        </w:rPr>
        <w:t>7</w:t>
      </w:r>
      <w:r w:rsidRPr="001F29E3">
        <w:rPr>
          <w:rFonts w:cs="Arial"/>
        </w:rPr>
        <w:t xml:space="preserve"> per cent.</w:t>
      </w:r>
      <w:r w:rsidR="006738FB" w:rsidRPr="001F29E3">
        <w:rPr>
          <w:rFonts w:cs="Arial"/>
        </w:rPr>
        <w:t xml:space="preserve"> </w:t>
      </w:r>
      <w:r w:rsidR="008543B2">
        <w:rPr>
          <w:rFonts w:cs="Arial"/>
        </w:rPr>
        <w:t xml:space="preserve">In Q1 2013, </w:t>
      </w:r>
      <w:r w:rsidR="006738FB" w:rsidRPr="001F29E3">
        <w:rPr>
          <w:rFonts w:cs="Arial"/>
        </w:rPr>
        <w:t xml:space="preserve">Certificate III–IV remains the largest qualification group representing </w:t>
      </w:r>
      <w:r w:rsidR="008F06D9">
        <w:rPr>
          <w:rFonts w:cs="Arial"/>
        </w:rPr>
        <w:t>60</w:t>
      </w:r>
      <w:r w:rsidR="006738FB" w:rsidRPr="001F29E3">
        <w:rPr>
          <w:rFonts w:cs="Arial"/>
        </w:rPr>
        <w:t xml:space="preserve"> per cent of all AQF course enrolments. </w:t>
      </w:r>
    </w:p>
    <w:p w:rsidR="000D5B80" w:rsidRDefault="000D5B80" w:rsidP="00A9260A">
      <w:pPr>
        <w:pStyle w:val="Heading3"/>
      </w:pPr>
    </w:p>
    <w:p w:rsidR="000D5B80" w:rsidRPr="001F29E3" w:rsidRDefault="00507BAC" w:rsidP="00484A61">
      <w:pPr>
        <w:pStyle w:val="Heading3"/>
      </w:pPr>
      <w:r>
        <w:t>Government S</w:t>
      </w:r>
      <w:r w:rsidR="00484A61">
        <w:t xml:space="preserve">ubsidised </w:t>
      </w:r>
      <w:r>
        <w:t>T</w:t>
      </w:r>
      <w:r w:rsidR="00484A61">
        <w:t xml:space="preserve">raining </w:t>
      </w:r>
      <w:r>
        <w:t>D</w:t>
      </w:r>
      <w:r w:rsidR="00484A61">
        <w:t xml:space="preserve">elivery by </w:t>
      </w:r>
      <w:r>
        <w:t>R</w:t>
      </w:r>
      <w:r w:rsidR="00484A61">
        <w:t xml:space="preserve">egional </w:t>
      </w:r>
      <w:r>
        <w:t>A</w:t>
      </w:r>
      <w:r w:rsidR="00484A61">
        <w:t>rea</w:t>
      </w:r>
    </w:p>
    <w:p w:rsidR="003B4B6C" w:rsidRDefault="003B4B6C" w:rsidP="006738FB">
      <w:pPr>
        <w:rPr>
          <w:rFonts w:cs="Arial"/>
        </w:rPr>
      </w:pPr>
      <w:r w:rsidRPr="001F29E3">
        <w:rPr>
          <w:rFonts w:cs="Arial"/>
        </w:rPr>
        <w:t xml:space="preserve">The decline in subsidised enrolments occurred across all of the Department’s four administrative regions, with South-Eastern Victoria having the largest decline of 8 per cent in Q1 2013 compared to Q1 2012. This picture changes somewhat when examining delivery by </w:t>
      </w:r>
      <w:r w:rsidR="00666713" w:rsidRPr="001F29E3">
        <w:rPr>
          <w:rFonts w:cs="Arial"/>
        </w:rPr>
        <w:t xml:space="preserve">geographically smaller </w:t>
      </w:r>
      <w:r w:rsidRPr="001F29E3">
        <w:rPr>
          <w:rFonts w:cs="Arial"/>
        </w:rPr>
        <w:t>regional areas, three areas showed an increase in Q1 2013 compared to Q1 2012; Hume up by 42 per cent, Western Metropolitan Melbourne up by 3 per cent and Northern Metropolitan Melbourne up by 2 per cent.</w:t>
      </w:r>
    </w:p>
    <w:p w:rsidR="00B069AF" w:rsidRPr="001F29E3" w:rsidRDefault="00B069AF" w:rsidP="006738FB">
      <w:pPr>
        <w:rPr>
          <w:rFonts w:cs="Arial"/>
        </w:rPr>
      </w:pPr>
    </w:p>
    <w:p w:rsidR="00D06C0E" w:rsidRDefault="00D06C0E">
      <w:pPr>
        <w:spacing w:after="0" w:line="240" w:lineRule="auto"/>
        <w:jc w:val="left"/>
        <w:rPr>
          <w:b/>
          <w:bCs/>
          <w:color w:val="76923C" w:themeColor="accent3" w:themeShade="BF"/>
          <w:sz w:val="16"/>
          <w:szCs w:val="16"/>
        </w:rPr>
      </w:pPr>
    </w:p>
    <w:p w:rsidR="00CF32FB" w:rsidRDefault="00CF32FB">
      <w:pPr>
        <w:spacing w:after="0" w:line="240" w:lineRule="auto"/>
        <w:jc w:val="left"/>
        <w:rPr>
          <w:b/>
          <w:bCs/>
          <w:color w:val="76923C" w:themeColor="accent3" w:themeShade="BF"/>
          <w:sz w:val="16"/>
          <w:szCs w:val="16"/>
        </w:rPr>
      </w:pPr>
      <w:r>
        <w:br w:type="page"/>
      </w:r>
    </w:p>
    <w:p w:rsidR="00140AAF" w:rsidRPr="001F29E3" w:rsidRDefault="00140AAF" w:rsidP="004478B6">
      <w:pPr>
        <w:pStyle w:val="Caption"/>
      </w:pPr>
      <w:r w:rsidRPr="001F29E3">
        <w:lastRenderedPageBreak/>
        <w:t xml:space="preserve">Government </w:t>
      </w:r>
      <w:r w:rsidR="00B069AF">
        <w:t>s</w:t>
      </w:r>
      <w:r w:rsidRPr="001F29E3">
        <w:t xml:space="preserve">ubsidised </w:t>
      </w:r>
      <w:r w:rsidR="00B069AF">
        <w:t>e</w:t>
      </w:r>
      <w:r w:rsidRPr="001F29E3">
        <w:t xml:space="preserve">nrolments by </w:t>
      </w:r>
      <w:r w:rsidR="00B069AF">
        <w:t>r</w:t>
      </w:r>
      <w:r w:rsidRPr="001F29E3">
        <w:t>egion</w:t>
      </w:r>
      <w:r w:rsidR="00B069AF">
        <w:t>al area</w:t>
      </w:r>
      <w:r w:rsidRPr="001F29E3">
        <w:t xml:space="preserve">, </w:t>
      </w:r>
      <w:r w:rsidR="00B069AF">
        <w:t>Q1 2012 and Q1 2013</w:t>
      </w:r>
    </w:p>
    <w:p w:rsidR="003B4B6C" w:rsidRPr="001F29E3" w:rsidRDefault="00B069AF" w:rsidP="00140AAF">
      <w:pPr>
        <w:rPr>
          <w:rFonts w:cs="Arial"/>
          <w:b/>
          <w:color w:val="76923C" w:themeColor="accent3" w:themeShade="BF"/>
          <w:sz w:val="16"/>
        </w:rPr>
      </w:pPr>
      <w:r>
        <w:rPr>
          <w:rFonts w:cs="Arial"/>
          <w:b/>
          <w:noProof/>
          <w:color w:val="76923C" w:themeColor="accent3" w:themeShade="BF"/>
          <w:sz w:val="16"/>
          <w:lang w:eastAsia="en-AU"/>
        </w:rPr>
        <w:drawing>
          <wp:inline distT="0" distB="0" distL="0" distR="0" wp14:anchorId="35039ECD" wp14:editId="66EFEE0B">
            <wp:extent cx="6202800" cy="2728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2800" cy="2728800"/>
                    </a:xfrm>
                    <a:prstGeom prst="rect">
                      <a:avLst/>
                    </a:prstGeom>
                    <a:noFill/>
                  </pic:spPr>
                </pic:pic>
              </a:graphicData>
            </a:graphic>
          </wp:inline>
        </w:drawing>
      </w:r>
    </w:p>
    <w:p w:rsidR="001E6395" w:rsidRPr="001F29E3" w:rsidRDefault="001E6395" w:rsidP="00140AAF">
      <w:pPr>
        <w:rPr>
          <w:rFonts w:cs="Arial"/>
          <w:noProof/>
          <w:color w:val="76923C" w:themeColor="accent3" w:themeShade="BF"/>
          <w:lang w:eastAsia="en-AU"/>
        </w:rPr>
      </w:pPr>
    </w:p>
    <w:p w:rsidR="006738FB" w:rsidRPr="001F29E3" w:rsidRDefault="006738FB" w:rsidP="00A9260A">
      <w:pPr>
        <w:pStyle w:val="Heading3"/>
      </w:pPr>
      <w:r w:rsidRPr="001F29E3">
        <w:t>Student Engagement and Wellbeing</w:t>
      </w:r>
    </w:p>
    <w:p w:rsidR="006738FB" w:rsidRPr="001F29E3" w:rsidRDefault="000530F2" w:rsidP="006738FB">
      <w:pPr>
        <w:rPr>
          <w:rFonts w:cs="Arial"/>
        </w:rPr>
      </w:pPr>
      <w:r>
        <w:rPr>
          <w:rFonts w:cs="Arial"/>
        </w:rPr>
        <w:t xml:space="preserve">Specific learner cohorts </w:t>
      </w:r>
      <w:r w:rsidR="006738FB" w:rsidRPr="001F29E3">
        <w:rPr>
          <w:rFonts w:cs="Arial"/>
        </w:rPr>
        <w:t xml:space="preserve">are actively engaged in vocational education and training with </w:t>
      </w:r>
      <w:r w:rsidR="00666713" w:rsidRPr="001F29E3">
        <w:rPr>
          <w:rFonts w:cs="Arial"/>
        </w:rPr>
        <w:t>increases</w:t>
      </w:r>
      <w:r w:rsidR="006738FB" w:rsidRPr="001F29E3">
        <w:rPr>
          <w:rFonts w:cs="Arial"/>
        </w:rPr>
        <w:t xml:space="preserve"> </w:t>
      </w:r>
      <w:r>
        <w:rPr>
          <w:rFonts w:cs="Arial"/>
        </w:rPr>
        <w:t xml:space="preserve">in </w:t>
      </w:r>
      <w:r w:rsidR="006738FB" w:rsidRPr="001F29E3">
        <w:rPr>
          <w:rFonts w:cs="Arial"/>
        </w:rPr>
        <w:t>Indigenous students</w:t>
      </w:r>
      <w:r w:rsidR="00666713" w:rsidRPr="001F29E3">
        <w:rPr>
          <w:rFonts w:cs="Arial"/>
        </w:rPr>
        <w:t xml:space="preserve"> and unemployed students</w:t>
      </w:r>
      <w:r w:rsidR="006738FB" w:rsidRPr="001F29E3">
        <w:rPr>
          <w:rFonts w:cs="Arial"/>
        </w:rPr>
        <w:t xml:space="preserve">. There </w:t>
      </w:r>
      <w:r w:rsidR="00666713" w:rsidRPr="001F29E3">
        <w:rPr>
          <w:rFonts w:cs="Arial"/>
        </w:rPr>
        <w:t>were</w:t>
      </w:r>
      <w:r w:rsidR="006738FB" w:rsidRPr="001F29E3">
        <w:rPr>
          <w:rFonts w:cs="Arial"/>
        </w:rPr>
        <w:t xml:space="preserve"> approximately </w:t>
      </w:r>
      <w:r w:rsidR="00666713" w:rsidRPr="001F29E3">
        <w:rPr>
          <w:rFonts w:cs="Arial"/>
        </w:rPr>
        <w:t>2,500</w:t>
      </w:r>
      <w:r w:rsidR="006738FB" w:rsidRPr="001F29E3">
        <w:rPr>
          <w:rFonts w:cs="Arial"/>
        </w:rPr>
        <w:t xml:space="preserve"> Indigenous students</w:t>
      </w:r>
      <w:r w:rsidR="00666713" w:rsidRPr="001F29E3">
        <w:rPr>
          <w:rFonts w:cs="Arial"/>
        </w:rPr>
        <w:t xml:space="preserve"> in government subsidised enrolments in Q1 2013, this was up by 2 per cent on the same period in 2012. Government subsidised enrolments</w:t>
      </w:r>
      <w:r w:rsidR="002729F7" w:rsidRPr="001F29E3">
        <w:rPr>
          <w:rFonts w:cs="Arial"/>
        </w:rPr>
        <w:t xml:space="preserve"> </w:t>
      </w:r>
      <w:r w:rsidR="00666713" w:rsidRPr="001F29E3">
        <w:rPr>
          <w:rFonts w:cs="Arial"/>
        </w:rPr>
        <w:t xml:space="preserve">by students with a disability declined by </w:t>
      </w:r>
      <w:r w:rsidR="001E21F4" w:rsidRPr="001F29E3">
        <w:rPr>
          <w:rFonts w:cs="Arial"/>
        </w:rPr>
        <w:t>4 per</w:t>
      </w:r>
      <w:r w:rsidR="002729F7" w:rsidRPr="001F29E3">
        <w:rPr>
          <w:rFonts w:cs="Arial"/>
        </w:rPr>
        <w:t xml:space="preserve"> </w:t>
      </w:r>
      <w:r w:rsidR="001E21F4" w:rsidRPr="001F29E3">
        <w:rPr>
          <w:rFonts w:cs="Arial"/>
        </w:rPr>
        <w:t>cent over the same period.</w:t>
      </w:r>
      <w:r w:rsidR="006738FB" w:rsidRPr="001F29E3">
        <w:rPr>
          <w:rFonts w:cs="Arial"/>
        </w:rPr>
        <w:t xml:space="preserve"> </w:t>
      </w:r>
    </w:p>
    <w:p w:rsidR="0035036D" w:rsidRPr="001F29E3" w:rsidRDefault="006738FB" w:rsidP="0035036D">
      <w:pPr>
        <w:rPr>
          <w:rFonts w:cs="Arial"/>
          <w:b/>
          <w:color w:val="76923C" w:themeColor="accent3" w:themeShade="BF"/>
          <w:sz w:val="16"/>
        </w:rPr>
      </w:pPr>
      <w:r w:rsidRPr="001F29E3">
        <w:rPr>
          <w:rFonts w:cs="Arial"/>
        </w:rPr>
        <w:t xml:space="preserve">The </w:t>
      </w:r>
      <w:r w:rsidRPr="001F29E3">
        <w:rPr>
          <w:rFonts w:cs="Arial"/>
          <w:color w:val="000000"/>
        </w:rPr>
        <w:t>vocational training</w:t>
      </w:r>
      <w:r w:rsidRPr="001F29E3">
        <w:rPr>
          <w:rFonts w:cs="Arial"/>
        </w:rPr>
        <w:t xml:space="preserve"> sector continues to be an important pathway to employment, with</w:t>
      </w:r>
      <w:r w:rsidR="002729F7" w:rsidRPr="001F29E3">
        <w:rPr>
          <w:rFonts w:cs="Arial"/>
        </w:rPr>
        <w:t xml:space="preserve"> 53,000</w:t>
      </w:r>
      <w:r w:rsidRPr="001F29E3">
        <w:rPr>
          <w:rFonts w:cs="Arial"/>
        </w:rPr>
        <w:t xml:space="preserve"> unemployed students engaged in government subsid</w:t>
      </w:r>
      <w:r w:rsidR="0035036D" w:rsidRPr="001F29E3">
        <w:rPr>
          <w:rFonts w:cs="Arial"/>
        </w:rPr>
        <w:t>is</w:t>
      </w:r>
      <w:r w:rsidRPr="001F29E3">
        <w:rPr>
          <w:rFonts w:cs="Arial"/>
        </w:rPr>
        <w:t>ed training</w:t>
      </w:r>
      <w:r w:rsidR="002C240D" w:rsidRPr="001F29E3">
        <w:rPr>
          <w:rFonts w:cs="Arial"/>
        </w:rPr>
        <w:t xml:space="preserve"> in Q1 2013</w:t>
      </w:r>
      <w:r w:rsidRPr="001F29E3">
        <w:rPr>
          <w:rFonts w:cs="Arial"/>
        </w:rPr>
        <w:t xml:space="preserve">, </w:t>
      </w:r>
      <w:r w:rsidR="002C240D" w:rsidRPr="001F29E3">
        <w:rPr>
          <w:rFonts w:cs="Arial"/>
        </w:rPr>
        <w:t xml:space="preserve">an increase </w:t>
      </w:r>
      <w:r w:rsidRPr="001F29E3">
        <w:rPr>
          <w:rFonts w:cs="Arial"/>
        </w:rPr>
        <w:t xml:space="preserve">of </w:t>
      </w:r>
      <w:r w:rsidR="002729F7" w:rsidRPr="001F29E3">
        <w:rPr>
          <w:rFonts w:cs="Arial"/>
        </w:rPr>
        <w:t>2</w:t>
      </w:r>
      <w:r w:rsidRPr="001F29E3">
        <w:rPr>
          <w:rFonts w:cs="Arial"/>
        </w:rPr>
        <w:t xml:space="preserve"> per cent </w:t>
      </w:r>
      <w:r w:rsidR="002C240D" w:rsidRPr="001F29E3">
        <w:rPr>
          <w:rFonts w:cs="Arial"/>
        </w:rPr>
        <w:t xml:space="preserve">compared to </w:t>
      </w:r>
      <w:r w:rsidR="002729F7" w:rsidRPr="001F29E3">
        <w:rPr>
          <w:rFonts w:cs="Arial"/>
        </w:rPr>
        <w:t>Q1 2012</w:t>
      </w:r>
      <w:r w:rsidRPr="001F29E3">
        <w:rPr>
          <w:rFonts w:cs="Arial"/>
        </w:rPr>
        <w:t>.</w:t>
      </w:r>
      <w:bookmarkStart w:id="26" w:name="_Ref338067046"/>
      <w:r w:rsidR="00030839" w:rsidRPr="001F29E3">
        <w:rPr>
          <w:rFonts w:cs="Arial"/>
          <w:b/>
          <w:color w:val="76923C" w:themeColor="accent3" w:themeShade="BF"/>
          <w:sz w:val="16"/>
        </w:rPr>
        <w:t xml:space="preserve"> </w:t>
      </w:r>
    </w:p>
    <w:p w:rsidR="00CF32FB" w:rsidRDefault="00CF32FB">
      <w:pPr>
        <w:spacing w:after="0" w:line="240" w:lineRule="auto"/>
        <w:jc w:val="left"/>
        <w:rPr>
          <w:rFonts w:cs="Arial"/>
          <w:bCs/>
          <w:iCs/>
          <w:color w:val="76923C" w:themeColor="accent3" w:themeShade="BF"/>
          <w:sz w:val="28"/>
          <w:szCs w:val="28"/>
        </w:rPr>
      </w:pPr>
      <w:bookmarkStart w:id="27" w:name="_Toc349899123"/>
      <w:bookmarkStart w:id="28" w:name="_Ref350270707"/>
      <w:bookmarkStart w:id="29" w:name="_Ref350271386"/>
      <w:r>
        <w:br w:type="page"/>
      </w:r>
    </w:p>
    <w:p w:rsidR="00016659" w:rsidRDefault="00016659" w:rsidP="00B07C16">
      <w:pPr>
        <w:pStyle w:val="Heading2"/>
      </w:pPr>
      <w:bookmarkStart w:id="30" w:name="_Toc359501552"/>
      <w:r w:rsidRPr="001F29E3">
        <w:lastRenderedPageBreak/>
        <w:t>The Policy Context of Vocational Training</w:t>
      </w:r>
      <w:bookmarkEnd w:id="30"/>
    </w:p>
    <w:p w:rsidR="00B07C16" w:rsidRPr="00B07C16" w:rsidRDefault="00B07C16" w:rsidP="00B07C16"/>
    <w:p w:rsidR="00016659" w:rsidRPr="001F29E3" w:rsidRDefault="00016659" w:rsidP="00016659">
      <w:pPr>
        <w:spacing w:line="240" w:lineRule="auto"/>
        <w:rPr>
          <w:rFonts w:cs="Arial"/>
          <w:bCs/>
          <w:iCs/>
        </w:rPr>
      </w:pPr>
      <w:r w:rsidRPr="001F29E3">
        <w:rPr>
          <w:rFonts w:cs="Arial"/>
          <w:bCs/>
          <w:iCs/>
        </w:rPr>
        <w:t>The National Agreement for Skills and Workforce Development (NASWD) came into effect on 1 January 2009, and sets out the commitment between the Australian Government and State and Territory Governments to work towards increasing the skill levels of all Australians, and enhancing the accountability to the public for the outcomes achieved.</w:t>
      </w:r>
    </w:p>
    <w:p w:rsidR="0060264F" w:rsidRDefault="00016659" w:rsidP="00016659">
      <w:pPr>
        <w:spacing w:line="240" w:lineRule="auto"/>
        <w:rPr>
          <w:rFonts w:cs="Arial"/>
          <w:bCs/>
          <w:iCs/>
        </w:rPr>
      </w:pPr>
      <w:r w:rsidRPr="001F29E3">
        <w:rPr>
          <w:rFonts w:cs="Arial"/>
          <w:bCs/>
          <w:iCs/>
        </w:rPr>
        <w:t>The NASWD has one overarching objective and two key performance targets. These performance targets are subsequently supported by seven performance indicators. A summary of Victoria’s performance against these targets and indicators is detailed in the Performance of Vocational Training section below.</w:t>
      </w:r>
    </w:p>
    <w:tbl>
      <w:tblPr>
        <w:tblStyle w:val="TableGrid"/>
        <w:tblW w:w="0" w:type="auto"/>
        <w:tblBorders>
          <w:top w:val="single" w:sz="24" w:space="0" w:color="9BBB59" w:themeColor="accent3"/>
          <w:left w:val="single" w:sz="24" w:space="0" w:color="9BBB59" w:themeColor="accent3"/>
          <w:bottom w:val="single" w:sz="24" w:space="0" w:color="9BBB59" w:themeColor="accent3"/>
          <w:right w:val="single" w:sz="24" w:space="0" w:color="9BBB59" w:themeColor="accent3"/>
          <w:insideH w:val="single" w:sz="24" w:space="0" w:color="9BBB59" w:themeColor="accent3"/>
          <w:insideV w:val="single" w:sz="24" w:space="0" w:color="9BBB59" w:themeColor="accent3"/>
        </w:tblBorders>
        <w:tblLook w:val="04A0" w:firstRow="1" w:lastRow="0" w:firstColumn="1" w:lastColumn="0" w:noHBand="0" w:noVBand="1"/>
      </w:tblPr>
      <w:tblGrid>
        <w:gridCol w:w="9288"/>
      </w:tblGrid>
      <w:tr w:rsidR="0060264F" w:rsidTr="00F4334E">
        <w:trPr>
          <w:tblHeader/>
        </w:trPr>
        <w:tc>
          <w:tcPr>
            <w:tcW w:w="9288" w:type="dxa"/>
          </w:tcPr>
          <w:p w:rsidR="0060264F" w:rsidRPr="0013241E" w:rsidRDefault="0060264F" w:rsidP="0060264F">
            <w:pPr>
              <w:spacing w:line="240" w:lineRule="auto"/>
              <w:jc w:val="center"/>
              <w:rPr>
                <w:rFonts w:cs="Arial"/>
                <w:b/>
                <w:szCs w:val="19"/>
              </w:rPr>
            </w:pPr>
            <w:r w:rsidRPr="0013241E">
              <w:rPr>
                <w:rFonts w:cs="Arial"/>
                <w:b/>
                <w:szCs w:val="19"/>
              </w:rPr>
              <w:t>National Agreement for Skills and Workforce Development</w:t>
            </w:r>
          </w:p>
          <w:p w:rsidR="0060264F" w:rsidRPr="0013241E" w:rsidRDefault="0060264F" w:rsidP="0060264F">
            <w:pPr>
              <w:spacing w:line="240" w:lineRule="auto"/>
              <w:rPr>
                <w:rFonts w:cs="Arial"/>
                <w:szCs w:val="19"/>
              </w:rPr>
            </w:pPr>
            <w:r w:rsidRPr="0013241E">
              <w:rPr>
                <w:rFonts w:cs="Arial"/>
                <w:b/>
                <w:szCs w:val="19"/>
              </w:rPr>
              <w:t xml:space="preserve">Objective: </w:t>
            </w:r>
            <w:r w:rsidRPr="0013241E">
              <w:rPr>
                <w:rFonts w:cs="Arial"/>
                <w:szCs w:val="19"/>
              </w:rPr>
              <w:t>A vocational education and training (VET) system that delivers a productive and highly skilled workforce, and which enables all working age Australians to develop the skills and qualifications needed to participate effectively in the labour market and contribute to Australia’s economic future; and supports the achievement of increased rates of workforce participation.</w:t>
            </w:r>
          </w:p>
          <w:p w:rsidR="0060264F" w:rsidRPr="0013241E" w:rsidRDefault="0060264F" w:rsidP="0060264F">
            <w:pPr>
              <w:spacing w:line="240" w:lineRule="auto"/>
              <w:rPr>
                <w:rFonts w:cs="Arial"/>
                <w:b/>
                <w:szCs w:val="19"/>
              </w:rPr>
            </w:pPr>
            <w:r w:rsidRPr="0013241E">
              <w:rPr>
                <w:rFonts w:cs="Arial"/>
                <w:b/>
                <w:szCs w:val="19"/>
              </w:rPr>
              <w:t>Performance Targets:</w:t>
            </w:r>
          </w:p>
          <w:p w:rsidR="0060264F" w:rsidRPr="0013241E" w:rsidRDefault="0060264F" w:rsidP="0060264F">
            <w:pPr>
              <w:numPr>
                <w:ilvl w:val="0"/>
                <w:numId w:val="12"/>
              </w:numPr>
              <w:spacing w:line="240" w:lineRule="auto"/>
              <w:rPr>
                <w:rFonts w:cs="Arial"/>
                <w:szCs w:val="19"/>
              </w:rPr>
            </w:pPr>
            <w:r w:rsidRPr="0013241E">
              <w:rPr>
                <w:rFonts w:cs="Arial"/>
                <w:szCs w:val="19"/>
              </w:rPr>
              <w:t xml:space="preserve">Halve the proportion of Australians nationally aged 20–64 without qualifications at </w:t>
            </w:r>
            <w:r>
              <w:rPr>
                <w:rFonts w:cs="Arial"/>
                <w:szCs w:val="19"/>
              </w:rPr>
              <w:t>Certificate</w:t>
            </w:r>
            <w:r w:rsidRPr="0013241E">
              <w:rPr>
                <w:rFonts w:cs="Arial"/>
                <w:szCs w:val="19"/>
              </w:rPr>
              <w:t xml:space="preserve"> III level and above between 2009 and 2020.</w:t>
            </w:r>
          </w:p>
          <w:p w:rsidR="0060264F" w:rsidRPr="0013241E" w:rsidRDefault="0060264F" w:rsidP="0060264F">
            <w:pPr>
              <w:numPr>
                <w:ilvl w:val="0"/>
                <w:numId w:val="12"/>
              </w:numPr>
              <w:spacing w:line="240" w:lineRule="auto"/>
              <w:rPr>
                <w:rFonts w:cs="Arial"/>
                <w:szCs w:val="19"/>
              </w:rPr>
            </w:pPr>
            <w:r w:rsidRPr="0013241E">
              <w:rPr>
                <w:rFonts w:cs="Arial"/>
                <w:szCs w:val="19"/>
              </w:rPr>
              <w:t>Double the number of higher level qualification completions (Diploma and Advanced Diploma) nationally between 2009 and 2020.</w:t>
            </w:r>
          </w:p>
          <w:p w:rsidR="0060264F" w:rsidRDefault="0060264F" w:rsidP="00016659">
            <w:pPr>
              <w:spacing w:line="240" w:lineRule="auto"/>
              <w:rPr>
                <w:rFonts w:cs="Arial"/>
                <w:bCs/>
                <w:iCs/>
              </w:rPr>
            </w:pPr>
          </w:p>
        </w:tc>
      </w:tr>
    </w:tbl>
    <w:p w:rsidR="0060264F" w:rsidRDefault="0060264F" w:rsidP="00016659">
      <w:pPr>
        <w:spacing w:line="240" w:lineRule="auto"/>
        <w:rPr>
          <w:rFonts w:cs="Arial"/>
          <w:bCs/>
          <w:iCs/>
        </w:rPr>
      </w:pPr>
    </w:p>
    <w:p w:rsidR="00016659" w:rsidRPr="001F29E3" w:rsidRDefault="00016659" w:rsidP="00016659">
      <w:pPr>
        <w:spacing w:line="240" w:lineRule="auto"/>
        <w:rPr>
          <w:rFonts w:cs="Arial"/>
          <w:bCs/>
          <w:iCs/>
        </w:rPr>
      </w:pPr>
      <w:r w:rsidRPr="001F29E3">
        <w:rPr>
          <w:rFonts w:cs="Arial"/>
          <w:bCs/>
          <w:iCs/>
        </w:rPr>
        <w:t>Vocational training is an area of shared responsibility. Commonwealth, state and territory governments provide funding, develop national and jurisdictional policies for the training system and share responsibility for the regulation, governance and quality assurance of the vocational training sector. State and territory governments manage the delivery of vocational training within their jurisdictions and have traditionally provided approximately two thirds of the</w:t>
      </w:r>
      <w:r w:rsidRPr="001F29E3">
        <w:rPr>
          <w:rFonts w:cs="Arial"/>
        </w:rPr>
        <w:t xml:space="preserve"> </w:t>
      </w:r>
      <w:r w:rsidRPr="001F29E3">
        <w:rPr>
          <w:rFonts w:cs="Arial"/>
          <w:bCs/>
          <w:iCs/>
        </w:rPr>
        <w:t>funding in the vocational training system. Industry plays a role in identifying training needs and working directly with the training market and with Industry Skills Councils to develop appropriate training packages and qualifications to meet these needs.</w:t>
      </w:r>
    </w:p>
    <w:p w:rsidR="00016659" w:rsidRPr="001F29E3" w:rsidRDefault="00016659" w:rsidP="00016659">
      <w:pPr>
        <w:pStyle w:val="PlainText"/>
        <w:spacing w:after="84" w:line="220" w:lineRule="atLeast"/>
        <w:jc w:val="both"/>
        <w:rPr>
          <w:rFonts w:ascii="Arial" w:hAnsi="Arial" w:cs="Arial"/>
          <w:sz w:val="19"/>
          <w:szCs w:val="19"/>
        </w:rPr>
      </w:pPr>
      <w:r w:rsidRPr="001F29E3">
        <w:rPr>
          <w:rFonts w:ascii="Arial" w:hAnsi="Arial" w:cs="Arial"/>
          <w:sz w:val="19"/>
          <w:szCs w:val="19"/>
        </w:rPr>
        <w:t>Victoria has a strong focus on lifelong learning as a means of building human capital.</w:t>
      </w:r>
      <w:r w:rsidR="002C240D" w:rsidRPr="001F29E3">
        <w:rPr>
          <w:rFonts w:ascii="Arial" w:hAnsi="Arial" w:cs="Arial"/>
          <w:sz w:val="19"/>
          <w:szCs w:val="19"/>
        </w:rPr>
        <w:t xml:space="preserve"> </w:t>
      </w:r>
      <w:r w:rsidRPr="001F29E3">
        <w:rPr>
          <w:rFonts w:ascii="Arial" w:hAnsi="Arial" w:cs="Arial"/>
          <w:sz w:val="19"/>
          <w:szCs w:val="19"/>
        </w:rPr>
        <w:t xml:space="preserve">As the Victorian economy shifts away from the reliance on the traditional agricultural and manufacturing sectors and moves to service industries having a greater share of economic activity and employment, we need a more highly skilled and more productive workforce. </w:t>
      </w:r>
    </w:p>
    <w:p w:rsidR="00016659" w:rsidRPr="001F29E3" w:rsidRDefault="00016659" w:rsidP="00016659">
      <w:pPr>
        <w:pStyle w:val="PlainText"/>
        <w:spacing w:after="84" w:line="220" w:lineRule="atLeast"/>
        <w:jc w:val="both"/>
        <w:rPr>
          <w:rFonts w:ascii="Arial" w:hAnsi="Arial" w:cs="Arial"/>
          <w:sz w:val="19"/>
          <w:szCs w:val="19"/>
        </w:rPr>
      </w:pPr>
      <w:r w:rsidRPr="001F29E3">
        <w:rPr>
          <w:rFonts w:ascii="Arial" w:hAnsi="Arial" w:cs="Arial"/>
          <w:sz w:val="19"/>
          <w:szCs w:val="19"/>
        </w:rPr>
        <w:t xml:space="preserve">The Victorian vocational training system has been on a reform trajectory for over twenty years. This trajectory has run in parallel with broader public management reform trends through the 1990s and 2000s and Victoria’s vocational training system had often been a public sector reform leader. </w:t>
      </w:r>
    </w:p>
    <w:p w:rsidR="00016659" w:rsidRPr="001F29E3" w:rsidRDefault="00016659" w:rsidP="00016659">
      <w:pPr>
        <w:pStyle w:val="PlainText"/>
        <w:spacing w:after="84" w:line="220" w:lineRule="atLeast"/>
        <w:jc w:val="both"/>
        <w:rPr>
          <w:rFonts w:ascii="Arial" w:hAnsi="Arial" w:cs="Arial"/>
          <w:sz w:val="19"/>
          <w:szCs w:val="19"/>
        </w:rPr>
      </w:pPr>
      <w:r w:rsidRPr="001F29E3">
        <w:rPr>
          <w:rFonts w:ascii="Arial" w:hAnsi="Arial" w:cs="Arial"/>
          <w:sz w:val="19"/>
          <w:szCs w:val="19"/>
        </w:rPr>
        <w:t>In the early 1990s the system involved a TAFE-centred, Government managed model.</w:t>
      </w:r>
      <w:r w:rsidR="002C240D" w:rsidRPr="001F29E3">
        <w:rPr>
          <w:rFonts w:ascii="Arial" w:hAnsi="Arial" w:cs="Arial"/>
          <w:sz w:val="19"/>
          <w:szCs w:val="19"/>
        </w:rPr>
        <w:t xml:space="preserve"> </w:t>
      </w:r>
      <w:r w:rsidRPr="001F29E3">
        <w:rPr>
          <w:rFonts w:ascii="Arial" w:hAnsi="Arial" w:cs="Arial"/>
          <w:sz w:val="19"/>
          <w:szCs w:val="19"/>
        </w:rPr>
        <w:t>This evolved first to a Government planned purchaser-provider model which allowed a range of providers to deliver training services on behalf of Government. Despite the efficiency benefits realised, by the late 2000s it was clear a centrally planned and purchased system was not well suited to deliver the increasingly complex types of training Victoria needed and that delivery activity was misaligned with industry needs.</w:t>
      </w:r>
      <w:r w:rsidR="002C240D" w:rsidRPr="001F29E3">
        <w:rPr>
          <w:rFonts w:ascii="Arial" w:hAnsi="Arial" w:cs="Arial"/>
          <w:sz w:val="19"/>
          <w:szCs w:val="19"/>
        </w:rPr>
        <w:t xml:space="preserve"> </w:t>
      </w:r>
    </w:p>
    <w:p w:rsidR="00016659" w:rsidRPr="001F29E3" w:rsidRDefault="00016659" w:rsidP="00016659">
      <w:pPr>
        <w:pStyle w:val="PlainText"/>
        <w:spacing w:after="84" w:line="220" w:lineRule="atLeast"/>
        <w:jc w:val="both"/>
        <w:rPr>
          <w:rFonts w:ascii="Arial" w:hAnsi="Arial" w:cs="Arial"/>
        </w:rPr>
      </w:pPr>
      <w:r w:rsidRPr="001F29E3">
        <w:rPr>
          <w:rFonts w:ascii="Arial" w:hAnsi="Arial" w:cs="Arial"/>
          <w:sz w:val="19"/>
          <w:szCs w:val="19"/>
        </w:rPr>
        <w:t>In 2008, the Victorian Training Guarantee (VTG) was introduced, placing the purchasing power for training in the hands of students.</w:t>
      </w:r>
      <w:r w:rsidR="002C240D" w:rsidRPr="001F29E3">
        <w:rPr>
          <w:rFonts w:ascii="Arial" w:hAnsi="Arial" w:cs="Arial"/>
          <w:sz w:val="19"/>
          <w:szCs w:val="19"/>
        </w:rPr>
        <w:t xml:space="preserve"> </w:t>
      </w:r>
      <w:r w:rsidRPr="001F29E3">
        <w:rPr>
          <w:rFonts w:ascii="Arial" w:hAnsi="Arial" w:cs="Arial"/>
          <w:sz w:val="19"/>
          <w:szCs w:val="19"/>
        </w:rPr>
        <w:t>The VTG allowed individual students to access government subsidised training places in the course of their choice and at a range of providers. To facilitate this entitlement, the overall number of training places was uncapped and places were no longer allocated to particular providers.</w:t>
      </w:r>
      <w:r w:rsidR="002C240D" w:rsidRPr="001F29E3">
        <w:rPr>
          <w:rFonts w:ascii="Arial" w:hAnsi="Arial" w:cs="Arial"/>
          <w:sz w:val="19"/>
          <w:szCs w:val="19"/>
        </w:rPr>
        <w:t xml:space="preserve"> </w:t>
      </w:r>
      <w:r w:rsidRPr="001F29E3">
        <w:rPr>
          <w:rFonts w:ascii="Arial" w:hAnsi="Arial" w:cs="Arial"/>
          <w:sz w:val="19"/>
          <w:szCs w:val="19"/>
        </w:rPr>
        <w:t>The introduction of the VTG released pent up, latent demand for skills training.</w:t>
      </w:r>
      <w:r w:rsidR="002C240D" w:rsidRPr="001F29E3">
        <w:rPr>
          <w:rFonts w:ascii="Arial" w:hAnsi="Arial" w:cs="Arial"/>
          <w:sz w:val="19"/>
          <w:szCs w:val="19"/>
        </w:rPr>
        <w:t xml:space="preserve"> </w:t>
      </w:r>
      <w:r w:rsidRPr="001F29E3">
        <w:rPr>
          <w:rFonts w:ascii="Arial" w:hAnsi="Arial" w:cs="Arial"/>
          <w:sz w:val="19"/>
          <w:szCs w:val="19"/>
        </w:rPr>
        <w:t>Between 2008 and 2012 there was an increase in government funded VET enrolments from 381,300 to 670,400 people – representing 7</w:t>
      </w:r>
      <w:r w:rsidR="00385F2D">
        <w:rPr>
          <w:rFonts w:ascii="Arial" w:hAnsi="Arial" w:cs="Arial"/>
          <w:sz w:val="19"/>
          <w:szCs w:val="19"/>
        </w:rPr>
        <w:t>6</w:t>
      </w:r>
      <w:r w:rsidRPr="001F29E3">
        <w:rPr>
          <w:rFonts w:ascii="Arial" w:hAnsi="Arial" w:cs="Arial"/>
          <w:sz w:val="19"/>
          <w:szCs w:val="19"/>
        </w:rPr>
        <w:t xml:space="preserve"> per cent growth in enrolments in the system.</w:t>
      </w:r>
    </w:p>
    <w:p w:rsidR="00016659" w:rsidRPr="001F29E3" w:rsidRDefault="00016659" w:rsidP="00016659">
      <w:pPr>
        <w:kinsoku w:val="0"/>
        <w:overflowPunct w:val="0"/>
        <w:spacing w:after="84"/>
        <w:textAlignment w:val="baseline"/>
        <w:rPr>
          <w:rFonts w:cs="Arial"/>
          <w:szCs w:val="19"/>
        </w:rPr>
      </w:pPr>
      <w:r w:rsidRPr="001F29E3">
        <w:rPr>
          <w:rFonts w:cs="Arial"/>
          <w:szCs w:val="19"/>
        </w:rPr>
        <w:t>While the VTG resulted in significant growth in government funded activity and in areas of industry and economic need, it also revealed opportunities for improvement as some elements of the new market-based training system design were sub-optimal.</w:t>
      </w:r>
      <w:r w:rsidR="002C240D" w:rsidRPr="001F29E3">
        <w:rPr>
          <w:rFonts w:cs="Arial"/>
          <w:szCs w:val="19"/>
        </w:rPr>
        <w:t xml:space="preserve"> </w:t>
      </w:r>
      <w:r w:rsidRPr="001F29E3">
        <w:rPr>
          <w:rFonts w:cs="Arial"/>
          <w:szCs w:val="19"/>
        </w:rPr>
        <w:t xml:space="preserve">In response, the Victorian Government released the </w:t>
      </w:r>
      <w:r w:rsidRPr="001F29E3">
        <w:rPr>
          <w:rFonts w:cs="Arial"/>
          <w:i/>
          <w:szCs w:val="19"/>
        </w:rPr>
        <w:t>Refocusing Vocational Training in Victoria</w:t>
      </w:r>
      <w:r w:rsidRPr="001F29E3">
        <w:rPr>
          <w:rFonts w:cs="Arial"/>
          <w:szCs w:val="19"/>
        </w:rPr>
        <w:t xml:space="preserve"> reform package in May 2012.</w:t>
      </w:r>
      <w:r w:rsidR="002C240D" w:rsidRPr="001F29E3">
        <w:rPr>
          <w:rFonts w:cs="Arial"/>
          <w:szCs w:val="19"/>
        </w:rPr>
        <w:t xml:space="preserve"> </w:t>
      </w:r>
      <w:r w:rsidRPr="001F29E3">
        <w:rPr>
          <w:rFonts w:cs="Arial"/>
          <w:szCs w:val="19"/>
        </w:rPr>
        <w:t>The government is retaining and strengthening the individual entitlement to a subsidised training place to ensure that businesses and students continue to have choice over what and where they study and ensuring the cost of such access remains sustainable and in areas of greatest public value.</w:t>
      </w:r>
      <w:r w:rsidR="002C240D" w:rsidRPr="001F29E3">
        <w:rPr>
          <w:rFonts w:cs="Arial"/>
          <w:szCs w:val="19"/>
        </w:rPr>
        <w:t xml:space="preserve"> </w:t>
      </w:r>
      <w:r w:rsidRPr="001F29E3">
        <w:rPr>
          <w:rFonts w:cs="Arial"/>
          <w:szCs w:val="19"/>
        </w:rPr>
        <w:t>The public value of courses has been assessed on the basis of its value to the economy (in terms of jobs or productivity) and the extent to which government investment is required to stimulate delivery of, and participation in, this training to meet industry needs.</w:t>
      </w:r>
    </w:p>
    <w:p w:rsidR="00016659" w:rsidRPr="001F29E3" w:rsidRDefault="00016659" w:rsidP="00016659">
      <w:pPr>
        <w:kinsoku w:val="0"/>
        <w:overflowPunct w:val="0"/>
        <w:spacing w:after="84"/>
        <w:contextualSpacing/>
        <w:textAlignment w:val="baseline"/>
        <w:rPr>
          <w:rFonts w:cs="Arial"/>
          <w:szCs w:val="19"/>
        </w:rPr>
      </w:pPr>
    </w:p>
    <w:p w:rsidR="00016659" w:rsidRPr="001F29E3" w:rsidRDefault="00016659" w:rsidP="00016659">
      <w:pPr>
        <w:kinsoku w:val="0"/>
        <w:overflowPunct w:val="0"/>
        <w:spacing w:after="84"/>
        <w:contextualSpacing/>
        <w:textAlignment w:val="baseline"/>
        <w:rPr>
          <w:rFonts w:cs="Arial"/>
          <w:szCs w:val="19"/>
        </w:rPr>
      </w:pPr>
      <w:r w:rsidRPr="001F29E3">
        <w:rPr>
          <w:rFonts w:cs="Arial"/>
          <w:szCs w:val="19"/>
        </w:rPr>
        <w:lastRenderedPageBreak/>
        <w:t>All caps on the fees providers can charge have also been removed. Providers are now free to set prices they believe reflect the quality of their training. However, protections for low income students via retention o</w:t>
      </w:r>
      <w:r w:rsidR="002C240D" w:rsidRPr="001F29E3">
        <w:rPr>
          <w:rFonts w:cs="Arial"/>
          <w:szCs w:val="19"/>
        </w:rPr>
        <w:t>f a concessions fee regime for Certificate I - C</w:t>
      </w:r>
      <w:r w:rsidRPr="001F29E3">
        <w:rPr>
          <w:rFonts w:cs="Arial"/>
          <w:szCs w:val="19"/>
        </w:rPr>
        <w:t>ertificate IV level qualifications have been maintained</w:t>
      </w:r>
      <w:r w:rsidR="002C240D" w:rsidRPr="001F29E3">
        <w:rPr>
          <w:rFonts w:cs="Arial"/>
          <w:szCs w:val="19"/>
        </w:rPr>
        <w:t>, wh</w:t>
      </w:r>
      <w:r w:rsidRPr="001F29E3">
        <w:rPr>
          <w:rFonts w:cs="Arial"/>
          <w:szCs w:val="19"/>
        </w:rPr>
        <w:t>ile VET FEE-HELP is available for students undertaking Diplomas and Advanced Diplomas.</w:t>
      </w:r>
    </w:p>
    <w:p w:rsidR="00016659" w:rsidRPr="001F29E3" w:rsidRDefault="00016659" w:rsidP="00016659">
      <w:pPr>
        <w:pStyle w:val="PlainText"/>
        <w:spacing w:after="84" w:line="220" w:lineRule="atLeast"/>
        <w:jc w:val="both"/>
        <w:rPr>
          <w:rFonts w:ascii="Arial" w:hAnsi="Arial" w:cs="Arial"/>
          <w:sz w:val="19"/>
          <w:szCs w:val="19"/>
        </w:rPr>
      </w:pPr>
      <w:r w:rsidRPr="001F29E3">
        <w:rPr>
          <w:rFonts w:ascii="Arial" w:hAnsi="Arial" w:cs="Arial"/>
          <w:sz w:val="19"/>
          <w:szCs w:val="19"/>
        </w:rPr>
        <w:t>The Government has continued and expanded access to subsidised training for low SES young people, Indigenous Victorians and students in regional and rural Victoria.</w:t>
      </w:r>
      <w:r w:rsidR="002C240D" w:rsidRPr="001F29E3">
        <w:rPr>
          <w:rFonts w:ascii="Arial" w:hAnsi="Arial" w:cs="Arial"/>
          <w:sz w:val="19"/>
          <w:szCs w:val="19"/>
        </w:rPr>
        <w:t xml:space="preserve"> </w:t>
      </w:r>
      <w:r w:rsidRPr="001F29E3">
        <w:rPr>
          <w:rFonts w:ascii="Arial" w:hAnsi="Arial" w:cs="Arial"/>
          <w:sz w:val="19"/>
          <w:szCs w:val="19"/>
        </w:rPr>
        <w:t>The Government provides additional assistance through subsidy loadings for students most in need. Subsidised pathway programs through pre-accredited training have also been maintained to ensure pathways to vocational tr</w:t>
      </w:r>
      <w:r w:rsidR="002C240D" w:rsidRPr="001F29E3">
        <w:rPr>
          <w:rFonts w:ascii="Arial" w:hAnsi="Arial" w:cs="Arial"/>
          <w:sz w:val="19"/>
          <w:szCs w:val="19"/>
        </w:rPr>
        <w:t xml:space="preserve">aining for those most in need. </w:t>
      </w:r>
      <w:r w:rsidRPr="001F29E3">
        <w:rPr>
          <w:rFonts w:ascii="Arial" w:hAnsi="Arial" w:cs="Arial"/>
          <w:sz w:val="19"/>
          <w:szCs w:val="19"/>
        </w:rPr>
        <w:t xml:space="preserve">These investments are making sure people facing barriers into employment and/or with low incomes are able to access quality vocational training. </w:t>
      </w:r>
    </w:p>
    <w:p w:rsidR="00016659" w:rsidRPr="001F29E3" w:rsidRDefault="00016659" w:rsidP="00016659">
      <w:pPr>
        <w:pStyle w:val="PlainText"/>
        <w:spacing w:after="84" w:line="220" w:lineRule="atLeast"/>
        <w:jc w:val="both"/>
        <w:rPr>
          <w:rFonts w:ascii="Arial" w:hAnsi="Arial" w:cs="Arial"/>
          <w:iCs/>
          <w:sz w:val="19"/>
          <w:szCs w:val="19"/>
        </w:rPr>
      </w:pPr>
      <w:r w:rsidRPr="001F29E3">
        <w:rPr>
          <w:rFonts w:ascii="Arial" w:hAnsi="Arial" w:cs="Arial"/>
          <w:sz w:val="19"/>
          <w:szCs w:val="19"/>
        </w:rPr>
        <w:t>As Victoria’s economy continues to experience significant change, a new industry architecture has also been developed that engages directly with industry to ensure the training market stays aligned with changes in industry need</w:t>
      </w:r>
      <w:r w:rsidR="002C240D" w:rsidRPr="001F29E3">
        <w:rPr>
          <w:rFonts w:ascii="Arial" w:hAnsi="Arial" w:cs="Arial"/>
          <w:sz w:val="19"/>
          <w:szCs w:val="19"/>
        </w:rPr>
        <w:t xml:space="preserve">. </w:t>
      </w:r>
      <w:r w:rsidRPr="001F29E3">
        <w:rPr>
          <w:rFonts w:ascii="Arial" w:hAnsi="Arial" w:cs="Arial"/>
          <w:iCs/>
          <w:sz w:val="19"/>
          <w:szCs w:val="19"/>
        </w:rPr>
        <w:t>The model features a series of mechanisms to facilitate direct industry engagement, such as the Industry Skills Consultative Committee, Industry Roundtables and one to one consultations with industry groups across all regions.</w:t>
      </w:r>
      <w:r w:rsidR="002C240D" w:rsidRPr="001F29E3">
        <w:rPr>
          <w:rFonts w:ascii="Arial" w:hAnsi="Arial" w:cs="Arial"/>
          <w:iCs/>
          <w:sz w:val="19"/>
          <w:szCs w:val="19"/>
        </w:rPr>
        <w:t xml:space="preserve"> </w:t>
      </w:r>
      <w:r w:rsidRPr="001F29E3">
        <w:rPr>
          <w:rFonts w:ascii="Arial" w:hAnsi="Arial" w:cs="Arial"/>
          <w:iCs/>
          <w:sz w:val="19"/>
          <w:szCs w:val="19"/>
        </w:rPr>
        <w:t>These mechanisms enable government to monitor the responsiveness of the training market to industry skills needs and to identify priorities for market facilitation to improve responsiveness.</w:t>
      </w:r>
    </w:p>
    <w:p w:rsidR="00016659" w:rsidRPr="001F29E3" w:rsidRDefault="00016659" w:rsidP="00016659">
      <w:pPr>
        <w:kinsoku w:val="0"/>
        <w:overflowPunct w:val="0"/>
        <w:spacing w:after="84"/>
        <w:textAlignment w:val="baseline"/>
        <w:rPr>
          <w:rFonts w:eastAsiaTheme="minorEastAsia" w:cs="Arial"/>
          <w:color w:val="000000" w:themeColor="text1"/>
          <w:kern w:val="24"/>
          <w:szCs w:val="19"/>
          <w:lang w:eastAsia="en-AU"/>
        </w:rPr>
      </w:pPr>
      <w:r w:rsidRPr="001F29E3">
        <w:rPr>
          <w:rFonts w:eastAsiaTheme="minorEastAsia" w:cs="Arial"/>
          <w:color w:val="000000" w:themeColor="text1"/>
          <w:kern w:val="24"/>
          <w:szCs w:val="19"/>
          <w:lang w:eastAsia="en-AU"/>
        </w:rPr>
        <w:t>The new training system also recognises the need for stronger contract management, performance monitoring and quality assurance.</w:t>
      </w:r>
      <w:r w:rsidRPr="001F29E3">
        <w:rPr>
          <w:rFonts w:cs="Arial"/>
          <w:szCs w:val="19"/>
          <w:lang w:eastAsia="en-AU"/>
        </w:rPr>
        <w:t xml:space="preserve"> T</w:t>
      </w:r>
      <w:r w:rsidRPr="001F29E3">
        <w:rPr>
          <w:rFonts w:eastAsiaTheme="minorEastAsia" w:cs="Arial"/>
          <w:color w:val="000000" w:themeColor="text1"/>
          <w:kern w:val="24"/>
          <w:szCs w:val="19"/>
          <w:lang w:eastAsia="en-AU"/>
        </w:rPr>
        <w:t>here have been concerns about the quality of training which have come about because of the way the system used to operate. In some cases students and the Government were not getting what they paid for and employers were not finding vocational training graduates with the skills they need for their workplaces.</w:t>
      </w:r>
    </w:p>
    <w:p w:rsidR="00016659" w:rsidRPr="001F29E3" w:rsidRDefault="00016659" w:rsidP="00016659">
      <w:pPr>
        <w:kinsoku w:val="0"/>
        <w:overflowPunct w:val="0"/>
        <w:spacing w:after="84"/>
        <w:contextualSpacing/>
        <w:textAlignment w:val="baseline"/>
        <w:rPr>
          <w:rFonts w:cs="Arial"/>
          <w:szCs w:val="19"/>
          <w:lang w:eastAsia="en-AU"/>
        </w:rPr>
      </w:pPr>
      <w:r w:rsidRPr="001F29E3">
        <w:rPr>
          <w:rFonts w:eastAsiaTheme="minorEastAsia" w:cs="Arial"/>
          <w:color w:val="000000" w:themeColor="text1"/>
          <w:kern w:val="24"/>
          <w:szCs w:val="19"/>
          <w:lang w:eastAsia="en-AU"/>
        </w:rPr>
        <w:t>That said, the vast majority of providers do offer high quality training, focussed on the needs of students and industry. However a small number did not – and we needed to act on this.</w:t>
      </w:r>
    </w:p>
    <w:p w:rsidR="00016659" w:rsidRPr="001F29E3" w:rsidRDefault="00016659" w:rsidP="00016659">
      <w:pPr>
        <w:pStyle w:val="PlainText"/>
        <w:spacing w:after="84" w:line="220" w:lineRule="atLeast"/>
        <w:jc w:val="both"/>
        <w:rPr>
          <w:rFonts w:ascii="Arial" w:eastAsiaTheme="minorEastAsia" w:hAnsi="Arial" w:cs="Arial"/>
          <w:color w:val="000000" w:themeColor="text1"/>
          <w:kern w:val="24"/>
          <w:sz w:val="19"/>
          <w:szCs w:val="19"/>
          <w:lang w:eastAsia="en-AU"/>
        </w:rPr>
      </w:pPr>
      <w:r w:rsidRPr="001F29E3">
        <w:rPr>
          <w:rFonts w:ascii="Arial" w:eastAsiaTheme="minorEastAsia" w:hAnsi="Arial" w:cs="Arial"/>
          <w:color w:val="000000" w:themeColor="text1"/>
          <w:kern w:val="24"/>
          <w:sz w:val="19"/>
          <w:szCs w:val="19"/>
          <w:lang w:eastAsia="en-AU"/>
        </w:rPr>
        <w:t>Providers seeking to offer government-subsidised training now have to meet tougher contract standards than was the case previously. The Victorian Registration and Qualifications Authority has been given stronger regulatory powers of inspection and enforcement.</w:t>
      </w:r>
    </w:p>
    <w:p w:rsidR="00016659" w:rsidRPr="001F29E3" w:rsidRDefault="00FB5597" w:rsidP="00016659">
      <w:pPr>
        <w:kinsoku w:val="0"/>
        <w:overflowPunct w:val="0"/>
        <w:spacing w:after="84"/>
        <w:contextualSpacing/>
        <w:textAlignment w:val="baseline"/>
        <w:rPr>
          <w:rFonts w:eastAsiaTheme="minorEastAsia" w:cs="Arial"/>
          <w:color w:val="000000" w:themeColor="text1"/>
          <w:kern w:val="24"/>
          <w:szCs w:val="19"/>
          <w:lang w:eastAsia="en-AU"/>
        </w:rPr>
      </w:pPr>
      <w:r>
        <w:rPr>
          <w:rFonts w:eastAsiaTheme="minorEastAsia" w:cs="Arial"/>
          <w:color w:val="000000" w:themeColor="text1"/>
          <w:kern w:val="24"/>
          <w:szCs w:val="19"/>
          <w:lang w:eastAsia="en-AU"/>
        </w:rPr>
        <w:t>The m</w:t>
      </w:r>
      <w:r w:rsidR="006348E6">
        <w:rPr>
          <w:rFonts w:eastAsiaTheme="minorEastAsia" w:cs="Arial"/>
          <w:color w:val="000000" w:themeColor="text1"/>
          <w:kern w:val="24"/>
          <w:szCs w:val="19"/>
          <w:lang w:eastAsia="en-AU"/>
        </w:rPr>
        <w:t xml:space="preserve">arket </w:t>
      </w:r>
      <w:r>
        <w:rPr>
          <w:rFonts w:eastAsiaTheme="minorEastAsia" w:cs="Arial"/>
          <w:color w:val="000000" w:themeColor="text1"/>
          <w:kern w:val="24"/>
          <w:szCs w:val="19"/>
          <w:lang w:eastAsia="en-AU"/>
        </w:rPr>
        <w:t xml:space="preserve">requires </w:t>
      </w:r>
      <w:r w:rsidRPr="001F29E3">
        <w:rPr>
          <w:rFonts w:eastAsiaTheme="minorEastAsia" w:cs="Arial"/>
          <w:color w:val="000000" w:themeColor="text1"/>
          <w:kern w:val="24"/>
          <w:szCs w:val="19"/>
          <w:lang w:eastAsia="en-AU"/>
        </w:rPr>
        <w:t>a</w:t>
      </w:r>
      <w:r>
        <w:rPr>
          <w:rFonts w:eastAsiaTheme="minorEastAsia" w:cs="Arial"/>
          <w:color w:val="000000" w:themeColor="text1"/>
          <w:kern w:val="24"/>
          <w:szCs w:val="19"/>
          <w:lang w:eastAsia="en-AU"/>
        </w:rPr>
        <w:t xml:space="preserve"> </w:t>
      </w:r>
      <w:r w:rsidRPr="001F29E3">
        <w:rPr>
          <w:rFonts w:eastAsiaTheme="minorEastAsia" w:cs="Arial"/>
          <w:color w:val="000000" w:themeColor="text1"/>
          <w:kern w:val="24"/>
          <w:szCs w:val="19"/>
          <w:lang w:eastAsia="en-AU"/>
        </w:rPr>
        <w:t>better level</w:t>
      </w:r>
      <w:r w:rsidR="00016659" w:rsidRPr="001F29E3">
        <w:rPr>
          <w:rFonts w:eastAsiaTheme="minorEastAsia" w:cs="Arial"/>
          <w:color w:val="000000" w:themeColor="text1"/>
          <w:kern w:val="24"/>
          <w:szCs w:val="19"/>
          <w:lang w:eastAsia="en-AU"/>
        </w:rPr>
        <w:t xml:space="preserve"> and quality of information made accessible for people to decide about their training options.</w:t>
      </w:r>
      <w:r w:rsidR="002C240D" w:rsidRPr="001F29E3">
        <w:rPr>
          <w:rFonts w:eastAsiaTheme="minorEastAsia" w:cs="Arial"/>
          <w:color w:val="000000" w:themeColor="text1"/>
          <w:kern w:val="24"/>
          <w:szCs w:val="19"/>
          <w:lang w:eastAsia="en-AU"/>
        </w:rPr>
        <w:t xml:space="preserve"> </w:t>
      </w:r>
      <w:r w:rsidR="00016659" w:rsidRPr="001F29E3">
        <w:rPr>
          <w:rFonts w:eastAsiaTheme="minorEastAsia" w:cs="Arial"/>
          <w:color w:val="000000" w:themeColor="text1"/>
          <w:kern w:val="24"/>
          <w:szCs w:val="19"/>
          <w:lang w:eastAsia="en-AU"/>
        </w:rPr>
        <w:t xml:space="preserve">Employers and students can now access a new one-stop shop training website – the </w:t>
      </w:r>
      <w:r w:rsidR="00016659" w:rsidRPr="001F29E3">
        <w:rPr>
          <w:rFonts w:eastAsiaTheme="minorEastAsia" w:cs="Arial"/>
          <w:i/>
          <w:color w:val="000000" w:themeColor="text1"/>
          <w:kern w:val="24"/>
          <w:szCs w:val="19"/>
          <w:lang w:eastAsia="en-AU"/>
        </w:rPr>
        <w:t>Victorian Skills Gateway</w:t>
      </w:r>
      <w:r w:rsidR="00016659" w:rsidRPr="001F29E3">
        <w:rPr>
          <w:rFonts w:eastAsiaTheme="minorEastAsia" w:cs="Arial"/>
          <w:color w:val="000000" w:themeColor="text1"/>
          <w:kern w:val="24"/>
          <w:szCs w:val="19"/>
          <w:lang w:eastAsia="en-AU"/>
        </w:rPr>
        <w:t xml:space="preserve"> - and providers will be required to disclose price and quality information upfront to prospective students. Industry is also being supported to engage much more directly with training providers to ensure their skills needs are met, rather than more passively accepting market outcomes or seeking additional government assistance to address skills gaps. This means that industry and business will better be able to attract people.</w:t>
      </w:r>
    </w:p>
    <w:p w:rsidR="00016659" w:rsidRPr="001F29E3" w:rsidRDefault="00016659" w:rsidP="00016659">
      <w:pPr>
        <w:pStyle w:val="PlainText"/>
        <w:spacing w:after="84" w:line="220" w:lineRule="atLeast"/>
        <w:jc w:val="both"/>
        <w:rPr>
          <w:rFonts w:ascii="Arial" w:hAnsi="Arial" w:cs="Arial"/>
          <w:sz w:val="19"/>
          <w:szCs w:val="19"/>
        </w:rPr>
      </w:pPr>
      <w:r w:rsidRPr="001F29E3">
        <w:rPr>
          <w:rFonts w:ascii="Arial" w:eastAsiaTheme="minorEastAsia" w:hAnsi="Arial" w:cs="Arial"/>
          <w:color w:val="000000" w:themeColor="text1"/>
          <w:kern w:val="24"/>
          <w:sz w:val="19"/>
          <w:szCs w:val="19"/>
          <w:lang w:eastAsia="en-AU"/>
        </w:rPr>
        <w:t>Victoria needs to ensure strong oversight of the new training market. A Market Monitoring Unit (MMU) has been established. The role of the MMU is to monitor how the training market is functioning including, quality, price and competition. The unit will track market activity and advise the Government on these issues to inform future subsidy levels.</w:t>
      </w:r>
    </w:p>
    <w:p w:rsidR="00016659" w:rsidRPr="001F29E3" w:rsidRDefault="00016659" w:rsidP="00016659">
      <w:pPr>
        <w:pStyle w:val="PlainText"/>
        <w:spacing w:after="84" w:line="220" w:lineRule="atLeast"/>
        <w:jc w:val="both"/>
        <w:rPr>
          <w:rFonts w:ascii="Arial" w:hAnsi="Arial" w:cs="Arial"/>
          <w:sz w:val="19"/>
          <w:szCs w:val="19"/>
        </w:rPr>
      </w:pPr>
      <w:r w:rsidRPr="001F29E3">
        <w:rPr>
          <w:rFonts w:ascii="Arial" w:hAnsi="Arial" w:cs="Arial"/>
          <w:sz w:val="19"/>
          <w:szCs w:val="19"/>
        </w:rPr>
        <w:t>In addition to a focus on improving outcomes for students and industry, the Refocusing Vocational Training in Victoria initiative recognised that a modern vocational training system requires a network of well-functioning and modern TAFE institutes delivering in their areas of strength alongside other providers.</w:t>
      </w:r>
      <w:r w:rsidR="002C240D" w:rsidRPr="001F29E3">
        <w:rPr>
          <w:rFonts w:ascii="Arial" w:hAnsi="Arial" w:cs="Arial"/>
          <w:sz w:val="19"/>
          <w:szCs w:val="19"/>
        </w:rPr>
        <w:t xml:space="preserve"> </w:t>
      </w:r>
    </w:p>
    <w:p w:rsidR="002C240D" w:rsidRPr="001F29E3" w:rsidRDefault="002C240D" w:rsidP="002C240D">
      <w:pPr>
        <w:spacing w:after="0" w:line="240" w:lineRule="auto"/>
        <w:jc w:val="left"/>
        <w:rPr>
          <w:rFonts w:eastAsiaTheme="minorHAnsi" w:cs="Arial"/>
          <w:szCs w:val="19"/>
        </w:rPr>
      </w:pPr>
      <w:r w:rsidRPr="001F29E3">
        <w:rPr>
          <w:rFonts w:eastAsiaTheme="minorHAnsi" w:cs="Arial"/>
          <w:szCs w:val="19"/>
        </w:rPr>
        <w:t>As part of the Refocusing Vocational Training in Victoria reforms, the Government established an independent TAFE Reform Panel, to advise on ways to foster a strong, sustainable TAFE sector in an open and competitive training market.</w:t>
      </w:r>
    </w:p>
    <w:p w:rsidR="002C240D" w:rsidRPr="001F29E3" w:rsidRDefault="002C240D" w:rsidP="002C240D">
      <w:pPr>
        <w:spacing w:after="0" w:line="240" w:lineRule="auto"/>
        <w:jc w:val="left"/>
        <w:rPr>
          <w:rFonts w:eastAsiaTheme="minorHAnsi" w:cs="Arial"/>
          <w:szCs w:val="19"/>
        </w:rPr>
      </w:pPr>
    </w:p>
    <w:p w:rsidR="002C240D" w:rsidRPr="001F29E3" w:rsidRDefault="002C240D" w:rsidP="002C240D">
      <w:pPr>
        <w:spacing w:after="0" w:line="240" w:lineRule="auto"/>
        <w:jc w:val="left"/>
        <w:rPr>
          <w:rFonts w:eastAsiaTheme="minorHAnsi" w:cs="Arial"/>
          <w:szCs w:val="19"/>
        </w:rPr>
      </w:pPr>
      <w:r w:rsidRPr="001F29E3">
        <w:rPr>
          <w:rFonts w:eastAsiaTheme="minorHAnsi" w:cs="Arial"/>
          <w:szCs w:val="19"/>
        </w:rPr>
        <w:t>The TAFE Reform Panel’s final report: A Strong and Sustainable Victorian TAFE sector provides findings and 19 recommendations relating specifically to the state’s 14 TAFE institutes and four dual-sector universities.</w:t>
      </w:r>
    </w:p>
    <w:p w:rsidR="002C240D" w:rsidRPr="001F29E3" w:rsidRDefault="002C240D" w:rsidP="002C240D">
      <w:pPr>
        <w:spacing w:after="0" w:line="240" w:lineRule="auto"/>
        <w:jc w:val="left"/>
        <w:rPr>
          <w:rFonts w:eastAsiaTheme="minorHAnsi" w:cs="Arial"/>
          <w:szCs w:val="19"/>
        </w:rPr>
      </w:pPr>
    </w:p>
    <w:p w:rsidR="002C240D" w:rsidRPr="001F29E3" w:rsidRDefault="002C240D" w:rsidP="002C240D">
      <w:pPr>
        <w:spacing w:after="0" w:line="240" w:lineRule="auto"/>
        <w:jc w:val="left"/>
        <w:rPr>
          <w:rFonts w:eastAsiaTheme="minorHAnsi" w:cs="Arial"/>
          <w:szCs w:val="19"/>
        </w:rPr>
      </w:pPr>
      <w:r w:rsidRPr="001F29E3">
        <w:rPr>
          <w:rFonts w:eastAsiaTheme="minorHAnsi" w:cs="Arial"/>
          <w:szCs w:val="19"/>
        </w:rPr>
        <w:t>The Government has responded to these recommendations in Next Steps for Refocusing Vocational Training in Victoria – Supporting a Modern Workforce.</w:t>
      </w:r>
    </w:p>
    <w:p w:rsidR="002C240D" w:rsidRPr="001F29E3" w:rsidRDefault="002C240D" w:rsidP="002C240D">
      <w:pPr>
        <w:spacing w:after="0" w:line="240" w:lineRule="auto"/>
        <w:jc w:val="left"/>
        <w:rPr>
          <w:rFonts w:eastAsiaTheme="minorHAnsi" w:cs="Arial"/>
          <w:szCs w:val="19"/>
        </w:rPr>
      </w:pPr>
    </w:p>
    <w:p w:rsidR="002C240D" w:rsidRPr="001F29E3" w:rsidRDefault="002C240D" w:rsidP="002C240D">
      <w:pPr>
        <w:spacing w:after="0" w:line="240" w:lineRule="auto"/>
        <w:jc w:val="left"/>
        <w:rPr>
          <w:rFonts w:eastAsiaTheme="minorHAnsi" w:cs="Arial"/>
          <w:szCs w:val="19"/>
        </w:rPr>
      </w:pPr>
      <w:r w:rsidRPr="001F29E3">
        <w:rPr>
          <w:rFonts w:eastAsiaTheme="minorHAnsi" w:cs="Arial"/>
          <w:szCs w:val="19"/>
        </w:rPr>
        <w:t>To strengthen Victorian TAFEs and encourage innovation in training delivery and content, the Government will:</w:t>
      </w:r>
    </w:p>
    <w:p w:rsidR="002C240D" w:rsidRPr="001F29E3" w:rsidRDefault="002C240D" w:rsidP="002C240D">
      <w:pPr>
        <w:spacing w:after="0" w:line="240" w:lineRule="auto"/>
        <w:jc w:val="left"/>
        <w:rPr>
          <w:rFonts w:eastAsiaTheme="minorHAnsi" w:cs="Arial"/>
          <w:szCs w:val="19"/>
        </w:rPr>
      </w:pPr>
    </w:p>
    <w:p w:rsidR="002C240D" w:rsidRPr="0094160D" w:rsidRDefault="002C240D" w:rsidP="000B208D">
      <w:pPr>
        <w:pStyle w:val="ListParagraph"/>
        <w:numPr>
          <w:ilvl w:val="0"/>
          <w:numId w:val="20"/>
        </w:numPr>
        <w:spacing w:after="0" w:line="240" w:lineRule="auto"/>
        <w:rPr>
          <w:rFonts w:ascii="Arial" w:eastAsiaTheme="minorHAnsi" w:hAnsi="Arial" w:cs="Arial"/>
          <w:sz w:val="18"/>
          <w:szCs w:val="18"/>
        </w:rPr>
      </w:pPr>
      <w:r w:rsidRPr="0094160D">
        <w:rPr>
          <w:rFonts w:ascii="Arial" w:eastAsiaTheme="minorHAnsi" w:hAnsi="Arial" w:cs="Arial"/>
          <w:sz w:val="18"/>
          <w:szCs w:val="18"/>
        </w:rPr>
        <w:t>provide $200 million in contestable funding for proposals for structural adjustment and business transformation for TAFE institutes that have limited resources</w:t>
      </w:r>
    </w:p>
    <w:p w:rsidR="002C240D" w:rsidRPr="0094160D" w:rsidRDefault="002C240D" w:rsidP="000B208D">
      <w:pPr>
        <w:pStyle w:val="ListParagraph"/>
        <w:numPr>
          <w:ilvl w:val="0"/>
          <w:numId w:val="20"/>
        </w:numPr>
        <w:spacing w:after="0" w:line="240" w:lineRule="auto"/>
        <w:rPr>
          <w:rFonts w:ascii="Arial" w:eastAsiaTheme="minorHAnsi" w:hAnsi="Arial" w:cs="Arial"/>
          <w:sz w:val="18"/>
          <w:szCs w:val="18"/>
        </w:rPr>
      </w:pPr>
      <w:r w:rsidRPr="0094160D">
        <w:rPr>
          <w:rFonts w:ascii="Arial" w:eastAsiaTheme="minorHAnsi" w:hAnsi="Arial" w:cs="Arial"/>
          <w:sz w:val="18"/>
          <w:szCs w:val="18"/>
        </w:rPr>
        <w:t>modernise the constitutions and supply commercial objectives for TAFE institutes to provide a clearer understanding of the Government’s expectations</w:t>
      </w:r>
    </w:p>
    <w:p w:rsidR="002C240D" w:rsidRPr="0094160D" w:rsidRDefault="002C240D" w:rsidP="000B208D">
      <w:pPr>
        <w:pStyle w:val="ListParagraph"/>
        <w:numPr>
          <w:ilvl w:val="0"/>
          <w:numId w:val="20"/>
        </w:numPr>
        <w:spacing w:after="0" w:line="240" w:lineRule="auto"/>
        <w:rPr>
          <w:rFonts w:ascii="Arial" w:eastAsiaTheme="minorHAnsi" w:hAnsi="Arial" w:cs="Arial"/>
          <w:sz w:val="18"/>
          <w:szCs w:val="18"/>
        </w:rPr>
      </w:pPr>
      <w:r w:rsidRPr="0094160D">
        <w:rPr>
          <w:rFonts w:ascii="Arial" w:eastAsiaTheme="minorHAnsi" w:hAnsi="Arial" w:cs="Arial"/>
          <w:sz w:val="18"/>
          <w:szCs w:val="18"/>
        </w:rPr>
        <w:t>give TAFE institutes greater control of their assets</w:t>
      </w:r>
    </w:p>
    <w:p w:rsidR="002C240D" w:rsidRPr="0094160D" w:rsidRDefault="002C240D" w:rsidP="000B208D">
      <w:pPr>
        <w:pStyle w:val="ListParagraph"/>
        <w:numPr>
          <w:ilvl w:val="0"/>
          <w:numId w:val="20"/>
        </w:numPr>
        <w:spacing w:after="0" w:line="240" w:lineRule="auto"/>
        <w:rPr>
          <w:rFonts w:ascii="Arial" w:eastAsiaTheme="minorHAnsi" w:hAnsi="Arial" w:cs="Arial"/>
          <w:sz w:val="18"/>
          <w:szCs w:val="18"/>
        </w:rPr>
      </w:pPr>
      <w:r w:rsidRPr="0094160D">
        <w:rPr>
          <w:rFonts w:ascii="Arial" w:eastAsiaTheme="minorHAnsi" w:hAnsi="Arial" w:cs="Arial"/>
          <w:sz w:val="18"/>
          <w:szCs w:val="18"/>
        </w:rPr>
        <w:t>reduce the regulatory burden on TAFE institutes through streamlined reporting requirements and clearly defining  roles and responsibilities of TAFE institutes and the Department</w:t>
      </w:r>
    </w:p>
    <w:p w:rsidR="002C240D" w:rsidRPr="0094160D" w:rsidRDefault="002C240D" w:rsidP="000B208D">
      <w:pPr>
        <w:pStyle w:val="ListParagraph"/>
        <w:numPr>
          <w:ilvl w:val="0"/>
          <w:numId w:val="20"/>
        </w:numPr>
        <w:spacing w:after="0" w:line="240" w:lineRule="auto"/>
        <w:rPr>
          <w:rFonts w:ascii="Arial" w:eastAsiaTheme="minorHAnsi" w:hAnsi="Arial" w:cs="Arial"/>
          <w:sz w:val="18"/>
          <w:szCs w:val="18"/>
        </w:rPr>
      </w:pPr>
      <w:r w:rsidRPr="0094160D">
        <w:rPr>
          <w:rFonts w:ascii="Arial" w:eastAsiaTheme="minorHAnsi" w:hAnsi="Arial" w:cs="Arial"/>
          <w:sz w:val="18"/>
          <w:szCs w:val="18"/>
        </w:rPr>
        <w:lastRenderedPageBreak/>
        <w:t>allow TAFE institutes to have more control over workplace relations</w:t>
      </w:r>
    </w:p>
    <w:p w:rsidR="002C240D" w:rsidRPr="0094160D" w:rsidRDefault="002C240D" w:rsidP="000B208D">
      <w:pPr>
        <w:pStyle w:val="ListParagraph"/>
        <w:numPr>
          <w:ilvl w:val="0"/>
          <w:numId w:val="20"/>
        </w:numPr>
        <w:spacing w:after="0" w:line="240" w:lineRule="auto"/>
        <w:rPr>
          <w:rFonts w:ascii="Arial" w:eastAsiaTheme="minorHAnsi" w:hAnsi="Arial" w:cs="Arial"/>
          <w:sz w:val="18"/>
          <w:szCs w:val="18"/>
        </w:rPr>
      </w:pPr>
      <w:r w:rsidRPr="0094160D">
        <w:rPr>
          <w:rFonts w:ascii="Arial" w:eastAsiaTheme="minorHAnsi" w:hAnsi="Arial" w:cs="Arial"/>
          <w:sz w:val="18"/>
          <w:szCs w:val="18"/>
        </w:rPr>
        <w:t>remove the restriction on TAFE institutes being registered as Group Training Organisations</w:t>
      </w:r>
    </w:p>
    <w:p w:rsidR="002C240D" w:rsidRPr="0094160D" w:rsidRDefault="002C240D" w:rsidP="000B208D">
      <w:pPr>
        <w:pStyle w:val="ListParagraph"/>
        <w:numPr>
          <w:ilvl w:val="0"/>
          <w:numId w:val="20"/>
        </w:numPr>
        <w:spacing w:after="0" w:line="240" w:lineRule="auto"/>
        <w:rPr>
          <w:rFonts w:ascii="Arial" w:eastAsiaTheme="minorHAnsi" w:hAnsi="Arial" w:cs="Arial"/>
          <w:sz w:val="18"/>
          <w:szCs w:val="18"/>
        </w:rPr>
      </w:pPr>
      <w:r w:rsidRPr="0094160D">
        <w:rPr>
          <w:rFonts w:ascii="Arial" w:eastAsiaTheme="minorHAnsi" w:hAnsi="Arial" w:cs="Arial"/>
          <w:sz w:val="18"/>
          <w:szCs w:val="18"/>
        </w:rPr>
        <w:t>reclassify the TAFE operations of dual-sector universities to bring them into line with other universities and reduce their reporting requirements.</w:t>
      </w:r>
    </w:p>
    <w:p w:rsidR="0035036D" w:rsidRPr="001F29E3" w:rsidRDefault="0035036D" w:rsidP="002C240D">
      <w:pPr>
        <w:spacing w:after="0" w:line="240" w:lineRule="auto"/>
        <w:jc w:val="left"/>
        <w:rPr>
          <w:rFonts w:cs="Arial"/>
          <w:color w:val="76923C" w:themeColor="accent3" w:themeShade="BF"/>
          <w:spacing w:val="-12"/>
          <w:sz w:val="46"/>
          <w:szCs w:val="46"/>
        </w:rPr>
      </w:pPr>
      <w:r w:rsidRPr="001F29E3">
        <w:rPr>
          <w:rFonts w:cs="Arial"/>
        </w:rPr>
        <w:br w:type="page"/>
      </w:r>
    </w:p>
    <w:p w:rsidR="00351166" w:rsidRPr="001F29E3" w:rsidRDefault="00351166" w:rsidP="00A9260A">
      <w:pPr>
        <w:pStyle w:val="Heading1"/>
        <w:rPr>
          <w:rFonts w:cs="Arial"/>
        </w:rPr>
      </w:pPr>
      <w:bookmarkStart w:id="31" w:name="_Toc359501553"/>
      <w:r w:rsidRPr="001F29E3">
        <w:rPr>
          <w:rFonts w:cs="Arial"/>
        </w:rPr>
        <w:lastRenderedPageBreak/>
        <w:t xml:space="preserve">Purpose </w:t>
      </w:r>
      <w:r w:rsidR="00EF7BF8" w:rsidRPr="001F29E3">
        <w:rPr>
          <w:rFonts w:cs="Arial"/>
        </w:rPr>
        <w:t>and</w:t>
      </w:r>
      <w:r w:rsidRPr="001F29E3">
        <w:rPr>
          <w:rFonts w:cs="Arial"/>
        </w:rPr>
        <w:t xml:space="preserve"> Background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6"/>
      <w:bookmarkEnd w:id="27"/>
      <w:bookmarkEnd w:id="28"/>
      <w:bookmarkEnd w:id="29"/>
      <w:bookmarkEnd w:id="31"/>
    </w:p>
    <w:p w:rsidR="0027062C" w:rsidRPr="001F29E3" w:rsidRDefault="0027062C" w:rsidP="00351166">
      <w:pPr>
        <w:rPr>
          <w:rFonts w:cs="Arial"/>
        </w:rPr>
      </w:pPr>
    </w:p>
    <w:p w:rsidR="00351166" w:rsidRPr="001F29E3" w:rsidRDefault="00351166" w:rsidP="00351166">
      <w:pPr>
        <w:rPr>
          <w:rFonts w:cs="Arial"/>
        </w:rPr>
      </w:pPr>
      <w:r w:rsidRPr="001F29E3">
        <w:rPr>
          <w:rFonts w:cs="Arial"/>
        </w:rPr>
        <w:t xml:space="preserve">This report has </w:t>
      </w:r>
      <w:r w:rsidR="005F166A" w:rsidRPr="001F29E3">
        <w:rPr>
          <w:rFonts w:cs="Arial"/>
        </w:rPr>
        <w:t xml:space="preserve">been prepared for the Minister </w:t>
      </w:r>
      <w:r w:rsidRPr="001F29E3">
        <w:rPr>
          <w:rFonts w:cs="Arial"/>
        </w:rPr>
        <w:t>f</w:t>
      </w:r>
      <w:r w:rsidR="005F166A" w:rsidRPr="001F29E3">
        <w:rPr>
          <w:rFonts w:cs="Arial"/>
        </w:rPr>
        <w:t>or</w:t>
      </w:r>
      <w:r w:rsidRPr="001F29E3">
        <w:rPr>
          <w:rFonts w:cs="Arial"/>
        </w:rPr>
        <w:t xml:space="preserve"> Higher Education and Skills, the Senior Executive of </w:t>
      </w:r>
      <w:r w:rsidR="00543940" w:rsidRPr="001F29E3">
        <w:rPr>
          <w:rFonts w:cs="Arial"/>
        </w:rPr>
        <w:t xml:space="preserve">DEECD </w:t>
      </w:r>
      <w:r w:rsidRPr="001F29E3">
        <w:rPr>
          <w:rFonts w:cs="Arial"/>
        </w:rPr>
        <w:t xml:space="preserve">and other key stakeholders in the </w:t>
      </w:r>
      <w:r w:rsidR="00221A72" w:rsidRPr="001F29E3">
        <w:rPr>
          <w:rFonts w:cs="Arial"/>
          <w:color w:val="000000"/>
        </w:rPr>
        <w:t>v</w:t>
      </w:r>
      <w:r w:rsidR="004F0806" w:rsidRPr="001F29E3">
        <w:rPr>
          <w:rFonts w:cs="Arial"/>
          <w:color w:val="000000"/>
        </w:rPr>
        <w:t xml:space="preserve">ocational </w:t>
      </w:r>
      <w:r w:rsidR="00221A72" w:rsidRPr="001F29E3">
        <w:rPr>
          <w:rFonts w:cs="Arial"/>
          <w:color w:val="000000"/>
        </w:rPr>
        <w:t>t</w:t>
      </w:r>
      <w:r w:rsidR="004F0806" w:rsidRPr="001F29E3">
        <w:rPr>
          <w:rFonts w:cs="Arial"/>
          <w:color w:val="000000"/>
        </w:rPr>
        <w:t>raining</w:t>
      </w:r>
      <w:r w:rsidR="00B03850" w:rsidRPr="001F29E3">
        <w:rPr>
          <w:rFonts w:cs="Arial"/>
        </w:rPr>
        <w:t xml:space="preserve"> </w:t>
      </w:r>
      <w:r w:rsidRPr="001F29E3">
        <w:rPr>
          <w:rFonts w:cs="Arial"/>
        </w:rPr>
        <w:t xml:space="preserve">system. Its purpose is to summarise emerging trends in the Victorian training market in </w:t>
      </w:r>
      <w:r w:rsidR="002C240D" w:rsidRPr="001F29E3">
        <w:rPr>
          <w:rFonts w:cs="Arial"/>
        </w:rPr>
        <w:t>quarter one 2013</w:t>
      </w:r>
      <w:r w:rsidRPr="001F29E3">
        <w:rPr>
          <w:rFonts w:cs="Arial"/>
        </w:rPr>
        <w:t xml:space="preserve"> and provide a comparative overview of market changes relative to </w:t>
      </w:r>
      <w:r w:rsidR="002C240D" w:rsidRPr="001F29E3">
        <w:rPr>
          <w:rFonts w:cs="Arial"/>
        </w:rPr>
        <w:t xml:space="preserve">the same period in </w:t>
      </w:r>
      <w:r w:rsidRPr="001F29E3">
        <w:rPr>
          <w:rFonts w:cs="Arial"/>
        </w:rPr>
        <w:t>201</w:t>
      </w:r>
      <w:r w:rsidR="00F70A7F" w:rsidRPr="001F29E3">
        <w:rPr>
          <w:rFonts w:cs="Arial"/>
        </w:rPr>
        <w:t>2</w:t>
      </w:r>
      <w:r w:rsidRPr="001F29E3">
        <w:rPr>
          <w:rFonts w:cs="Arial"/>
        </w:rPr>
        <w:t xml:space="preserve">. </w:t>
      </w:r>
    </w:p>
    <w:p w:rsidR="00351166" w:rsidRPr="001F29E3" w:rsidRDefault="00351166" w:rsidP="00351166">
      <w:pPr>
        <w:rPr>
          <w:rFonts w:cs="Arial"/>
        </w:rPr>
      </w:pPr>
      <w:r w:rsidRPr="001F29E3">
        <w:rPr>
          <w:rFonts w:cs="Arial"/>
        </w:rPr>
        <w:t>Key metrics include training delivery by funding source, qualification level</w:t>
      </w:r>
      <w:r w:rsidR="00385F2D">
        <w:rPr>
          <w:rFonts w:cs="Arial"/>
        </w:rPr>
        <w:t xml:space="preserve"> and</w:t>
      </w:r>
      <w:r w:rsidRPr="001F29E3">
        <w:rPr>
          <w:rFonts w:cs="Arial"/>
        </w:rPr>
        <w:t xml:space="preserve"> </w:t>
      </w:r>
      <w:r w:rsidR="00126689">
        <w:rPr>
          <w:rFonts w:cs="Arial"/>
        </w:rPr>
        <w:t>age of learners</w:t>
      </w:r>
      <w:r w:rsidRPr="001F29E3">
        <w:rPr>
          <w:rFonts w:cs="Arial"/>
        </w:rPr>
        <w:t>, higher needs learners and region</w:t>
      </w:r>
      <w:r w:rsidR="00126689">
        <w:rPr>
          <w:rFonts w:cs="Arial"/>
        </w:rPr>
        <w:t>al activity</w:t>
      </w:r>
      <w:r w:rsidRPr="001F29E3">
        <w:rPr>
          <w:rFonts w:cs="Arial"/>
        </w:rPr>
        <w:t>. An analysis of the responsiveness of training delivery to specific occupational needs</w:t>
      </w:r>
      <w:r w:rsidR="00126689">
        <w:rPr>
          <w:rFonts w:cs="Arial"/>
        </w:rPr>
        <w:t xml:space="preserve"> and</w:t>
      </w:r>
      <w:r w:rsidRPr="001F29E3">
        <w:rPr>
          <w:rFonts w:cs="Arial"/>
        </w:rPr>
        <w:t xml:space="preserve"> industry are also provided.</w:t>
      </w:r>
    </w:p>
    <w:p w:rsidR="00351166" w:rsidRPr="001F29E3" w:rsidRDefault="00351166" w:rsidP="00A9260A">
      <w:pPr>
        <w:pStyle w:val="Heading2"/>
      </w:pPr>
      <w:bookmarkStart w:id="32" w:name="_Toc316534694"/>
      <w:bookmarkStart w:id="33" w:name="_Toc316629585"/>
      <w:bookmarkStart w:id="34" w:name="_Toc317173939"/>
      <w:bookmarkStart w:id="35" w:name="_Toc317174088"/>
      <w:bookmarkStart w:id="36" w:name="_Toc346793018"/>
      <w:bookmarkStart w:id="37" w:name="_Toc348117717"/>
      <w:bookmarkStart w:id="38" w:name="_Toc348439963"/>
      <w:bookmarkStart w:id="39" w:name="_Toc348440162"/>
      <w:bookmarkStart w:id="40" w:name="_Toc349184174"/>
      <w:bookmarkStart w:id="41" w:name="_Toc349184323"/>
      <w:bookmarkStart w:id="42" w:name="_Toc349184513"/>
      <w:bookmarkStart w:id="43" w:name="_Toc359501554"/>
      <w:r w:rsidRPr="001F29E3">
        <w:t>Notes about the data and time periods</w:t>
      </w:r>
      <w:bookmarkEnd w:id="32"/>
      <w:bookmarkEnd w:id="33"/>
      <w:bookmarkEnd w:id="34"/>
      <w:bookmarkEnd w:id="35"/>
      <w:bookmarkEnd w:id="36"/>
      <w:bookmarkEnd w:id="37"/>
      <w:bookmarkEnd w:id="38"/>
      <w:bookmarkEnd w:id="39"/>
      <w:bookmarkEnd w:id="40"/>
      <w:bookmarkEnd w:id="41"/>
      <w:bookmarkEnd w:id="42"/>
      <w:bookmarkEnd w:id="43"/>
    </w:p>
    <w:p w:rsidR="00351166" w:rsidRPr="001F29E3" w:rsidRDefault="00351166" w:rsidP="00497C8C">
      <w:r w:rsidRPr="001F29E3">
        <w:t xml:space="preserve">The main source of </w:t>
      </w:r>
      <w:r w:rsidR="00221A72" w:rsidRPr="001F29E3">
        <w:t>v</w:t>
      </w:r>
      <w:r w:rsidR="004F0806" w:rsidRPr="001F29E3">
        <w:t xml:space="preserve">ocational </w:t>
      </w:r>
      <w:r w:rsidR="00221A72" w:rsidRPr="001F29E3">
        <w:t>t</w:t>
      </w:r>
      <w:r w:rsidR="004F0806" w:rsidRPr="001F29E3">
        <w:t>raining</w:t>
      </w:r>
      <w:r w:rsidR="00B03850" w:rsidRPr="001F29E3">
        <w:t xml:space="preserve"> </w:t>
      </w:r>
      <w:r w:rsidRPr="001F29E3">
        <w:t>statistics in this publication is the training activity database referred to as SVTS. All government subsidised providers are required to submit their data using SVTS at least once a month in accordance with the Australian Vocational Education &amp; Training Management Information Statistical Standard (A</w:t>
      </w:r>
      <w:r w:rsidR="00B03850" w:rsidRPr="001F29E3">
        <w:t>VET</w:t>
      </w:r>
      <w:r w:rsidRPr="001F29E3">
        <w:t>MISS).</w:t>
      </w:r>
      <w:r w:rsidR="002C240D" w:rsidRPr="001F29E3">
        <w:t xml:space="preserve"> </w:t>
      </w:r>
      <w:r w:rsidRPr="001F29E3">
        <w:t xml:space="preserve">For TAFE </w:t>
      </w:r>
      <w:r w:rsidR="00927DE0" w:rsidRPr="001F29E3">
        <w:t>I</w:t>
      </w:r>
      <w:r w:rsidRPr="001F29E3">
        <w:t xml:space="preserve">nstitutes, there is an additional regulatory requirement that they also submit their </w:t>
      </w:r>
      <w:r w:rsidR="001B2568" w:rsidRPr="001F29E3">
        <w:t>f</w:t>
      </w:r>
      <w:r w:rsidR="00362E51" w:rsidRPr="001F29E3">
        <w:t xml:space="preserve">ee for </w:t>
      </w:r>
      <w:r w:rsidR="001B2568" w:rsidRPr="001F29E3">
        <w:t>s</w:t>
      </w:r>
      <w:r w:rsidR="00362E51" w:rsidRPr="001F29E3">
        <w:t>ervice</w:t>
      </w:r>
      <w:r w:rsidRPr="001F29E3">
        <w:t xml:space="preserve"> data.</w:t>
      </w:r>
    </w:p>
    <w:p w:rsidR="000866DB" w:rsidRPr="001F29E3" w:rsidRDefault="000866DB" w:rsidP="00497C8C">
      <w:r w:rsidRPr="001F29E3">
        <w:t>The majority of</w:t>
      </w:r>
      <w:r w:rsidR="000B6438" w:rsidRPr="001F29E3">
        <w:t xml:space="preserve"> the commentary contained in this</w:t>
      </w:r>
      <w:r w:rsidRPr="001F29E3">
        <w:t xml:space="preserve"> report compares first quarter (Q1) </w:t>
      </w:r>
      <w:r w:rsidR="000B6438" w:rsidRPr="001F29E3">
        <w:t>reported data</w:t>
      </w:r>
      <w:r w:rsidRPr="001F29E3">
        <w:t xml:space="preserve"> for 2013 with first quarter </w:t>
      </w:r>
      <w:r w:rsidR="000B6438" w:rsidRPr="001F29E3">
        <w:t>data</w:t>
      </w:r>
      <w:r w:rsidRPr="001F29E3">
        <w:t xml:space="preserve"> </w:t>
      </w:r>
      <w:r w:rsidR="000B6438" w:rsidRPr="001F29E3">
        <w:t>in</w:t>
      </w:r>
      <w:r w:rsidRPr="001F29E3">
        <w:t xml:space="preserve"> 2012. Full year </w:t>
      </w:r>
      <w:r w:rsidR="000B6438" w:rsidRPr="001F29E3">
        <w:t>data</w:t>
      </w:r>
      <w:r w:rsidRPr="001F29E3">
        <w:t xml:space="preserve"> </w:t>
      </w:r>
      <w:r w:rsidR="00497C8C">
        <w:t xml:space="preserve">between </w:t>
      </w:r>
      <w:r w:rsidRPr="001F29E3">
        <w:t xml:space="preserve">2008 </w:t>
      </w:r>
      <w:r w:rsidR="00497C8C">
        <w:t xml:space="preserve">and </w:t>
      </w:r>
      <w:r w:rsidRPr="001F29E3">
        <w:t>2012 are included to show longer term trends.</w:t>
      </w:r>
    </w:p>
    <w:p w:rsidR="008C3A1C" w:rsidRPr="001F29E3" w:rsidRDefault="008C3A1C" w:rsidP="00497C8C">
      <w:r w:rsidRPr="001F29E3">
        <w:t xml:space="preserve">Reported figures </w:t>
      </w:r>
      <w:r w:rsidR="000B6438" w:rsidRPr="001F29E3">
        <w:t xml:space="preserve">in the first quarter </w:t>
      </w:r>
      <w:r w:rsidR="00497C8C">
        <w:t xml:space="preserve">2013 </w:t>
      </w:r>
      <w:r w:rsidRPr="001F29E3">
        <w:t xml:space="preserve">are a snapshot in time and are based on preliminary data as reported to </w:t>
      </w:r>
      <w:r w:rsidR="002C240D" w:rsidRPr="001F29E3">
        <w:t>Higher Education and Skills Group (HESG) in the Department</w:t>
      </w:r>
      <w:r w:rsidRPr="001F29E3">
        <w:t xml:space="preserve"> by training providers</w:t>
      </w:r>
      <w:r w:rsidR="000B6438" w:rsidRPr="001F29E3">
        <w:t xml:space="preserve">. </w:t>
      </w:r>
      <w:r w:rsidRPr="001F29E3">
        <w:t xml:space="preserve">Caution should be exercised when comparing quarterly figures against the same period in the previous year. This is due to the way training providers upload their VET activity data which is not necessarily undertaken in a uniform manner while the training year is still in progress. In addition, adjustments are required to be made to VET activity data by providers after the end of a reporting period due to students withdrawing from modules or entire courses. </w:t>
      </w:r>
      <w:r w:rsidR="000B6438" w:rsidRPr="001F29E3">
        <w:t>In some limited cases some providers may not have submitted their full quarter’s training data which could impact on the overall state result.</w:t>
      </w:r>
      <w:r w:rsidR="002C240D" w:rsidRPr="001F29E3">
        <w:t xml:space="preserve"> </w:t>
      </w:r>
      <w:r w:rsidRPr="001F29E3">
        <w:t xml:space="preserve">Hence </w:t>
      </w:r>
      <w:r w:rsidR="000B6438" w:rsidRPr="001F29E3">
        <w:t xml:space="preserve">reported </w:t>
      </w:r>
      <w:r w:rsidRPr="001F29E3">
        <w:t xml:space="preserve">figures in </w:t>
      </w:r>
      <w:r w:rsidR="00497C8C">
        <w:t>quarter one</w:t>
      </w:r>
      <w:r w:rsidRPr="001F29E3">
        <w:t xml:space="preserve"> report </w:t>
      </w:r>
      <w:r w:rsidR="002C240D" w:rsidRPr="001F29E3">
        <w:t>may</w:t>
      </w:r>
      <w:r w:rsidRPr="001F29E3">
        <w:t xml:space="preserve"> be revised in SVTS after the release of report.</w:t>
      </w:r>
    </w:p>
    <w:p w:rsidR="00351166" w:rsidRPr="001F29E3" w:rsidRDefault="008C3A1C" w:rsidP="00497C8C">
      <w:r w:rsidRPr="001F29E3">
        <w:t xml:space="preserve">Therefore, owing to the preliminary nature of VET data while the year is underway, figures in the first quarterly report should be treated as being indicative only. </w:t>
      </w:r>
    </w:p>
    <w:p w:rsidR="00351166" w:rsidRDefault="005F166A" w:rsidP="00497C8C">
      <w:r w:rsidRPr="001F29E3">
        <w:t xml:space="preserve">The </w:t>
      </w:r>
      <w:r w:rsidR="008C3A1C" w:rsidRPr="001F29E3">
        <w:t xml:space="preserve">2013 first quarter </w:t>
      </w:r>
      <w:r w:rsidRPr="001F29E3">
        <w:t>data is based on p</w:t>
      </w:r>
      <w:r w:rsidR="00351166" w:rsidRPr="001F29E3">
        <w:t xml:space="preserve">reliminary data extracted from SVTS as at </w:t>
      </w:r>
      <w:r w:rsidR="000B6438" w:rsidRPr="001F29E3">
        <w:t>15</w:t>
      </w:r>
      <w:r w:rsidR="00351166" w:rsidRPr="001F29E3">
        <w:t xml:space="preserve"> </w:t>
      </w:r>
      <w:r w:rsidR="008C3A1C" w:rsidRPr="001F29E3">
        <w:t xml:space="preserve">April </w:t>
      </w:r>
      <w:r w:rsidR="00351166" w:rsidRPr="001F29E3">
        <w:t>2013.</w:t>
      </w:r>
      <w:r w:rsidR="002C240D" w:rsidRPr="001F29E3">
        <w:t xml:space="preserve"> </w:t>
      </w:r>
      <w:r w:rsidR="00351166" w:rsidRPr="001F29E3">
        <w:t>Figures may be revised slightly prior to submission to National Centre for Vocational Education and R</w:t>
      </w:r>
      <w:r w:rsidR="002C240D" w:rsidRPr="001F29E3">
        <w:t>esearch (NCVER).</w:t>
      </w:r>
    </w:p>
    <w:p w:rsidR="00083B2E" w:rsidRPr="001F29E3" w:rsidRDefault="000530F2" w:rsidP="00497C8C">
      <w:r>
        <w:t>Data</w:t>
      </w:r>
      <w:r w:rsidR="00083B2E">
        <w:t xml:space="preserve"> shown in the tables are rounded to the nearest 100 when the </w:t>
      </w:r>
      <w:r>
        <w:t xml:space="preserve">figures are </w:t>
      </w:r>
      <w:r w:rsidR="00083B2E">
        <w:t>greater than 1,000</w:t>
      </w:r>
      <w:r>
        <w:t>;</w:t>
      </w:r>
      <w:r w:rsidR="00083B2E">
        <w:t xml:space="preserve"> to the nearest 50 when </w:t>
      </w:r>
      <w:r w:rsidR="007F0A64">
        <w:t>they are</w:t>
      </w:r>
      <w:r w:rsidR="00083B2E">
        <w:t xml:space="preserve"> between 100 and 1,000</w:t>
      </w:r>
      <w:r>
        <w:t>;</w:t>
      </w:r>
      <w:r w:rsidR="00083B2E">
        <w:t xml:space="preserve"> and to the nearest 10 when </w:t>
      </w:r>
      <w:r w:rsidR="007F0A64">
        <w:t>they are</w:t>
      </w:r>
      <w:r w:rsidR="00083B2E">
        <w:t xml:space="preserve"> less than 100.</w:t>
      </w:r>
      <w:r w:rsidR="007F0A64">
        <w:t xml:space="preserve">  The percentage change between </w:t>
      </w:r>
      <w:r>
        <w:t>figures</w:t>
      </w:r>
      <w:r w:rsidR="007F0A64">
        <w:t xml:space="preserve"> in Q1 2012 and Q1 2013 is calculat</w:t>
      </w:r>
      <w:r>
        <w:t>ed based on the reported data</w:t>
      </w:r>
      <w:r w:rsidR="007F0A64">
        <w:t>.</w:t>
      </w:r>
    </w:p>
    <w:p w:rsidR="00351166" w:rsidRPr="001F29E3" w:rsidRDefault="00351166" w:rsidP="00A9260A">
      <w:pPr>
        <w:pStyle w:val="Heading2"/>
      </w:pPr>
      <w:bookmarkStart w:id="44" w:name="_Toc348117718"/>
      <w:bookmarkStart w:id="45" w:name="_Toc348439964"/>
      <w:bookmarkStart w:id="46" w:name="_Toc348440163"/>
      <w:bookmarkStart w:id="47" w:name="_Toc349184175"/>
      <w:bookmarkStart w:id="48" w:name="_Toc349184324"/>
      <w:bookmarkStart w:id="49" w:name="_Toc349184514"/>
      <w:bookmarkStart w:id="50" w:name="_Toc359501555"/>
      <w:r w:rsidRPr="001F29E3">
        <w:t>Reporting scope</w:t>
      </w:r>
      <w:bookmarkEnd w:id="44"/>
      <w:bookmarkEnd w:id="45"/>
      <w:bookmarkEnd w:id="46"/>
      <w:bookmarkEnd w:id="47"/>
      <w:bookmarkEnd w:id="48"/>
      <w:bookmarkEnd w:id="49"/>
      <w:bookmarkEnd w:id="50"/>
    </w:p>
    <w:p w:rsidR="00351166" w:rsidRPr="001F29E3" w:rsidRDefault="00351166" w:rsidP="00497C8C">
      <w:r w:rsidRPr="001F29E3">
        <w:t>This report include</w:t>
      </w:r>
      <w:r w:rsidR="00416B67" w:rsidRPr="001F29E3">
        <w:t>s</w:t>
      </w:r>
      <w:r w:rsidRPr="001F29E3">
        <w:t xml:space="preserve"> government subsidised activities in all sectors at all qualification levels, and domestic fee</w:t>
      </w:r>
      <w:r w:rsidR="001B2568" w:rsidRPr="001F29E3">
        <w:t xml:space="preserve"> </w:t>
      </w:r>
      <w:r w:rsidRPr="001F29E3">
        <w:t>for</w:t>
      </w:r>
      <w:r w:rsidR="001B2568" w:rsidRPr="001F29E3">
        <w:t xml:space="preserve"> </w:t>
      </w:r>
      <w:r w:rsidRPr="001F29E3">
        <w:t>service activities in the TAFE sector at Australian Qualification Framework (</w:t>
      </w:r>
      <w:r w:rsidR="00CC0C50" w:rsidRPr="001F29E3">
        <w:t>Certificate</w:t>
      </w:r>
      <w:r w:rsidRPr="001F29E3">
        <w:t xml:space="preserve"> I and above).</w:t>
      </w:r>
    </w:p>
    <w:p w:rsidR="00351166" w:rsidRPr="001F29E3" w:rsidRDefault="00362E51" w:rsidP="00497C8C">
      <w:r w:rsidRPr="001F29E3">
        <w:t xml:space="preserve">Fee for </w:t>
      </w:r>
      <w:r w:rsidR="001B2568" w:rsidRPr="001F29E3">
        <w:t>s</w:t>
      </w:r>
      <w:r w:rsidRPr="001F29E3">
        <w:t>ervice</w:t>
      </w:r>
      <w:r w:rsidR="00351166" w:rsidRPr="001F29E3">
        <w:t xml:space="preserve"> activities below </w:t>
      </w:r>
      <w:r w:rsidR="00CC0C50" w:rsidRPr="001F29E3">
        <w:t>Certificate</w:t>
      </w:r>
      <w:r w:rsidR="00351166" w:rsidRPr="001F29E3">
        <w:t xml:space="preserve"> I in the </w:t>
      </w:r>
      <w:r w:rsidR="00B3005F" w:rsidRPr="001F29E3">
        <w:t xml:space="preserve">domestic </w:t>
      </w:r>
      <w:r w:rsidR="00351166" w:rsidRPr="001F29E3">
        <w:t>TAFE sector are not included</w:t>
      </w:r>
      <w:r w:rsidR="00D70D05" w:rsidRPr="001F29E3">
        <w:t>, such as short courses</w:t>
      </w:r>
      <w:r w:rsidR="00351166" w:rsidRPr="001F29E3">
        <w:t xml:space="preserve">. </w:t>
      </w:r>
      <w:r w:rsidRPr="001F29E3">
        <w:t xml:space="preserve">Fee for </w:t>
      </w:r>
      <w:r w:rsidR="001B2568" w:rsidRPr="001F29E3">
        <w:t>s</w:t>
      </w:r>
      <w:r w:rsidRPr="001F29E3">
        <w:t>ervice</w:t>
      </w:r>
      <w:r w:rsidR="00351166" w:rsidRPr="001F29E3">
        <w:t xml:space="preserve"> activities that took place in the </w:t>
      </w:r>
      <w:r w:rsidR="001B2568" w:rsidRPr="001F29E3">
        <w:t>p</w:t>
      </w:r>
      <w:r w:rsidR="00351166" w:rsidRPr="001F29E3">
        <w:t>rivate RTO and Adult Community Education sectors are also outside the scope.</w:t>
      </w:r>
      <w:r w:rsidR="00B3005F" w:rsidRPr="001F29E3">
        <w:t xml:space="preserve"> </w:t>
      </w:r>
    </w:p>
    <w:p w:rsidR="00AB275E" w:rsidRDefault="000866DB" w:rsidP="00497C8C">
      <w:r w:rsidRPr="001F29E3">
        <w:t xml:space="preserve">Since </w:t>
      </w:r>
      <w:r w:rsidR="00471FC1" w:rsidRPr="001F29E3">
        <w:t xml:space="preserve">2012, the scope of reporting of government subsidised training changed. ZC - Corrections delivery contracted directly with TAFE </w:t>
      </w:r>
      <w:r w:rsidR="00927DE0" w:rsidRPr="001F29E3">
        <w:t>I</w:t>
      </w:r>
      <w:r w:rsidR="00471FC1" w:rsidRPr="001F29E3">
        <w:t xml:space="preserve">nstitutes and ZP - Corrections funding through private prisons </w:t>
      </w:r>
      <w:r w:rsidRPr="001F29E3">
        <w:t xml:space="preserve">have been </w:t>
      </w:r>
      <w:r w:rsidR="00471FC1" w:rsidRPr="001F29E3">
        <w:t xml:space="preserve">allocated to </w:t>
      </w:r>
      <w:r w:rsidR="001B2568" w:rsidRPr="001F29E3">
        <w:t>f</w:t>
      </w:r>
      <w:r w:rsidR="00362E51" w:rsidRPr="001F29E3">
        <w:t xml:space="preserve">ee for </w:t>
      </w:r>
      <w:r w:rsidR="001B2568" w:rsidRPr="001F29E3">
        <w:t>s</w:t>
      </w:r>
      <w:r w:rsidR="00362E51" w:rsidRPr="001F29E3">
        <w:t>ervice</w:t>
      </w:r>
      <w:r w:rsidR="00471FC1" w:rsidRPr="001F29E3">
        <w:t xml:space="preserve"> funding. Prior to 2012, these funded enrolments were allocated to government subsidised training.</w:t>
      </w:r>
    </w:p>
    <w:p w:rsidR="00AB275E" w:rsidRDefault="00AB275E">
      <w:pPr>
        <w:spacing w:after="0" w:line="240" w:lineRule="auto"/>
        <w:jc w:val="left"/>
      </w:pPr>
      <w:r>
        <w:br w:type="page"/>
      </w:r>
    </w:p>
    <w:p w:rsidR="00B377BB" w:rsidRDefault="00B377BB" w:rsidP="00B377BB">
      <w:pPr>
        <w:pStyle w:val="Heading1"/>
      </w:pPr>
      <w:bookmarkStart w:id="51" w:name="_Toc359501556"/>
      <w:bookmarkStart w:id="52" w:name="_Toc316542830"/>
      <w:bookmarkStart w:id="53" w:name="_Toc316629591"/>
      <w:bookmarkStart w:id="54" w:name="_Toc317173953"/>
      <w:bookmarkStart w:id="55" w:name="_Toc317174102"/>
      <w:bookmarkStart w:id="56" w:name="_Toc322454241"/>
      <w:bookmarkStart w:id="57" w:name="_Toc317173960"/>
      <w:bookmarkStart w:id="58" w:name="_Toc317174109"/>
      <w:r>
        <w:lastRenderedPageBreak/>
        <w:t>Victorian Vocational Training Summary</w:t>
      </w:r>
      <w:bookmarkEnd w:id="51"/>
    </w:p>
    <w:p w:rsidR="00EB0A1A" w:rsidRPr="001F29E3" w:rsidRDefault="0055106F" w:rsidP="00BB1E91">
      <w:pPr>
        <w:pStyle w:val="Heading2"/>
      </w:pPr>
      <w:bookmarkStart w:id="59" w:name="_Toc359501557"/>
      <w:r w:rsidRPr="001F29E3">
        <w:t>Vocational Training</w:t>
      </w:r>
      <w:r w:rsidR="00E32275" w:rsidRPr="001F29E3">
        <w:t xml:space="preserve"> by</w:t>
      </w:r>
      <w:r w:rsidRPr="001F29E3" w:rsidDel="00B03850">
        <w:t xml:space="preserve"> </w:t>
      </w:r>
      <w:r w:rsidR="00EB0A1A" w:rsidRPr="001F29E3">
        <w:t>Funding</w:t>
      </w:r>
      <w:r w:rsidR="00E32275" w:rsidRPr="001F29E3">
        <w:t xml:space="preserve"> Type</w:t>
      </w:r>
      <w:bookmarkEnd w:id="59"/>
    </w:p>
    <w:p w:rsidR="00B377BB" w:rsidRDefault="00B377BB" w:rsidP="00A9260A">
      <w:pPr>
        <w:pStyle w:val="Heading3"/>
      </w:pPr>
    </w:p>
    <w:p w:rsidR="005E4EE6" w:rsidRPr="001F29E3" w:rsidRDefault="0055106F" w:rsidP="00A9260A">
      <w:pPr>
        <w:pStyle w:val="Heading3"/>
      </w:pPr>
      <w:r w:rsidRPr="001F29E3">
        <w:t>Vocational Training</w:t>
      </w:r>
      <w:r w:rsidR="005E4EE6" w:rsidRPr="001F29E3">
        <w:t xml:space="preserve"> Delivery by Funding Type</w:t>
      </w:r>
    </w:p>
    <w:p w:rsidR="00F72324" w:rsidRPr="001F29E3" w:rsidRDefault="005E4EE6" w:rsidP="00F72324">
      <w:pPr>
        <w:rPr>
          <w:rFonts w:cs="Arial"/>
        </w:rPr>
      </w:pPr>
      <w:r w:rsidRPr="001F29E3">
        <w:rPr>
          <w:rFonts w:cs="Arial"/>
        </w:rPr>
        <w:t>This section of the report provides an overview of training activity measured in terms of enrolments, student contact hours and student numbers.</w:t>
      </w:r>
      <w:r w:rsidR="00F72324" w:rsidRPr="001F29E3">
        <w:rPr>
          <w:rFonts w:cs="Arial"/>
        </w:rPr>
        <w:t xml:space="preserve"> Full year results are shown from 2008 to 2012 </w:t>
      </w:r>
      <w:r w:rsidR="00B377BB">
        <w:rPr>
          <w:rFonts w:cs="Arial"/>
        </w:rPr>
        <w:t>and</w:t>
      </w:r>
      <w:r w:rsidR="00F72324" w:rsidRPr="001F29E3">
        <w:rPr>
          <w:rFonts w:cs="Arial"/>
        </w:rPr>
        <w:t xml:space="preserve"> a comparison of figures for quarter one (Q1)</w:t>
      </w:r>
      <w:r w:rsidR="005B235C" w:rsidRPr="001F29E3">
        <w:rPr>
          <w:rFonts w:cs="Arial"/>
        </w:rPr>
        <w:t xml:space="preserve"> of</w:t>
      </w:r>
      <w:r w:rsidR="00F72324" w:rsidRPr="001F29E3">
        <w:rPr>
          <w:rFonts w:cs="Arial"/>
        </w:rPr>
        <w:t xml:space="preserve"> 2013</w:t>
      </w:r>
      <w:r w:rsidR="00852AA8">
        <w:rPr>
          <w:rFonts w:cs="Arial"/>
        </w:rPr>
        <w:t>, Q1 2012 and Q1 2011</w:t>
      </w:r>
      <w:r w:rsidR="00F72324" w:rsidRPr="001F29E3">
        <w:rPr>
          <w:rFonts w:cs="Arial"/>
        </w:rPr>
        <w:t>.</w:t>
      </w:r>
      <w:r w:rsidR="00891A33">
        <w:rPr>
          <w:rFonts w:cs="Arial"/>
        </w:rPr>
        <w:t xml:space="preserve"> </w:t>
      </w:r>
      <w:r w:rsidR="00F72324" w:rsidRPr="001F29E3">
        <w:rPr>
          <w:rFonts w:cs="Arial"/>
        </w:rPr>
        <w:t xml:space="preserve">Commentary focuses </w:t>
      </w:r>
      <w:r w:rsidR="0079532F">
        <w:rPr>
          <w:rFonts w:cs="Arial"/>
        </w:rPr>
        <w:t xml:space="preserve">on </w:t>
      </w:r>
      <w:r w:rsidR="00F72324" w:rsidRPr="001F29E3">
        <w:rPr>
          <w:rFonts w:cs="Arial"/>
        </w:rPr>
        <w:t>comparisons of results between Q1 2012 and Q1 2013.</w:t>
      </w:r>
      <w:r w:rsidR="002511BC">
        <w:rPr>
          <w:rFonts w:cs="Arial"/>
        </w:rPr>
        <w:t xml:space="preserve"> </w:t>
      </w:r>
      <w:r w:rsidR="002511BC" w:rsidRPr="00FC76BA">
        <w:rPr>
          <w:rFonts w:cs="Arial"/>
        </w:rPr>
        <w:t>Q1 2011 data are included</w:t>
      </w:r>
      <w:r w:rsidR="003E325C" w:rsidRPr="00FC76BA">
        <w:rPr>
          <w:rFonts w:cs="Arial"/>
        </w:rPr>
        <w:t xml:space="preserve"> i</w:t>
      </w:r>
      <w:r w:rsidR="002511BC" w:rsidRPr="00FC76BA">
        <w:rPr>
          <w:rFonts w:cs="Arial"/>
        </w:rPr>
        <w:t>n this section only as a broad reference for comparing quarter one figures over three years.</w:t>
      </w:r>
    </w:p>
    <w:p w:rsidR="005E4EE6" w:rsidRPr="001F29E3" w:rsidRDefault="00534AA7" w:rsidP="005E4EE6">
      <w:pPr>
        <w:rPr>
          <w:rFonts w:cs="Arial"/>
        </w:rPr>
      </w:pPr>
      <w:r w:rsidRPr="001F29E3">
        <w:rPr>
          <w:rFonts w:cs="Arial"/>
        </w:rPr>
        <w:t xml:space="preserve">The Q1 2013 data show that </w:t>
      </w:r>
      <w:r w:rsidR="005E4EE6" w:rsidRPr="001F29E3">
        <w:rPr>
          <w:rFonts w:cs="Arial"/>
        </w:rPr>
        <w:t xml:space="preserve">the Victorian training system had over </w:t>
      </w:r>
      <w:r w:rsidRPr="001F29E3">
        <w:rPr>
          <w:rFonts w:cs="Arial"/>
        </w:rPr>
        <w:t>278,200</w:t>
      </w:r>
      <w:r w:rsidR="005E4EE6" w:rsidRPr="001F29E3">
        <w:rPr>
          <w:rFonts w:cs="Arial"/>
        </w:rPr>
        <w:t xml:space="preserve"> government subsidised enrolments, </w:t>
      </w:r>
      <w:r w:rsidRPr="001F29E3">
        <w:rPr>
          <w:rFonts w:cs="Arial"/>
        </w:rPr>
        <w:t xml:space="preserve">down 7 </w:t>
      </w:r>
      <w:r w:rsidR="005E4EE6" w:rsidRPr="001F29E3">
        <w:rPr>
          <w:rFonts w:cs="Arial"/>
        </w:rPr>
        <w:t xml:space="preserve">per cent </w:t>
      </w:r>
      <w:r w:rsidRPr="001F29E3">
        <w:rPr>
          <w:rFonts w:cs="Arial"/>
        </w:rPr>
        <w:t>compared to Q1 2012</w:t>
      </w:r>
      <w:r w:rsidR="005E4EE6" w:rsidRPr="001F29E3">
        <w:rPr>
          <w:rFonts w:cs="Arial"/>
        </w:rPr>
        <w:t xml:space="preserve">. TAFE domestic </w:t>
      </w:r>
      <w:r w:rsidR="001B2568" w:rsidRPr="001F29E3">
        <w:rPr>
          <w:rFonts w:cs="Arial"/>
        </w:rPr>
        <w:t>f</w:t>
      </w:r>
      <w:r w:rsidR="00362E51" w:rsidRPr="001F29E3">
        <w:rPr>
          <w:rFonts w:cs="Arial"/>
        </w:rPr>
        <w:t xml:space="preserve">ee for </w:t>
      </w:r>
      <w:r w:rsidR="001B2568" w:rsidRPr="001F29E3">
        <w:rPr>
          <w:rFonts w:cs="Arial"/>
        </w:rPr>
        <w:t>s</w:t>
      </w:r>
      <w:r w:rsidR="00362E51" w:rsidRPr="001F29E3">
        <w:rPr>
          <w:rFonts w:cs="Arial"/>
        </w:rPr>
        <w:t>ervice</w:t>
      </w:r>
      <w:r w:rsidR="005E4EE6" w:rsidRPr="001F29E3">
        <w:rPr>
          <w:rFonts w:cs="Arial"/>
        </w:rPr>
        <w:t xml:space="preserve"> </w:t>
      </w:r>
      <w:r w:rsidR="00452EAA" w:rsidRPr="001F29E3">
        <w:rPr>
          <w:rFonts w:cs="Arial"/>
        </w:rPr>
        <w:t xml:space="preserve">provision </w:t>
      </w:r>
      <w:r w:rsidR="005E4EE6" w:rsidRPr="001F29E3">
        <w:rPr>
          <w:rFonts w:cs="Arial"/>
        </w:rPr>
        <w:t xml:space="preserve">has </w:t>
      </w:r>
      <w:r w:rsidRPr="001F29E3">
        <w:rPr>
          <w:rFonts w:cs="Arial"/>
        </w:rPr>
        <w:t xml:space="preserve">also </w:t>
      </w:r>
      <w:r w:rsidR="005E4EE6" w:rsidRPr="001F29E3">
        <w:rPr>
          <w:rFonts w:cs="Arial"/>
        </w:rPr>
        <w:t xml:space="preserve">experienced </w:t>
      </w:r>
      <w:r w:rsidR="00267307" w:rsidRPr="001F29E3">
        <w:rPr>
          <w:rFonts w:cs="Arial"/>
        </w:rPr>
        <w:t xml:space="preserve">a </w:t>
      </w:r>
      <w:r w:rsidRPr="001F29E3">
        <w:rPr>
          <w:rFonts w:cs="Arial"/>
        </w:rPr>
        <w:t xml:space="preserve">decline </w:t>
      </w:r>
      <w:r w:rsidR="005E4EE6" w:rsidRPr="001F29E3">
        <w:rPr>
          <w:rFonts w:cs="Arial"/>
        </w:rPr>
        <w:t xml:space="preserve">of </w:t>
      </w:r>
      <w:r w:rsidRPr="001F29E3">
        <w:rPr>
          <w:rFonts w:cs="Arial"/>
        </w:rPr>
        <w:t>6</w:t>
      </w:r>
      <w:r w:rsidR="005E4EE6" w:rsidRPr="001F29E3">
        <w:rPr>
          <w:rFonts w:cs="Arial"/>
        </w:rPr>
        <w:t xml:space="preserve"> per cent </w:t>
      </w:r>
      <w:r w:rsidRPr="001F29E3">
        <w:rPr>
          <w:rFonts w:cs="Arial"/>
        </w:rPr>
        <w:t>over the same period</w:t>
      </w:r>
      <w:r w:rsidR="005E4EE6" w:rsidRPr="001F29E3">
        <w:rPr>
          <w:rFonts w:cs="Arial"/>
        </w:rPr>
        <w:t xml:space="preserve">, with around </w:t>
      </w:r>
      <w:r w:rsidRPr="001F29E3">
        <w:rPr>
          <w:rFonts w:cs="Arial"/>
        </w:rPr>
        <w:t>38,700</w:t>
      </w:r>
      <w:r w:rsidR="005E4EE6" w:rsidRPr="001F29E3">
        <w:rPr>
          <w:rFonts w:cs="Arial"/>
        </w:rPr>
        <w:t xml:space="preserve"> enrolments</w:t>
      </w:r>
      <w:r w:rsidR="00A529A1" w:rsidRPr="001F29E3">
        <w:rPr>
          <w:rFonts w:cs="Arial"/>
        </w:rPr>
        <w:t xml:space="preserve"> in Q1 2013</w:t>
      </w:r>
      <w:r w:rsidR="005E4EE6" w:rsidRPr="001F29E3">
        <w:rPr>
          <w:rFonts w:cs="Arial"/>
        </w:rPr>
        <w:t xml:space="preserve">. </w:t>
      </w:r>
      <w:r w:rsidR="002C240D" w:rsidRPr="001F29E3">
        <w:rPr>
          <w:rFonts w:cs="Arial"/>
        </w:rPr>
        <w:t>A comparison with the same period in 2011 show</w:t>
      </w:r>
      <w:r w:rsidR="00B377BB">
        <w:rPr>
          <w:rFonts w:cs="Arial"/>
        </w:rPr>
        <w:t>s</w:t>
      </w:r>
      <w:r w:rsidR="002C240D" w:rsidRPr="001F29E3">
        <w:rPr>
          <w:rFonts w:cs="Arial"/>
        </w:rPr>
        <w:t xml:space="preserve"> that subsidised enrolments are up by 28 per cent in Q1 2013.</w:t>
      </w:r>
      <w:r w:rsidR="005E4EE6" w:rsidRPr="001F29E3">
        <w:rPr>
          <w:rFonts w:cs="Arial"/>
        </w:rPr>
        <w:t xml:space="preserve"> </w:t>
      </w:r>
    </w:p>
    <w:p w:rsidR="005E4EE6" w:rsidRPr="001F29E3" w:rsidRDefault="005E4EE6" w:rsidP="00A9260A">
      <w:pPr>
        <w:pStyle w:val="Caption"/>
        <w:rPr>
          <w:rFonts w:cs="Arial"/>
        </w:rPr>
      </w:pPr>
    </w:p>
    <w:p w:rsidR="005E4EE6" w:rsidRPr="001F29E3" w:rsidRDefault="005E4EE6" w:rsidP="00A9260A">
      <w:pPr>
        <w:pStyle w:val="Caption"/>
        <w:rPr>
          <w:rFonts w:cs="Arial"/>
        </w:rPr>
      </w:pPr>
      <w:r w:rsidRPr="001F29E3">
        <w:rPr>
          <w:rFonts w:cs="Arial"/>
        </w:rPr>
        <w:t>Table 1.</w:t>
      </w:r>
      <w:r w:rsidR="00963271" w:rsidRPr="001F29E3">
        <w:rPr>
          <w:rFonts w:cs="Arial"/>
        </w:rPr>
        <w:fldChar w:fldCharType="begin"/>
      </w:r>
      <w:r w:rsidR="00963271" w:rsidRPr="001F29E3">
        <w:rPr>
          <w:rFonts w:cs="Arial"/>
        </w:rPr>
        <w:instrText xml:space="preserve"> SEQ Table \* ARABIC \s 1 </w:instrText>
      </w:r>
      <w:r w:rsidR="00963271" w:rsidRPr="001F29E3">
        <w:rPr>
          <w:rFonts w:cs="Arial"/>
        </w:rPr>
        <w:fldChar w:fldCharType="separate"/>
      </w:r>
      <w:r w:rsidR="00F94B14">
        <w:rPr>
          <w:rFonts w:cs="Arial"/>
          <w:noProof/>
        </w:rPr>
        <w:t>1</w:t>
      </w:r>
      <w:r w:rsidR="00963271" w:rsidRPr="001F29E3">
        <w:rPr>
          <w:rFonts w:cs="Arial"/>
          <w:noProof/>
        </w:rPr>
        <w:fldChar w:fldCharType="end"/>
      </w:r>
      <w:r w:rsidRPr="001F29E3">
        <w:rPr>
          <w:rFonts w:cs="Arial"/>
        </w:rPr>
        <w:t xml:space="preserve">: </w:t>
      </w:r>
      <w:r w:rsidR="0055106F" w:rsidRPr="001F29E3">
        <w:rPr>
          <w:rFonts w:cs="Arial"/>
        </w:rPr>
        <w:t xml:space="preserve">Vocational </w:t>
      </w:r>
      <w:r w:rsidR="00221A72" w:rsidRPr="001F29E3">
        <w:rPr>
          <w:rFonts w:cs="Arial"/>
        </w:rPr>
        <w:t>t</w:t>
      </w:r>
      <w:r w:rsidR="0055106F" w:rsidRPr="001F29E3">
        <w:rPr>
          <w:rFonts w:cs="Arial"/>
        </w:rPr>
        <w:t>raining</w:t>
      </w:r>
      <w:r w:rsidRPr="001F29E3">
        <w:rPr>
          <w:rFonts w:cs="Arial"/>
        </w:rPr>
        <w:t xml:space="preserve"> delivery by funding type, enrolments, 2008–2012</w:t>
      </w:r>
      <w:r w:rsidR="002E0440" w:rsidRPr="001F29E3">
        <w:rPr>
          <w:rFonts w:cs="Arial"/>
        </w:rPr>
        <w:t xml:space="preserve">, </w:t>
      </w:r>
      <w:r w:rsidR="00E86237">
        <w:rPr>
          <w:rFonts w:cs="Arial"/>
        </w:rPr>
        <w:t xml:space="preserve">Q1 2011, </w:t>
      </w:r>
      <w:r w:rsidR="002E0440" w:rsidRPr="001F29E3">
        <w:rPr>
          <w:rFonts w:cs="Arial"/>
        </w:rPr>
        <w:t>Q1 2012 and Q1 2013</w:t>
      </w:r>
    </w:p>
    <w:p w:rsidR="009516C0" w:rsidRDefault="00E86237" w:rsidP="00DB72B4">
      <w:pPr>
        <w:spacing w:after="0" w:line="240" w:lineRule="auto"/>
        <w:rPr>
          <w:rFonts w:cs="Arial"/>
          <w:sz w:val="16"/>
          <w:szCs w:val="16"/>
        </w:rPr>
      </w:pPr>
      <w:r w:rsidRPr="00E86237">
        <w:rPr>
          <w:noProof/>
          <w:lang w:eastAsia="en-AU"/>
        </w:rPr>
        <w:drawing>
          <wp:inline distT="0" distB="0" distL="0" distR="0" wp14:anchorId="4EA9B319" wp14:editId="5F48B367">
            <wp:extent cx="5760720" cy="963489"/>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963489"/>
                    </a:xfrm>
                    <a:prstGeom prst="rect">
                      <a:avLst/>
                    </a:prstGeom>
                    <a:noFill/>
                    <a:ln>
                      <a:noFill/>
                    </a:ln>
                  </pic:spPr>
                </pic:pic>
              </a:graphicData>
            </a:graphic>
          </wp:inline>
        </w:drawing>
      </w:r>
    </w:p>
    <w:p w:rsidR="00DB72B4" w:rsidRPr="001F29E3" w:rsidRDefault="00DB72B4" w:rsidP="00DB72B4">
      <w:pPr>
        <w:spacing w:after="0" w:line="240" w:lineRule="auto"/>
        <w:rPr>
          <w:rFonts w:cs="Arial"/>
          <w:sz w:val="16"/>
          <w:szCs w:val="16"/>
        </w:rPr>
      </w:pPr>
      <w:r w:rsidRPr="001F29E3">
        <w:rPr>
          <w:rFonts w:cs="Arial"/>
          <w:sz w:val="16"/>
          <w:szCs w:val="16"/>
        </w:rPr>
        <w:t>Fee for Service figures are TAFE on-shore domestic AQF</w:t>
      </w:r>
      <w:r w:rsidR="00891A33">
        <w:rPr>
          <w:rFonts w:cs="Arial"/>
          <w:sz w:val="16"/>
          <w:szCs w:val="16"/>
        </w:rPr>
        <w:t xml:space="preserve"> Level </w:t>
      </w:r>
      <w:r w:rsidRPr="001F29E3">
        <w:rPr>
          <w:rFonts w:cs="Arial"/>
          <w:sz w:val="16"/>
          <w:szCs w:val="16"/>
        </w:rPr>
        <w:t>1</w:t>
      </w:r>
      <w:r w:rsidR="00891A33">
        <w:rPr>
          <w:rFonts w:cs="Arial"/>
          <w:sz w:val="16"/>
          <w:szCs w:val="16"/>
        </w:rPr>
        <w:t xml:space="preserve"> and above</w:t>
      </w:r>
      <w:r w:rsidRPr="001F29E3">
        <w:rPr>
          <w:rFonts w:cs="Arial"/>
          <w:sz w:val="16"/>
          <w:szCs w:val="16"/>
        </w:rPr>
        <w:t>.</w:t>
      </w:r>
    </w:p>
    <w:p w:rsidR="00F55035" w:rsidRPr="001F29E3" w:rsidRDefault="00F55035" w:rsidP="00A9260A">
      <w:pPr>
        <w:pStyle w:val="Caption"/>
        <w:rPr>
          <w:rFonts w:cs="Arial"/>
        </w:rPr>
      </w:pPr>
    </w:p>
    <w:p w:rsidR="00BA7D97" w:rsidRPr="001F29E3" w:rsidRDefault="00584D28" w:rsidP="00A9260A">
      <w:pPr>
        <w:pStyle w:val="Caption"/>
        <w:rPr>
          <w:rFonts w:cs="Arial"/>
        </w:rPr>
      </w:pPr>
      <w:r w:rsidRPr="001F29E3">
        <w:rPr>
          <w:rFonts w:cs="Arial"/>
        </w:rPr>
        <w:t>Figure 1.</w:t>
      </w:r>
      <w:r w:rsidR="00963271" w:rsidRPr="001F29E3">
        <w:rPr>
          <w:rFonts w:cs="Arial"/>
        </w:rPr>
        <w:fldChar w:fldCharType="begin"/>
      </w:r>
      <w:r w:rsidR="00963271" w:rsidRPr="001F29E3">
        <w:rPr>
          <w:rFonts w:cs="Arial"/>
        </w:rPr>
        <w:instrText xml:space="preserve"> SEQ Graph \* ARABIC \s 1 </w:instrText>
      </w:r>
      <w:r w:rsidR="00963271" w:rsidRPr="001F29E3">
        <w:rPr>
          <w:rFonts w:cs="Arial"/>
        </w:rPr>
        <w:fldChar w:fldCharType="separate"/>
      </w:r>
      <w:r w:rsidR="00F94B14">
        <w:rPr>
          <w:rFonts w:cs="Arial"/>
          <w:noProof/>
        </w:rPr>
        <w:t>1</w:t>
      </w:r>
      <w:r w:rsidR="00963271" w:rsidRPr="001F29E3">
        <w:rPr>
          <w:rFonts w:cs="Arial"/>
          <w:noProof/>
        </w:rPr>
        <w:fldChar w:fldCharType="end"/>
      </w:r>
      <w:r w:rsidRPr="001F29E3">
        <w:rPr>
          <w:rFonts w:cs="Arial"/>
        </w:rPr>
        <w:t>: Vocational training delivery by funding type, enrolments, 2008–2012</w:t>
      </w:r>
      <w:r w:rsidR="00171CC7" w:rsidRPr="001F29E3">
        <w:rPr>
          <w:rFonts w:cs="Arial"/>
        </w:rPr>
        <w:t xml:space="preserve">, </w:t>
      </w:r>
      <w:r w:rsidR="00E86237">
        <w:rPr>
          <w:rFonts w:cs="Arial"/>
        </w:rPr>
        <w:t xml:space="preserve">Q1 2011, </w:t>
      </w:r>
      <w:r w:rsidR="00171CC7" w:rsidRPr="001F29E3">
        <w:rPr>
          <w:rFonts w:cs="Arial"/>
        </w:rPr>
        <w:t>Q1 2012 and Q1 2013</w:t>
      </w:r>
    </w:p>
    <w:p w:rsidR="00BA7D97" w:rsidRPr="001F29E3" w:rsidRDefault="00DE48E2" w:rsidP="00891A33">
      <w:pPr>
        <w:pStyle w:val="Caption"/>
        <w:jc w:val="center"/>
        <w:rPr>
          <w:rFonts w:cs="Arial"/>
        </w:rPr>
      </w:pPr>
      <w:r>
        <w:rPr>
          <w:rFonts w:cs="Arial"/>
          <w:noProof/>
          <w:lang w:eastAsia="en-AU"/>
        </w:rPr>
        <w:drawing>
          <wp:inline distT="0" distB="0" distL="0" distR="0" wp14:anchorId="3ACBDE74">
            <wp:extent cx="5706110" cy="3108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6110" cy="3108960"/>
                    </a:xfrm>
                    <a:prstGeom prst="rect">
                      <a:avLst/>
                    </a:prstGeom>
                    <a:noFill/>
                  </pic:spPr>
                </pic:pic>
              </a:graphicData>
            </a:graphic>
          </wp:inline>
        </w:drawing>
      </w:r>
    </w:p>
    <w:p w:rsidR="000B6438" w:rsidRPr="001F29E3" w:rsidRDefault="000B6438" w:rsidP="00A9260A">
      <w:pPr>
        <w:pStyle w:val="Caption"/>
        <w:rPr>
          <w:rFonts w:cs="Arial"/>
        </w:rPr>
      </w:pPr>
    </w:p>
    <w:p w:rsidR="00512EAB" w:rsidRDefault="00512EAB">
      <w:pPr>
        <w:spacing w:after="0" w:line="240" w:lineRule="auto"/>
        <w:jc w:val="left"/>
        <w:rPr>
          <w:rFonts w:cs="Arial"/>
          <w:b/>
          <w:bCs/>
          <w:color w:val="76923C" w:themeColor="accent3" w:themeShade="BF"/>
          <w:sz w:val="16"/>
          <w:szCs w:val="16"/>
        </w:rPr>
      </w:pPr>
      <w:r>
        <w:rPr>
          <w:rFonts w:cs="Arial"/>
        </w:rPr>
        <w:br w:type="page"/>
      </w:r>
    </w:p>
    <w:p w:rsidR="005E4EE6" w:rsidRPr="001F29E3" w:rsidRDefault="005E4EE6" w:rsidP="00A9260A">
      <w:pPr>
        <w:pStyle w:val="Caption"/>
        <w:rPr>
          <w:rFonts w:cs="Arial"/>
        </w:rPr>
      </w:pPr>
      <w:r w:rsidRPr="001F29E3">
        <w:rPr>
          <w:rFonts w:cs="Arial"/>
        </w:rPr>
        <w:lastRenderedPageBreak/>
        <w:t>Table 1.</w:t>
      </w:r>
      <w:r w:rsidR="00963271" w:rsidRPr="001F29E3">
        <w:rPr>
          <w:rFonts w:cs="Arial"/>
        </w:rPr>
        <w:fldChar w:fldCharType="begin"/>
      </w:r>
      <w:r w:rsidR="00963271" w:rsidRPr="001F29E3">
        <w:rPr>
          <w:rFonts w:cs="Arial"/>
        </w:rPr>
        <w:instrText xml:space="preserve"> SEQ Table \* ARABIC \s 1 </w:instrText>
      </w:r>
      <w:r w:rsidR="00963271" w:rsidRPr="001F29E3">
        <w:rPr>
          <w:rFonts w:cs="Arial"/>
        </w:rPr>
        <w:fldChar w:fldCharType="separate"/>
      </w:r>
      <w:r w:rsidR="00F94B14">
        <w:rPr>
          <w:rFonts w:cs="Arial"/>
          <w:noProof/>
        </w:rPr>
        <w:t>2</w:t>
      </w:r>
      <w:r w:rsidR="00963271" w:rsidRPr="001F29E3">
        <w:rPr>
          <w:rFonts w:cs="Arial"/>
          <w:noProof/>
        </w:rPr>
        <w:fldChar w:fldCharType="end"/>
      </w:r>
      <w:r w:rsidRPr="001F29E3">
        <w:rPr>
          <w:rFonts w:cs="Arial"/>
        </w:rPr>
        <w:t xml:space="preserve">: </w:t>
      </w:r>
      <w:r w:rsidR="009B6E7F" w:rsidRPr="001F29E3">
        <w:rPr>
          <w:rFonts w:cs="Arial"/>
        </w:rPr>
        <w:t>S</w:t>
      </w:r>
      <w:r w:rsidRPr="001F29E3">
        <w:rPr>
          <w:rFonts w:cs="Arial"/>
        </w:rPr>
        <w:t>tudent contact hours</w:t>
      </w:r>
      <w:r w:rsidR="002E0440" w:rsidRPr="001F29E3">
        <w:rPr>
          <w:rStyle w:val="FootnoteReference"/>
          <w:rFonts w:cs="Arial"/>
        </w:rPr>
        <w:footnoteReference w:id="3"/>
      </w:r>
      <w:r w:rsidRPr="001F29E3">
        <w:rPr>
          <w:rFonts w:cs="Arial"/>
        </w:rPr>
        <w:t xml:space="preserve"> (millions)</w:t>
      </w:r>
      <w:r w:rsidR="009B6E7F" w:rsidRPr="001F29E3">
        <w:rPr>
          <w:rFonts w:cs="Arial"/>
        </w:rPr>
        <w:t xml:space="preserve"> by funding type</w:t>
      </w:r>
      <w:r w:rsidRPr="001F29E3">
        <w:rPr>
          <w:rFonts w:cs="Arial"/>
        </w:rPr>
        <w:t>, 2008–2012</w:t>
      </w:r>
      <w:r w:rsidR="002E0440" w:rsidRPr="001F29E3">
        <w:rPr>
          <w:rFonts w:cs="Arial"/>
        </w:rPr>
        <w:t xml:space="preserve">, </w:t>
      </w:r>
      <w:r w:rsidR="00086BD6" w:rsidRPr="001F29E3">
        <w:rPr>
          <w:rFonts w:cs="Arial"/>
        </w:rPr>
        <w:t>Q1 201</w:t>
      </w:r>
      <w:r w:rsidR="00086BD6">
        <w:rPr>
          <w:rFonts w:cs="Arial"/>
        </w:rPr>
        <w:t>1,</w:t>
      </w:r>
      <w:r w:rsidR="00086BD6" w:rsidRPr="001F29E3">
        <w:rPr>
          <w:rFonts w:cs="Arial"/>
        </w:rPr>
        <w:t xml:space="preserve"> </w:t>
      </w:r>
      <w:r w:rsidR="002E0440" w:rsidRPr="001F29E3">
        <w:rPr>
          <w:rFonts w:cs="Arial"/>
        </w:rPr>
        <w:t>Q1 2012 and Q1 2013</w:t>
      </w:r>
    </w:p>
    <w:p w:rsidR="005E4EE6" w:rsidRPr="001F29E3" w:rsidRDefault="00086BD6" w:rsidP="00A9260A">
      <w:pPr>
        <w:pStyle w:val="Caption"/>
        <w:rPr>
          <w:rFonts w:cs="Arial"/>
          <w:noProof/>
          <w:lang w:eastAsia="en-AU"/>
        </w:rPr>
      </w:pPr>
      <w:r w:rsidRPr="00086BD6">
        <w:rPr>
          <w:noProof/>
          <w:lang w:eastAsia="en-AU"/>
        </w:rPr>
        <w:drawing>
          <wp:inline distT="0" distB="0" distL="0" distR="0" wp14:anchorId="288E2FEF" wp14:editId="71D1A54F">
            <wp:extent cx="5760720" cy="950013"/>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950013"/>
                    </a:xfrm>
                    <a:prstGeom prst="rect">
                      <a:avLst/>
                    </a:prstGeom>
                    <a:noFill/>
                    <a:ln>
                      <a:noFill/>
                    </a:ln>
                  </pic:spPr>
                </pic:pic>
              </a:graphicData>
            </a:graphic>
          </wp:inline>
        </w:drawing>
      </w:r>
    </w:p>
    <w:p w:rsidR="00891A33" w:rsidRPr="001F29E3" w:rsidRDefault="00891A33" w:rsidP="00891A33">
      <w:pPr>
        <w:spacing w:after="0" w:line="240" w:lineRule="auto"/>
        <w:rPr>
          <w:rFonts w:cs="Arial"/>
          <w:sz w:val="16"/>
          <w:szCs w:val="16"/>
        </w:rPr>
      </w:pPr>
      <w:r w:rsidRPr="001F29E3">
        <w:rPr>
          <w:rFonts w:cs="Arial"/>
          <w:sz w:val="16"/>
          <w:szCs w:val="16"/>
        </w:rPr>
        <w:t>Fee for Service figures are TAFE on-shore domestic AQF</w:t>
      </w:r>
      <w:r>
        <w:rPr>
          <w:rFonts w:cs="Arial"/>
          <w:sz w:val="16"/>
          <w:szCs w:val="16"/>
        </w:rPr>
        <w:t xml:space="preserve"> Level </w:t>
      </w:r>
      <w:r w:rsidRPr="001F29E3">
        <w:rPr>
          <w:rFonts w:cs="Arial"/>
          <w:sz w:val="16"/>
          <w:szCs w:val="16"/>
        </w:rPr>
        <w:t>1</w:t>
      </w:r>
      <w:r>
        <w:rPr>
          <w:rFonts w:cs="Arial"/>
          <w:sz w:val="16"/>
          <w:szCs w:val="16"/>
        </w:rPr>
        <w:t xml:space="preserve"> and above</w:t>
      </w:r>
      <w:r w:rsidRPr="001F29E3">
        <w:rPr>
          <w:rFonts w:cs="Arial"/>
          <w:sz w:val="16"/>
          <w:szCs w:val="16"/>
        </w:rPr>
        <w:t>.</w:t>
      </w:r>
    </w:p>
    <w:p w:rsidR="009B6E7F" w:rsidRPr="001F29E3" w:rsidRDefault="009B6E7F" w:rsidP="005E4EE6">
      <w:pPr>
        <w:rPr>
          <w:rFonts w:cs="Arial"/>
        </w:rPr>
      </w:pPr>
    </w:p>
    <w:p w:rsidR="005E4EE6" w:rsidRPr="001F29E3" w:rsidRDefault="009B6E7F" w:rsidP="00A9260A">
      <w:pPr>
        <w:pStyle w:val="Caption"/>
        <w:rPr>
          <w:rFonts w:cs="Arial"/>
        </w:rPr>
      </w:pPr>
      <w:r w:rsidRPr="001F29E3">
        <w:rPr>
          <w:rFonts w:cs="Arial"/>
        </w:rPr>
        <w:t>Figure 1.</w:t>
      </w:r>
      <w:r w:rsidR="00963271" w:rsidRPr="001F29E3">
        <w:rPr>
          <w:rFonts w:cs="Arial"/>
        </w:rPr>
        <w:fldChar w:fldCharType="begin"/>
      </w:r>
      <w:r w:rsidR="00963271" w:rsidRPr="001F29E3">
        <w:rPr>
          <w:rFonts w:cs="Arial"/>
        </w:rPr>
        <w:instrText xml:space="preserve"> SEQ Graph \* ARABIC \s 1 </w:instrText>
      </w:r>
      <w:r w:rsidR="00963271" w:rsidRPr="001F29E3">
        <w:rPr>
          <w:rFonts w:cs="Arial"/>
        </w:rPr>
        <w:fldChar w:fldCharType="separate"/>
      </w:r>
      <w:r w:rsidR="00F94B14">
        <w:rPr>
          <w:rFonts w:cs="Arial"/>
          <w:noProof/>
        </w:rPr>
        <w:t>2</w:t>
      </w:r>
      <w:r w:rsidR="00963271" w:rsidRPr="001F29E3">
        <w:rPr>
          <w:rFonts w:cs="Arial"/>
          <w:noProof/>
        </w:rPr>
        <w:fldChar w:fldCharType="end"/>
      </w:r>
      <w:r w:rsidRPr="001F29E3">
        <w:rPr>
          <w:rFonts w:cs="Arial"/>
        </w:rPr>
        <w:t xml:space="preserve">: </w:t>
      </w:r>
      <w:r w:rsidR="00171CC7" w:rsidRPr="001F29E3">
        <w:rPr>
          <w:rFonts w:cs="Arial"/>
        </w:rPr>
        <w:t>s</w:t>
      </w:r>
      <w:r w:rsidRPr="001F29E3">
        <w:rPr>
          <w:rFonts w:cs="Arial"/>
        </w:rPr>
        <w:t>tudent contact hours (millions)</w:t>
      </w:r>
      <w:r w:rsidR="00171CC7" w:rsidRPr="001F29E3">
        <w:rPr>
          <w:rFonts w:cs="Arial"/>
        </w:rPr>
        <w:t xml:space="preserve"> by funding type</w:t>
      </w:r>
      <w:r w:rsidRPr="001F29E3">
        <w:rPr>
          <w:rFonts w:cs="Arial"/>
        </w:rPr>
        <w:t>, 2008–2012</w:t>
      </w:r>
      <w:r w:rsidR="00171CC7" w:rsidRPr="001F29E3">
        <w:rPr>
          <w:rFonts w:cs="Arial"/>
        </w:rPr>
        <w:t xml:space="preserve">, </w:t>
      </w:r>
      <w:r w:rsidR="00086BD6">
        <w:rPr>
          <w:rFonts w:cs="Arial"/>
        </w:rPr>
        <w:t xml:space="preserve">Q1 2011, </w:t>
      </w:r>
      <w:r w:rsidR="00171CC7" w:rsidRPr="001F29E3">
        <w:rPr>
          <w:rFonts w:cs="Arial"/>
        </w:rPr>
        <w:t>Q1 2012 and Q1 2013</w:t>
      </w:r>
    </w:p>
    <w:p w:rsidR="00C53713" w:rsidRPr="001F29E3" w:rsidRDefault="00DE48E2" w:rsidP="00CA1725">
      <w:pPr>
        <w:pStyle w:val="Caption"/>
        <w:jc w:val="center"/>
        <w:rPr>
          <w:rFonts w:cs="Arial"/>
        </w:rPr>
      </w:pPr>
      <w:r>
        <w:rPr>
          <w:rFonts w:cs="Arial"/>
          <w:noProof/>
          <w:lang w:eastAsia="en-AU"/>
        </w:rPr>
        <w:drawing>
          <wp:inline distT="0" distB="0" distL="0" distR="0" wp14:anchorId="669567D2">
            <wp:extent cx="5700395" cy="3127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0395" cy="3127375"/>
                    </a:xfrm>
                    <a:prstGeom prst="rect">
                      <a:avLst/>
                    </a:prstGeom>
                    <a:noFill/>
                  </pic:spPr>
                </pic:pic>
              </a:graphicData>
            </a:graphic>
          </wp:inline>
        </w:drawing>
      </w:r>
    </w:p>
    <w:p w:rsidR="00512EAB" w:rsidRDefault="00512EAB">
      <w:pPr>
        <w:spacing w:after="0" w:line="240" w:lineRule="auto"/>
        <w:jc w:val="left"/>
        <w:rPr>
          <w:rFonts w:cs="Arial"/>
          <w:b/>
          <w:bCs/>
          <w:color w:val="76923C" w:themeColor="accent3" w:themeShade="BF"/>
          <w:sz w:val="16"/>
          <w:szCs w:val="16"/>
        </w:rPr>
      </w:pPr>
      <w:r>
        <w:rPr>
          <w:rFonts w:cs="Arial"/>
        </w:rPr>
        <w:br w:type="page"/>
      </w:r>
    </w:p>
    <w:p w:rsidR="005E4EE6" w:rsidRPr="001F29E3" w:rsidRDefault="005E4EE6" w:rsidP="00A9260A">
      <w:pPr>
        <w:pStyle w:val="Caption"/>
        <w:rPr>
          <w:rFonts w:cs="Arial"/>
        </w:rPr>
      </w:pPr>
      <w:r w:rsidRPr="001F29E3">
        <w:rPr>
          <w:rFonts w:cs="Arial"/>
        </w:rPr>
        <w:lastRenderedPageBreak/>
        <w:t>Table 1.</w:t>
      </w:r>
      <w:r w:rsidR="00963271" w:rsidRPr="001F29E3">
        <w:rPr>
          <w:rFonts w:cs="Arial"/>
        </w:rPr>
        <w:fldChar w:fldCharType="begin"/>
      </w:r>
      <w:r w:rsidR="00963271" w:rsidRPr="001F29E3">
        <w:rPr>
          <w:rFonts w:cs="Arial"/>
        </w:rPr>
        <w:instrText xml:space="preserve"> SEQ Table \* ARABIC \s 1 </w:instrText>
      </w:r>
      <w:r w:rsidR="00963271" w:rsidRPr="001F29E3">
        <w:rPr>
          <w:rFonts w:cs="Arial"/>
        </w:rPr>
        <w:fldChar w:fldCharType="separate"/>
      </w:r>
      <w:r w:rsidR="00F94B14">
        <w:rPr>
          <w:rFonts w:cs="Arial"/>
          <w:noProof/>
        </w:rPr>
        <w:t>3</w:t>
      </w:r>
      <w:r w:rsidR="00963271" w:rsidRPr="001F29E3">
        <w:rPr>
          <w:rFonts w:cs="Arial"/>
          <w:noProof/>
        </w:rPr>
        <w:fldChar w:fldCharType="end"/>
      </w:r>
      <w:r w:rsidRPr="001F29E3">
        <w:rPr>
          <w:rFonts w:cs="Arial"/>
        </w:rPr>
        <w:t xml:space="preserve">: </w:t>
      </w:r>
      <w:r w:rsidR="00171CC7" w:rsidRPr="001F29E3">
        <w:rPr>
          <w:rFonts w:cs="Arial"/>
        </w:rPr>
        <w:t xml:space="preserve">Number of students by funding type, 2008–2012, </w:t>
      </w:r>
      <w:r w:rsidR="00604C80">
        <w:rPr>
          <w:rFonts w:cs="Arial"/>
        </w:rPr>
        <w:t xml:space="preserve">Q1 2011, </w:t>
      </w:r>
      <w:r w:rsidR="00171CC7" w:rsidRPr="001F29E3">
        <w:rPr>
          <w:rFonts w:cs="Arial"/>
        </w:rPr>
        <w:t>Q1 2012 and Q1 2013</w:t>
      </w:r>
    </w:p>
    <w:p w:rsidR="005E4EE6" w:rsidRPr="001F29E3" w:rsidRDefault="00604C80" w:rsidP="005E4EE6">
      <w:pPr>
        <w:spacing w:after="0"/>
        <w:rPr>
          <w:rFonts w:cs="Arial"/>
        </w:rPr>
      </w:pPr>
      <w:r w:rsidRPr="00604C80">
        <w:rPr>
          <w:noProof/>
          <w:lang w:eastAsia="en-AU"/>
        </w:rPr>
        <w:drawing>
          <wp:inline distT="0" distB="0" distL="0" distR="0" wp14:anchorId="06B1CDE5" wp14:editId="6E348B74">
            <wp:extent cx="5760720" cy="950013"/>
            <wp:effectExtent l="0" t="0" r="0" b="25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950013"/>
                    </a:xfrm>
                    <a:prstGeom prst="rect">
                      <a:avLst/>
                    </a:prstGeom>
                    <a:noFill/>
                    <a:ln>
                      <a:noFill/>
                    </a:ln>
                  </pic:spPr>
                </pic:pic>
              </a:graphicData>
            </a:graphic>
          </wp:inline>
        </w:drawing>
      </w:r>
    </w:p>
    <w:p w:rsidR="00891A33" w:rsidRPr="001F29E3" w:rsidRDefault="00891A33" w:rsidP="00891A33">
      <w:pPr>
        <w:spacing w:after="0" w:line="240" w:lineRule="auto"/>
        <w:rPr>
          <w:rFonts w:cs="Arial"/>
          <w:sz w:val="16"/>
          <w:szCs w:val="16"/>
        </w:rPr>
      </w:pPr>
      <w:r w:rsidRPr="001F29E3">
        <w:rPr>
          <w:rFonts w:cs="Arial"/>
          <w:sz w:val="16"/>
          <w:szCs w:val="16"/>
        </w:rPr>
        <w:t>Fee for Service figures are TAFE on-shore domestic AQF</w:t>
      </w:r>
      <w:r>
        <w:rPr>
          <w:rFonts w:cs="Arial"/>
          <w:sz w:val="16"/>
          <w:szCs w:val="16"/>
        </w:rPr>
        <w:t xml:space="preserve"> Level </w:t>
      </w:r>
      <w:r w:rsidRPr="001F29E3">
        <w:rPr>
          <w:rFonts w:cs="Arial"/>
          <w:sz w:val="16"/>
          <w:szCs w:val="16"/>
        </w:rPr>
        <w:t>1</w:t>
      </w:r>
      <w:r>
        <w:rPr>
          <w:rFonts w:cs="Arial"/>
          <w:sz w:val="16"/>
          <w:szCs w:val="16"/>
        </w:rPr>
        <w:t xml:space="preserve"> and above</w:t>
      </w:r>
      <w:r w:rsidRPr="001F29E3">
        <w:rPr>
          <w:rFonts w:cs="Arial"/>
          <w:sz w:val="16"/>
          <w:szCs w:val="16"/>
        </w:rPr>
        <w:t>.</w:t>
      </w:r>
    </w:p>
    <w:p w:rsidR="005E4EE6" w:rsidRPr="001F29E3" w:rsidRDefault="005E4EE6" w:rsidP="00DB72B4">
      <w:pPr>
        <w:spacing w:line="240" w:lineRule="auto"/>
        <w:rPr>
          <w:rFonts w:cs="Arial"/>
          <w:sz w:val="16"/>
          <w:szCs w:val="16"/>
        </w:rPr>
      </w:pPr>
      <w:r w:rsidRPr="001F29E3">
        <w:rPr>
          <w:rFonts w:cs="Arial"/>
          <w:sz w:val="16"/>
          <w:szCs w:val="16"/>
        </w:rPr>
        <w:t xml:space="preserve">*TAFE students whose enrolments are made up of </w:t>
      </w:r>
      <w:r w:rsidR="00452EAA" w:rsidRPr="001F29E3">
        <w:rPr>
          <w:rFonts w:cs="Arial"/>
          <w:sz w:val="16"/>
          <w:szCs w:val="16"/>
        </w:rPr>
        <w:t xml:space="preserve">a combination of </w:t>
      </w:r>
      <w:r w:rsidRPr="001F29E3">
        <w:rPr>
          <w:rFonts w:cs="Arial"/>
          <w:sz w:val="16"/>
          <w:szCs w:val="16"/>
        </w:rPr>
        <w:t>government subsidies and self-funding have been counted in both funding categories. The total, however, has eliminated the duplicate</w:t>
      </w:r>
      <w:r w:rsidR="00452EAA" w:rsidRPr="001F29E3">
        <w:rPr>
          <w:rFonts w:cs="Arial"/>
          <w:sz w:val="16"/>
          <w:szCs w:val="16"/>
        </w:rPr>
        <w:t>s</w:t>
      </w:r>
      <w:r w:rsidRPr="001F29E3">
        <w:rPr>
          <w:rFonts w:cs="Arial"/>
          <w:sz w:val="16"/>
          <w:szCs w:val="16"/>
        </w:rPr>
        <w:t>.</w:t>
      </w:r>
    </w:p>
    <w:p w:rsidR="005B235C" w:rsidRPr="001F29E3" w:rsidRDefault="005B235C" w:rsidP="005E4EE6">
      <w:pPr>
        <w:rPr>
          <w:rFonts w:cs="Arial"/>
          <w:sz w:val="16"/>
          <w:szCs w:val="16"/>
        </w:rPr>
      </w:pPr>
    </w:p>
    <w:p w:rsidR="00171CC7" w:rsidRPr="001F29E3" w:rsidRDefault="00171CC7" w:rsidP="00A9260A">
      <w:pPr>
        <w:pStyle w:val="Caption"/>
        <w:rPr>
          <w:rFonts w:cs="Arial"/>
        </w:rPr>
      </w:pPr>
      <w:r w:rsidRPr="001F29E3">
        <w:rPr>
          <w:rFonts w:cs="Arial"/>
        </w:rPr>
        <w:t>Figure 1.</w:t>
      </w:r>
      <w:r w:rsidR="00963271" w:rsidRPr="001F29E3">
        <w:rPr>
          <w:rFonts w:cs="Arial"/>
        </w:rPr>
        <w:fldChar w:fldCharType="begin"/>
      </w:r>
      <w:r w:rsidR="00963271" w:rsidRPr="001F29E3">
        <w:rPr>
          <w:rFonts w:cs="Arial"/>
        </w:rPr>
        <w:instrText xml:space="preserve"> SEQ Graph \* ARABIC \s 1 </w:instrText>
      </w:r>
      <w:r w:rsidR="00963271" w:rsidRPr="001F29E3">
        <w:rPr>
          <w:rFonts w:cs="Arial"/>
        </w:rPr>
        <w:fldChar w:fldCharType="separate"/>
      </w:r>
      <w:r w:rsidR="00F94B14">
        <w:rPr>
          <w:rFonts w:cs="Arial"/>
          <w:noProof/>
        </w:rPr>
        <w:t>3</w:t>
      </w:r>
      <w:r w:rsidR="00963271" w:rsidRPr="001F29E3">
        <w:rPr>
          <w:rFonts w:cs="Arial"/>
          <w:noProof/>
        </w:rPr>
        <w:fldChar w:fldCharType="end"/>
      </w:r>
      <w:r w:rsidRPr="001F29E3">
        <w:rPr>
          <w:rFonts w:cs="Arial"/>
        </w:rPr>
        <w:t xml:space="preserve">: Number of students by funding type, 2008–2012, </w:t>
      </w:r>
      <w:r w:rsidR="00604C80">
        <w:rPr>
          <w:rFonts w:cs="Arial"/>
        </w:rPr>
        <w:t xml:space="preserve">Q1 2011, </w:t>
      </w:r>
      <w:r w:rsidRPr="001F29E3">
        <w:rPr>
          <w:rFonts w:cs="Arial"/>
        </w:rPr>
        <w:t>Q1 2012 and Q1 2013</w:t>
      </w:r>
    </w:p>
    <w:p w:rsidR="005E4EE6" w:rsidRDefault="00995AC5" w:rsidP="00891A33">
      <w:pPr>
        <w:jc w:val="center"/>
        <w:rPr>
          <w:rFonts w:cs="Arial"/>
        </w:rPr>
      </w:pPr>
      <w:r>
        <w:rPr>
          <w:rFonts w:cs="Arial"/>
          <w:noProof/>
          <w:lang w:eastAsia="en-AU"/>
        </w:rPr>
        <w:drawing>
          <wp:inline distT="0" distB="0" distL="0" distR="0" wp14:anchorId="1342808E">
            <wp:extent cx="5736590" cy="310324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6590" cy="3103245"/>
                    </a:xfrm>
                    <a:prstGeom prst="rect">
                      <a:avLst/>
                    </a:prstGeom>
                    <a:noFill/>
                  </pic:spPr>
                </pic:pic>
              </a:graphicData>
            </a:graphic>
          </wp:inline>
        </w:drawing>
      </w:r>
    </w:p>
    <w:p w:rsidR="00995AC5" w:rsidRPr="001F29E3" w:rsidRDefault="00995AC5" w:rsidP="00891A33">
      <w:pPr>
        <w:jc w:val="center"/>
        <w:rPr>
          <w:rFonts w:cs="Arial"/>
        </w:rPr>
      </w:pPr>
    </w:p>
    <w:tbl>
      <w:tblPr>
        <w:tblW w:w="4999" w:type="pct"/>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CellMar>
          <w:left w:w="0" w:type="dxa"/>
          <w:right w:w="0" w:type="dxa"/>
        </w:tblCellMar>
        <w:tblLook w:val="01E0" w:firstRow="1" w:lastRow="1" w:firstColumn="1" w:lastColumn="1" w:noHBand="0" w:noVBand="0"/>
      </w:tblPr>
      <w:tblGrid>
        <w:gridCol w:w="9086"/>
      </w:tblGrid>
      <w:tr w:rsidR="00171CC7" w:rsidRPr="001F29E3" w:rsidTr="00E20923">
        <w:trPr>
          <w:trHeight w:val="2763"/>
        </w:trPr>
        <w:tc>
          <w:tcPr>
            <w:tcW w:w="5000" w:type="pct"/>
          </w:tcPr>
          <w:p w:rsidR="00171CC7" w:rsidRPr="001F29E3" w:rsidRDefault="00171CC7" w:rsidP="00171CC7">
            <w:pPr>
              <w:rPr>
                <w:rFonts w:cs="Arial"/>
              </w:rPr>
            </w:pPr>
          </w:p>
          <w:p w:rsidR="00171CC7" w:rsidRPr="001F29E3" w:rsidRDefault="00171CC7" w:rsidP="00A9260A">
            <w:pPr>
              <w:pStyle w:val="Heading3"/>
            </w:pPr>
            <w:r w:rsidRPr="001F29E3">
              <w:t>Key Points</w:t>
            </w:r>
          </w:p>
          <w:p w:rsidR="00171CC7" w:rsidRPr="001F29E3" w:rsidRDefault="00171CC7" w:rsidP="00171CC7">
            <w:pPr>
              <w:pStyle w:val="ListBullet"/>
              <w:numPr>
                <w:ilvl w:val="0"/>
                <w:numId w:val="0"/>
              </w:numPr>
              <w:ind w:right="113"/>
              <w:rPr>
                <w:rFonts w:cs="Arial"/>
              </w:rPr>
            </w:pPr>
            <w:r w:rsidRPr="001F29E3">
              <w:rPr>
                <w:rFonts w:cs="Arial"/>
              </w:rPr>
              <w:t>Early indicat</w:t>
            </w:r>
            <w:r w:rsidR="005F2DE9" w:rsidRPr="001F29E3">
              <w:rPr>
                <w:rFonts w:cs="Arial"/>
              </w:rPr>
              <w:t>ions</w:t>
            </w:r>
            <w:r w:rsidRPr="001F29E3">
              <w:rPr>
                <w:rFonts w:cs="Arial"/>
              </w:rPr>
              <w:t xml:space="preserve"> are that </w:t>
            </w:r>
            <w:r w:rsidR="00267307" w:rsidRPr="001F29E3">
              <w:rPr>
                <w:rFonts w:cs="Arial"/>
              </w:rPr>
              <w:t xml:space="preserve">the Victorian </w:t>
            </w:r>
            <w:r w:rsidR="005F2DE9" w:rsidRPr="001F29E3">
              <w:rPr>
                <w:rFonts w:cs="Arial"/>
              </w:rPr>
              <w:t>v</w:t>
            </w:r>
            <w:r w:rsidRPr="001F29E3">
              <w:rPr>
                <w:rFonts w:cs="Arial"/>
              </w:rPr>
              <w:t xml:space="preserve">ocational training </w:t>
            </w:r>
            <w:r w:rsidR="00267307" w:rsidRPr="001F29E3">
              <w:rPr>
                <w:rFonts w:cs="Arial"/>
              </w:rPr>
              <w:t xml:space="preserve">system </w:t>
            </w:r>
            <w:r w:rsidRPr="001F29E3">
              <w:rPr>
                <w:rFonts w:cs="Arial"/>
              </w:rPr>
              <w:t xml:space="preserve">has experienced declines </w:t>
            </w:r>
            <w:r w:rsidR="00267307" w:rsidRPr="001F29E3">
              <w:rPr>
                <w:rFonts w:cs="Arial"/>
              </w:rPr>
              <w:t xml:space="preserve">in </w:t>
            </w:r>
            <w:r w:rsidRPr="001F29E3">
              <w:rPr>
                <w:rFonts w:cs="Arial"/>
              </w:rPr>
              <w:t xml:space="preserve">both government subsidised and TAFE fee for service training segments. Compared </w:t>
            </w:r>
            <w:r w:rsidR="00E20923" w:rsidRPr="001F29E3">
              <w:rPr>
                <w:rFonts w:cs="Arial"/>
              </w:rPr>
              <w:t xml:space="preserve">to </w:t>
            </w:r>
            <w:r w:rsidRPr="001F29E3">
              <w:rPr>
                <w:rFonts w:cs="Arial"/>
              </w:rPr>
              <w:t xml:space="preserve">Q1 2012, the </w:t>
            </w:r>
            <w:r w:rsidR="005F2DE9" w:rsidRPr="001F29E3">
              <w:rPr>
                <w:rFonts w:cs="Arial"/>
              </w:rPr>
              <w:t xml:space="preserve">Q1 2013 </w:t>
            </w:r>
            <w:r w:rsidRPr="001F29E3">
              <w:rPr>
                <w:rFonts w:cs="Arial"/>
              </w:rPr>
              <w:t>preliminary figures show that:</w:t>
            </w:r>
          </w:p>
          <w:p w:rsidR="00171CC7" w:rsidRPr="001F29E3" w:rsidRDefault="00171CC7" w:rsidP="000B208D">
            <w:pPr>
              <w:pStyle w:val="ListBullet"/>
              <w:numPr>
                <w:ilvl w:val="0"/>
                <w:numId w:val="13"/>
              </w:numPr>
              <w:ind w:left="397" w:right="113" w:hanging="284"/>
              <w:rPr>
                <w:rFonts w:cs="Arial"/>
              </w:rPr>
            </w:pPr>
            <w:r w:rsidRPr="001F29E3">
              <w:rPr>
                <w:rFonts w:cs="Arial"/>
              </w:rPr>
              <w:t xml:space="preserve">Total reported enrolments (government subsidised and TAFE fee-for-service) </w:t>
            </w:r>
            <w:r w:rsidR="00E20923" w:rsidRPr="001F29E3">
              <w:rPr>
                <w:rFonts w:cs="Arial"/>
              </w:rPr>
              <w:t xml:space="preserve">have </w:t>
            </w:r>
            <w:r w:rsidRPr="001F29E3">
              <w:rPr>
                <w:rFonts w:cs="Arial"/>
              </w:rPr>
              <w:t>declined by 7 per cent, to 316,900 enrolments in Q1 2013. Total reported student contact hours have decreased at the similar rate (down by 6 per cent). Total student numbers have also dropped by 9 per cent.</w:t>
            </w:r>
          </w:p>
          <w:p w:rsidR="00171CC7" w:rsidRPr="001F29E3" w:rsidRDefault="00171CC7" w:rsidP="000B208D">
            <w:pPr>
              <w:pStyle w:val="ListBullet"/>
              <w:numPr>
                <w:ilvl w:val="0"/>
                <w:numId w:val="13"/>
              </w:numPr>
              <w:ind w:left="397" w:right="113" w:hanging="284"/>
              <w:rPr>
                <w:rFonts w:cs="Arial"/>
              </w:rPr>
            </w:pPr>
            <w:r w:rsidRPr="001F29E3">
              <w:rPr>
                <w:rFonts w:cs="Arial"/>
              </w:rPr>
              <w:t xml:space="preserve">Government subsidised vocational training activity has declined, with 278,200 enrolments (down 7 per cent), 83.7 million student contact hours (down 5 per cent) and 226,000 students (down 9 per cent). </w:t>
            </w:r>
          </w:p>
          <w:p w:rsidR="00171CC7" w:rsidRPr="001F29E3" w:rsidRDefault="00171CC7" w:rsidP="000B208D">
            <w:pPr>
              <w:pStyle w:val="ListBullet"/>
              <w:numPr>
                <w:ilvl w:val="0"/>
                <w:numId w:val="13"/>
              </w:numPr>
              <w:ind w:left="397" w:right="113" w:hanging="284"/>
              <w:rPr>
                <w:rFonts w:cs="Arial"/>
              </w:rPr>
            </w:pPr>
            <w:r w:rsidRPr="001F29E3">
              <w:rPr>
                <w:rFonts w:cs="Arial"/>
              </w:rPr>
              <w:t>TAFE domestic fee for service activity showed a similar trend with 38,700 enrolments (down 6 per cent), 8.0 million student contact hours (down 8 per cent) and 35,200 students (down 6 per cent).</w:t>
            </w:r>
          </w:p>
          <w:p w:rsidR="00910C9A" w:rsidRPr="001F29E3" w:rsidRDefault="00910C9A" w:rsidP="00910C9A">
            <w:pPr>
              <w:pStyle w:val="ListBullet"/>
              <w:numPr>
                <w:ilvl w:val="0"/>
                <w:numId w:val="0"/>
              </w:numPr>
              <w:ind w:left="397" w:right="113"/>
              <w:rPr>
                <w:rFonts w:cs="Arial"/>
              </w:rPr>
            </w:pPr>
          </w:p>
        </w:tc>
      </w:tr>
    </w:tbl>
    <w:p w:rsidR="00171CC7" w:rsidRPr="001F29E3" w:rsidRDefault="00171CC7" w:rsidP="005E4EE6">
      <w:pPr>
        <w:rPr>
          <w:rFonts w:cs="Arial"/>
        </w:rPr>
      </w:pPr>
    </w:p>
    <w:p w:rsidR="00EB0A1A" w:rsidRPr="001F29E3" w:rsidRDefault="005E4EE6" w:rsidP="00EB0A1A">
      <w:pPr>
        <w:rPr>
          <w:rFonts w:cs="Arial"/>
        </w:rPr>
      </w:pPr>
      <w:r w:rsidRPr="001F29E3">
        <w:rPr>
          <w:rFonts w:cs="Arial"/>
        </w:rPr>
        <w:br w:type="page"/>
      </w:r>
      <w:r w:rsidR="00D70D05" w:rsidRPr="001F29E3" w:rsidDel="00B03850">
        <w:rPr>
          <w:rFonts w:cs="Arial"/>
        </w:rPr>
        <w:lastRenderedPageBreak/>
        <w:t xml:space="preserve"> </w:t>
      </w:r>
    </w:p>
    <w:p w:rsidR="00EB0A1A" w:rsidRPr="001F29E3" w:rsidRDefault="0055106F" w:rsidP="00A9260A">
      <w:pPr>
        <w:pStyle w:val="Heading3"/>
      </w:pPr>
      <w:r w:rsidRPr="001F29E3">
        <w:t>Vocational Training</w:t>
      </w:r>
      <w:r w:rsidR="00EB0A1A" w:rsidRPr="001F29E3">
        <w:t xml:space="preserve"> Funding Bands</w:t>
      </w:r>
    </w:p>
    <w:p w:rsidR="002C240D" w:rsidRPr="001F29E3" w:rsidRDefault="002C240D" w:rsidP="002C240D">
      <w:pPr>
        <w:rPr>
          <w:rFonts w:cs="Arial"/>
        </w:rPr>
      </w:pPr>
      <w:r w:rsidRPr="001F29E3">
        <w:rPr>
          <w:rFonts w:cs="Arial"/>
        </w:rPr>
        <w:t xml:space="preserve">As part of the Refocusing </w:t>
      </w:r>
      <w:r w:rsidRPr="001F29E3">
        <w:rPr>
          <w:rFonts w:cs="Arial"/>
          <w:color w:val="000000"/>
        </w:rPr>
        <w:t>Vocational Training</w:t>
      </w:r>
      <w:r w:rsidRPr="001F29E3">
        <w:rPr>
          <w:rFonts w:cs="Arial"/>
        </w:rPr>
        <w:t xml:space="preserve"> reform from July 2012 five funding bands for government subsidised training were introduced. Under these arrangements, higher rates have been attributed to foundation and apprenticeship qualifications and lower rates to Diplomas and above (where income contingent student loans are available) and to lower-level Certificates where direct vocational benefit is lower.</w:t>
      </w:r>
    </w:p>
    <w:p w:rsidR="002C240D" w:rsidRPr="001F29E3" w:rsidRDefault="002C240D" w:rsidP="002C240D">
      <w:pPr>
        <w:rPr>
          <w:rFonts w:cs="Arial"/>
        </w:rPr>
      </w:pPr>
      <w:r w:rsidRPr="001F29E3">
        <w:rPr>
          <w:rFonts w:cs="Arial"/>
        </w:rPr>
        <w:t xml:space="preserve">Under the new arrangements, weightings have been refined to apply at the course level according to an assessment of public value. Public value has been determined on the basis of the value of the course to the economy (in terms of </w:t>
      </w:r>
      <w:r w:rsidR="00345224">
        <w:rPr>
          <w:rFonts w:cs="Arial"/>
        </w:rPr>
        <w:t xml:space="preserve">specialist or in shortage occupations </w:t>
      </w:r>
      <w:r w:rsidRPr="001F29E3">
        <w:rPr>
          <w:rFonts w:cs="Arial"/>
        </w:rPr>
        <w:t>or essential services) and the extent to which government investment is required to stimulate delivery of, and participation in, this training to meet industry needs.</w:t>
      </w:r>
    </w:p>
    <w:p w:rsidR="002C240D" w:rsidRPr="001F29E3" w:rsidRDefault="002C240D" w:rsidP="002C240D">
      <w:pPr>
        <w:rPr>
          <w:rFonts w:cs="Arial"/>
        </w:rPr>
      </w:pPr>
      <w:r w:rsidRPr="001F29E3">
        <w:rPr>
          <w:rFonts w:cs="Arial"/>
        </w:rPr>
        <w:t>Overall, the highest subsidy levels have been provided to courses where contribution to the economy is assessed as high, and where government subsidy is seen as essential in enabling delivery and participation in training.</w:t>
      </w:r>
    </w:p>
    <w:p w:rsidR="009C6353" w:rsidRPr="001F29E3" w:rsidRDefault="00735F37" w:rsidP="00C51DF4">
      <w:pPr>
        <w:pStyle w:val="Caption"/>
        <w:jc w:val="left"/>
        <w:rPr>
          <w:rFonts w:cs="Arial"/>
          <w:color w:val="4F81BD"/>
        </w:rPr>
      </w:pPr>
      <w:r>
        <w:rPr>
          <w:rFonts w:cs="Arial"/>
        </w:rPr>
        <w:t>Table</w:t>
      </w:r>
      <w:r w:rsidR="009C6353" w:rsidRPr="001F29E3">
        <w:rPr>
          <w:rFonts w:cs="Arial"/>
        </w:rPr>
        <w:t xml:space="preserve"> 1.</w:t>
      </w:r>
      <w:r w:rsidR="00BB1E91" w:rsidRPr="001F29E3">
        <w:rPr>
          <w:rFonts w:cs="Arial"/>
        </w:rPr>
        <w:t>4</w:t>
      </w:r>
      <w:r w:rsidR="009C6353" w:rsidRPr="001F29E3">
        <w:rPr>
          <w:rFonts w:cs="Arial"/>
        </w:rPr>
        <w:t xml:space="preserve">: </w:t>
      </w:r>
      <w:r w:rsidR="00680113" w:rsidRPr="001F29E3">
        <w:rPr>
          <w:rFonts w:cs="Arial"/>
        </w:rPr>
        <w:t>G</w:t>
      </w:r>
      <w:r w:rsidR="009C6353" w:rsidRPr="001F29E3">
        <w:rPr>
          <w:rFonts w:cs="Arial"/>
        </w:rPr>
        <w:t xml:space="preserve">overnment subsidised commencing enrolments by funding band, </w:t>
      </w:r>
      <w:r w:rsidR="007E2013" w:rsidRPr="001F29E3">
        <w:rPr>
          <w:rFonts w:cs="Arial"/>
        </w:rPr>
        <w:t>Q1 2012 and Q1 2013</w:t>
      </w:r>
    </w:p>
    <w:p w:rsidR="00EB0A1A" w:rsidRPr="001F29E3" w:rsidRDefault="001D7560" w:rsidP="00EB0A1A">
      <w:pPr>
        <w:rPr>
          <w:rFonts w:cs="Arial"/>
        </w:rPr>
      </w:pPr>
      <w:r w:rsidRPr="001F29E3">
        <w:rPr>
          <w:rFonts w:cs="Arial"/>
          <w:noProof/>
          <w:lang w:eastAsia="en-AU"/>
        </w:rPr>
        <w:drawing>
          <wp:inline distT="0" distB="0" distL="0" distR="0" wp14:anchorId="7631AD10" wp14:editId="6AC933EC">
            <wp:extent cx="5760720" cy="775321"/>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775321"/>
                    </a:xfrm>
                    <a:prstGeom prst="rect">
                      <a:avLst/>
                    </a:prstGeom>
                    <a:noFill/>
                    <a:ln>
                      <a:noFill/>
                    </a:ln>
                  </pic:spPr>
                </pic:pic>
              </a:graphicData>
            </a:graphic>
          </wp:inline>
        </w:drawing>
      </w:r>
    </w:p>
    <w:p w:rsidR="00744DC1" w:rsidRDefault="00744DC1" w:rsidP="00C51DF4">
      <w:pPr>
        <w:pStyle w:val="Caption"/>
        <w:jc w:val="left"/>
        <w:rPr>
          <w:rFonts w:cs="Arial"/>
        </w:rPr>
      </w:pPr>
    </w:p>
    <w:p w:rsidR="00EB0A1A" w:rsidRPr="001F29E3" w:rsidRDefault="00EB0A1A" w:rsidP="00C51DF4">
      <w:pPr>
        <w:pStyle w:val="Caption"/>
        <w:jc w:val="left"/>
        <w:rPr>
          <w:rFonts w:cs="Arial"/>
          <w:color w:val="4F81BD"/>
        </w:rPr>
      </w:pPr>
      <w:r w:rsidRPr="001F29E3">
        <w:rPr>
          <w:rFonts w:cs="Arial"/>
        </w:rPr>
        <w:t>Figure 1.</w:t>
      </w:r>
      <w:r w:rsidR="00BB1E91" w:rsidRPr="001F29E3">
        <w:rPr>
          <w:rFonts w:cs="Arial"/>
        </w:rPr>
        <w:t>4</w:t>
      </w:r>
      <w:r w:rsidRPr="001F29E3">
        <w:rPr>
          <w:rFonts w:cs="Arial"/>
        </w:rPr>
        <w:t xml:space="preserve">: </w:t>
      </w:r>
      <w:r w:rsidR="00680113" w:rsidRPr="001F29E3">
        <w:rPr>
          <w:rFonts w:cs="Arial"/>
        </w:rPr>
        <w:t>G</w:t>
      </w:r>
      <w:r w:rsidRPr="001F29E3">
        <w:rPr>
          <w:rFonts w:cs="Arial"/>
        </w:rPr>
        <w:t xml:space="preserve">overnment subsidised </w:t>
      </w:r>
      <w:r w:rsidR="007E2013" w:rsidRPr="001F29E3">
        <w:rPr>
          <w:rFonts w:cs="Arial"/>
        </w:rPr>
        <w:t xml:space="preserve">enrolments: proportion of </w:t>
      </w:r>
      <w:r w:rsidRPr="001F29E3">
        <w:rPr>
          <w:rFonts w:cs="Arial"/>
        </w:rPr>
        <w:t xml:space="preserve">commencing enrolments by funding bands, </w:t>
      </w:r>
      <w:r w:rsidR="00C51DF4">
        <w:rPr>
          <w:rFonts w:cs="Arial"/>
        </w:rPr>
        <w:br/>
      </w:r>
      <w:r w:rsidR="008D2A99" w:rsidRPr="001F29E3">
        <w:rPr>
          <w:rFonts w:cs="Arial"/>
        </w:rPr>
        <w:t>July-Dec</w:t>
      </w:r>
      <w:r w:rsidR="00C51DF4">
        <w:rPr>
          <w:rFonts w:cs="Arial"/>
        </w:rPr>
        <w:t>ember</w:t>
      </w:r>
      <w:r w:rsidR="008D2A99" w:rsidRPr="001F29E3">
        <w:rPr>
          <w:rFonts w:cs="Arial"/>
        </w:rPr>
        <w:t xml:space="preserve"> 2012, Q1 2012 and Q1 2013</w:t>
      </w:r>
      <w:r w:rsidRPr="001F29E3">
        <w:rPr>
          <w:rFonts w:cs="Arial"/>
        </w:rPr>
        <w:t xml:space="preserve"> </w:t>
      </w:r>
    </w:p>
    <w:p w:rsidR="007E2013" w:rsidRPr="001F29E3" w:rsidRDefault="004E4031" w:rsidP="00EB0A1A">
      <w:pPr>
        <w:rPr>
          <w:rFonts w:cs="Arial"/>
          <w:sz w:val="16"/>
          <w:szCs w:val="16"/>
        </w:rPr>
      </w:pPr>
      <w:r>
        <w:rPr>
          <w:rFonts w:cs="Arial"/>
          <w:noProof/>
          <w:sz w:val="16"/>
          <w:szCs w:val="16"/>
          <w:lang w:eastAsia="en-AU"/>
        </w:rPr>
        <w:drawing>
          <wp:inline distT="0" distB="0" distL="0" distR="0" wp14:anchorId="43D9E157" wp14:editId="18A6A325">
            <wp:extent cx="5407660" cy="217043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7660" cy="2170430"/>
                    </a:xfrm>
                    <a:prstGeom prst="rect">
                      <a:avLst/>
                    </a:prstGeom>
                    <a:noFill/>
                  </pic:spPr>
                </pic:pic>
              </a:graphicData>
            </a:graphic>
          </wp:inline>
        </w:drawing>
      </w:r>
    </w:p>
    <w:p w:rsidR="00EB0A1A" w:rsidRDefault="00EB0A1A" w:rsidP="00EB0A1A">
      <w:pPr>
        <w:rPr>
          <w:rFonts w:cs="Arial"/>
          <w:sz w:val="16"/>
          <w:szCs w:val="16"/>
        </w:rPr>
      </w:pPr>
      <w:r w:rsidRPr="001F29E3">
        <w:rPr>
          <w:rFonts w:cs="Arial"/>
          <w:sz w:val="16"/>
          <w:szCs w:val="16"/>
        </w:rPr>
        <w:t>Subsidy bands were introduced in 2012 and apply specifically to qualifications in 2012</w:t>
      </w:r>
      <w:r w:rsidR="008D2A99" w:rsidRPr="001F29E3">
        <w:rPr>
          <w:rFonts w:cs="Arial"/>
          <w:sz w:val="16"/>
          <w:szCs w:val="16"/>
        </w:rPr>
        <w:t xml:space="preserve"> and onward</w:t>
      </w:r>
      <w:r w:rsidRPr="001F29E3">
        <w:rPr>
          <w:rFonts w:cs="Arial"/>
          <w:sz w:val="16"/>
          <w:szCs w:val="16"/>
        </w:rPr>
        <w:t>. In order to allow comparison with previous years, superseded courses have been assigned a subsidy band for analysis purposes only based on the bands of the current course to which they most closely align.</w:t>
      </w:r>
    </w:p>
    <w:p w:rsidR="007416A6" w:rsidRDefault="007416A6">
      <w:pPr>
        <w:spacing w:after="0" w:line="240" w:lineRule="auto"/>
        <w:jc w:val="left"/>
        <w:rPr>
          <w:rFonts w:cs="Arial"/>
          <w:sz w:val="16"/>
          <w:szCs w:val="16"/>
        </w:rPr>
      </w:pPr>
      <w:r>
        <w:rPr>
          <w:rFonts w:cs="Arial"/>
          <w:sz w:val="16"/>
          <w:szCs w:val="16"/>
        </w:rPr>
        <w:br w:type="page"/>
      </w:r>
    </w:p>
    <w:p w:rsidR="007416A6" w:rsidRPr="001F29E3" w:rsidRDefault="007416A6" w:rsidP="00EB0A1A">
      <w:pPr>
        <w:rPr>
          <w:rFonts w:cs="Arial"/>
          <w:sz w:val="16"/>
          <w:szCs w:val="16"/>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EB0A1A" w:rsidRPr="001F29E3" w:rsidTr="001D7560">
        <w:trPr>
          <w:trHeight w:val="1467"/>
        </w:trPr>
        <w:tc>
          <w:tcPr>
            <w:tcW w:w="9088"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tcPr>
          <w:p w:rsidR="00EB0A1A" w:rsidRPr="001F29E3" w:rsidRDefault="00EB0A1A" w:rsidP="00CC6223">
            <w:pPr>
              <w:rPr>
                <w:rFonts w:cs="Arial"/>
              </w:rPr>
            </w:pPr>
          </w:p>
          <w:p w:rsidR="00EB0A1A" w:rsidRPr="001F29E3" w:rsidRDefault="00EB0A1A" w:rsidP="00A9260A">
            <w:pPr>
              <w:pStyle w:val="Heading3"/>
            </w:pPr>
            <w:r w:rsidRPr="001F29E3">
              <w:t>Key Points</w:t>
            </w:r>
          </w:p>
          <w:p w:rsidR="00CA79D5" w:rsidRPr="001F29E3" w:rsidRDefault="005F2DE9" w:rsidP="000B208D">
            <w:pPr>
              <w:pStyle w:val="ListBullet"/>
              <w:numPr>
                <w:ilvl w:val="0"/>
                <w:numId w:val="13"/>
              </w:numPr>
              <w:ind w:left="397" w:right="113" w:hanging="284"/>
              <w:rPr>
                <w:rFonts w:cs="Arial"/>
              </w:rPr>
            </w:pPr>
            <w:r w:rsidRPr="001F29E3">
              <w:rPr>
                <w:rFonts w:cs="Arial"/>
              </w:rPr>
              <w:t>T</w:t>
            </w:r>
            <w:r w:rsidR="00CA79D5" w:rsidRPr="001F29E3">
              <w:rPr>
                <w:rFonts w:cs="Arial"/>
              </w:rPr>
              <w:t>here has been an increase in the n</w:t>
            </w:r>
            <w:r w:rsidR="007E2013" w:rsidRPr="001F29E3">
              <w:rPr>
                <w:rFonts w:cs="Arial"/>
              </w:rPr>
              <w:t xml:space="preserve">umber of government subsidised commencing enrolments </w:t>
            </w:r>
            <w:r w:rsidRPr="001F29E3">
              <w:rPr>
                <w:rFonts w:cs="Arial"/>
              </w:rPr>
              <w:t xml:space="preserve">in </w:t>
            </w:r>
            <w:r w:rsidR="00CA79D5" w:rsidRPr="001F29E3">
              <w:rPr>
                <w:rFonts w:cs="Arial"/>
              </w:rPr>
              <w:t>b</w:t>
            </w:r>
            <w:r w:rsidR="007E2013" w:rsidRPr="001F29E3">
              <w:rPr>
                <w:rFonts w:cs="Arial"/>
              </w:rPr>
              <w:t xml:space="preserve">and B </w:t>
            </w:r>
            <w:r w:rsidR="00CA79D5" w:rsidRPr="001F29E3">
              <w:rPr>
                <w:rFonts w:cs="Arial"/>
              </w:rPr>
              <w:t xml:space="preserve">in Q1 2013 compared </w:t>
            </w:r>
            <w:r w:rsidR="001D7560" w:rsidRPr="001F29E3">
              <w:rPr>
                <w:rFonts w:cs="Arial"/>
              </w:rPr>
              <w:t>to</w:t>
            </w:r>
            <w:r w:rsidR="00CA79D5" w:rsidRPr="001F29E3">
              <w:rPr>
                <w:rFonts w:cs="Arial"/>
              </w:rPr>
              <w:t xml:space="preserve"> Q1 2012 (up 17 per cent), </w:t>
            </w:r>
            <w:r w:rsidRPr="001F29E3">
              <w:rPr>
                <w:rFonts w:cs="Arial"/>
              </w:rPr>
              <w:t xml:space="preserve">but </w:t>
            </w:r>
            <w:r w:rsidR="00CA79D5" w:rsidRPr="001F29E3">
              <w:rPr>
                <w:rFonts w:cs="Arial"/>
              </w:rPr>
              <w:t>commencing enrolment</w:t>
            </w:r>
            <w:r w:rsidR="001D7560" w:rsidRPr="001F29E3">
              <w:rPr>
                <w:rFonts w:cs="Arial"/>
              </w:rPr>
              <w:t xml:space="preserve"> number</w:t>
            </w:r>
            <w:r w:rsidR="00CA79D5" w:rsidRPr="001F29E3">
              <w:rPr>
                <w:rFonts w:cs="Arial"/>
              </w:rPr>
              <w:t xml:space="preserve">s </w:t>
            </w:r>
            <w:r w:rsidRPr="001F29E3">
              <w:rPr>
                <w:rFonts w:cs="Arial"/>
              </w:rPr>
              <w:t>have declined across bands A, C, D and E</w:t>
            </w:r>
            <w:r w:rsidR="00CA79D5" w:rsidRPr="001F29E3">
              <w:rPr>
                <w:rFonts w:cs="Arial"/>
              </w:rPr>
              <w:t xml:space="preserve">. The increase in commencements in band B </w:t>
            </w:r>
            <w:r w:rsidR="00267307" w:rsidRPr="001F29E3">
              <w:rPr>
                <w:rFonts w:cs="Arial"/>
              </w:rPr>
              <w:t>was</w:t>
            </w:r>
            <w:r w:rsidR="00CA79D5" w:rsidRPr="001F29E3">
              <w:rPr>
                <w:rFonts w:cs="Arial"/>
              </w:rPr>
              <w:t xml:space="preserve"> largely attributable to </w:t>
            </w:r>
            <w:r w:rsidR="00BB1E91" w:rsidRPr="001F29E3">
              <w:rPr>
                <w:rFonts w:cs="Arial"/>
              </w:rPr>
              <w:t>f</w:t>
            </w:r>
            <w:r w:rsidR="00CA79D5" w:rsidRPr="001F29E3">
              <w:rPr>
                <w:rFonts w:cs="Arial"/>
              </w:rPr>
              <w:t xml:space="preserve">oundation </w:t>
            </w:r>
            <w:r w:rsidR="00BB1E91" w:rsidRPr="001F29E3">
              <w:rPr>
                <w:rFonts w:cs="Arial"/>
              </w:rPr>
              <w:t xml:space="preserve">skills </w:t>
            </w:r>
            <w:r w:rsidR="00CA79D5" w:rsidRPr="001F29E3">
              <w:rPr>
                <w:rFonts w:cs="Arial"/>
              </w:rPr>
              <w:t xml:space="preserve">courses. </w:t>
            </w:r>
          </w:p>
          <w:p w:rsidR="00EB0A1A" w:rsidRPr="001F29E3" w:rsidRDefault="00CA79D5" w:rsidP="000B208D">
            <w:pPr>
              <w:pStyle w:val="ListBullet"/>
              <w:numPr>
                <w:ilvl w:val="0"/>
                <w:numId w:val="13"/>
              </w:numPr>
              <w:ind w:left="397" w:right="113" w:hanging="284"/>
              <w:rPr>
                <w:rFonts w:cs="Arial"/>
              </w:rPr>
            </w:pPr>
            <w:r w:rsidRPr="001F29E3">
              <w:rPr>
                <w:rFonts w:cs="Arial"/>
              </w:rPr>
              <w:t>Proportionally there has been a marked shift in commencement patterns when compar</w:t>
            </w:r>
            <w:r w:rsidR="00267307" w:rsidRPr="001F29E3">
              <w:rPr>
                <w:rFonts w:cs="Arial"/>
              </w:rPr>
              <w:t>ing</w:t>
            </w:r>
            <w:r w:rsidRPr="001F29E3">
              <w:rPr>
                <w:rFonts w:cs="Arial"/>
              </w:rPr>
              <w:t xml:space="preserve"> Q1 2013 </w:t>
            </w:r>
            <w:r w:rsidR="00267307" w:rsidRPr="001F29E3">
              <w:rPr>
                <w:rFonts w:cs="Arial"/>
              </w:rPr>
              <w:t>with</w:t>
            </w:r>
            <w:r w:rsidR="00EB320C" w:rsidRPr="001F29E3">
              <w:rPr>
                <w:rFonts w:cs="Arial"/>
              </w:rPr>
              <w:t xml:space="preserve"> </w:t>
            </w:r>
            <w:r w:rsidRPr="001F29E3">
              <w:rPr>
                <w:rFonts w:cs="Arial"/>
              </w:rPr>
              <w:t xml:space="preserve">Q1 2012. Figures from Q1 2013 show 65 per cent of all government subsidised commencing enrolments were within subsidy bands A and B. This compared with 52 per cent of commencements in subsidy bands A and B in Q1 2012. </w:t>
            </w:r>
            <w:r w:rsidR="00EB0A1A" w:rsidRPr="001F29E3">
              <w:rPr>
                <w:rFonts w:cs="Arial"/>
              </w:rPr>
              <w:t xml:space="preserve">Courses such as the </w:t>
            </w:r>
            <w:r w:rsidR="00CC0C50" w:rsidRPr="001F29E3">
              <w:rPr>
                <w:rFonts w:cs="Arial"/>
              </w:rPr>
              <w:t>Certificate</w:t>
            </w:r>
            <w:r w:rsidR="00EB0A1A" w:rsidRPr="001F29E3">
              <w:rPr>
                <w:rFonts w:cs="Arial"/>
              </w:rPr>
              <w:t xml:space="preserve"> III in </w:t>
            </w:r>
            <w:proofErr w:type="spellStart"/>
            <w:r w:rsidR="00EB0A1A" w:rsidRPr="001F29E3">
              <w:rPr>
                <w:rFonts w:cs="Arial"/>
              </w:rPr>
              <w:t>Electrotechnology</w:t>
            </w:r>
            <w:proofErr w:type="spellEnd"/>
            <w:r w:rsidR="00EB0A1A" w:rsidRPr="001F29E3">
              <w:rPr>
                <w:rFonts w:cs="Arial"/>
              </w:rPr>
              <w:t xml:space="preserve"> Electrician, </w:t>
            </w:r>
            <w:r w:rsidR="00CC0C50" w:rsidRPr="001F29E3">
              <w:rPr>
                <w:rFonts w:cs="Arial"/>
              </w:rPr>
              <w:t>Certificate</w:t>
            </w:r>
            <w:r w:rsidR="00EB0A1A" w:rsidRPr="001F29E3">
              <w:rPr>
                <w:rFonts w:cs="Arial"/>
              </w:rPr>
              <w:t xml:space="preserve"> III in Carpentry, </w:t>
            </w:r>
            <w:r w:rsidR="00CC0C50" w:rsidRPr="001F29E3">
              <w:rPr>
                <w:rFonts w:cs="Arial"/>
              </w:rPr>
              <w:t>Certificate</w:t>
            </w:r>
            <w:r w:rsidR="00EB0A1A" w:rsidRPr="001F29E3">
              <w:rPr>
                <w:rFonts w:cs="Arial"/>
              </w:rPr>
              <w:t xml:space="preserve"> III in Aged Care and the course in Initial General Education for Adults are represented in these funding bands. </w:t>
            </w:r>
          </w:p>
          <w:p w:rsidR="00EB0A1A" w:rsidRPr="001F29E3" w:rsidRDefault="00CA79D5" w:rsidP="000B208D">
            <w:pPr>
              <w:pStyle w:val="ListBullet"/>
              <w:numPr>
                <w:ilvl w:val="0"/>
                <w:numId w:val="13"/>
              </w:numPr>
              <w:ind w:left="397" w:right="113" w:hanging="284"/>
              <w:rPr>
                <w:rFonts w:cs="Arial"/>
              </w:rPr>
            </w:pPr>
            <w:r w:rsidRPr="001F29E3">
              <w:rPr>
                <w:rFonts w:cs="Arial"/>
              </w:rPr>
              <w:t xml:space="preserve">Courses with less vocational outcome, or labour market </w:t>
            </w:r>
            <w:r w:rsidR="00345224">
              <w:rPr>
                <w:rFonts w:cs="Arial"/>
              </w:rPr>
              <w:t>requirement</w:t>
            </w:r>
            <w:r w:rsidRPr="001F29E3">
              <w:rPr>
                <w:rFonts w:cs="Arial"/>
              </w:rPr>
              <w:t xml:space="preserve"> (Band D &amp; E) represented 11 per cent of all government subsidised commencements in </w:t>
            </w:r>
            <w:r w:rsidR="00EB320C" w:rsidRPr="001F29E3">
              <w:rPr>
                <w:rFonts w:cs="Arial"/>
              </w:rPr>
              <w:t xml:space="preserve">Q1 </w:t>
            </w:r>
            <w:r w:rsidRPr="001F29E3">
              <w:rPr>
                <w:rFonts w:cs="Arial"/>
              </w:rPr>
              <w:t>2013, down from 25 per cent over the same period in 2012.</w:t>
            </w:r>
          </w:p>
          <w:p w:rsidR="00EB0A1A" w:rsidRPr="001F29E3" w:rsidRDefault="00FB4406" w:rsidP="000B208D">
            <w:pPr>
              <w:pStyle w:val="ListBullet"/>
              <w:numPr>
                <w:ilvl w:val="0"/>
                <w:numId w:val="13"/>
              </w:numPr>
              <w:ind w:left="397" w:right="113" w:hanging="284"/>
              <w:rPr>
                <w:rFonts w:cs="Arial"/>
              </w:rPr>
            </w:pPr>
            <w:r w:rsidRPr="001F29E3">
              <w:rPr>
                <w:rFonts w:cs="Arial"/>
              </w:rPr>
              <w:t xml:space="preserve">Band D has a slightly greater proportion of commencements in Q1 2013 compared to </w:t>
            </w:r>
            <w:r w:rsidR="00267307" w:rsidRPr="001F29E3">
              <w:rPr>
                <w:rFonts w:cs="Arial"/>
              </w:rPr>
              <w:t>commencements</w:t>
            </w:r>
            <w:r w:rsidR="00EB320C" w:rsidRPr="001F29E3">
              <w:rPr>
                <w:rFonts w:cs="Arial"/>
              </w:rPr>
              <w:t xml:space="preserve"> in </w:t>
            </w:r>
            <w:r w:rsidRPr="001F29E3">
              <w:rPr>
                <w:rFonts w:cs="Arial"/>
              </w:rPr>
              <w:t xml:space="preserve">July-Dec 2012 (7 per cent vs. 4 per cent). This </w:t>
            </w:r>
            <w:r w:rsidR="00267307" w:rsidRPr="001F29E3">
              <w:rPr>
                <w:rFonts w:cs="Arial"/>
              </w:rPr>
              <w:t>was</w:t>
            </w:r>
            <w:r w:rsidRPr="001F29E3">
              <w:rPr>
                <w:rFonts w:cs="Arial"/>
              </w:rPr>
              <w:t xml:space="preserve"> predominantly due to more Diploma and Advanced Diploma commencements at the beginning of the year.</w:t>
            </w:r>
          </w:p>
          <w:p w:rsidR="00910C9A" w:rsidRPr="001F29E3" w:rsidRDefault="00910C9A" w:rsidP="00910C9A">
            <w:pPr>
              <w:pStyle w:val="ListBullet"/>
              <w:numPr>
                <w:ilvl w:val="0"/>
                <w:numId w:val="0"/>
              </w:numPr>
              <w:ind w:left="397" w:right="113"/>
              <w:rPr>
                <w:rFonts w:cs="Arial"/>
              </w:rPr>
            </w:pPr>
          </w:p>
        </w:tc>
      </w:tr>
    </w:tbl>
    <w:p w:rsidR="00EB0A1A" w:rsidRPr="001F29E3" w:rsidRDefault="00EB0A1A" w:rsidP="00595D95">
      <w:pPr>
        <w:rPr>
          <w:rFonts w:cs="Arial"/>
        </w:rPr>
      </w:pPr>
    </w:p>
    <w:p w:rsidR="005B235C" w:rsidRPr="001F29E3" w:rsidRDefault="005B235C" w:rsidP="00595D95">
      <w:pPr>
        <w:rPr>
          <w:rFonts w:cs="Arial"/>
        </w:rPr>
      </w:pPr>
    </w:p>
    <w:p w:rsidR="005B235C" w:rsidRPr="001F29E3" w:rsidRDefault="005B235C" w:rsidP="00595D95">
      <w:pPr>
        <w:rPr>
          <w:rFonts w:cs="Arial"/>
        </w:rPr>
      </w:pPr>
    </w:p>
    <w:p w:rsidR="00351166" w:rsidRPr="001F29E3" w:rsidRDefault="00EB0A1A" w:rsidP="00A9260A">
      <w:pPr>
        <w:pStyle w:val="Heading2"/>
      </w:pPr>
      <w:r w:rsidRPr="001F29E3">
        <w:br w:type="page"/>
      </w:r>
      <w:bookmarkStart w:id="60" w:name="_Toc359501558"/>
      <w:r w:rsidR="00351166" w:rsidRPr="001F29E3">
        <w:lastRenderedPageBreak/>
        <w:t>Qualification Levels</w:t>
      </w:r>
      <w:bookmarkEnd w:id="52"/>
      <w:bookmarkEnd w:id="53"/>
      <w:bookmarkEnd w:id="54"/>
      <w:bookmarkEnd w:id="55"/>
      <w:bookmarkEnd w:id="56"/>
      <w:bookmarkEnd w:id="60"/>
    </w:p>
    <w:p w:rsidR="00351166" w:rsidRPr="001F29E3" w:rsidRDefault="00351166" w:rsidP="00351166">
      <w:pPr>
        <w:rPr>
          <w:rFonts w:cs="Arial"/>
          <w:b/>
          <w:bCs/>
          <w:color w:val="76923C" w:themeColor="accent3" w:themeShade="BF"/>
          <w:szCs w:val="19"/>
        </w:rPr>
      </w:pPr>
    </w:p>
    <w:p w:rsidR="00351166" w:rsidRPr="001F29E3" w:rsidRDefault="00351166" w:rsidP="00351166">
      <w:pPr>
        <w:rPr>
          <w:rFonts w:cs="Arial"/>
        </w:rPr>
      </w:pPr>
      <w:r w:rsidRPr="001F29E3">
        <w:rPr>
          <w:rFonts w:cs="Arial"/>
        </w:rPr>
        <w:t>Attainment of qualifications, rather than short courses (i.e. through module only delivery), has become an increasingly important focus of State and Commonwealth governments. Lower level qualifications (</w:t>
      </w:r>
      <w:r w:rsidR="00CC0C50" w:rsidRPr="001F29E3">
        <w:rPr>
          <w:rFonts w:cs="Arial"/>
        </w:rPr>
        <w:t>Certificate</w:t>
      </w:r>
      <w:r w:rsidRPr="001F29E3">
        <w:rPr>
          <w:rFonts w:cs="Arial"/>
        </w:rPr>
        <w:t xml:space="preserve"> I-II) provide those without post-school qualifications the foundation level skills (literacy, numeracy, work preparation) necessary to undertake further study or to find </w:t>
      </w:r>
      <w:r w:rsidR="00DD4F9C" w:rsidRPr="001F29E3">
        <w:rPr>
          <w:rFonts w:cs="Arial"/>
        </w:rPr>
        <w:t>employment</w:t>
      </w:r>
      <w:r w:rsidRPr="001F29E3">
        <w:rPr>
          <w:rFonts w:cs="Arial"/>
        </w:rPr>
        <w:t>.</w:t>
      </w:r>
      <w:r w:rsidR="002C240D" w:rsidRPr="001F29E3">
        <w:rPr>
          <w:rFonts w:cs="Arial"/>
        </w:rPr>
        <w:t xml:space="preserve"> </w:t>
      </w:r>
      <w:r w:rsidR="005B6676" w:rsidRPr="004E4031">
        <w:rPr>
          <w:rFonts w:cs="Arial"/>
        </w:rPr>
        <w:t xml:space="preserve">A review of </w:t>
      </w:r>
      <w:r w:rsidR="00B665E0" w:rsidRPr="004E4031">
        <w:rPr>
          <w:rFonts w:cs="Arial"/>
        </w:rPr>
        <w:t xml:space="preserve">Victorian foundation skills training is </w:t>
      </w:r>
      <w:r w:rsidR="004E4031" w:rsidRPr="004E4031">
        <w:rPr>
          <w:rFonts w:cs="Arial"/>
        </w:rPr>
        <w:t>underway</w:t>
      </w:r>
      <w:r w:rsidR="00B665E0" w:rsidRPr="004E4031">
        <w:rPr>
          <w:rFonts w:cs="Arial"/>
        </w:rPr>
        <w:t>. The objective of the review is to compare the effectiveness of different approaches and models of foundation skills training delivery to best support young people and low skilled adults to develop the core skills they need to participate in the workplace and modern life.</w:t>
      </w:r>
    </w:p>
    <w:p w:rsidR="00351166" w:rsidRPr="001F29E3" w:rsidRDefault="00351166" w:rsidP="00351166">
      <w:pPr>
        <w:rPr>
          <w:rFonts w:cs="Arial"/>
        </w:rPr>
      </w:pPr>
      <w:r w:rsidRPr="001F29E3">
        <w:rPr>
          <w:rFonts w:cs="Arial"/>
        </w:rPr>
        <w:t xml:space="preserve">Mid-level skills are essential to the Victorian economy and help drive economic activity across the State. A significant proportion of apprenticeships and traineeships entail attainment of a mid-level qualification and are crucial to many key industries. Apprenticeships and traineeships are undertaken as a contract between the apprentice/trainee and an employer. While undertaking on-the-job learning, the apprentice/trainee receives </w:t>
      </w:r>
      <w:r w:rsidR="0013272D" w:rsidRPr="001F29E3">
        <w:rPr>
          <w:rFonts w:cs="Arial"/>
        </w:rPr>
        <w:t>complementary</w:t>
      </w:r>
      <w:r w:rsidRPr="001F29E3">
        <w:rPr>
          <w:rFonts w:cs="Arial"/>
        </w:rPr>
        <w:t xml:space="preserve"> training through a </w:t>
      </w:r>
      <w:r w:rsidR="00221A72" w:rsidRPr="001F29E3">
        <w:rPr>
          <w:rFonts w:cs="Arial"/>
          <w:color w:val="000000"/>
        </w:rPr>
        <w:t>v</w:t>
      </w:r>
      <w:r w:rsidR="0055106F" w:rsidRPr="001F29E3">
        <w:rPr>
          <w:rFonts w:cs="Arial"/>
          <w:color w:val="000000"/>
        </w:rPr>
        <w:t xml:space="preserve">ocational </w:t>
      </w:r>
      <w:r w:rsidR="00221A72" w:rsidRPr="001F29E3">
        <w:rPr>
          <w:rFonts w:cs="Arial"/>
          <w:color w:val="000000"/>
        </w:rPr>
        <w:t>t</w:t>
      </w:r>
      <w:r w:rsidR="0055106F" w:rsidRPr="001F29E3">
        <w:rPr>
          <w:rFonts w:cs="Arial"/>
          <w:color w:val="000000"/>
        </w:rPr>
        <w:t>raining</w:t>
      </w:r>
      <w:r w:rsidRPr="001F29E3">
        <w:rPr>
          <w:rFonts w:cs="Arial"/>
        </w:rPr>
        <w:t xml:space="preserve"> provider.</w:t>
      </w:r>
    </w:p>
    <w:p w:rsidR="00351166" w:rsidRPr="001F29E3" w:rsidRDefault="00351166" w:rsidP="00351166">
      <w:pPr>
        <w:rPr>
          <w:rFonts w:cs="Arial"/>
        </w:rPr>
      </w:pPr>
      <w:r w:rsidRPr="001F29E3">
        <w:rPr>
          <w:rFonts w:cs="Arial"/>
        </w:rPr>
        <w:t xml:space="preserve">Higher level qualifications </w:t>
      </w:r>
      <w:r w:rsidR="00D345F3" w:rsidRPr="001F29E3">
        <w:rPr>
          <w:rFonts w:cs="Arial"/>
        </w:rPr>
        <w:t>ha</w:t>
      </w:r>
      <w:r w:rsidR="00BC2184" w:rsidRPr="001F29E3">
        <w:rPr>
          <w:rFonts w:cs="Arial"/>
        </w:rPr>
        <w:t>ve</w:t>
      </w:r>
      <w:r w:rsidRPr="001F29E3">
        <w:rPr>
          <w:rFonts w:cs="Arial"/>
        </w:rPr>
        <w:t xml:space="preserve"> grow</w:t>
      </w:r>
      <w:r w:rsidR="00BC2184" w:rsidRPr="001F29E3">
        <w:rPr>
          <w:rFonts w:cs="Arial"/>
        </w:rPr>
        <w:t>n</w:t>
      </w:r>
      <w:r w:rsidRPr="001F29E3">
        <w:rPr>
          <w:rFonts w:cs="Arial"/>
        </w:rPr>
        <w:t xml:space="preserve"> in demand by</w:t>
      </w:r>
      <w:r w:rsidR="00BC2184" w:rsidRPr="001F29E3">
        <w:rPr>
          <w:rFonts w:cs="Arial"/>
        </w:rPr>
        <w:t xml:space="preserve"> industry and the labour market, with the </w:t>
      </w:r>
      <w:r w:rsidR="00BC2184" w:rsidRPr="001F29E3">
        <w:rPr>
          <w:rFonts w:cs="Arial"/>
          <w:lang w:val="en"/>
        </w:rPr>
        <w:t>demand for high level skills growing at 2.5 times the rate of unskilled jobs</w:t>
      </w:r>
      <w:r w:rsidR="00BC2184" w:rsidRPr="001F29E3">
        <w:rPr>
          <w:rStyle w:val="FootnoteReference"/>
          <w:rFonts w:cs="Arial"/>
          <w:lang w:val="en"/>
        </w:rPr>
        <w:footnoteReference w:id="4"/>
      </w:r>
      <w:r w:rsidRPr="001F29E3">
        <w:rPr>
          <w:rFonts w:cs="Arial"/>
        </w:rPr>
        <w:t xml:space="preserve">. To meet this demand, State and Commonwealth governments have focused on raising the qualification profile of Australians over the last decade. Higher level </w:t>
      </w:r>
      <w:r w:rsidR="00221A72" w:rsidRPr="001F29E3">
        <w:rPr>
          <w:rFonts w:cs="Arial"/>
          <w:color w:val="000000"/>
        </w:rPr>
        <w:t>v</w:t>
      </w:r>
      <w:r w:rsidR="0055106F" w:rsidRPr="001F29E3">
        <w:rPr>
          <w:rFonts w:cs="Arial"/>
          <w:color w:val="000000"/>
        </w:rPr>
        <w:t xml:space="preserve">ocational </w:t>
      </w:r>
      <w:r w:rsidR="00221A72" w:rsidRPr="001F29E3">
        <w:rPr>
          <w:rFonts w:cs="Arial"/>
          <w:color w:val="000000"/>
        </w:rPr>
        <w:t>t</w:t>
      </w:r>
      <w:r w:rsidR="0055106F" w:rsidRPr="001F29E3">
        <w:rPr>
          <w:rFonts w:cs="Arial"/>
          <w:color w:val="000000"/>
        </w:rPr>
        <w:t>raining</w:t>
      </w:r>
      <w:r w:rsidRPr="001F29E3">
        <w:rPr>
          <w:rFonts w:cs="Arial"/>
        </w:rPr>
        <w:t xml:space="preserve"> qualifications (Diploma and above) provide entry to higher skilled jobs and to further study – generally at university level where </w:t>
      </w:r>
      <w:r w:rsidR="00221A72" w:rsidRPr="001F29E3">
        <w:rPr>
          <w:rFonts w:cs="Arial"/>
          <w:color w:val="000000"/>
        </w:rPr>
        <w:t>v</w:t>
      </w:r>
      <w:r w:rsidR="0055106F" w:rsidRPr="001F29E3">
        <w:rPr>
          <w:rFonts w:cs="Arial"/>
          <w:color w:val="000000"/>
        </w:rPr>
        <w:t xml:space="preserve">ocational </w:t>
      </w:r>
      <w:r w:rsidR="00221A72" w:rsidRPr="001F29E3">
        <w:rPr>
          <w:rFonts w:cs="Arial"/>
          <w:color w:val="000000"/>
        </w:rPr>
        <w:t>t</w:t>
      </w:r>
      <w:r w:rsidR="0055106F" w:rsidRPr="001F29E3">
        <w:rPr>
          <w:rFonts w:cs="Arial"/>
          <w:color w:val="000000"/>
        </w:rPr>
        <w:t>raining</w:t>
      </w:r>
      <w:r w:rsidRPr="001F29E3">
        <w:rPr>
          <w:rFonts w:cs="Arial"/>
        </w:rPr>
        <w:t xml:space="preserve"> graduates obtain credits towards their undergraduate studies.</w:t>
      </w:r>
    </w:p>
    <w:p w:rsidR="00351166" w:rsidRPr="001F29E3" w:rsidRDefault="00351166" w:rsidP="00351166">
      <w:pPr>
        <w:rPr>
          <w:rFonts w:cs="Arial"/>
        </w:rPr>
      </w:pPr>
    </w:p>
    <w:p w:rsidR="00351166" w:rsidRPr="001F29E3" w:rsidRDefault="0055106F" w:rsidP="00A9260A">
      <w:pPr>
        <w:pStyle w:val="Heading3"/>
      </w:pPr>
      <w:r w:rsidRPr="001F29E3">
        <w:t>Vocational Training</w:t>
      </w:r>
      <w:r w:rsidR="00351166" w:rsidRPr="001F29E3">
        <w:t xml:space="preserve"> Delivery by Qualification Level, Government Subsidised Enrolments</w:t>
      </w:r>
    </w:p>
    <w:p w:rsidR="00351166" w:rsidRPr="001F29E3" w:rsidRDefault="00351166" w:rsidP="00C51DF4">
      <w:pPr>
        <w:pStyle w:val="Caption"/>
        <w:jc w:val="left"/>
        <w:rPr>
          <w:rFonts w:cs="Arial"/>
        </w:rPr>
      </w:pPr>
      <w:r w:rsidRPr="001F29E3">
        <w:rPr>
          <w:rFonts w:cs="Arial"/>
        </w:rPr>
        <w:t>Table 1.</w:t>
      </w:r>
      <w:r w:rsidR="00BB1E91" w:rsidRPr="001F29E3">
        <w:rPr>
          <w:rFonts w:cs="Arial"/>
        </w:rPr>
        <w:t>5</w:t>
      </w:r>
      <w:r w:rsidRPr="001F29E3">
        <w:rPr>
          <w:rFonts w:cs="Arial"/>
        </w:rPr>
        <w:t xml:space="preserve">: </w:t>
      </w:r>
      <w:r w:rsidR="005B235C" w:rsidRPr="001F29E3">
        <w:rPr>
          <w:rFonts w:cs="Arial"/>
        </w:rPr>
        <w:t>G</w:t>
      </w:r>
      <w:r w:rsidRPr="001F29E3">
        <w:rPr>
          <w:rFonts w:cs="Arial"/>
        </w:rPr>
        <w:t>overnment subsidised enrolments by qualification level, 2008–2012</w:t>
      </w:r>
      <w:r w:rsidR="00B5336B" w:rsidRPr="001F29E3">
        <w:rPr>
          <w:rFonts w:cs="Arial"/>
        </w:rPr>
        <w:t>, Q1 2</w:t>
      </w:r>
      <w:r w:rsidR="005B235C" w:rsidRPr="001F29E3">
        <w:rPr>
          <w:rFonts w:cs="Arial"/>
        </w:rPr>
        <w:t>0</w:t>
      </w:r>
      <w:r w:rsidR="00B5336B" w:rsidRPr="001F29E3">
        <w:rPr>
          <w:rFonts w:cs="Arial"/>
        </w:rPr>
        <w:t>12 and Q1 2013</w:t>
      </w:r>
    </w:p>
    <w:p w:rsidR="003117F3" w:rsidRPr="001F29E3" w:rsidRDefault="00267307" w:rsidP="00351166">
      <w:pPr>
        <w:spacing w:after="0"/>
        <w:rPr>
          <w:rFonts w:cs="Arial"/>
        </w:rPr>
      </w:pPr>
      <w:r w:rsidRPr="001F29E3">
        <w:rPr>
          <w:rFonts w:cs="Arial"/>
          <w:noProof/>
          <w:lang w:eastAsia="en-AU"/>
        </w:rPr>
        <w:drawing>
          <wp:inline distT="0" distB="0" distL="0" distR="0" wp14:anchorId="4BCD826E" wp14:editId="26119473">
            <wp:extent cx="5760720" cy="141744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1417440"/>
                    </a:xfrm>
                    <a:prstGeom prst="rect">
                      <a:avLst/>
                    </a:prstGeom>
                    <a:noFill/>
                    <a:ln>
                      <a:noFill/>
                    </a:ln>
                  </pic:spPr>
                </pic:pic>
              </a:graphicData>
            </a:graphic>
          </wp:inline>
        </w:drawing>
      </w:r>
    </w:p>
    <w:p w:rsidR="00E2616D" w:rsidRPr="001F29E3" w:rsidRDefault="00C53713" w:rsidP="00030839">
      <w:r w:rsidRPr="001F29E3">
        <w:rPr>
          <w:rFonts w:cs="Arial"/>
          <w:sz w:val="16"/>
          <w:szCs w:val="16"/>
        </w:rPr>
        <w:t xml:space="preserve">Note: </w:t>
      </w:r>
      <w:proofErr w:type="spellStart"/>
      <w:r w:rsidRPr="001F29E3">
        <w:rPr>
          <w:rFonts w:cs="Arial"/>
          <w:sz w:val="16"/>
          <w:szCs w:val="16"/>
        </w:rPr>
        <w:t>SoA</w:t>
      </w:r>
      <w:proofErr w:type="spellEnd"/>
      <w:r w:rsidRPr="001F29E3">
        <w:rPr>
          <w:rFonts w:cs="Arial"/>
          <w:sz w:val="16"/>
          <w:szCs w:val="16"/>
        </w:rPr>
        <w:t xml:space="preserve"> – Statement of Attainment</w:t>
      </w:r>
    </w:p>
    <w:p w:rsidR="00861092" w:rsidRPr="001F29E3" w:rsidRDefault="00861092">
      <w:pPr>
        <w:spacing w:after="0" w:line="240" w:lineRule="auto"/>
        <w:jc w:val="left"/>
        <w:rPr>
          <w:rFonts w:cs="Arial"/>
          <w:b/>
          <w:bCs/>
          <w:color w:val="0070C0"/>
          <w:sz w:val="16"/>
          <w:szCs w:val="16"/>
        </w:rPr>
      </w:pPr>
      <w:r w:rsidRPr="001F29E3">
        <w:rPr>
          <w:rFonts w:cs="Arial"/>
        </w:rPr>
        <w:br w:type="page"/>
      </w:r>
    </w:p>
    <w:p w:rsidR="00C53713" w:rsidRPr="001F29E3" w:rsidRDefault="00C53713" w:rsidP="00C51DF4">
      <w:pPr>
        <w:pStyle w:val="Caption"/>
        <w:jc w:val="left"/>
        <w:rPr>
          <w:rFonts w:cs="Arial"/>
        </w:rPr>
      </w:pPr>
      <w:r w:rsidRPr="001F29E3">
        <w:rPr>
          <w:rFonts w:cs="Arial"/>
        </w:rPr>
        <w:lastRenderedPageBreak/>
        <w:t>Figure 1.</w:t>
      </w:r>
      <w:r w:rsidR="00BB1E91" w:rsidRPr="001F29E3">
        <w:rPr>
          <w:rFonts w:cs="Arial"/>
        </w:rPr>
        <w:t>5:</w:t>
      </w:r>
      <w:r w:rsidR="001905F7" w:rsidRPr="001F29E3">
        <w:rPr>
          <w:rFonts w:cs="Arial"/>
        </w:rPr>
        <w:t xml:space="preserve"> Government</w:t>
      </w:r>
      <w:r w:rsidRPr="001F29E3">
        <w:rPr>
          <w:rFonts w:cs="Arial"/>
        </w:rPr>
        <w:t xml:space="preserve"> subsidised enrolments by qualification level (AQF1+ only), Q1 2012 and Q1 2013</w:t>
      </w:r>
    </w:p>
    <w:p w:rsidR="00C53713" w:rsidRPr="001F29E3" w:rsidRDefault="006361B2" w:rsidP="004E4031">
      <w:pPr>
        <w:jc w:val="center"/>
        <w:rPr>
          <w:rFonts w:cs="Arial"/>
        </w:rPr>
      </w:pPr>
      <w:r w:rsidRPr="006361B2">
        <w:rPr>
          <w:noProof/>
          <w:lang w:eastAsia="en-AU"/>
        </w:rPr>
        <w:drawing>
          <wp:inline distT="0" distB="0" distL="0" distR="0" wp14:anchorId="0B78B521" wp14:editId="30C9730E">
            <wp:extent cx="5229225" cy="2828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29225" cy="2828925"/>
                    </a:xfrm>
                    <a:prstGeom prst="rect">
                      <a:avLst/>
                    </a:prstGeom>
                    <a:noFill/>
                    <a:ln>
                      <a:noFill/>
                    </a:ln>
                  </pic:spPr>
                </pic:pic>
              </a:graphicData>
            </a:graphic>
          </wp:inline>
        </w:drawing>
      </w:r>
    </w:p>
    <w:p w:rsidR="00C53713" w:rsidRPr="001F29E3" w:rsidRDefault="00C53713" w:rsidP="00C53713">
      <w:pPr>
        <w:rPr>
          <w:rFonts w:cs="Arial"/>
        </w:rPr>
      </w:pPr>
    </w:p>
    <w:tbl>
      <w:tblPr>
        <w:tblStyle w:val="TableGrid"/>
        <w:tblW w:w="0" w:type="auto"/>
        <w:tblLook w:val="04A0" w:firstRow="1" w:lastRow="0" w:firstColumn="1" w:lastColumn="0" w:noHBand="0" w:noVBand="1"/>
      </w:tblPr>
      <w:tblGrid>
        <w:gridCol w:w="9288"/>
      </w:tblGrid>
      <w:tr w:rsidR="00DE411D" w:rsidRPr="001F29E3" w:rsidTr="00D70734">
        <w:trPr>
          <w:tblHeader/>
        </w:trPr>
        <w:tc>
          <w:tcPr>
            <w:tcW w:w="9288"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DE411D" w:rsidRPr="001F29E3" w:rsidRDefault="00DE411D" w:rsidP="00A9260A">
            <w:pPr>
              <w:pStyle w:val="Heading3"/>
              <w:outlineLvl w:val="2"/>
            </w:pPr>
          </w:p>
          <w:p w:rsidR="00DE411D" w:rsidRPr="001F29E3" w:rsidRDefault="00DE411D" w:rsidP="00A9260A">
            <w:pPr>
              <w:pStyle w:val="Heading3"/>
              <w:outlineLvl w:val="2"/>
            </w:pPr>
            <w:r w:rsidRPr="001F29E3">
              <w:t>Key Points</w:t>
            </w:r>
          </w:p>
          <w:p w:rsidR="00967354" w:rsidRPr="001F29E3" w:rsidRDefault="001905F7" w:rsidP="000B208D">
            <w:pPr>
              <w:pStyle w:val="ListBullet"/>
              <w:numPr>
                <w:ilvl w:val="0"/>
                <w:numId w:val="13"/>
              </w:numPr>
              <w:ind w:left="397" w:right="113" w:hanging="284"/>
              <w:rPr>
                <w:rFonts w:cs="Arial"/>
              </w:rPr>
            </w:pPr>
            <w:r w:rsidRPr="001F29E3">
              <w:rPr>
                <w:rFonts w:cs="Arial"/>
              </w:rPr>
              <w:t>T</w:t>
            </w:r>
            <w:r w:rsidR="00861092" w:rsidRPr="001F29E3">
              <w:rPr>
                <w:rFonts w:cs="Arial"/>
              </w:rPr>
              <w:t xml:space="preserve">he overall number of government subsidised enrolments </w:t>
            </w:r>
            <w:r w:rsidRPr="001F29E3">
              <w:rPr>
                <w:rFonts w:cs="Arial"/>
              </w:rPr>
              <w:t xml:space="preserve">in Q1 2013 has declined </w:t>
            </w:r>
            <w:r w:rsidR="006C3B7A" w:rsidRPr="001F29E3">
              <w:rPr>
                <w:rFonts w:cs="Arial"/>
              </w:rPr>
              <w:t xml:space="preserve">compared </w:t>
            </w:r>
            <w:r w:rsidRPr="001F29E3">
              <w:rPr>
                <w:rFonts w:cs="Arial"/>
              </w:rPr>
              <w:t xml:space="preserve">to </w:t>
            </w:r>
            <w:r w:rsidR="00861092" w:rsidRPr="001F29E3">
              <w:rPr>
                <w:rFonts w:cs="Arial"/>
              </w:rPr>
              <w:t>Q1 2012, but enrolment</w:t>
            </w:r>
            <w:r w:rsidR="00967354" w:rsidRPr="001F29E3">
              <w:rPr>
                <w:rFonts w:cs="Arial"/>
              </w:rPr>
              <w:t xml:space="preserve"> number</w:t>
            </w:r>
            <w:r w:rsidR="00861092" w:rsidRPr="001F29E3">
              <w:rPr>
                <w:rFonts w:cs="Arial"/>
              </w:rPr>
              <w:t>s at the Certificate I</w:t>
            </w:r>
            <w:r w:rsidR="00967354" w:rsidRPr="001F29E3">
              <w:rPr>
                <w:rFonts w:cs="Arial"/>
              </w:rPr>
              <w:t xml:space="preserve"> to </w:t>
            </w:r>
            <w:r w:rsidR="00861092" w:rsidRPr="001F29E3">
              <w:rPr>
                <w:rFonts w:cs="Arial"/>
              </w:rPr>
              <w:t xml:space="preserve">II levels </w:t>
            </w:r>
            <w:r w:rsidR="00BB1E91" w:rsidRPr="001F29E3">
              <w:rPr>
                <w:rFonts w:cs="Arial"/>
              </w:rPr>
              <w:t xml:space="preserve">have </w:t>
            </w:r>
            <w:r w:rsidR="00861092" w:rsidRPr="001F29E3">
              <w:rPr>
                <w:rFonts w:cs="Arial"/>
              </w:rPr>
              <w:t>increased by 2,300 or 4 per cent</w:t>
            </w:r>
            <w:r w:rsidR="00967354" w:rsidRPr="001F29E3">
              <w:rPr>
                <w:rFonts w:cs="Arial"/>
              </w:rPr>
              <w:t>.</w:t>
            </w:r>
          </w:p>
          <w:p w:rsidR="00861092" w:rsidRPr="001F29E3" w:rsidRDefault="00967354" w:rsidP="000B208D">
            <w:pPr>
              <w:pStyle w:val="ListBullet"/>
              <w:numPr>
                <w:ilvl w:val="0"/>
                <w:numId w:val="13"/>
              </w:numPr>
              <w:ind w:left="397" w:right="113" w:hanging="284"/>
              <w:rPr>
                <w:rFonts w:cs="Arial"/>
              </w:rPr>
            </w:pPr>
            <w:r w:rsidRPr="001F29E3">
              <w:rPr>
                <w:rFonts w:cs="Arial"/>
              </w:rPr>
              <w:t xml:space="preserve">Over </w:t>
            </w:r>
            <w:r w:rsidR="00861092" w:rsidRPr="001F29E3">
              <w:rPr>
                <w:rFonts w:cs="Arial"/>
              </w:rPr>
              <w:t>the same period</w:t>
            </w:r>
            <w:r w:rsidRPr="001F29E3">
              <w:rPr>
                <w:rFonts w:cs="Arial"/>
              </w:rPr>
              <w:t>, there were declines in enrolments at Certificate III to IV levels (down 6 per cent to 158,700 enrolments), Diploma &amp; Above (down 17 per cent to 47,400), Module only training (down 16 per cent to 5,600) and secondary school subjects (down 16 per cent to 8,500).</w:t>
            </w:r>
          </w:p>
          <w:p w:rsidR="00861092" w:rsidRPr="001F29E3" w:rsidRDefault="007031B4" w:rsidP="000B208D">
            <w:pPr>
              <w:pStyle w:val="ListBullet"/>
              <w:numPr>
                <w:ilvl w:val="0"/>
                <w:numId w:val="13"/>
              </w:numPr>
              <w:ind w:left="397" w:right="113" w:hanging="284"/>
              <w:rPr>
                <w:rFonts w:cs="Arial"/>
              </w:rPr>
            </w:pPr>
            <w:r w:rsidRPr="001F29E3">
              <w:rPr>
                <w:rFonts w:cs="Arial"/>
              </w:rPr>
              <w:t>The g</w:t>
            </w:r>
            <w:r w:rsidR="00DE411D" w:rsidRPr="001F29E3">
              <w:rPr>
                <w:rFonts w:cs="Arial"/>
              </w:rPr>
              <w:t xml:space="preserve">rowth in </w:t>
            </w:r>
            <w:r w:rsidR="000A4E9B" w:rsidRPr="001F29E3">
              <w:rPr>
                <w:rFonts w:cs="Arial"/>
              </w:rPr>
              <w:t xml:space="preserve">course </w:t>
            </w:r>
            <w:r w:rsidRPr="001F29E3">
              <w:rPr>
                <w:rFonts w:cs="Arial"/>
              </w:rPr>
              <w:t xml:space="preserve">enrolments at </w:t>
            </w:r>
            <w:r w:rsidR="00DE411D" w:rsidRPr="001F29E3">
              <w:rPr>
                <w:rFonts w:cs="Arial"/>
              </w:rPr>
              <w:t xml:space="preserve">Certificate I to II </w:t>
            </w:r>
            <w:r w:rsidR="001905F7" w:rsidRPr="001F29E3">
              <w:rPr>
                <w:rFonts w:cs="Arial"/>
              </w:rPr>
              <w:t xml:space="preserve">levels </w:t>
            </w:r>
            <w:r w:rsidR="00BB1E91" w:rsidRPr="001F29E3">
              <w:rPr>
                <w:rFonts w:cs="Arial"/>
              </w:rPr>
              <w:t xml:space="preserve">was </w:t>
            </w:r>
            <w:r w:rsidR="00DE411D" w:rsidRPr="001F29E3">
              <w:rPr>
                <w:rFonts w:cs="Arial"/>
              </w:rPr>
              <w:t>predominately related to training in foundation skills</w:t>
            </w:r>
            <w:r w:rsidR="001905F7" w:rsidRPr="001F29E3">
              <w:rPr>
                <w:rFonts w:cs="Arial"/>
              </w:rPr>
              <w:t xml:space="preserve"> courses</w:t>
            </w:r>
            <w:r w:rsidR="00DE411D" w:rsidRPr="001F29E3">
              <w:rPr>
                <w:rFonts w:cs="Arial"/>
              </w:rPr>
              <w:t>.</w:t>
            </w:r>
            <w:r w:rsidR="008072C7" w:rsidRPr="001F29E3">
              <w:rPr>
                <w:rFonts w:cs="Arial"/>
              </w:rPr>
              <w:t xml:space="preserve"> Almost three quarters of enrolments </w:t>
            </w:r>
            <w:r w:rsidR="00DE411D" w:rsidRPr="001F29E3">
              <w:rPr>
                <w:rFonts w:cs="Arial"/>
              </w:rPr>
              <w:t>at Certificate I</w:t>
            </w:r>
            <w:r w:rsidR="008072C7" w:rsidRPr="001F29E3">
              <w:rPr>
                <w:rFonts w:cs="Arial"/>
              </w:rPr>
              <w:t xml:space="preserve"> to </w:t>
            </w:r>
            <w:r w:rsidR="00DE411D" w:rsidRPr="001F29E3">
              <w:rPr>
                <w:rFonts w:cs="Arial"/>
              </w:rPr>
              <w:t>II level</w:t>
            </w:r>
            <w:r w:rsidR="008072C7" w:rsidRPr="001F29E3">
              <w:rPr>
                <w:rFonts w:cs="Arial"/>
              </w:rPr>
              <w:t>s</w:t>
            </w:r>
            <w:r w:rsidR="00DE411D" w:rsidRPr="001F29E3">
              <w:rPr>
                <w:rFonts w:cs="Arial"/>
              </w:rPr>
              <w:t xml:space="preserve"> (</w:t>
            </w:r>
            <w:r w:rsidR="008072C7" w:rsidRPr="001F29E3">
              <w:rPr>
                <w:rFonts w:cs="Arial"/>
              </w:rPr>
              <w:t>73</w:t>
            </w:r>
            <w:r w:rsidR="00DE411D" w:rsidRPr="001F29E3">
              <w:rPr>
                <w:rFonts w:cs="Arial"/>
              </w:rPr>
              <w:t xml:space="preserve"> per cent or </w:t>
            </w:r>
            <w:r w:rsidR="008072C7" w:rsidRPr="001F29E3">
              <w:rPr>
                <w:rFonts w:cs="Arial"/>
              </w:rPr>
              <w:t>42,500</w:t>
            </w:r>
            <w:r w:rsidR="00DE411D" w:rsidRPr="001F29E3">
              <w:rPr>
                <w:rFonts w:cs="Arial"/>
              </w:rPr>
              <w:t xml:space="preserve"> enrolments) were in </w:t>
            </w:r>
            <w:r w:rsidR="000A4E9B" w:rsidRPr="001F29E3">
              <w:rPr>
                <w:rFonts w:cs="Arial"/>
              </w:rPr>
              <w:t>f</w:t>
            </w:r>
            <w:r w:rsidR="00DE411D" w:rsidRPr="001F29E3">
              <w:rPr>
                <w:rFonts w:cs="Arial"/>
              </w:rPr>
              <w:t xml:space="preserve">oundation </w:t>
            </w:r>
            <w:r w:rsidR="000A4E9B" w:rsidRPr="001F29E3">
              <w:rPr>
                <w:rFonts w:cs="Arial"/>
              </w:rPr>
              <w:t>s</w:t>
            </w:r>
            <w:r w:rsidR="00DE411D" w:rsidRPr="001F29E3">
              <w:rPr>
                <w:rFonts w:cs="Arial"/>
              </w:rPr>
              <w:t>kills – work preparation, general education, language literacy and numeracy.</w:t>
            </w:r>
            <w:r w:rsidR="002C240D" w:rsidRPr="001F29E3">
              <w:rPr>
                <w:rFonts w:cs="Arial"/>
              </w:rPr>
              <w:t xml:space="preserve"> </w:t>
            </w:r>
          </w:p>
          <w:p w:rsidR="001905F7" w:rsidRPr="001F29E3" w:rsidRDefault="007031B4" w:rsidP="000B208D">
            <w:pPr>
              <w:pStyle w:val="ListBullet"/>
              <w:numPr>
                <w:ilvl w:val="0"/>
                <w:numId w:val="13"/>
              </w:numPr>
              <w:ind w:left="397" w:right="113" w:hanging="284"/>
              <w:rPr>
                <w:rFonts w:cs="Arial"/>
              </w:rPr>
            </w:pPr>
            <w:r w:rsidRPr="001F29E3">
              <w:rPr>
                <w:rFonts w:cs="Arial"/>
              </w:rPr>
              <w:t xml:space="preserve">The decline in enrolments at Certificate III to </w:t>
            </w:r>
            <w:r w:rsidR="001905F7" w:rsidRPr="001F29E3">
              <w:rPr>
                <w:rFonts w:cs="Arial"/>
              </w:rPr>
              <w:t>IV levels</w:t>
            </w:r>
            <w:r w:rsidR="007C0937" w:rsidRPr="001F29E3">
              <w:rPr>
                <w:rFonts w:cs="Arial"/>
              </w:rPr>
              <w:t xml:space="preserve"> can be explained in part by the </w:t>
            </w:r>
            <w:r w:rsidR="008072C7" w:rsidRPr="001F29E3">
              <w:rPr>
                <w:rFonts w:cs="Arial"/>
              </w:rPr>
              <w:t>reduction</w:t>
            </w:r>
            <w:r w:rsidR="007C0937" w:rsidRPr="001F29E3">
              <w:rPr>
                <w:rFonts w:cs="Arial"/>
              </w:rPr>
              <w:t xml:space="preserve"> in take-up of apprenticeships and traineeships (see section on Apprentices and trainees for details).</w:t>
            </w:r>
          </w:p>
          <w:p w:rsidR="007C0937" w:rsidRPr="001F29E3" w:rsidRDefault="007C0937" w:rsidP="000B208D">
            <w:pPr>
              <w:pStyle w:val="ListBullet"/>
              <w:numPr>
                <w:ilvl w:val="0"/>
                <w:numId w:val="13"/>
              </w:numPr>
              <w:ind w:left="397" w:right="113" w:hanging="284"/>
              <w:rPr>
                <w:rFonts w:cs="Arial"/>
              </w:rPr>
            </w:pPr>
            <w:r w:rsidRPr="001F29E3">
              <w:rPr>
                <w:rFonts w:cs="Arial"/>
              </w:rPr>
              <w:t xml:space="preserve">The number of enrolments in Diploma &amp; </w:t>
            </w:r>
            <w:r w:rsidR="000A4E9B" w:rsidRPr="001F29E3">
              <w:rPr>
                <w:rFonts w:cs="Arial"/>
              </w:rPr>
              <w:t>A</w:t>
            </w:r>
            <w:r w:rsidRPr="001F29E3">
              <w:rPr>
                <w:rFonts w:cs="Arial"/>
              </w:rPr>
              <w:t>bove courses in Q1 2013 was broadly at a similar level to that in Q1 2011 and higher than that in Q1 2010.</w:t>
            </w:r>
          </w:p>
          <w:p w:rsidR="001905F7" w:rsidRPr="001F29E3" w:rsidRDefault="007C0937" w:rsidP="000B208D">
            <w:pPr>
              <w:pStyle w:val="ListBullet"/>
              <w:numPr>
                <w:ilvl w:val="0"/>
                <w:numId w:val="13"/>
              </w:numPr>
              <w:ind w:left="397" w:right="113" w:hanging="284"/>
              <w:rPr>
                <w:rFonts w:cs="Arial"/>
              </w:rPr>
            </w:pPr>
            <w:r w:rsidRPr="001F29E3">
              <w:rPr>
                <w:rFonts w:cs="Arial"/>
              </w:rPr>
              <w:t xml:space="preserve">Proportionally, Certificate III to IV remains the largest qualification group (60 per cent) across </w:t>
            </w:r>
            <w:r w:rsidR="001905F7" w:rsidRPr="001F29E3">
              <w:rPr>
                <w:rFonts w:cs="Arial"/>
              </w:rPr>
              <w:t xml:space="preserve">Australian Qualification Framework </w:t>
            </w:r>
            <w:r w:rsidRPr="001F29E3">
              <w:rPr>
                <w:rFonts w:cs="Arial"/>
              </w:rPr>
              <w:t>courses (i.e. Certificate I-II, Certificate III-IV and Diploma &amp; Above).</w:t>
            </w:r>
            <w:r w:rsidR="002C240D" w:rsidRPr="001F29E3">
              <w:rPr>
                <w:rFonts w:cs="Arial"/>
              </w:rPr>
              <w:t xml:space="preserve"> </w:t>
            </w:r>
            <w:r w:rsidRPr="001F29E3">
              <w:rPr>
                <w:rFonts w:cs="Arial"/>
              </w:rPr>
              <w:t xml:space="preserve"> </w:t>
            </w:r>
          </w:p>
          <w:p w:rsidR="00910C9A" w:rsidRPr="001F29E3" w:rsidRDefault="00910C9A" w:rsidP="00910C9A">
            <w:pPr>
              <w:pStyle w:val="ListBullet"/>
              <w:numPr>
                <w:ilvl w:val="0"/>
                <w:numId w:val="0"/>
              </w:numPr>
              <w:ind w:left="397" w:right="113"/>
              <w:rPr>
                <w:rFonts w:cs="Arial"/>
              </w:rPr>
            </w:pPr>
          </w:p>
        </w:tc>
      </w:tr>
    </w:tbl>
    <w:p w:rsidR="00351166" w:rsidRPr="001F29E3" w:rsidRDefault="00351166" w:rsidP="00A9260A">
      <w:pPr>
        <w:pStyle w:val="Heading3"/>
      </w:pPr>
      <w:r w:rsidRPr="001F29E3">
        <w:br w:type="page"/>
      </w:r>
      <w:r w:rsidR="0055106F" w:rsidRPr="001F29E3">
        <w:lastRenderedPageBreak/>
        <w:t>Vocational Training</w:t>
      </w:r>
      <w:r w:rsidRPr="001F29E3">
        <w:t xml:space="preserve"> Delivery by Qualification Level, TAFE Domestic </w:t>
      </w:r>
      <w:r w:rsidR="00362E51" w:rsidRPr="001F29E3">
        <w:t>Fee for Service</w:t>
      </w:r>
      <w:r w:rsidRPr="001F29E3">
        <w:t xml:space="preserve"> Enrolments</w:t>
      </w:r>
    </w:p>
    <w:p w:rsidR="00351166" w:rsidRPr="001F29E3" w:rsidRDefault="00351166" w:rsidP="00A9260A">
      <w:pPr>
        <w:pStyle w:val="Caption"/>
        <w:rPr>
          <w:rFonts w:cs="Arial"/>
        </w:rPr>
      </w:pPr>
    </w:p>
    <w:p w:rsidR="00351166" w:rsidRPr="001F29E3" w:rsidRDefault="00351166" w:rsidP="004E4031">
      <w:pPr>
        <w:pStyle w:val="Caption"/>
        <w:jc w:val="left"/>
        <w:rPr>
          <w:rFonts w:cs="Arial"/>
        </w:rPr>
      </w:pPr>
      <w:r w:rsidRPr="001F29E3">
        <w:rPr>
          <w:rFonts w:cs="Arial"/>
        </w:rPr>
        <w:t>Table 1.</w:t>
      </w:r>
      <w:r w:rsidR="000A4E9B" w:rsidRPr="001F29E3">
        <w:rPr>
          <w:rFonts w:cs="Arial"/>
        </w:rPr>
        <w:t>6</w:t>
      </w:r>
      <w:r w:rsidRPr="001F29E3">
        <w:rPr>
          <w:rFonts w:cs="Arial"/>
        </w:rPr>
        <w:t xml:space="preserve">: TAFE domestic </w:t>
      </w:r>
      <w:r w:rsidR="00221A72" w:rsidRPr="001F29E3">
        <w:rPr>
          <w:rFonts w:cs="Arial"/>
        </w:rPr>
        <w:t>f</w:t>
      </w:r>
      <w:r w:rsidR="00362E51" w:rsidRPr="001F29E3">
        <w:rPr>
          <w:rFonts w:cs="Arial"/>
        </w:rPr>
        <w:t xml:space="preserve">ee for </w:t>
      </w:r>
      <w:r w:rsidR="00221A72" w:rsidRPr="001F29E3">
        <w:rPr>
          <w:rFonts w:cs="Arial"/>
        </w:rPr>
        <w:t>s</w:t>
      </w:r>
      <w:r w:rsidR="00362E51" w:rsidRPr="001F29E3">
        <w:rPr>
          <w:rFonts w:cs="Arial"/>
        </w:rPr>
        <w:t>ervice</w:t>
      </w:r>
      <w:r w:rsidRPr="001F29E3">
        <w:rPr>
          <w:rFonts w:cs="Arial"/>
        </w:rPr>
        <w:t xml:space="preserve"> enrolments by qualification level (AQF1+ only), 2008–2012</w:t>
      </w:r>
      <w:r w:rsidR="00D848D1" w:rsidRPr="001F29E3">
        <w:rPr>
          <w:rFonts w:cs="Arial"/>
        </w:rPr>
        <w:t xml:space="preserve">, Q1 2012 and </w:t>
      </w:r>
      <w:r w:rsidR="001E7437">
        <w:rPr>
          <w:rFonts w:cs="Arial"/>
        </w:rPr>
        <w:br/>
      </w:r>
      <w:r w:rsidR="00D848D1" w:rsidRPr="001F29E3">
        <w:rPr>
          <w:rFonts w:cs="Arial"/>
        </w:rPr>
        <w:t>Q1 2013</w:t>
      </w:r>
    </w:p>
    <w:p w:rsidR="00351166" w:rsidRPr="001F29E3" w:rsidRDefault="001905F7" w:rsidP="00351166">
      <w:pPr>
        <w:rPr>
          <w:rFonts w:cs="Arial"/>
          <w:sz w:val="16"/>
          <w:szCs w:val="16"/>
        </w:rPr>
      </w:pPr>
      <w:r w:rsidRPr="001F29E3">
        <w:rPr>
          <w:rFonts w:cs="Arial"/>
          <w:noProof/>
          <w:lang w:eastAsia="en-AU"/>
        </w:rPr>
        <w:drawing>
          <wp:inline distT="0" distB="0" distL="0" distR="0" wp14:anchorId="3B4F9F2D" wp14:editId="789A58F0">
            <wp:extent cx="5760720" cy="1243103"/>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1243103"/>
                    </a:xfrm>
                    <a:prstGeom prst="rect">
                      <a:avLst/>
                    </a:prstGeom>
                    <a:noFill/>
                    <a:ln>
                      <a:noFill/>
                    </a:ln>
                  </pic:spPr>
                </pic:pic>
              </a:graphicData>
            </a:graphic>
          </wp:inline>
        </w:drawing>
      </w:r>
    </w:p>
    <w:p w:rsidR="00FF66B4" w:rsidRPr="001F29E3" w:rsidRDefault="00FF66B4" w:rsidP="00351166">
      <w:pPr>
        <w:rPr>
          <w:rFonts w:cs="Arial"/>
        </w:rPr>
      </w:pPr>
    </w:p>
    <w:p w:rsidR="00351166" w:rsidRPr="001F29E3" w:rsidRDefault="00FF66B4" w:rsidP="00C51DF4">
      <w:pPr>
        <w:pStyle w:val="Caption"/>
        <w:jc w:val="left"/>
        <w:rPr>
          <w:rFonts w:cs="Arial"/>
        </w:rPr>
      </w:pPr>
      <w:r w:rsidRPr="001F29E3">
        <w:rPr>
          <w:rFonts w:cs="Arial"/>
        </w:rPr>
        <w:t>Figure 1.</w:t>
      </w:r>
      <w:r w:rsidR="000A4E9B" w:rsidRPr="001F29E3">
        <w:rPr>
          <w:rFonts w:cs="Arial"/>
        </w:rPr>
        <w:t>6</w:t>
      </w:r>
      <w:r w:rsidRPr="001F29E3">
        <w:rPr>
          <w:rFonts w:cs="Arial"/>
        </w:rPr>
        <w:t>: TAFE domestic fee for service enrolments by qualification level (AQF1+ only), Q1 2012 and Q1 2013</w:t>
      </w:r>
    </w:p>
    <w:p w:rsidR="00FF66B4" w:rsidRPr="001F29E3" w:rsidRDefault="006361B2" w:rsidP="003D1F0F">
      <w:pPr>
        <w:jc w:val="center"/>
        <w:rPr>
          <w:rFonts w:cs="Arial"/>
        </w:rPr>
      </w:pPr>
      <w:r w:rsidRPr="006361B2">
        <w:rPr>
          <w:noProof/>
          <w:lang w:eastAsia="en-AU"/>
        </w:rPr>
        <w:drawing>
          <wp:inline distT="0" distB="0" distL="0" distR="0" wp14:anchorId="5452D5FD" wp14:editId="08E82CD8">
            <wp:extent cx="5229225" cy="2705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29225" cy="2705100"/>
                    </a:xfrm>
                    <a:prstGeom prst="rect">
                      <a:avLst/>
                    </a:prstGeom>
                    <a:noFill/>
                    <a:ln>
                      <a:noFill/>
                    </a:ln>
                  </pic:spPr>
                </pic:pic>
              </a:graphicData>
            </a:graphic>
          </wp:inline>
        </w:drawing>
      </w:r>
    </w:p>
    <w:p w:rsidR="00351166" w:rsidRPr="001F29E3" w:rsidRDefault="00351166" w:rsidP="00351166">
      <w:pPr>
        <w:rPr>
          <w:rFonts w:cs="Arial"/>
        </w:rPr>
      </w:pPr>
    </w:p>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none" w:sz="0" w:space="0" w:color="auto"/>
          <w:insideV w:val="none" w:sz="0" w:space="0" w:color="auto"/>
        </w:tblBorders>
        <w:tblLook w:val="04A0" w:firstRow="1" w:lastRow="0" w:firstColumn="1" w:lastColumn="0" w:noHBand="0" w:noVBand="1"/>
      </w:tblPr>
      <w:tblGrid>
        <w:gridCol w:w="9288"/>
      </w:tblGrid>
      <w:tr w:rsidR="005D46B9" w:rsidRPr="001F29E3" w:rsidTr="00D70734">
        <w:trPr>
          <w:tblHeader/>
        </w:trPr>
        <w:tc>
          <w:tcPr>
            <w:tcW w:w="9288" w:type="dxa"/>
          </w:tcPr>
          <w:p w:rsidR="005D46B9" w:rsidRPr="001F29E3" w:rsidRDefault="005D46B9" w:rsidP="005D46B9">
            <w:pPr>
              <w:pStyle w:val="Heading3"/>
              <w:jc w:val="left"/>
              <w:outlineLvl w:val="2"/>
            </w:pPr>
          </w:p>
          <w:p w:rsidR="005D46B9" w:rsidRPr="001F29E3" w:rsidRDefault="005D46B9" w:rsidP="005D46B9">
            <w:pPr>
              <w:pStyle w:val="Heading3"/>
              <w:jc w:val="left"/>
              <w:outlineLvl w:val="2"/>
            </w:pPr>
            <w:r w:rsidRPr="001F29E3">
              <w:t>Key Points</w:t>
            </w:r>
          </w:p>
          <w:p w:rsidR="005D46B9" w:rsidRPr="001F29E3" w:rsidRDefault="005D46B9" w:rsidP="000B208D">
            <w:pPr>
              <w:pStyle w:val="ListBullet"/>
              <w:numPr>
                <w:ilvl w:val="0"/>
                <w:numId w:val="13"/>
              </w:numPr>
              <w:ind w:left="397" w:right="113" w:hanging="284"/>
              <w:rPr>
                <w:rFonts w:cs="Arial"/>
              </w:rPr>
            </w:pPr>
            <w:r w:rsidRPr="001F29E3">
              <w:rPr>
                <w:rFonts w:cs="Arial"/>
              </w:rPr>
              <w:t xml:space="preserve">TAFE domestic fee for service enrolments at Diploma </w:t>
            </w:r>
            <w:r w:rsidR="000A4E9B" w:rsidRPr="001F29E3">
              <w:rPr>
                <w:rFonts w:cs="Arial"/>
              </w:rPr>
              <w:t>&amp;</w:t>
            </w:r>
            <w:r w:rsidRPr="001F29E3">
              <w:rPr>
                <w:rFonts w:cs="Arial"/>
              </w:rPr>
              <w:t xml:space="preserve"> Above levels has increased by 16 per cent in Q1 2013 </w:t>
            </w:r>
            <w:r w:rsidR="000A4E9B" w:rsidRPr="001F29E3">
              <w:rPr>
                <w:rFonts w:cs="Arial"/>
              </w:rPr>
              <w:t xml:space="preserve">compared to </w:t>
            </w:r>
            <w:r w:rsidRPr="001F29E3">
              <w:rPr>
                <w:rFonts w:cs="Arial"/>
              </w:rPr>
              <w:t>Q1 2012.</w:t>
            </w:r>
            <w:r w:rsidR="002C240D" w:rsidRPr="001F29E3">
              <w:rPr>
                <w:rFonts w:cs="Arial"/>
              </w:rPr>
              <w:t xml:space="preserve"> </w:t>
            </w:r>
            <w:r w:rsidRPr="001F29E3">
              <w:rPr>
                <w:rFonts w:cs="Arial"/>
              </w:rPr>
              <w:t xml:space="preserve">The </w:t>
            </w:r>
            <w:r w:rsidR="000A4E9B" w:rsidRPr="001F29E3">
              <w:rPr>
                <w:rFonts w:cs="Arial"/>
              </w:rPr>
              <w:t xml:space="preserve">numbers of </w:t>
            </w:r>
            <w:r w:rsidRPr="001F29E3">
              <w:rPr>
                <w:rFonts w:cs="Arial"/>
              </w:rPr>
              <w:t>enrolment</w:t>
            </w:r>
            <w:r w:rsidR="000A4E9B" w:rsidRPr="001F29E3">
              <w:rPr>
                <w:rFonts w:cs="Arial"/>
              </w:rPr>
              <w:t>s</w:t>
            </w:r>
            <w:r w:rsidRPr="001F29E3">
              <w:rPr>
                <w:rFonts w:cs="Arial"/>
              </w:rPr>
              <w:t xml:space="preserve"> in Certificate I to II, Certificate III to IV and Higher Education have declined by 7 per cent, 11 per cent and 3 per cent, respectively over the same period.</w:t>
            </w:r>
          </w:p>
          <w:p w:rsidR="005D46B9" w:rsidRPr="001F29E3" w:rsidRDefault="005D46B9" w:rsidP="000B208D">
            <w:pPr>
              <w:pStyle w:val="ListBullet"/>
              <w:numPr>
                <w:ilvl w:val="0"/>
                <w:numId w:val="13"/>
              </w:numPr>
              <w:ind w:left="397" w:right="113" w:hanging="284"/>
              <w:rPr>
                <w:rFonts w:cs="Arial"/>
              </w:rPr>
            </w:pPr>
            <w:r w:rsidRPr="001F29E3">
              <w:rPr>
                <w:rFonts w:cs="Arial"/>
              </w:rPr>
              <w:t>Module only enrolments</w:t>
            </w:r>
            <w:r w:rsidR="00FF34F3">
              <w:rPr>
                <w:rStyle w:val="FootnoteReference"/>
              </w:rPr>
              <w:footnoteReference w:id="5"/>
            </w:r>
            <w:r w:rsidRPr="001F29E3">
              <w:rPr>
                <w:rFonts w:cs="Arial"/>
              </w:rPr>
              <w:t xml:space="preserve"> against this funding source are not in scope of this report.</w:t>
            </w:r>
          </w:p>
          <w:p w:rsidR="005D46B9" w:rsidRPr="001F29E3" w:rsidRDefault="005D46B9" w:rsidP="000B208D">
            <w:pPr>
              <w:pStyle w:val="ListBullet"/>
              <w:numPr>
                <w:ilvl w:val="0"/>
                <w:numId w:val="13"/>
              </w:numPr>
              <w:ind w:left="397" w:right="113" w:hanging="284"/>
              <w:rPr>
                <w:rFonts w:cs="Arial"/>
              </w:rPr>
            </w:pPr>
            <w:r w:rsidRPr="001F29E3">
              <w:rPr>
                <w:rFonts w:cs="Arial"/>
              </w:rPr>
              <w:t>Proportionally, there has been an increase in the share of Diploma &amp; Above enrolments, from 11 per cent in Q1 2012 to 14 per cent in Q1 2013.</w:t>
            </w:r>
            <w:r w:rsidR="002C240D" w:rsidRPr="001F29E3">
              <w:rPr>
                <w:rFonts w:cs="Arial"/>
              </w:rPr>
              <w:t xml:space="preserve"> </w:t>
            </w:r>
            <w:r w:rsidRPr="001F29E3">
              <w:rPr>
                <w:rFonts w:cs="Arial"/>
              </w:rPr>
              <w:t>Over the same period, the share of enrolments at the Certificate III to IV levels declined by two percentage points, from 40 per cent to 38 per cent.</w:t>
            </w:r>
          </w:p>
          <w:p w:rsidR="00910C9A" w:rsidRPr="001F29E3" w:rsidRDefault="00910C9A" w:rsidP="00910C9A">
            <w:pPr>
              <w:pStyle w:val="ListBullet"/>
              <w:numPr>
                <w:ilvl w:val="0"/>
                <w:numId w:val="0"/>
              </w:numPr>
              <w:ind w:left="397" w:right="113"/>
              <w:rPr>
                <w:rFonts w:cs="Arial"/>
              </w:rPr>
            </w:pPr>
          </w:p>
        </w:tc>
      </w:tr>
    </w:tbl>
    <w:p w:rsidR="006A7072" w:rsidRPr="001F29E3" w:rsidRDefault="006A7072" w:rsidP="005D46B9">
      <w:pPr>
        <w:pStyle w:val="Heading3"/>
        <w:jc w:val="left"/>
      </w:pPr>
    </w:p>
    <w:p w:rsidR="002D4C03" w:rsidRPr="001F29E3" w:rsidRDefault="002D4C03" w:rsidP="000B208D">
      <w:pPr>
        <w:pStyle w:val="ListBullet"/>
        <w:numPr>
          <w:ilvl w:val="0"/>
          <w:numId w:val="13"/>
        </w:numPr>
        <w:ind w:left="397" w:right="113" w:hanging="284"/>
        <w:rPr>
          <w:rFonts w:cs="Arial"/>
        </w:rPr>
      </w:pPr>
      <w:r w:rsidRPr="001F29E3">
        <w:rPr>
          <w:rFonts w:cs="Arial"/>
        </w:rPr>
        <w:br w:type="page"/>
      </w:r>
    </w:p>
    <w:p w:rsidR="00351166" w:rsidRPr="001F29E3" w:rsidRDefault="0055106F" w:rsidP="00A9260A">
      <w:pPr>
        <w:pStyle w:val="Heading3"/>
      </w:pPr>
      <w:r w:rsidRPr="001F29E3">
        <w:lastRenderedPageBreak/>
        <w:t>Vocational Training</w:t>
      </w:r>
      <w:r w:rsidR="00351166" w:rsidRPr="001F29E3">
        <w:t xml:space="preserve"> Delivery by Qualification Level, Government Subsidised </w:t>
      </w:r>
      <w:r w:rsidR="009E5BB6" w:rsidRPr="001F29E3">
        <w:t xml:space="preserve">Student </w:t>
      </w:r>
      <w:r w:rsidR="002757F4" w:rsidRPr="001F29E3">
        <w:t>C</w:t>
      </w:r>
      <w:r w:rsidR="009E5BB6" w:rsidRPr="001F29E3">
        <w:t xml:space="preserve">ontact </w:t>
      </w:r>
      <w:r w:rsidR="002757F4" w:rsidRPr="001F29E3">
        <w:t>H</w:t>
      </w:r>
      <w:r w:rsidR="009E5BB6" w:rsidRPr="001F29E3">
        <w:t>ours</w:t>
      </w:r>
    </w:p>
    <w:p w:rsidR="00351166" w:rsidRPr="001F29E3" w:rsidRDefault="00351166" w:rsidP="002A41B7">
      <w:pPr>
        <w:rPr>
          <w:rFonts w:cs="Arial"/>
        </w:rPr>
      </w:pPr>
    </w:p>
    <w:p w:rsidR="00351166" w:rsidRPr="001F29E3" w:rsidRDefault="00351166" w:rsidP="004E4031">
      <w:pPr>
        <w:pStyle w:val="Caption"/>
        <w:jc w:val="left"/>
        <w:rPr>
          <w:rFonts w:cs="Arial"/>
        </w:rPr>
      </w:pPr>
      <w:r w:rsidRPr="001F29E3">
        <w:rPr>
          <w:rFonts w:cs="Arial"/>
        </w:rPr>
        <w:t>Table 1.</w:t>
      </w:r>
      <w:r w:rsidR="000A4E9B" w:rsidRPr="001F29E3">
        <w:rPr>
          <w:rFonts w:cs="Arial"/>
        </w:rPr>
        <w:t>7</w:t>
      </w:r>
      <w:r w:rsidRPr="001F29E3">
        <w:rPr>
          <w:rFonts w:cs="Arial"/>
        </w:rPr>
        <w:t>:</w:t>
      </w:r>
      <w:r w:rsidR="007D59C7" w:rsidRPr="001F29E3">
        <w:rPr>
          <w:rFonts w:cs="Arial"/>
        </w:rPr>
        <w:t xml:space="preserve"> G</w:t>
      </w:r>
      <w:r w:rsidRPr="001F29E3">
        <w:rPr>
          <w:rFonts w:cs="Arial"/>
        </w:rPr>
        <w:t xml:space="preserve">overnment subsidised </w:t>
      </w:r>
      <w:r w:rsidR="009E5BB6" w:rsidRPr="001F29E3">
        <w:rPr>
          <w:rFonts w:cs="Arial"/>
        </w:rPr>
        <w:t>student contact hours</w:t>
      </w:r>
      <w:r w:rsidRPr="001F29E3">
        <w:rPr>
          <w:rFonts w:cs="Arial"/>
        </w:rPr>
        <w:t xml:space="preserve"> </w:t>
      </w:r>
      <w:r w:rsidR="0013272D" w:rsidRPr="001F29E3">
        <w:rPr>
          <w:rFonts w:cs="Arial"/>
        </w:rPr>
        <w:t xml:space="preserve">(millions) </w:t>
      </w:r>
      <w:r w:rsidRPr="001F29E3">
        <w:rPr>
          <w:rFonts w:cs="Arial"/>
        </w:rPr>
        <w:t>by qualification level, 2008–2012</w:t>
      </w:r>
      <w:r w:rsidR="007D59C7" w:rsidRPr="001F29E3">
        <w:rPr>
          <w:rFonts w:cs="Arial"/>
        </w:rPr>
        <w:t>, Q1 2012</w:t>
      </w:r>
      <w:r w:rsidR="004E4031">
        <w:rPr>
          <w:rFonts w:cs="Arial"/>
        </w:rPr>
        <w:br/>
      </w:r>
      <w:r w:rsidR="007D59C7" w:rsidRPr="001F29E3">
        <w:rPr>
          <w:rFonts w:cs="Arial"/>
        </w:rPr>
        <w:t xml:space="preserve"> and Q1 2013</w:t>
      </w:r>
    </w:p>
    <w:p w:rsidR="00351166" w:rsidRPr="001F29E3" w:rsidRDefault="00213BC5" w:rsidP="00351166">
      <w:pPr>
        <w:spacing w:after="0"/>
        <w:rPr>
          <w:rFonts w:cs="Arial"/>
        </w:rPr>
      </w:pPr>
      <w:r w:rsidRPr="001F29E3">
        <w:rPr>
          <w:rFonts w:cs="Arial"/>
          <w:noProof/>
          <w:lang w:eastAsia="en-AU"/>
        </w:rPr>
        <w:drawing>
          <wp:inline distT="0" distB="0" distL="0" distR="0" wp14:anchorId="4E0D1D74" wp14:editId="682FD3D0">
            <wp:extent cx="5760720" cy="141744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1417440"/>
                    </a:xfrm>
                    <a:prstGeom prst="rect">
                      <a:avLst/>
                    </a:prstGeom>
                    <a:noFill/>
                    <a:ln>
                      <a:noFill/>
                    </a:ln>
                  </pic:spPr>
                </pic:pic>
              </a:graphicData>
            </a:graphic>
          </wp:inline>
        </w:drawing>
      </w:r>
    </w:p>
    <w:p w:rsidR="00351166" w:rsidRPr="001F29E3" w:rsidRDefault="00351166" w:rsidP="00351166">
      <w:pPr>
        <w:rPr>
          <w:rFonts w:cs="Arial"/>
        </w:rPr>
      </w:pPr>
      <w:r w:rsidRPr="001F29E3">
        <w:rPr>
          <w:rFonts w:cs="Arial"/>
          <w:sz w:val="16"/>
          <w:szCs w:val="16"/>
        </w:rPr>
        <w:t xml:space="preserve">Note: </w:t>
      </w:r>
      <w:proofErr w:type="spellStart"/>
      <w:r w:rsidRPr="001F29E3">
        <w:rPr>
          <w:rFonts w:cs="Arial"/>
          <w:sz w:val="16"/>
          <w:szCs w:val="16"/>
        </w:rPr>
        <w:t>SoA</w:t>
      </w:r>
      <w:proofErr w:type="spellEnd"/>
      <w:r w:rsidRPr="001F29E3">
        <w:rPr>
          <w:rFonts w:cs="Arial"/>
          <w:sz w:val="16"/>
          <w:szCs w:val="16"/>
        </w:rPr>
        <w:t xml:space="preserve"> – Statement of Attainment</w:t>
      </w:r>
    </w:p>
    <w:p w:rsidR="005D46B9" w:rsidRPr="001F29E3" w:rsidRDefault="005D46B9" w:rsidP="00351166">
      <w:pPr>
        <w:rPr>
          <w:rFonts w:cs="Arial"/>
        </w:rPr>
      </w:pPr>
    </w:p>
    <w:p w:rsidR="00351166" w:rsidRPr="001F29E3" w:rsidRDefault="005D46B9" w:rsidP="007044AB">
      <w:pPr>
        <w:pStyle w:val="Caption"/>
        <w:jc w:val="left"/>
        <w:rPr>
          <w:rFonts w:cs="Arial"/>
        </w:rPr>
      </w:pPr>
      <w:r w:rsidRPr="001F29E3">
        <w:rPr>
          <w:rFonts w:cs="Arial"/>
        </w:rPr>
        <w:t>Figure 1.</w:t>
      </w:r>
      <w:r w:rsidR="000A4E9B" w:rsidRPr="001F29E3">
        <w:rPr>
          <w:rFonts w:cs="Arial"/>
        </w:rPr>
        <w:t>7</w:t>
      </w:r>
      <w:r w:rsidRPr="001F29E3">
        <w:rPr>
          <w:rFonts w:cs="Arial"/>
        </w:rPr>
        <w:t>: Government subsidised student contact hours by qualification level (AQF1+ only), Q1 2012 and Q1 2013</w:t>
      </w:r>
    </w:p>
    <w:p w:rsidR="005D46B9" w:rsidRPr="001F29E3" w:rsidRDefault="006361B2" w:rsidP="003D1F0F">
      <w:pPr>
        <w:jc w:val="center"/>
        <w:rPr>
          <w:rFonts w:cs="Arial"/>
        </w:rPr>
      </w:pPr>
      <w:r w:rsidRPr="006361B2">
        <w:rPr>
          <w:noProof/>
          <w:lang w:eastAsia="en-AU"/>
        </w:rPr>
        <w:drawing>
          <wp:inline distT="0" distB="0" distL="0" distR="0" wp14:anchorId="0DDDC941" wp14:editId="107E6B4D">
            <wp:extent cx="5229225" cy="2705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29225" cy="2705100"/>
                    </a:xfrm>
                    <a:prstGeom prst="rect">
                      <a:avLst/>
                    </a:prstGeom>
                    <a:noFill/>
                    <a:ln>
                      <a:noFill/>
                    </a:ln>
                  </pic:spPr>
                </pic:pic>
              </a:graphicData>
            </a:graphic>
          </wp:inline>
        </w:drawing>
      </w:r>
    </w:p>
    <w:p w:rsidR="000A4E9B" w:rsidRPr="001F29E3" w:rsidRDefault="000A4E9B" w:rsidP="00351166">
      <w:pPr>
        <w:rPr>
          <w:rFonts w:cs="Arial"/>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351166" w:rsidRPr="001F29E3" w:rsidTr="000A4E9B">
        <w:trPr>
          <w:trHeight w:val="1467"/>
        </w:trPr>
        <w:tc>
          <w:tcPr>
            <w:tcW w:w="9088" w:type="dxa"/>
          </w:tcPr>
          <w:p w:rsidR="00351166" w:rsidRPr="001F29E3" w:rsidRDefault="00351166" w:rsidP="004C7064">
            <w:pPr>
              <w:rPr>
                <w:rFonts w:cs="Arial"/>
              </w:rPr>
            </w:pPr>
          </w:p>
          <w:p w:rsidR="00351166" w:rsidRPr="001F29E3" w:rsidRDefault="00351166" w:rsidP="00A9260A">
            <w:pPr>
              <w:pStyle w:val="Heading3"/>
            </w:pPr>
            <w:r w:rsidRPr="001F29E3">
              <w:t>Key Points</w:t>
            </w:r>
          </w:p>
          <w:p w:rsidR="00C401F8" w:rsidRPr="001F29E3" w:rsidRDefault="00C401F8" w:rsidP="00A9260A">
            <w:pPr>
              <w:pStyle w:val="ListBullet"/>
              <w:numPr>
                <w:ilvl w:val="0"/>
                <w:numId w:val="5"/>
              </w:numPr>
              <w:ind w:right="113"/>
              <w:rPr>
                <w:rFonts w:cs="Arial"/>
              </w:rPr>
            </w:pPr>
            <w:r w:rsidRPr="001F29E3">
              <w:rPr>
                <w:rFonts w:cs="Arial"/>
              </w:rPr>
              <w:t>There was a 3 per cent increase in the number of g</w:t>
            </w:r>
            <w:r w:rsidR="00351166" w:rsidRPr="001F29E3">
              <w:rPr>
                <w:rFonts w:cs="Arial"/>
              </w:rPr>
              <w:t xml:space="preserve">overnment subsidised </w:t>
            </w:r>
            <w:r w:rsidR="009E5BB6" w:rsidRPr="001F29E3">
              <w:rPr>
                <w:rFonts w:cs="Arial"/>
              </w:rPr>
              <w:t>student contact hours</w:t>
            </w:r>
            <w:r w:rsidR="00351166" w:rsidRPr="001F29E3">
              <w:rPr>
                <w:rFonts w:cs="Arial"/>
              </w:rPr>
              <w:t xml:space="preserve"> </w:t>
            </w:r>
            <w:r w:rsidRPr="001F29E3">
              <w:rPr>
                <w:rFonts w:cs="Arial"/>
              </w:rPr>
              <w:t>at Certificate I</w:t>
            </w:r>
            <w:r w:rsidR="000A4E9B" w:rsidRPr="001F29E3">
              <w:rPr>
                <w:rFonts w:cs="Arial"/>
              </w:rPr>
              <w:t xml:space="preserve"> to </w:t>
            </w:r>
            <w:r w:rsidRPr="001F29E3">
              <w:rPr>
                <w:rFonts w:cs="Arial"/>
              </w:rPr>
              <w:t xml:space="preserve">II levels </w:t>
            </w:r>
            <w:r w:rsidR="00D16B8E" w:rsidRPr="001F29E3">
              <w:rPr>
                <w:rFonts w:cs="Arial"/>
              </w:rPr>
              <w:t xml:space="preserve">in </w:t>
            </w:r>
            <w:r w:rsidR="00D11E29" w:rsidRPr="001F29E3">
              <w:rPr>
                <w:rFonts w:cs="Arial"/>
              </w:rPr>
              <w:t>Q1 2013</w:t>
            </w:r>
            <w:r w:rsidR="00D16B8E" w:rsidRPr="001F29E3">
              <w:rPr>
                <w:rFonts w:cs="Arial"/>
              </w:rPr>
              <w:t xml:space="preserve"> </w:t>
            </w:r>
            <w:r w:rsidRPr="001F29E3">
              <w:rPr>
                <w:rFonts w:cs="Arial"/>
              </w:rPr>
              <w:t xml:space="preserve">compared to Q1 2012. This is </w:t>
            </w:r>
            <w:r w:rsidR="000A4E9B" w:rsidRPr="001F29E3">
              <w:rPr>
                <w:rFonts w:cs="Arial"/>
              </w:rPr>
              <w:t xml:space="preserve">at a </w:t>
            </w:r>
            <w:r w:rsidR="00D16B8E" w:rsidRPr="001F29E3">
              <w:rPr>
                <w:rFonts w:cs="Arial"/>
              </w:rPr>
              <w:t xml:space="preserve">similar </w:t>
            </w:r>
            <w:r w:rsidRPr="001F29E3">
              <w:rPr>
                <w:rFonts w:cs="Arial"/>
              </w:rPr>
              <w:t xml:space="preserve">rate </w:t>
            </w:r>
            <w:r w:rsidR="000A4E9B" w:rsidRPr="001F29E3">
              <w:rPr>
                <w:rFonts w:cs="Arial"/>
              </w:rPr>
              <w:t xml:space="preserve">to the </w:t>
            </w:r>
            <w:r w:rsidRPr="001F29E3">
              <w:rPr>
                <w:rFonts w:cs="Arial"/>
              </w:rPr>
              <w:t xml:space="preserve">increase in enrolment numbers at this </w:t>
            </w:r>
            <w:r w:rsidR="000A4E9B" w:rsidRPr="001F29E3">
              <w:rPr>
                <w:rFonts w:cs="Arial"/>
              </w:rPr>
              <w:t>qualification group</w:t>
            </w:r>
            <w:r w:rsidRPr="001F29E3">
              <w:rPr>
                <w:rFonts w:cs="Arial"/>
              </w:rPr>
              <w:t xml:space="preserve"> over the same period.</w:t>
            </w:r>
          </w:p>
          <w:p w:rsidR="00C401F8" w:rsidRPr="001F29E3" w:rsidRDefault="00C401F8" w:rsidP="00A9260A">
            <w:pPr>
              <w:pStyle w:val="ListBullet"/>
              <w:numPr>
                <w:ilvl w:val="0"/>
                <w:numId w:val="5"/>
              </w:numPr>
              <w:ind w:right="113"/>
              <w:rPr>
                <w:rFonts w:cs="Arial"/>
              </w:rPr>
            </w:pPr>
            <w:r w:rsidRPr="001F29E3">
              <w:rPr>
                <w:rFonts w:cs="Arial"/>
              </w:rPr>
              <w:t xml:space="preserve">The declines in student contact hours in Q1 2013 were at the </w:t>
            </w:r>
            <w:r w:rsidR="00CC0C50" w:rsidRPr="001F29E3">
              <w:rPr>
                <w:rFonts w:cs="Arial"/>
              </w:rPr>
              <w:t>Certificate</w:t>
            </w:r>
            <w:r w:rsidR="00351166" w:rsidRPr="001F29E3">
              <w:rPr>
                <w:rFonts w:cs="Arial"/>
              </w:rPr>
              <w:t xml:space="preserve"> III-IV</w:t>
            </w:r>
            <w:r w:rsidRPr="001F29E3">
              <w:rPr>
                <w:rFonts w:cs="Arial"/>
              </w:rPr>
              <w:t xml:space="preserve"> </w:t>
            </w:r>
            <w:r w:rsidR="00351166" w:rsidRPr="001F29E3">
              <w:rPr>
                <w:rFonts w:cs="Arial"/>
              </w:rPr>
              <w:t>(</w:t>
            </w:r>
            <w:r w:rsidR="00D11E29" w:rsidRPr="001F29E3">
              <w:rPr>
                <w:rFonts w:cs="Arial"/>
              </w:rPr>
              <w:t>down 4</w:t>
            </w:r>
            <w:r w:rsidR="00351166" w:rsidRPr="001F29E3">
              <w:rPr>
                <w:rFonts w:cs="Arial"/>
              </w:rPr>
              <w:t xml:space="preserve"> per cent)</w:t>
            </w:r>
            <w:r w:rsidRPr="001F29E3">
              <w:rPr>
                <w:rFonts w:cs="Arial"/>
              </w:rPr>
              <w:t xml:space="preserve"> and</w:t>
            </w:r>
            <w:r w:rsidR="00D11E29" w:rsidRPr="001F29E3">
              <w:rPr>
                <w:rFonts w:cs="Arial"/>
              </w:rPr>
              <w:t xml:space="preserve"> </w:t>
            </w:r>
            <w:r w:rsidR="00351166" w:rsidRPr="001F29E3">
              <w:rPr>
                <w:rFonts w:cs="Arial"/>
              </w:rPr>
              <w:t xml:space="preserve">Diploma </w:t>
            </w:r>
            <w:r w:rsidRPr="001F29E3">
              <w:rPr>
                <w:rFonts w:cs="Arial"/>
              </w:rPr>
              <w:t>&amp;</w:t>
            </w:r>
            <w:r w:rsidR="00351166" w:rsidRPr="001F29E3">
              <w:rPr>
                <w:rFonts w:cs="Arial"/>
              </w:rPr>
              <w:t xml:space="preserve"> </w:t>
            </w:r>
            <w:r w:rsidR="000A4E9B" w:rsidRPr="001F29E3">
              <w:rPr>
                <w:rFonts w:cs="Arial"/>
              </w:rPr>
              <w:t>A</w:t>
            </w:r>
            <w:r w:rsidR="00351166" w:rsidRPr="001F29E3">
              <w:rPr>
                <w:rFonts w:cs="Arial"/>
              </w:rPr>
              <w:t>bove (</w:t>
            </w:r>
            <w:r w:rsidR="00D11E29" w:rsidRPr="001F29E3">
              <w:rPr>
                <w:rFonts w:cs="Arial"/>
              </w:rPr>
              <w:t xml:space="preserve">down </w:t>
            </w:r>
            <w:r w:rsidR="00351166" w:rsidRPr="001F29E3">
              <w:rPr>
                <w:rFonts w:cs="Arial"/>
              </w:rPr>
              <w:t>1</w:t>
            </w:r>
            <w:r w:rsidR="00D11E29" w:rsidRPr="001F29E3">
              <w:rPr>
                <w:rFonts w:cs="Arial"/>
              </w:rPr>
              <w:t>4</w:t>
            </w:r>
            <w:r w:rsidR="00351166" w:rsidRPr="001F29E3">
              <w:rPr>
                <w:rFonts w:cs="Arial"/>
              </w:rPr>
              <w:t xml:space="preserve"> per cent)</w:t>
            </w:r>
            <w:r w:rsidRPr="001F29E3">
              <w:rPr>
                <w:rFonts w:cs="Arial"/>
              </w:rPr>
              <w:t xml:space="preserve"> levels.</w:t>
            </w:r>
            <w:r w:rsidR="002C240D" w:rsidRPr="001F29E3">
              <w:rPr>
                <w:rFonts w:cs="Arial"/>
              </w:rPr>
              <w:t xml:space="preserve"> </w:t>
            </w:r>
            <w:r w:rsidRPr="001F29E3">
              <w:rPr>
                <w:rFonts w:cs="Arial"/>
              </w:rPr>
              <w:t xml:space="preserve">Again these percentages changes were broadly at </w:t>
            </w:r>
            <w:r w:rsidR="000A4E9B" w:rsidRPr="001F29E3">
              <w:rPr>
                <w:rFonts w:cs="Arial"/>
              </w:rPr>
              <w:t xml:space="preserve">a </w:t>
            </w:r>
            <w:r w:rsidRPr="001F29E3">
              <w:rPr>
                <w:rFonts w:cs="Arial"/>
              </w:rPr>
              <w:t>similar level to the changes in course enrolments of their respective qualification levels.</w:t>
            </w:r>
          </w:p>
          <w:p w:rsidR="006A7072" w:rsidRPr="004E4031" w:rsidRDefault="006A7072" w:rsidP="00A9260A">
            <w:pPr>
              <w:pStyle w:val="ListBullet"/>
              <w:numPr>
                <w:ilvl w:val="0"/>
                <w:numId w:val="5"/>
              </w:numPr>
              <w:ind w:right="113"/>
              <w:rPr>
                <w:rFonts w:cs="Arial"/>
              </w:rPr>
            </w:pPr>
            <w:r w:rsidRPr="004E4031">
              <w:rPr>
                <w:rFonts w:cs="Arial"/>
              </w:rPr>
              <w:t>Student contact hou</w:t>
            </w:r>
            <w:r w:rsidR="006361B2">
              <w:rPr>
                <w:rFonts w:cs="Arial"/>
              </w:rPr>
              <w:t>r</w:t>
            </w:r>
            <w:r w:rsidRPr="004E4031">
              <w:rPr>
                <w:rFonts w:cs="Arial"/>
              </w:rPr>
              <w:t>s in module only training in Q1 2013 fell by 9 per cent compared to Q1 2012. This decline is consider</w:t>
            </w:r>
            <w:r w:rsidR="006361B2">
              <w:rPr>
                <w:rFonts w:cs="Arial"/>
              </w:rPr>
              <w:t>ed</w:t>
            </w:r>
            <w:r w:rsidRPr="004E4031">
              <w:rPr>
                <w:rFonts w:cs="Arial"/>
              </w:rPr>
              <w:t xml:space="preserve"> small when comparing to the 16 per cent drop in module only enrolments over the same period.</w:t>
            </w:r>
            <w:r w:rsidR="002C240D" w:rsidRPr="004E4031">
              <w:rPr>
                <w:rFonts w:cs="Arial"/>
              </w:rPr>
              <w:t xml:space="preserve"> </w:t>
            </w:r>
            <w:r w:rsidRPr="004E4031">
              <w:rPr>
                <w:rFonts w:cs="Arial"/>
              </w:rPr>
              <w:t xml:space="preserve">This could potentially indicate that the length of module only training has lengthened. </w:t>
            </w:r>
          </w:p>
          <w:p w:rsidR="00351166" w:rsidRPr="004E4031" w:rsidRDefault="006A7072" w:rsidP="005D46B9">
            <w:pPr>
              <w:pStyle w:val="ListBullet"/>
              <w:numPr>
                <w:ilvl w:val="0"/>
                <w:numId w:val="5"/>
              </w:numPr>
              <w:ind w:right="113"/>
              <w:rPr>
                <w:rFonts w:cs="Arial"/>
              </w:rPr>
            </w:pPr>
            <w:r w:rsidRPr="004E4031">
              <w:rPr>
                <w:rFonts w:cs="Arial"/>
              </w:rPr>
              <w:t>While the</w:t>
            </w:r>
            <w:r w:rsidR="005D46B9" w:rsidRPr="004E4031">
              <w:rPr>
                <w:rFonts w:cs="Arial"/>
              </w:rPr>
              <w:t xml:space="preserve">re was a decline of 16 per cent in the number of government subsidised secondary </w:t>
            </w:r>
            <w:r w:rsidRPr="004E4031">
              <w:rPr>
                <w:rFonts w:cs="Arial"/>
              </w:rPr>
              <w:t>school subject</w:t>
            </w:r>
            <w:r w:rsidR="005D46B9" w:rsidRPr="004E4031">
              <w:rPr>
                <w:rFonts w:cs="Arial"/>
              </w:rPr>
              <w:t>s in Q1 2013 compared to Q1 2012, the change in student contact hours was in an opposite trend with an increase of 10 per cent.</w:t>
            </w:r>
            <w:r w:rsidR="002C240D" w:rsidRPr="004E4031">
              <w:rPr>
                <w:rFonts w:cs="Arial"/>
              </w:rPr>
              <w:t xml:space="preserve"> </w:t>
            </w:r>
          </w:p>
          <w:p w:rsidR="00910C9A" w:rsidRPr="001F29E3" w:rsidRDefault="00910C9A" w:rsidP="00910C9A">
            <w:pPr>
              <w:pStyle w:val="ListBullet"/>
              <w:numPr>
                <w:ilvl w:val="0"/>
                <w:numId w:val="0"/>
              </w:numPr>
              <w:ind w:left="473" w:right="113"/>
              <w:rPr>
                <w:rFonts w:cs="Arial"/>
              </w:rPr>
            </w:pPr>
          </w:p>
        </w:tc>
      </w:tr>
    </w:tbl>
    <w:p w:rsidR="00AB275E" w:rsidRDefault="00AB275E" w:rsidP="00A9260A">
      <w:pPr>
        <w:pStyle w:val="Heading2"/>
      </w:pPr>
      <w:bookmarkStart w:id="61" w:name="_Toc316542826"/>
      <w:bookmarkStart w:id="62" w:name="_Toc316629589"/>
      <w:bookmarkStart w:id="63" w:name="_Toc317173951"/>
      <w:bookmarkStart w:id="64" w:name="_Toc317174100"/>
      <w:bookmarkStart w:id="65" w:name="_Toc322454239"/>
      <w:bookmarkStart w:id="66" w:name="_Toc317174103"/>
      <w:bookmarkStart w:id="67" w:name="_Toc322454242"/>
    </w:p>
    <w:p w:rsidR="00AB275E" w:rsidRDefault="00AB275E">
      <w:pPr>
        <w:spacing w:after="0" w:line="240" w:lineRule="auto"/>
        <w:jc w:val="left"/>
        <w:rPr>
          <w:rFonts w:cs="Arial"/>
          <w:bCs/>
          <w:iCs/>
          <w:color w:val="76923C" w:themeColor="accent3" w:themeShade="BF"/>
          <w:sz w:val="28"/>
          <w:szCs w:val="28"/>
        </w:rPr>
      </w:pPr>
      <w:r>
        <w:br w:type="page"/>
      </w:r>
    </w:p>
    <w:p w:rsidR="00351166" w:rsidRPr="001F29E3" w:rsidRDefault="00351166" w:rsidP="00A9260A">
      <w:pPr>
        <w:pStyle w:val="Heading2"/>
      </w:pPr>
      <w:bookmarkStart w:id="68" w:name="_Toc359501559"/>
      <w:r w:rsidRPr="001F29E3">
        <w:lastRenderedPageBreak/>
        <w:t>Age Profile</w:t>
      </w:r>
      <w:bookmarkEnd w:id="61"/>
      <w:bookmarkEnd w:id="62"/>
      <w:bookmarkEnd w:id="63"/>
      <w:bookmarkEnd w:id="64"/>
      <w:bookmarkEnd w:id="65"/>
      <w:bookmarkEnd w:id="68"/>
    </w:p>
    <w:p w:rsidR="00351166" w:rsidRPr="001F29E3" w:rsidRDefault="00351166" w:rsidP="00351166">
      <w:pPr>
        <w:rPr>
          <w:rFonts w:cs="Arial"/>
        </w:rPr>
      </w:pPr>
    </w:p>
    <w:p w:rsidR="00351166" w:rsidRPr="001F29E3" w:rsidRDefault="0055106F" w:rsidP="00A9260A">
      <w:pPr>
        <w:pStyle w:val="Heading3"/>
      </w:pPr>
      <w:r w:rsidRPr="001F29E3">
        <w:t>Vocational Training</w:t>
      </w:r>
      <w:r w:rsidR="00351166" w:rsidRPr="001F29E3">
        <w:t xml:space="preserve"> Delivery by Age Group</w:t>
      </w:r>
    </w:p>
    <w:p w:rsidR="00030839" w:rsidRDefault="00351166" w:rsidP="00030839">
      <w:pPr>
        <w:rPr>
          <w:rFonts w:cs="Arial"/>
        </w:rPr>
      </w:pPr>
      <w:r w:rsidRPr="001F29E3">
        <w:rPr>
          <w:rFonts w:cs="Arial"/>
        </w:rPr>
        <w:t>To enable the increased workforce participation levels required by the Victorian economy over the next decade, improved engagement with education and training by all age groups is required.</w:t>
      </w:r>
      <w:r w:rsidR="00C45B16" w:rsidRPr="001F29E3">
        <w:rPr>
          <w:rFonts w:cs="Arial"/>
        </w:rPr>
        <w:t xml:space="preserve"> The vocational training system is also focused on accessibility and gender equality, ensuring all Victorians have the same opportunity to succeed in their lives and maintain well-being through education and training.</w:t>
      </w:r>
    </w:p>
    <w:p w:rsidR="00351166" w:rsidRPr="001F29E3" w:rsidRDefault="002C240D" w:rsidP="00030839">
      <w:pPr>
        <w:rPr>
          <w:rFonts w:cs="Arial"/>
        </w:rPr>
      </w:pPr>
      <w:r w:rsidRPr="001F29E3">
        <w:rPr>
          <w:rFonts w:cs="Arial"/>
        </w:rPr>
        <w:t xml:space="preserve"> </w:t>
      </w:r>
    </w:p>
    <w:p w:rsidR="00351166" w:rsidRPr="001F29E3" w:rsidRDefault="00351166" w:rsidP="00A9260A">
      <w:pPr>
        <w:pStyle w:val="Heading3"/>
      </w:pPr>
      <w:r w:rsidRPr="001F29E3">
        <w:t>Students by Age Group</w:t>
      </w:r>
      <w:r w:rsidR="00595A4F" w:rsidRPr="001F29E3">
        <w:t xml:space="preserve"> in Government Subsidised Training</w:t>
      </w:r>
    </w:p>
    <w:p w:rsidR="00595A4F" w:rsidRPr="001F29E3" w:rsidRDefault="00595A4F" w:rsidP="00595A4F">
      <w:pPr>
        <w:rPr>
          <w:rFonts w:cs="Arial"/>
        </w:rPr>
      </w:pPr>
    </w:p>
    <w:p w:rsidR="00351166" w:rsidRPr="001F29E3" w:rsidRDefault="00351166" w:rsidP="007044AB">
      <w:pPr>
        <w:pStyle w:val="Caption"/>
        <w:jc w:val="left"/>
        <w:rPr>
          <w:rFonts w:cs="Arial"/>
        </w:rPr>
      </w:pPr>
      <w:r w:rsidRPr="001F29E3">
        <w:rPr>
          <w:rFonts w:cs="Arial"/>
        </w:rPr>
        <w:t>Table 1.</w:t>
      </w:r>
      <w:r w:rsidR="003D1F0F">
        <w:rPr>
          <w:rFonts w:cs="Arial"/>
        </w:rPr>
        <w:t>8</w:t>
      </w:r>
      <w:r w:rsidRPr="001F29E3">
        <w:rPr>
          <w:rFonts w:cs="Arial"/>
        </w:rPr>
        <w:t xml:space="preserve">: </w:t>
      </w:r>
      <w:r w:rsidR="006559F0" w:rsidRPr="001F29E3">
        <w:rPr>
          <w:rFonts w:cs="Arial"/>
        </w:rPr>
        <w:t xml:space="preserve">Government subsidised </w:t>
      </w:r>
      <w:r w:rsidRPr="001F29E3">
        <w:rPr>
          <w:rFonts w:cs="Arial"/>
        </w:rPr>
        <w:t>students by age group, 2008–2012</w:t>
      </w:r>
      <w:r w:rsidR="006559F0" w:rsidRPr="001F29E3">
        <w:rPr>
          <w:rFonts w:cs="Arial"/>
        </w:rPr>
        <w:t>, Q1 2012 and Q1 2013</w:t>
      </w:r>
    </w:p>
    <w:p w:rsidR="00351166" w:rsidRPr="001F29E3" w:rsidRDefault="006559F0" w:rsidP="00A9260A">
      <w:pPr>
        <w:pStyle w:val="Caption"/>
        <w:rPr>
          <w:rFonts w:cs="Arial"/>
        </w:rPr>
      </w:pPr>
      <w:r w:rsidRPr="001F29E3">
        <w:rPr>
          <w:rFonts w:cs="Arial"/>
          <w:noProof/>
          <w:lang w:eastAsia="en-AU"/>
        </w:rPr>
        <w:drawing>
          <wp:inline distT="0" distB="0" distL="0" distR="0" wp14:anchorId="5CE734A6" wp14:editId="2CDBAFAE">
            <wp:extent cx="5760720" cy="1397217"/>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1397217"/>
                    </a:xfrm>
                    <a:prstGeom prst="rect">
                      <a:avLst/>
                    </a:prstGeom>
                    <a:noFill/>
                    <a:ln>
                      <a:noFill/>
                    </a:ln>
                  </pic:spPr>
                </pic:pic>
              </a:graphicData>
            </a:graphic>
          </wp:inline>
        </w:drawing>
      </w:r>
    </w:p>
    <w:p w:rsidR="00351166" w:rsidRPr="001F29E3" w:rsidRDefault="00351166" w:rsidP="00351166">
      <w:pPr>
        <w:rPr>
          <w:rFonts w:cs="Arial"/>
        </w:rPr>
      </w:pPr>
    </w:p>
    <w:p w:rsidR="00351166" w:rsidRPr="001F29E3" w:rsidRDefault="00351166" w:rsidP="007044AB">
      <w:pPr>
        <w:pStyle w:val="Caption"/>
        <w:jc w:val="left"/>
        <w:rPr>
          <w:rFonts w:cs="Arial"/>
        </w:rPr>
      </w:pPr>
      <w:r w:rsidRPr="001F29E3">
        <w:rPr>
          <w:rFonts w:cs="Arial"/>
        </w:rPr>
        <w:t>Figure 1.</w:t>
      </w:r>
      <w:r w:rsidR="003D1F0F">
        <w:rPr>
          <w:rFonts w:cs="Arial"/>
        </w:rPr>
        <w:t>8</w:t>
      </w:r>
      <w:r w:rsidRPr="001F29E3">
        <w:rPr>
          <w:rFonts w:cs="Arial"/>
        </w:rPr>
        <w:t xml:space="preserve">: </w:t>
      </w:r>
      <w:r w:rsidR="006559F0" w:rsidRPr="001F29E3">
        <w:rPr>
          <w:rFonts w:cs="Arial"/>
        </w:rPr>
        <w:t>Government subsidised students by age group</w:t>
      </w:r>
      <w:r w:rsidRPr="001F29E3">
        <w:rPr>
          <w:rFonts w:cs="Arial"/>
        </w:rPr>
        <w:t xml:space="preserve">, </w:t>
      </w:r>
      <w:r w:rsidR="006559F0" w:rsidRPr="001F29E3">
        <w:rPr>
          <w:rFonts w:cs="Arial"/>
        </w:rPr>
        <w:t>Q1 2012 and Q1 2013</w:t>
      </w:r>
    </w:p>
    <w:p w:rsidR="00351166" w:rsidRPr="001F29E3" w:rsidRDefault="00351166" w:rsidP="003D1F0F">
      <w:pPr>
        <w:jc w:val="center"/>
        <w:rPr>
          <w:rFonts w:cs="Arial"/>
        </w:rPr>
      </w:pPr>
    </w:p>
    <w:p w:rsidR="006559F0" w:rsidRPr="001F29E3" w:rsidRDefault="0001663C" w:rsidP="00351166">
      <w:pPr>
        <w:rPr>
          <w:rFonts w:cs="Arial"/>
        </w:rPr>
      </w:pPr>
      <w:r w:rsidRPr="003D1F0F">
        <w:rPr>
          <w:noProof/>
          <w:lang w:eastAsia="en-AU"/>
        </w:rPr>
        <w:drawing>
          <wp:inline distT="0" distB="0" distL="0" distR="0" wp14:anchorId="6C39C565" wp14:editId="7F56AC3F">
            <wp:extent cx="5086350" cy="34099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86350" cy="3409950"/>
                    </a:xfrm>
                    <a:prstGeom prst="rect">
                      <a:avLst/>
                    </a:prstGeom>
                    <a:noFill/>
                    <a:ln>
                      <a:noFill/>
                    </a:ln>
                  </pic:spPr>
                </pic:pic>
              </a:graphicData>
            </a:graphic>
          </wp:inline>
        </w:drawing>
      </w:r>
    </w:p>
    <w:p w:rsidR="006559F0" w:rsidRPr="001F29E3" w:rsidRDefault="006559F0" w:rsidP="00351166">
      <w:pPr>
        <w:rPr>
          <w:rFonts w:cs="Arial"/>
        </w:rPr>
      </w:pPr>
    </w:p>
    <w:p w:rsidR="006559F0" w:rsidRPr="001F29E3" w:rsidRDefault="006559F0" w:rsidP="00351166">
      <w:pPr>
        <w:rPr>
          <w:rFonts w:cs="Arial"/>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351166" w:rsidRPr="001F29E3" w:rsidTr="004C7064">
        <w:trPr>
          <w:trHeight w:val="3462"/>
        </w:trPr>
        <w:tc>
          <w:tcPr>
            <w:tcW w:w="7388" w:type="dxa"/>
          </w:tcPr>
          <w:p w:rsidR="00C45B16" w:rsidRPr="001F29E3" w:rsidRDefault="00C45B16" w:rsidP="00A9260A">
            <w:pPr>
              <w:pStyle w:val="Heading3"/>
            </w:pPr>
          </w:p>
          <w:p w:rsidR="00351166" w:rsidRPr="001F29E3" w:rsidRDefault="00351166" w:rsidP="00A9260A">
            <w:pPr>
              <w:pStyle w:val="Heading3"/>
            </w:pPr>
            <w:r w:rsidRPr="001F29E3">
              <w:t>Key Points</w:t>
            </w:r>
          </w:p>
          <w:p w:rsidR="00351166" w:rsidRPr="001F29E3" w:rsidRDefault="00351166" w:rsidP="004C7064">
            <w:pPr>
              <w:pStyle w:val="ListBullet"/>
              <w:numPr>
                <w:ilvl w:val="0"/>
                <w:numId w:val="0"/>
              </w:numPr>
              <w:ind w:left="120" w:right="113"/>
              <w:rPr>
                <w:rFonts w:cs="Arial"/>
              </w:rPr>
            </w:pPr>
            <w:r w:rsidRPr="001F29E3">
              <w:rPr>
                <w:rFonts w:cs="Arial"/>
              </w:rPr>
              <w:t xml:space="preserve">Government subsidised student numbers </w:t>
            </w:r>
            <w:r w:rsidR="00C45B16" w:rsidRPr="001F29E3">
              <w:rPr>
                <w:rFonts w:cs="Arial"/>
              </w:rPr>
              <w:t xml:space="preserve">have generally declined </w:t>
            </w:r>
            <w:r w:rsidRPr="001F29E3">
              <w:rPr>
                <w:rFonts w:cs="Arial"/>
              </w:rPr>
              <w:t>across broad age groups</w:t>
            </w:r>
            <w:r w:rsidR="00FF607D" w:rsidRPr="001F29E3">
              <w:rPr>
                <w:rFonts w:cs="Arial"/>
              </w:rPr>
              <w:t xml:space="preserve"> </w:t>
            </w:r>
            <w:r w:rsidRPr="001F29E3">
              <w:rPr>
                <w:rFonts w:cs="Arial"/>
              </w:rPr>
              <w:t xml:space="preserve">in </w:t>
            </w:r>
            <w:r w:rsidR="00FF607D" w:rsidRPr="001F29E3">
              <w:rPr>
                <w:rFonts w:cs="Arial"/>
              </w:rPr>
              <w:t>Q1 2013 compared to Q1 2012:</w:t>
            </w:r>
            <w:r w:rsidRPr="001F29E3">
              <w:rPr>
                <w:rFonts w:cs="Arial"/>
              </w:rPr>
              <w:t xml:space="preserve"> </w:t>
            </w:r>
          </w:p>
          <w:p w:rsidR="00351166" w:rsidRPr="001F29E3" w:rsidRDefault="00351166" w:rsidP="00C45B16">
            <w:pPr>
              <w:pStyle w:val="ListBullet"/>
              <w:numPr>
                <w:ilvl w:val="0"/>
                <w:numId w:val="6"/>
              </w:numPr>
              <w:ind w:right="113"/>
              <w:rPr>
                <w:rFonts w:cs="Arial"/>
              </w:rPr>
            </w:pPr>
            <w:r w:rsidRPr="001F29E3">
              <w:rPr>
                <w:rFonts w:cs="Arial"/>
              </w:rPr>
              <w:t>The largest cohort</w:t>
            </w:r>
            <w:r w:rsidR="000A4E9B" w:rsidRPr="001F29E3">
              <w:rPr>
                <w:rFonts w:cs="Arial"/>
              </w:rPr>
              <w:t>-</w:t>
            </w:r>
            <w:r w:rsidRPr="001F29E3">
              <w:rPr>
                <w:rFonts w:cs="Arial"/>
              </w:rPr>
              <w:t xml:space="preserve"> 25 to 44 year olds </w:t>
            </w:r>
            <w:r w:rsidR="000A4E9B" w:rsidRPr="001F29E3">
              <w:rPr>
                <w:rFonts w:cs="Arial"/>
              </w:rPr>
              <w:t xml:space="preserve">which </w:t>
            </w:r>
            <w:r w:rsidRPr="001F29E3">
              <w:rPr>
                <w:rFonts w:cs="Arial"/>
              </w:rPr>
              <w:t>account</w:t>
            </w:r>
            <w:r w:rsidR="00FF607D" w:rsidRPr="001F29E3">
              <w:rPr>
                <w:rFonts w:cs="Arial"/>
              </w:rPr>
              <w:t>ed</w:t>
            </w:r>
            <w:r w:rsidRPr="001F29E3">
              <w:rPr>
                <w:rFonts w:cs="Arial"/>
              </w:rPr>
              <w:t xml:space="preserve"> for 35 per cent of students </w:t>
            </w:r>
            <w:r w:rsidR="00FF607D" w:rsidRPr="001F29E3">
              <w:rPr>
                <w:rFonts w:cs="Arial"/>
              </w:rPr>
              <w:t>in Q1 2013</w:t>
            </w:r>
            <w:r w:rsidRPr="001F29E3">
              <w:rPr>
                <w:rFonts w:cs="Arial"/>
              </w:rPr>
              <w:t xml:space="preserve">, has </w:t>
            </w:r>
            <w:r w:rsidR="00FF607D" w:rsidRPr="001F29E3">
              <w:rPr>
                <w:rFonts w:cs="Arial"/>
              </w:rPr>
              <w:t>declined by 4 per cent</w:t>
            </w:r>
            <w:r w:rsidRPr="001F29E3">
              <w:rPr>
                <w:rFonts w:cs="Arial"/>
              </w:rPr>
              <w:t>.</w:t>
            </w:r>
          </w:p>
          <w:p w:rsidR="00FF607D" w:rsidRPr="001F29E3" w:rsidRDefault="00FF607D" w:rsidP="00C45B16">
            <w:pPr>
              <w:pStyle w:val="ListBullet"/>
              <w:numPr>
                <w:ilvl w:val="0"/>
                <w:numId w:val="6"/>
              </w:numPr>
              <w:ind w:right="113"/>
              <w:rPr>
                <w:rFonts w:cs="Arial"/>
              </w:rPr>
            </w:pPr>
            <w:r w:rsidRPr="001F29E3">
              <w:rPr>
                <w:rFonts w:cs="Arial"/>
              </w:rPr>
              <w:t xml:space="preserve">Students aged 20-24 has moved from the third largest age group in Q1 2012 to the second in Q1 2013 and represent almost one quarter (23 per cent) of government subsidised student population. </w:t>
            </w:r>
          </w:p>
          <w:p w:rsidR="00FF607D" w:rsidRPr="001F29E3" w:rsidRDefault="00FF607D" w:rsidP="00C45B16">
            <w:pPr>
              <w:pStyle w:val="ListBullet"/>
              <w:numPr>
                <w:ilvl w:val="0"/>
                <w:numId w:val="6"/>
              </w:numPr>
              <w:ind w:right="113"/>
              <w:rPr>
                <w:rFonts w:cs="Arial"/>
              </w:rPr>
            </w:pPr>
            <w:r w:rsidRPr="001F29E3">
              <w:rPr>
                <w:rFonts w:cs="Arial"/>
              </w:rPr>
              <w:t>The 15 to 19 age group has declined by 18 per cent (the largest decline among the age groups) and represents a 22 per cent share in Q1 2013.</w:t>
            </w:r>
          </w:p>
          <w:p w:rsidR="00910C9A" w:rsidRPr="001F29E3" w:rsidRDefault="00910C9A" w:rsidP="00FB5597">
            <w:pPr>
              <w:ind w:right="113"/>
              <w:rPr>
                <w:rFonts w:cs="Arial"/>
              </w:rPr>
            </w:pPr>
          </w:p>
        </w:tc>
      </w:tr>
    </w:tbl>
    <w:p w:rsidR="00351166" w:rsidRPr="001F29E3" w:rsidRDefault="00351166" w:rsidP="00351166">
      <w:pPr>
        <w:rPr>
          <w:rFonts w:cs="Arial"/>
        </w:rPr>
      </w:pPr>
    </w:p>
    <w:p w:rsidR="00AB275E" w:rsidRDefault="00351166" w:rsidP="00A9260A">
      <w:pPr>
        <w:pStyle w:val="Heading3"/>
      </w:pPr>
      <w:r w:rsidRPr="001F29E3">
        <w:br w:type="page"/>
      </w:r>
    </w:p>
    <w:p w:rsidR="00AB275E" w:rsidRDefault="00AB275E" w:rsidP="00A9260A">
      <w:pPr>
        <w:pStyle w:val="Heading3"/>
      </w:pPr>
    </w:p>
    <w:p w:rsidR="00351166" w:rsidRPr="001F29E3" w:rsidRDefault="00351166" w:rsidP="00A9260A">
      <w:pPr>
        <w:pStyle w:val="Heading3"/>
      </w:pPr>
      <w:r w:rsidRPr="001F29E3">
        <w:t xml:space="preserve">TAFE </w:t>
      </w:r>
      <w:r w:rsidR="002757F4" w:rsidRPr="001F29E3">
        <w:t>D</w:t>
      </w:r>
      <w:r w:rsidRPr="001F29E3">
        <w:t xml:space="preserve">omestic </w:t>
      </w:r>
      <w:r w:rsidR="00362E51" w:rsidRPr="001F29E3">
        <w:t>Fee for Service</w:t>
      </w:r>
      <w:r w:rsidRPr="001F29E3">
        <w:t xml:space="preserve"> Students by Age Group</w:t>
      </w:r>
    </w:p>
    <w:p w:rsidR="00351166" w:rsidRPr="001F29E3" w:rsidRDefault="00351166" w:rsidP="00351166">
      <w:pPr>
        <w:rPr>
          <w:rFonts w:cs="Arial"/>
        </w:rPr>
      </w:pPr>
    </w:p>
    <w:p w:rsidR="00351166" w:rsidRPr="001F29E3" w:rsidRDefault="00351166" w:rsidP="007F66F1">
      <w:pPr>
        <w:pStyle w:val="Caption"/>
        <w:jc w:val="left"/>
        <w:rPr>
          <w:rFonts w:cs="Arial"/>
        </w:rPr>
      </w:pPr>
      <w:r w:rsidRPr="001F29E3">
        <w:rPr>
          <w:rFonts w:cs="Arial"/>
        </w:rPr>
        <w:t>Table 1.</w:t>
      </w:r>
      <w:r w:rsidR="00300347">
        <w:rPr>
          <w:rFonts w:cs="Arial"/>
        </w:rPr>
        <w:t>9</w:t>
      </w:r>
      <w:r w:rsidRPr="001F29E3">
        <w:rPr>
          <w:rFonts w:cs="Arial"/>
        </w:rPr>
        <w:t xml:space="preserve">: </w:t>
      </w:r>
      <w:r w:rsidR="00E05A50" w:rsidRPr="001F29E3">
        <w:rPr>
          <w:rFonts w:cs="Arial"/>
        </w:rPr>
        <w:t xml:space="preserve">TAFE domestic fee for service: </w:t>
      </w:r>
      <w:r w:rsidRPr="001F29E3">
        <w:rPr>
          <w:rFonts w:cs="Arial"/>
        </w:rPr>
        <w:t>students by age group, 2008–2012</w:t>
      </w:r>
      <w:r w:rsidR="00E05A50" w:rsidRPr="001F29E3">
        <w:rPr>
          <w:rFonts w:cs="Arial"/>
        </w:rPr>
        <w:t>, Q1 2012 and Q1 2013</w:t>
      </w:r>
    </w:p>
    <w:p w:rsidR="00351166" w:rsidRPr="001F29E3" w:rsidRDefault="00E05A50" w:rsidP="00A9260A">
      <w:pPr>
        <w:pStyle w:val="Caption"/>
        <w:rPr>
          <w:rFonts w:cs="Arial"/>
        </w:rPr>
      </w:pPr>
      <w:r w:rsidRPr="001F29E3">
        <w:rPr>
          <w:rFonts w:cs="Arial"/>
          <w:noProof/>
          <w:lang w:eastAsia="en-AU"/>
        </w:rPr>
        <w:drawing>
          <wp:inline distT="0" distB="0" distL="0" distR="0" wp14:anchorId="624489C5" wp14:editId="7A664140">
            <wp:extent cx="5760720" cy="1397217"/>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1397217"/>
                    </a:xfrm>
                    <a:prstGeom prst="rect">
                      <a:avLst/>
                    </a:prstGeom>
                    <a:noFill/>
                    <a:ln>
                      <a:noFill/>
                    </a:ln>
                  </pic:spPr>
                </pic:pic>
              </a:graphicData>
            </a:graphic>
          </wp:inline>
        </w:drawing>
      </w:r>
    </w:p>
    <w:p w:rsidR="007F66F1" w:rsidRPr="001F29E3" w:rsidRDefault="007F66F1" w:rsidP="007F66F1">
      <w:pPr>
        <w:spacing w:after="0" w:line="240" w:lineRule="auto"/>
        <w:rPr>
          <w:rFonts w:cs="Arial"/>
          <w:sz w:val="16"/>
          <w:szCs w:val="16"/>
        </w:rPr>
      </w:pPr>
      <w:r w:rsidRPr="001F29E3">
        <w:rPr>
          <w:rFonts w:cs="Arial"/>
          <w:sz w:val="16"/>
          <w:szCs w:val="16"/>
        </w:rPr>
        <w:t>Fee for Service figures are TAFE on-shore domestic AQF</w:t>
      </w:r>
      <w:r>
        <w:rPr>
          <w:rFonts w:cs="Arial"/>
          <w:sz w:val="16"/>
          <w:szCs w:val="16"/>
        </w:rPr>
        <w:t xml:space="preserve"> Level </w:t>
      </w:r>
      <w:r w:rsidRPr="001F29E3">
        <w:rPr>
          <w:rFonts w:cs="Arial"/>
          <w:sz w:val="16"/>
          <w:szCs w:val="16"/>
        </w:rPr>
        <w:t>1</w:t>
      </w:r>
      <w:r>
        <w:rPr>
          <w:rFonts w:cs="Arial"/>
          <w:sz w:val="16"/>
          <w:szCs w:val="16"/>
        </w:rPr>
        <w:t xml:space="preserve"> and above</w:t>
      </w:r>
      <w:r w:rsidRPr="001F29E3">
        <w:rPr>
          <w:rFonts w:cs="Arial"/>
          <w:sz w:val="16"/>
          <w:szCs w:val="16"/>
        </w:rPr>
        <w:t>.</w:t>
      </w:r>
    </w:p>
    <w:p w:rsidR="00351166" w:rsidRPr="001F29E3" w:rsidRDefault="00351166" w:rsidP="00A9260A">
      <w:pPr>
        <w:pStyle w:val="Caption"/>
        <w:rPr>
          <w:rFonts w:cs="Arial"/>
        </w:rPr>
      </w:pPr>
    </w:p>
    <w:p w:rsidR="00351166" w:rsidRPr="001F29E3" w:rsidRDefault="00351166" w:rsidP="007044AB">
      <w:pPr>
        <w:pStyle w:val="Caption"/>
        <w:jc w:val="left"/>
        <w:rPr>
          <w:rFonts w:cs="Arial"/>
        </w:rPr>
      </w:pPr>
      <w:r w:rsidRPr="001F29E3">
        <w:rPr>
          <w:rFonts w:cs="Arial"/>
        </w:rPr>
        <w:t>Figure 1.</w:t>
      </w:r>
      <w:r w:rsidR="007F66F1">
        <w:rPr>
          <w:rFonts w:cs="Arial"/>
        </w:rPr>
        <w:t>9</w:t>
      </w:r>
      <w:r w:rsidRPr="001F29E3">
        <w:rPr>
          <w:rFonts w:cs="Arial"/>
        </w:rPr>
        <w:t xml:space="preserve">: </w:t>
      </w:r>
      <w:r w:rsidR="00E05A50" w:rsidRPr="001F29E3">
        <w:rPr>
          <w:rFonts w:cs="Arial"/>
        </w:rPr>
        <w:t xml:space="preserve">TAFE domestic fee for service: </w:t>
      </w:r>
      <w:r w:rsidRPr="001F29E3">
        <w:rPr>
          <w:rFonts w:cs="Arial"/>
        </w:rPr>
        <w:t>students by age group</w:t>
      </w:r>
      <w:r w:rsidR="00E05A50" w:rsidRPr="001F29E3">
        <w:rPr>
          <w:rFonts w:cs="Arial"/>
        </w:rPr>
        <w:t>,</w:t>
      </w:r>
      <w:r w:rsidRPr="001F29E3">
        <w:rPr>
          <w:rFonts w:cs="Arial"/>
        </w:rPr>
        <w:t xml:space="preserve"> </w:t>
      </w:r>
      <w:r w:rsidR="00E05A50" w:rsidRPr="001F29E3">
        <w:rPr>
          <w:rFonts w:cs="Arial"/>
        </w:rPr>
        <w:t>Q1 2012 and Q1 2013</w:t>
      </w:r>
    </w:p>
    <w:p w:rsidR="00351166" w:rsidRPr="001F29E3" w:rsidRDefault="007B29DA" w:rsidP="007B29DA">
      <w:pPr>
        <w:jc w:val="center"/>
        <w:rPr>
          <w:rFonts w:cs="Arial"/>
        </w:rPr>
      </w:pPr>
      <w:r w:rsidRPr="007B29DA">
        <w:rPr>
          <w:noProof/>
          <w:lang w:eastAsia="en-AU"/>
        </w:rPr>
        <w:drawing>
          <wp:inline distT="0" distB="0" distL="0" distR="0" wp14:anchorId="3FE229AA" wp14:editId="62652A82">
            <wp:extent cx="4788000" cy="3358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88000" cy="3358800"/>
                    </a:xfrm>
                    <a:prstGeom prst="rect">
                      <a:avLst/>
                    </a:prstGeom>
                    <a:noFill/>
                    <a:ln>
                      <a:noFill/>
                    </a:ln>
                  </pic:spPr>
                </pic:pic>
              </a:graphicData>
            </a:graphic>
          </wp:inline>
        </w:drawing>
      </w: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351166" w:rsidRPr="001F29E3" w:rsidTr="00E05A50">
        <w:trPr>
          <w:trHeight w:val="1467"/>
        </w:trPr>
        <w:tc>
          <w:tcPr>
            <w:tcW w:w="9088" w:type="dxa"/>
          </w:tcPr>
          <w:p w:rsidR="00351166" w:rsidRPr="001F29E3" w:rsidRDefault="00E05A50" w:rsidP="004C7064">
            <w:pPr>
              <w:rPr>
                <w:rFonts w:cs="Arial"/>
              </w:rPr>
            </w:pPr>
            <w:r w:rsidRPr="001F29E3">
              <w:rPr>
                <w:rFonts w:cs="Arial"/>
              </w:rPr>
              <w:br w:type="page"/>
            </w:r>
          </w:p>
          <w:p w:rsidR="00351166" w:rsidRPr="001F29E3" w:rsidRDefault="00351166" w:rsidP="00A9260A">
            <w:pPr>
              <w:pStyle w:val="Heading3"/>
            </w:pPr>
            <w:r w:rsidRPr="001F29E3">
              <w:t>Key Points</w:t>
            </w:r>
          </w:p>
          <w:p w:rsidR="00351166" w:rsidRPr="001F29E3" w:rsidRDefault="009F12AD" w:rsidP="00F2190F">
            <w:pPr>
              <w:pStyle w:val="ListBullet"/>
              <w:numPr>
                <w:ilvl w:val="0"/>
                <w:numId w:val="7"/>
              </w:numPr>
              <w:ind w:right="113"/>
              <w:rPr>
                <w:rFonts w:cs="Arial"/>
              </w:rPr>
            </w:pPr>
            <w:r w:rsidRPr="001F29E3">
              <w:rPr>
                <w:rFonts w:cs="Arial"/>
              </w:rPr>
              <w:t xml:space="preserve">The numbers of </w:t>
            </w:r>
            <w:r w:rsidR="00351166" w:rsidRPr="001F29E3">
              <w:rPr>
                <w:rFonts w:cs="Arial"/>
              </w:rPr>
              <w:t xml:space="preserve">TAFE </w:t>
            </w:r>
            <w:r w:rsidR="002757F4" w:rsidRPr="001F29E3">
              <w:rPr>
                <w:rFonts w:cs="Arial"/>
              </w:rPr>
              <w:t>d</w:t>
            </w:r>
            <w:r w:rsidR="00351166" w:rsidRPr="001F29E3">
              <w:rPr>
                <w:rFonts w:cs="Arial"/>
              </w:rPr>
              <w:t xml:space="preserve">omestic </w:t>
            </w:r>
            <w:r w:rsidR="001B2568" w:rsidRPr="001F29E3">
              <w:rPr>
                <w:rFonts w:cs="Arial"/>
              </w:rPr>
              <w:t>f</w:t>
            </w:r>
            <w:r w:rsidR="00362E51" w:rsidRPr="001F29E3">
              <w:rPr>
                <w:rFonts w:cs="Arial"/>
              </w:rPr>
              <w:t xml:space="preserve">ee for </w:t>
            </w:r>
            <w:r w:rsidR="001B2568" w:rsidRPr="001F29E3">
              <w:rPr>
                <w:rFonts w:cs="Arial"/>
              </w:rPr>
              <w:t>s</w:t>
            </w:r>
            <w:r w:rsidR="00362E51" w:rsidRPr="001F29E3">
              <w:rPr>
                <w:rFonts w:cs="Arial"/>
              </w:rPr>
              <w:t>ervice</w:t>
            </w:r>
            <w:r w:rsidR="00351166" w:rsidRPr="001F29E3">
              <w:rPr>
                <w:rFonts w:cs="Arial"/>
              </w:rPr>
              <w:t xml:space="preserve"> students </w:t>
            </w:r>
            <w:r w:rsidRPr="001F29E3">
              <w:rPr>
                <w:rFonts w:cs="Arial"/>
              </w:rPr>
              <w:t>in 20-24 and 25-44 age groups in Q1 2013 were similar to those in Q1 2012.</w:t>
            </w:r>
          </w:p>
          <w:p w:rsidR="00910C9A" w:rsidRPr="006D30F7" w:rsidRDefault="00F2190F" w:rsidP="006D30F7">
            <w:pPr>
              <w:pStyle w:val="ListBullet"/>
              <w:numPr>
                <w:ilvl w:val="0"/>
                <w:numId w:val="7"/>
              </w:numPr>
              <w:ind w:right="113"/>
              <w:rPr>
                <w:rFonts w:cs="Arial"/>
              </w:rPr>
            </w:pPr>
            <w:r w:rsidRPr="001F29E3">
              <w:rPr>
                <w:rFonts w:cs="Arial"/>
              </w:rPr>
              <w:t>The largest decline in TAFE domestic fee for service student</w:t>
            </w:r>
            <w:r w:rsidR="002E063A" w:rsidRPr="001F29E3">
              <w:rPr>
                <w:rFonts w:cs="Arial"/>
              </w:rPr>
              <w:t xml:space="preserve"> numbers</w:t>
            </w:r>
            <w:r w:rsidRPr="001F29E3">
              <w:rPr>
                <w:rFonts w:cs="Arial"/>
              </w:rPr>
              <w:t xml:space="preserve"> was </w:t>
            </w:r>
            <w:r w:rsidR="002E063A" w:rsidRPr="001F29E3">
              <w:rPr>
                <w:rFonts w:cs="Arial"/>
              </w:rPr>
              <w:t>in 15-19 age group with 13 per cent reduction from 12,000 students in Q1 2012 to 10,400 students in Q1 2013.</w:t>
            </w:r>
          </w:p>
        </w:tc>
      </w:tr>
    </w:tbl>
    <w:p w:rsidR="00351166" w:rsidRPr="001F29E3" w:rsidRDefault="00351166" w:rsidP="00A9260A">
      <w:pPr>
        <w:pStyle w:val="Heading2"/>
      </w:pPr>
      <w:r w:rsidRPr="001F29E3">
        <w:br w:type="page"/>
      </w:r>
      <w:bookmarkStart w:id="69" w:name="_Toc338854120"/>
      <w:bookmarkStart w:id="70" w:name="_Toc359501560"/>
      <w:r w:rsidRPr="001F29E3">
        <w:lastRenderedPageBreak/>
        <w:t>Apprentices and Trainees</w:t>
      </w:r>
      <w:bookmarkEnd w:id="69"/>
      <w:bookmarkEnd w:id="70"/>
    </w:p>
    <w:p w:rsidR="00351166" w:rsidRPr="001F29E3" w:rsidRDefault="00351166" w:rsidP="00351166">
      <w:pPr>
        <w:rPr>
          <w:rFonts w:cs="Arial"/>
        </w:rPr>
      </w:pPr>
    </w:p>
    <w:p w:rsidR="00351166" w:rsidRPr="001F29E3" w:rsidRDefault="00351166" w:rsidP="00A9260A">
      <w:pPr>
        <w:pStyle w:val="Heading3"/>
      </w:pPr>
      <w:r w:rsidRPr="001F29E3">
        <w:t xml:space="preserve">Apprentice and </w:t>
      </w:r>
      <w:r w:rsidR="00A50357" w:rsidRPr="001F29E3">
        <w:t>T</w:t>
      </w:r>
      <w:r w:rsidRPr="001F29E3">
        <w:t xml:space="preserve">rainee </w:t>
      </w:r>
      <w:r w:rsidR="00A50357" w:rsidRPr="001F29E3">
        <w:t>A</w:t>
      </w:r>
      <w:r w:rsidRPr="001F29E3">
        <w:t>ctivity</w:t>
      </w:r>
    </w:p>
    <w:p w:rsidR="00351166" w:rsidRPr="001F29E3" w:rsidRDefault="00351166" w:rsidP="00351166">
      <w:pPr>
        <w:rPr>
          <w:rFonts w:cs="Arial"/>
        </w:rPr>
      </w:pPr>
      <w:r w:rsidRPr="001F29E3">
        <w:rPr>
          <w:rFonts w:cs="Arial"/>
        </w:rPr>
        <w:t xml:space="preserve">Providing formal training to apprentices and trainees is a key function of the </w:t>
      </w:r>
      <w:r w:rsidR="00221A72" w:rsidRPr="001F29E3">
        <w:rPr>
          <w:rFonts w:cs="Arial"/>
          <w:color w:val="000000"/>
        </w:rPr>
        <w:t>v</w:t>
      </w:r>
      <w:r w:rsidR="0055106F" w:rsidRPr="001F29E3">
        <w:rPr>
          <w:rFonts w:cs="Arial"/>
          <w:color w:val="000000"/>
        </w:rPr>
        <w:t xml:space="preserve">ocational </w:t>
      </w:r>
      <w:r w:rsidR="00221A72" w:rsidRPr="001F29E3">
        <w:rPr>
          <w:rFonts w:cs="Arial"/>
          <w:color w:val="000000"/>
        </w:rPr>
        <w:t>t</w:t>
      </w:r>
      <w:r w:rsidR="0055106F" w:rsidRPr="001F29E3">
        <w:rPr>
          <w:rFonts w:cs="Arial"/>
          <w:color w:val="000000"/>
        </w:rPr>
        <w:t>raining</w:t>
      </w:r>
      <w:r w:rsidRPr="001F29E3">
        <w:rPr>
          <w:rFonts w:cs="Arial"/>
        </w:rPr>
        <w:t xml:space="preserve"> system, building skills that are directly applied in the workplace.</w:t>
      </w:r>
      <w:r w:rsidR="002C240D" w:rsidRPr="001F29E3">
        <w:rPr>
          <w:rFonts w:cs="Arial"/>
        </w:rPr>
        <w:t xml:space="preserve"> </w:t>
      </w:r>
      <w:r w:rsidRPr="001F29E3">
        <w:rPr>
          <w:rFonts w:cs="Arial"/>
        </w:rPr>
        <w:t xml:space="preserve">Several key sectors that are important to the Victorian economy and the community more broadly directly benefit from the formal training provided by the </w:t>
      </w:r>
      <w:r w:rsidR="00221A72" w:rsidRPr="001F29E3">
        <w:rPr>
          <w:rFonts w:cs="Arial"/>
          <w:color w:val="000000"/>
        </w:rPr>
        <w:t>v</w:t>
      </w:r>
      <w:r w:rsidR="0055106F" w:rsidRPr="001F29E3">
        <w:rPr>
          <w:rFonts w:cs="Arial"/>
          <w:color w:val="000000"/>
        </w:rPr>
        <w:t xml:space="preserve">ocational </w:t>
      </w:r>
      <w:r w:rsidR="00221A72" w:rsidRPr="001F29E3">
        <w:rPr>
          <w:rFonts w:cs="Arial"/>
          <w:color w:val="000000"/>
        </w:rPr>
        <w:t>t</w:t>
      </w:r>
      <w:r w:rsidR="0055106F" w:rsidRPr="001F29E3">
        <w:rPr>
          <w:rFonts w:cs="Arial"/>
          <w:color w:val="000000"/>
        </w:rPr>
        <w:t>raining</w:t>
      </w:r>
      <w:r w:rsidRPr="001F29E3">
        <w:rPr>
          <w:rFonts w:cs="Arial"/>
        </w:rPr>
        <w:t xml:space="preserve"> system to apprentices and trainees.</w:t>
      </w:r>
      <w:r w:rsidR="002C240D" w:rsidRPr="001F29E3">
        <w:rPr>
          <w:rFonts w:cs="Arial"/>
        </w:rPr>
        <w:t xml:space="preserve"> </w:t>
      </w:r>
      <w:r w:rsidRPr="001F29E3">
        <w:rPr>
          <w:rFonts w:cs="Arial"/>
        </w:rPr>
        <w:t>These include Automotive, Construction,</w:t>
      </w:r>
      <w:r w:rsidR="00942C52" w:rsidRPr="001F29E3">
        <w:rPr>
          <w:rFonts w:cs="Arial"/>
        </w:rPr>
        <w:t xml:space="preserve"> Tourism and</w:t>
      </w:r>
      <w:r w:rsidRPr="001F29E3">
        <w:rPr>
          <w:rFonts w:cs="Arial"/>
        </w:rPr>
        <w:t xml:space="preserve"> Hospitality, Health Care and Children’s Services.</w:t>
      </w:r>
    </w:p>
    <w:p w:rsidR="00351166" w:rsidRPr="001F29E3" w:rsidRDefault="002E2F12" w:rsidP="00351166">
      <w:pPr>
        <w:rPr>
          <w:rFonts w:cs="Arial"/>
        </w:rPr>
      </w:pPr>
      <w:r w:rsidRPr="001F29E3">
        <w:rPr>
          <w:rFonts w:cs="Arial"/>
        </w:rPr>
        <w:t xml:space="preserve">Trends in </w:t>
      </w:r>
      <w:r w:rsidR="002757F4" w:rsidRPr="001F29E3">
        <w:rPr>
          <w:rFonts w:cs="Arial"/>
        </w:rPr>
        <w:t>a</w:t>
      </w:r>
      <w:r w:rsidR="00351166" w:rsidRPr="001F29E3">
        <w:rPr>
          <w:rFonts w:cs="Arial"/>
        </w:rPr>
        <w:t xml:space="preserve">pprenticeships and </w:t>
      </w:r>
      <w:r w:rsidR="002757F4" w:rsidRPr="001F29E3">
        <w:rPr>
          <w:rFonts w:cs="Arial"/>
        </w:rPr>
        <w:t>t</w:t>
      </w:r>
      <w:r w:rsidR="00351166" w:rsidRPr="001F29E3">
        <w:rPr>
          <w:rFonts w:cs="Arial"/>
        </w:rPr>
        <w:t xml:space="preserve">raineeships </w:t>
      </w:r>
      <w:r w:rsidRPr="001F29E3">
        <w:rPr>
          <w:rFonts w:cs="Arial"/>
        </w:rPr>
        <w:t>align closely with the wider</w:t>
      </w:r>
      <w:r w:rsidR="00351166" w:rsidRPr="001F29E3">
        <w:rPr>
          <w:rFonts w:cs="Arial"/>
        </w:rPr>
        <w:t xml:space="preserve"> Victorian economy</w:t>
      </w:r>
      <w:r w:rsidR="00FB5A5E" w:rsidRPr="001F29E3">
        <w:rPr>
          <w:rStyle w:val="FootnoteReference"/>
          <w:rFonts w:cs="Arial"/>
        </w:rPr>
        <w:footnoteReference w:id="6"/>
      </w:r>
      <w:r w:rsidR="002757F4" w:rsidRPr="001F29E3">
        <w:rPr>
          <w:rFonts w:cs="Arial"/>
        </w:rPr>
        <w:t>.</w:t>
      </w:r>
    </w:p>
    <w:p w:rsidR="00351166" w:rsidRPr="001F29E3" w:rsidRDefault="00351166" w:rsidP="007B29DA">
      <w:pPr>
        <w:pStyle w:val="Caption"/>
        <w:jc w:val="left"/>
        <w:rPr>
          <w:rFonts w:cs="Arial"/>
        </w:rPr>
      </w:pPr>
      <w:r w:rsidRPr="001F29E3">
        <w:rPr>
          <w:rFonts w:cs="Arial"/>
        </w:rPr>
        <w:t>Table 1.</w:t>
      </w:r>
      <w:r w:rsidR="007B29DA">
        <w:rPr>
          <w:rFonts w:cs="Arial"/>
        </w:rPr>
        <w:t>1</w:t>
      </w:r>
      <w:r w:rsidR="00300347">
        <w:rPr>
          <w:rFonts w:cs="Arial"/>
        </w:rPr>
        <w:t>0</w:t>
      </w:r>
      <w:r w:rsidRPr="001F29E3">
        <w:rPr>
          <w:rFonts w:cs="Arial"/>
        </w:rPr>
        <w:t xml:space="preserve">: </w:t>
      </w:r>
      <w:r w:rsidR="00CC3858" w:rsidRPr="001F29E3">
        <w:rPr>
          <w:rFonts w:cs="Arial"/>
        </w:rPr>
        <w:t>G</w:t>
      </w:r>
      <w:r w:rsidRPr="001F29E3">
        <w:rPr>
          <w:rFonts w:cs="Arial"/>
        </w:rPr>
        <w:t>overnment subsidised enrolments by apprentices and trainees, 2008–2012</w:t>
      </w:r>
      <w:r w:rsidR="00CC3858" w:rsidRPr="001F29E3">
        <w:rPr>
          <w:rFonts w:cs="Arial"/>
        </w:rPr>
        <w:t>, Q1 2012 and Q1 2013</w:t>
      </w:r>
    </w:p>
    <w:p w:rsidR="005E32EB" w:rsidRPr="001F29E3" w:rsidRDefault="007B29DA" w:rsidP="00A9260A">
      <w:pPr>
        <w:pStyle w:val="Caption"/>
        <w:rPr>
          <w:rFonts w:cs="Arial"/>
        </w:rPr>
      </w:pPr>
      <w:r w:rsidRPr="007B29DA">
        <w:rPr>
          <w:noProof/>
          <w:lang w:eastAsia="en-AU"/>
        </w:rPr>
        <w:drawing>
          <wp:inline distT="0" distB="0" distL="0" distR="0" wp14:anchorId="5E1CAF91" wp14:editId="0D882E90">
            <wp:extent cx="5760720" cy="80924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809244"/>
                    </a:xfrm>
                    <a:prstGeom prst="rect">
                      <a:avLst/>
                    </a:prstGeom>
                    <a:noFill/>
                    <a:ln>
                      <a:noFill/>
                    </a:ln>
                  </pic:spPr>
                </pic:pic>
              </a:graphicData>
            </a:graphic>
          </wp:inline>
        </w:drawing>
      </w:r>
    </w:p>
    <w:p w:rsidR="007B29DA" w:rsidRDefault="007B29DA" w:rsidP="007B29DA">
      <w:pPr>
        <w:pStyle w:val="Caption"/>
        <w:jc w:val="left"/>
        <w:rPr>
          <w:rFonts w:cs="Arial"/>
        </w:rPr>
      </w:pPr>
    </w:p>
    <w:p w:rsidR="00897F57" w:rsidRDefault="00897F57" w:rsidP="00601D9A">
      <w:pPr>
        <w:pStyle w:val="Heading3"/>
      </w:pPr>
      <w:r w:rsidRPr="001F29E3">
        <w:t>Apprentice</w:t>
      </w:r>
      <w:r>
        <w:t>ship</w:t>
      </w:r>
    </w:p>
    <w:p w:rsidR="00A51ADC" w:rsidRDefault="00A51ADC" w:rsidP="00601D9A">
      <w:pPr>
        <w:pStyle w:val="ListBullet"/>
        <w:numPr>
          <w:ilvl w:val="0"/>
          <w:numId w:val="0"/>
        </w:numPr>
        <w:ind w:right="113"/>
        <w:rPr>
          <w:rFonts w:cs="Arial"/>
        </w:rPr>
      </w:pPr>
      <w:r w:rsidRPr="0006261B">
        <w:rPr>
          <w:rFonts w:cs="Arial"/>
        </w:rPr>
        <w:t>While this is a concern</w:t>
      </w:r>
      <w:r>
        <w:rPr>
          <w:rFonts w:cs="Arial"/>
        </w:rPr>
        <w:t xml:space="preserve"> that enrolments in a</w:t>
      </w:r>
      <w:r w:rsidRPr="001F29E3">
        <w:rPr>
          <w:rFonts w:cs="Arial"/>
        </w:rPr>
        <w:t>pprentic</w:t>
      </w:r>
      <w:r>
        <w:rPr>
          <w:rFonts w:cs="Arial"/>
        </w:rPr>
        <w:t>eship</w:t>
      </w:r>
      <w:r w:rsidRPr="001F29E3">
        <w:rPr>
          <w:rFonts w:cs="Arial"/>
        </w:rPr>
        <w:t xml:space="preserve"> fell by 7 per cent </w:t>
      </w:r>
      <w:r>
        <w:rPr>
          <w:rFonts w:cs="Arial"/>
        </w:rPr>
        <w:t xml:space="preserve">in Q1 2013 </w:t>
      </w:r>
      <w:r w:rsidRPr="001F29E3">
        <w:rPr>
          <w:rFonts w:cs="Arial"/>
        </w:rPr>
        <w:t xml:space="preserve">compared to Q1 2012, </w:t>
      </w:r>
      <w:r w:rsidRPr="006C38AA">
        <w:rPr>
          <w:rFonts w:cs="Arial"/>
        </w:rPr>
        <w:t>apprentice numbers are highly correlated with business conditions</w:t>
      </w:r>
      <w:r>
        <w:rPr>
          <w:rFonts w:cs="Arial"/>
        </w:rPr>
        <w:t xml:space="preserve">.  In Q1 2013, fifty six </w:t>
      </w:r>
      <w:r w:rsidRPr="004B52D7">
        <w:rPr>
          <w:rFonts w:cs="Arial"/>
        </w:rPr>
        <w:t>per cent of all apprentices are employed in the construction sector which has faced a challenging 12 months and this is reflected in the numbers of construction appre</w:t>
      </w:r>
      <w:r w:rsidRPr="001C28DD">
        <w:rPr>
          <w:rFonts w:cs="Arial"/>
        </w:rPr>
        <w:t>ntices which have fallen si</w:t>
      </w:r>
      <w:r w:rsidRPr="00601D9A">
        <w:rPr>
          <w:rFonts w:cs="Arial"/>
        </w:rPr>
        <w:t>gnificantly between the reporting periods.</w:t>
      </w:r>
      <w:r w:rsidR="00601D9A">
        <w:rPr>
          <w:rFonts w:cs="Arial"/>
        </w:rPr>
        <w:t xml:space="preserve"> </w:t>
      </w:r>
      <w:r w:rsidR="00286148">
        <w:rPr>
          <w:rFonts w:cs="Arial"/>
        </w:rPr>
        <w:t xml:space="preserve">This close </w:t>
      </w:r>
      <w:r w:rsidR="00753F00">
        <w:rPr>
          <w:rFonts w:cs="Arial"/>
        </w:rPr>
        <w:t>relationship</w:t>
      </w:r>
      <w:r w:rsidR="00286148">
        <w:rPr>
          <w:rFonts w:cs="Arial"/>
        </w:rPr>
        <w:t xml:space="preserve"> is demonstrated in the chart below which shows recent decline in Apprenticeship commencements</w:t>
      </w:r>
      <w:r w:rsidR="00286148">
        <w:rPr>
          <w:rStyle w:val="FootnoteReference"/>
        </w:rPr>
        <w:footnoteReference w:id="7"/>
      </w:r>
      <w:r w:rsidR="00286148">
        <w:rPr>
          <w:rFonts w:cs="Arial"/>
        </w:rPr>
        <w:t xml:space="preserve"> </w:t>
      </w:r>
      <w:r w:rsidR="00F93BFA">
        <w:rPr>
          <w:rFonts w:cs="Arial"/>
        </w:rPr>
        <w:t>is</w:t>
      </w:r>
      <w:r w:rsidR="00286148">
        <w:rPr>
          <w:rFonts w:cs="Arial"/>
        </w:rPr>
        <w:t xml:space="preserve"> </w:t>
      </w:r>
      <w:r w:rsidR="00F93BFA">
        <w:rPr>
          <w:rFonts w:cs="Arial"/>
        </w:rPr>
        <w:t xml:space="preserve">associated </w:t>
      </w:r>
      <w:proofErr w:type="spellStart"/>
      <w:r w:rsidR="00F93BFA">
        <w:rPr>
          <w:rFonts w:cs="Arial"/>
        </w:rPr>
        <w:t>wth</w:t>
      </w:r>
      <w:proofErr w:type="spellEnd"/>
      <w:r w:rsidR="00286148">
        <w:rPr>
          <w:rFonts w:cs="Arial"/>
        </w:rPr>
        <w:t xml:space="preserve"> a similar trend to that for new dwelling commencements</w:t>
      </w:r>
      <w:r w:rsidR="00286148">
        <w:rPr>
          <w:rStyle w:val="FootnoteReference"/>
        </w:rPr>
        <w:footnoteReference w:id="8"/>
      </w:r>
      <w:r w:rsidR="00286148">
        <w:rPr>
          <w:rFonts w:cs="Arial"/>
        </w:rPr>
        <w:t>.</w:t>
      </w:r>
    </w:p>
    <w:p w:rsidR="00E436C0" w:rsidRDefault="00E436C0" w:rsidP="00E436C0">
      <w:pPr>
        <w:pStyle w:val="Caption"/>
        <w:jc w:val="left"/>
        <w:rPr>
          <w:rFonts w:cs="Arial"/>
        </w:rPr>
      </w:pPr>
      <w:r w:rsidRPr="001F29E3">
        <w:rPr>
          <w:rFonts w:cs="Arial"/>
        </w:rPr>
        <w:t>Figure 1.</w:t>
      </w:r>
      <w:r>
        <w:rPr>
          <w:rFonts w:cs="Arial"/>
        </w:rPr>
        <w:t>10</w:t>
      </w:r>
      <w:r w:rsidRPr="001F29E3">
        <w:rPr>
          <w:rFonts w:cs="Arial"/>
        </w:rPr>
        <w:t>:</w:t>
      </w:r>
      <w:r>
        <w:rPr>
          <w:rFonts w:cs="Arial"/>
        </w:rPr>
        <w:t xml:space="preserve"> Number of apprenticeship commencements and new dwelling units commenced all sec</w:t>
      </w:r>
      <w:r w:rsidR="00601D9A">
        <w:rPr>
          <w:rFonts w:cs="Arial"/>
        </w:rPr>
        <w:t>tors</w:t>
      </w:r>
      <w:r w:rsidR="00601D9A">
        <w:rPr>
          <w:rFonts w:cs="Arial"/>
        </w:rPr>
        <w:br/>
      </w:r>
      <w:r>
        <w:rPr>
          <w:rFonts w:cs="Arial"/>
        </w:rPr>
        <w:t xml:space="preserve">Q1 </w:t>
      </w:r>
      <w:r w:rsidR="00601D9A">
        <w:rPr>
          <w:rFonts w:cs="Arial"/>
        </w:rPr>
        <w:t>2000 to Q1 2013</w:t>
      </w:r>
      <w:r>
        <w:rPr>
          <w:rFonts w:cs="Arial"/>
        </w:rPr>
        <w:t xml:space="preserve"> </w:t>
      </w:r>
    </w:p>
    <w:p w:rsidR="00601D9A" w:rsidRPr="00601D9A" w:rsidRDefault="00601D9A" w:rsidP="00601D9A">
      <w:r>
        <w:rPr>
          <w:noProof/>
          <w:lang w:eastAsia="en-AU"/>
        </w:rPr>
        <w:drawing>
          <wp:inline distT="0" distB="0" distL="0" distR="0" wp14:anchorId="3C6EF878" wp14:editId="083EE93E">
            <wp:extent cx="5650762" cy="31242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734"/>
                    <a:stretch/>
                  </pic:blipFill>
                  <pic:spPr bwMode="auto">
                    <a:xfrm>
                      <a:off x="0" y="0"/>
                      <a:ext cx="5661356" cy="3130057"/>
                    </a:xfrm>
                    <a:prstGeom prst="rect">
                      <a:avLst/>
                    </a:prstGeom>
                    <a:noFill/>
                    <a:ln>
                      <a:noFill/>
                    </a:ln>
                    <a:extLst>
                      <a:ext uri="{53640926-AAD7-44D8-BBD7-CCE9431645EC}">
                        <a14:shadowObscured xmlns:a14="http://schemas.microsoft.com/office/drawing/2010/main"/>
                      </a:ext>
                    </a:extLst>
                  </pic:spPr>
                </pic:pic>
              </a:graphicData>
            </a:graphic>
          </wp:inline>
        </w:drawing>
      </w:r>
    </w:p>
    <w:p w:rsidR="00A51ADC" w:rsidRDefault="00A51ADC" w:rsidP="008E1D1A"/>
    <w:p w:rsidR="00601D9A" w:rsidRDefault="00601D9A" w:rsidP="00601D9A">
      <w:pPr>
        <w:pStyle w:val="Caption"/>
        <w:jc w:val="left"/>
        <w:rPr>
          <w:rFonts w:cs="Arial"/>
        </w:rPr>
      </w:pPr>
      <w:r w:rsidRPr="001F29E3">
        <w:rPr>
          <w:rFonts w:cs="Arial"/>
        </w:rPr>
        <w:lastRenderedPageBreak/>
        <w:t>Table 1.</w:t>
      </w:r>
      <w:r>
        <w:rPr>
          <w:rFonts w:cs="Arial"/>
        </w:rPr>
        <w:t>11</w:t>
      </w:r>
      <w:r w:rsidRPr="001F29E3">
        <w:rPr>
          <w:rFonts w:cs="Arial"/>
        </w:rPr>
        <w:t>: Government subsidised enrolments by apprentices by qualification type, 2008–2012, Q1 2012 and Q1 2013</w:t>
      </w:r>
    </w:p>
    <w:p w:rsidR="00601D9A" w:rsidRDefault="00601D9A" w:rsidP="00601D9A">
      <w:r w:rsidRPr="004B52D7">
        <w:rPr>
          <w:noProof/>
          <w:lang w:eastAsia="en-AU"/>
        </w:rPr>
        <w:drawing>
          <wp:inline distT="0" distB="0" distL="0" distR="0" wp14:anchorId="7086943C" wp14:editId="75F1C225">
            <wp:extent cx="5760720" cy="65303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653037"/>
                    </a:xfrm>
                    <a:prstGeom prst="rect">
                      <a:avLst/>
                    </a:prstGeom>
                    <a:noFill/>
                    <a:ln>
                      <a:noFill/>
                    </a:ln>
                  </pic:spPr>
                </pic:pic>
              </a:graphicData>
            </a:graphic>
          </wp:inline>
        </w:drawing>
      </w:r>
    </w:p>
    <w:p w:rsidR="00601D9A" w:rsidRPr="001F29E3" w:rsidRDefault="00601D9A" w:rsidP="00601D9A">
      <w:pPr>
        <w:rPr>
          <w:rFonts w:cs="Arial"/>
          <w:sz w:val="16"/>
          <w:szCs w:val="16"/>
        </w:rPr>
      </w:pPr>
      <w:r w:rsidRPr="001F29E3">
        <w:rPr>
          <w:rFonts w:cs="Arial"/>
          <w:sz w:val="16"/>
          <w:szCs w:val="16"/>
        </w:rPr>
        <w:t>Note: There were no Certificate I-II apprentices in Q1 2013</w:t>
      </w:r>
    </w:p>
    <w:p w:rsidR="00E436C0" w:rsidRPr="00236DE0" w:rsidRDefault="00E436C0">
      <w:pPr>
        <w:spacing w:after="0" w:line="240" w:lineRule="auto"/>
        <w:jc w:val="left"/>
        <w:rPr>
          <w:rFonts w:cs="Arial"/>
          <w:b/>
          <w:bCs/>
          <w:color w:val="4F81BD" w:themeColor="accent1"/>
          <w:szCs w:val="19"/>
        </w:rPr>
      </w:pPr>
    </w:p>
    <w:p w:rsidR="00A51ADC" w:rsidRDefault="00A51ADC" w:rsidP="00236DE0">
      <w:pPr>
        <w:pStyle w:val="Heading3"/>
      </w:pPr>
      <w:r>
        <w:t>Traineeship</w:t>
      </w:r>
    </w:p>
    <w:p w:rsidR="00030839" w:rsidRDefault="00753F00" w:rsidP="00236DE0">
      <w:pPr>
        <w:rPr>
          <w:color w:val="000000" w:themeColor="text1"/>
        </w:rPr>
      </w:pPr>
      <w:r w:rsidRPr="00236DE0">
        <w:rPr>
          <w:color w:val="000000" w:themeColor="text1"/>
        </w:rPr>
        <w:t>The reductions in enrolments are attributable to a number of factors including government subsidy levels, government incentives</w:t>
      </w:r>
      <w:r>
        <w:rPr>
          <w:rStyle w:val="FootnoteReference"/>
          <w:color w:val="000000" w:themeColor="text1"/>
        </w:rPr>
        <w:footnoteReference w:id="9"/>
      </w:r>
      <w:r w:rsidRPr="00236DE0">
        <w:rPr>
          <w:color w:val="000000" w:themeColor="text1"/>
        </w:rPr>
        <w:t xml:space="preserve"> and </w:t>
      </w:r>
      <w:r w:rsidR="004F531A">
        <w:rPr>
          <w:color w:val="000000" w:themeColor="text1"/>
        </w:rPr>
        <w:t xml:space="preserve">potential </w:t>
      </w:r>
      <w:r w:rsidR="009321B7">
        <w:rPr>
          <w:color w:val="000000" w:themeColor="text1"/>
        </w:rPr>
        <w:t xml:space="preserve">correction due to </w:t>
      </w:r>
      <w:r w:rsidRPr="00236DE0">
        <w:rPr>
          <w:color w:val="000000" w:themeColor="text1"/>
        </w:rPr>
        <w:t>previous enrolment patterns</w:t>
      </w:r>
      <w:r>
        <w:rPr>
          <w:color w:val="000000" w:themeColor="text1"/>
        </w:rPr>
        <w:t xml:space="preserve">. </w:t>
      </w:r>
      <w:r w:rsidR="00520E24">
        <w:rPr>
          <w:color w:val="000000" w:themeColor="text1"/>
        </w:rPr>
        <w:t xml:space="preserve">The decline has been driven by </w:t>
      </w:r>
      <w:r>
        <w:rPr>
          <w:color w:val="000000" w:themeColor="text1"/>
        </w:rPr>
        <w:t xml:space="preserve">significant decline </w:t>
      </w:r>
      <w:r w:rsidR="00E436C0" w:rsidRPr="00236DE0">
        <w:rPr>
          <w:color w:val="000000" w:themeColor="text1"/>
        </w:rPr>
        <w:t>in those qualifications which have attracted lowe</w:t>
      </w:r>
      <w:r>
        <w:rPr>
          <w:color w:val="000000" w:themeColor="text1"/>
        </w:rPr>
        <w:t>r</w:t>
      </w:r>
      <w:r w:rsidR="00E436C0" w:rsidRPr="00236DE0">
        <w:rPr>
          <w:color w:val="000000" w:themeColor="text1"/>
        </w:rPr>
        <w:t xml:space="preserve"> levels of subsidy with the introduction of the reforms from July 2012, for example qualifications in hospitality, retail and competitive manufacturing.</w:t>
      </w:r>
    </w:p>
    <w:p w:rsidR="00A51ADC" w:rsidRPr="004B52D7" w:rsidRDefault="00030839" w:rsidP="00236DE0">
      <w:r w:rsidRPr="004B52D7">
        <w:t xml:space="preserve"> </w:t>
      </w:r>
    </w:p>
    <w:p w:rsidR="0008040B" w:rsidRPr="00E925B6" w:rsidRDefault="0008040B" w:rsidP="00E925B6">
      <w:pPr>
        <w:pStyle w:val="Caption"/>
        <w:jc w:val="left"/>
        <w:rPr>
          <w:rFonts w:cs="Arial"/>
        </w:rPr>
      </w:pPr>
      <w:r w:rsidRPr="00E925B6">
        <w:rPr>
          <w:rFonts w:cs="Arial"/>
        </w:rPr>
        <w:t>Figure 1.11: Selected traineeship course commencements</w:t>
      </w:r>
      <w:r w:rsidR="00F93BFA" w:rsidRPr="00E925B6">
        <w:rPr>
          <w:rFonts w:cs="Arial"/>
        </w:rPr>
        <w:t>, potential correction</w:t>
      </w:r>
      <w:r w:rsidRPr="00E925B6">
        <w:rPr>
          <w:rFonts w:cs="Arial"/>
        </w:rPr>
        <w:t>, Q1 2011 – Q1 2013</w:t>
      </w:r>
    </w:p>
    <w:p w:rsidR="0008040B" w:rsidRPr="001F29E3" w:rsidRDefault="00520E24" w:rsidP="0008040B">
      <w:pPr>
        <w:pStyle w:val="Caption"/>
        <w:jc w:val="left"/>
        <w:rPr>
          <w:rFonts w:cs="Arial"/>
        </w:rPr>
      </w:pPr>
      <w:r>
        <w:rPr>
          <w:rFonts w:cs="Arial"/>
          <w:noProof/>
          <w:lang w:eastAsia="en-AU"/>
        </w:rPr>
        <w:drawing>
          <wp:inline distT="0" distB="0" distL="0" distR="0" wp14:anchorId="56B20B7D" wp14:editId="076F929B">
            <wp:extent cx="5608109" cy="3291840"/>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6932" cy="3297019"/>
                    </a:xfrm>
                    <a:prstGeom prst="rect">
                      <a:avLst/>
                    </a:prstGeom>
                    <a:noFill/>
                  </pic:spPr>
                </pic:pic>
              </a:graphicData>
            </a:graphic>
          </wp:inline>
        </w:drawing>
      </w:r>
    </w:p>
    <w:p w:rsidR="0008040B" w:rsidRDefault="0008040B" w:rsidP="007B29DA"/>
    <w:p w:rsidR="00E925B6" w:rsidRDefault="00E925B6" w:rsidP="00E925B6">
      <w:pPr>
        <w:pStyle w:val="Caption"/>
        <w:jc w:val="left"/>
        <w:rPr>
          <w:rFonts w:cs="Arial"/>
        </w:rPr>
      </w:pPr>
      <w:r w:rsidRPr="001F29E3">
        <w:rPr>
          <w:rFonts w:cs="Arial"/>
        </w:rPr>
        <w:t>Table 1.</w:t>
      </w:r>
      <w:r>
        <w:rPr>
          <w:rFonts w:cs="Arial"/>
        </w:rPr>
        <w:t>12</w:t>
      </w:r>
      <w:r w:rsidRPr="001F29E3">
        <w:rPr>
          <w:rFonts w:cs="Arial"/>
        </w:rPr>
        <w:t>: Government subsidised enrolments by trainees by qualification type, 2008–2012, Q1 2012 and Q1 2013</w:t>
      </w:r>
    </w:p>
    <w:p w:rsidR="00E925B6" w:rsidRPr="004B52D7" w:rsidRDefault="00E925B6" w:rsidP="00236DE0"/>
    <w:p w:rsidR="0008040B" w:rsidRDefault="0001663C" w:rsidP="007B29DA">
      <w:r w:rsidRPr="00DA743D">
        <w:rPr>
          <w:noProof/>
          <w:lang w:eastAsia="en-AU"/>
        </w:rPr>
        <w:drawing>
          <wp:inline distT="0" distB="0" distL="0" distR="0" wp14:anchorId="04B0AE6A" wp14:editId="091FD893">
            <wp:extent cx="5760720" cy="8089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808990"/>
                    </a:xfrm>
                    <a:prstGeom prst="rect">
                      <a:avLst/>
                    </a:prstGeom>
                    <a:noFill/>
                    <a:ln>
                      <a:noFill/>
                    </a:ln>
                  </pic:spPr>
                </pic:pic>
              </a:graphicData>
            </a:graphic>
          </wp:inline>
        </w:drawing>
      </w:r>
    </w:p>
    <w:p w:rsidR="0008040B" w:rsidRDefault="0008040B" w:rsidP="007B29DA"/>
    <w:p w:rsidR="0008040B" w:rsidRDefault="0008040B" w:rsidP="007B29DA"/>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351166" w:rsidRPr="001F29E3" w:rsidTr="004C7064">
        <w:trPr>
          <w:trHeight w:val="495"/>
        </w:trPr>
        <w:tc>
          <w:tcPr>
            <w:tcW w:w="9088" w:type="dxa"/>
          </w:tcPr>
          <w:p w:rsidR="00990342" w:rsidRPr="001F29E3" w:rsidRDefault="00990342" w:rsidP="00A9260A">
            <w:pPr>
              <w:pStyle w:val="Heading3"/>
            </w:pPr>
          </w:p>
          <w:p w:rsidR="00351166" w:rsidRPr="001F29E3" w:rsidRDefault="00351166" w:rsidP="00A9260A">
            <w:pPr>
              <w:pStyle w:val="Heading3"/>
            </w:pPr>
            <w:r w:rsidRPr="001F29E3">
              <w:t>Key Points</w:t>
            </w:r>
          </w:p>
          <w:p w:rsidR="00BE49EA" w:rsidRPr="001F29E3" w:rsidRDefault="007A41D5" w:rsidP="00CF5D1C">
            <w:pPr>
              <w:pStyle w:val="ListBullet"/>
              <w:numPr>
                <w:ilvl w:val="0"/>
                <w:numId w:val="9"/>
              </w:numPr>
              <w:ind w:right="113"/>
              <w:rPr>
                <w:rFonts w:cs="Arial"/>
              </w:rPr>
            </w:pPr>
            <w:r w:rsidRPr="001F29E3">
              <w:rPr>
                <w:rFonts w:cs="Arial"/>
              </w:rPr>
              <w:t xml:space="preserve">Trainees decreased by </w:t>
            </w:r>
            <w:r w:rsidR="007F0A64">
              <w:rPr>
                <w:rFonts w:cs="Arial"/>
              </w:rPr>
              <w:t>2</w:t>
            </w:r>
            <w:r w:rsidRPr="001F29E3">
              <w:rPr>
                <w:rFonts w:cs="Arial"/>
              </w:rPr>
              <w:t xml:space="preserve">3 per cent (around 10,000 enrolments) compared to Q1 2012. </w:t>
            </w:r>
            <w:r w:rsidR="005E32EB" w:rsidRPr="001F29E3">
              <w:rPr>
                <w:rFonts w:cs="Arial"/>
              </w:rPr>
              <w:t>While typically only half of trainee enrolments are recorded in Q1, t</w:t>
            </w:r>
            <w:r w:rsidR="004833EF" w:rsidRPr="001F29E3">
              <w:rPr>
                <w:rFonts w:cs="Arial"/>
              </w:rPr>
              <w:t xml:space="preserve">he marked </w:t>
            </w:r>
            <w:r w:rsidRPr="001F29E3">
              <w:rPr>
                <w:rFonts w:cs="Arial"/>
              </w:rPr>
              <w:t xml:space="preserve">decline </w:t>
            </w:r>
            <w:r w:rsidR="004833EF" w:rsidRPr="001F29E3">
              <w:rPr>
                <w:rFonts w:cs="Arial"/>
              </w:rPr>
              <w:t xml:space="preserve">in </w:t>
            </w:r>
            <w:r w:rsidR="002757F4" w:rsidRPr="001F29E3">
              <w:rPr>
                <w:rFonts w:cs="Arial"/>
              </w:rPr>
              <w:t>t</w:t>
            </w:r>
            <w:r w:rsidR="004833EF" w:rsidRPr="001F29E3">
              <w:rPr>
                <w:rFonts w:cs="Arial"/>
              </w:rPr>
              <w:t xml:space="preserve">rainees </w:t>
            </w:r>
            <w:r w:rsidRPr="001F29E3">
              <w:rPr>
                <w:rFonts w:cs="Arial"/>
              </w:rPr>
              <w:t xml:space="preserve">was largely attributable </w:t>
            </w:r>
            <w:r w:rsidR="004833EF" w:rsidRPr="001F29E3">
              <w:rPr>
                <w:rFonts w:cs="Arial"/>
              </w:rPr>
              <w:t xml:space="preserve">at </w:t>
            </w:r>
            <w:r w:rsidR="002757F4" w:rsidRPr="001F29E3">
              <w:rPr>
                <w:rFonts w:cs="Arial"/>
              </w:rPr>
              <w:t>Certificate III</w:t>
            </w:r>
            <w:r w:rsidR="00D315E3" w:rsidRPr="001F29E3">
              <w:rPr>
                <w:rFonts w:cs="Arial"/>
              </w:rPr>
              <w:t xml:space="preserve"> to IV levels</w:t>
            </w:r>
            <w:r w:rsidR="005E32EB" w:rsidRPr="001F29E3">
              <w:rPr>
                <w:rFonts w:cs="Arial"/>
              </w:rPr>
              <w:t>.</w:t>
            </w:r>
            <w:r w:rsidR="002C240D" w:rsidRPr="001F29E3">
              <w:rPr>
                <w:rFonts w:cs="Arial"/>
              </w:rPr>
              <w:t xml:space="preserve"> </w:t>
            </w:r>
            <w:r w:rsidR="005E32EB" w:rsidRPr="001F29E3">
              <w:rPr>
                <w:rFonts w:cs="Arial"/>
              </w:rPr>
              <w:t xml:space="preserve">Courses such as </w:t>
            </w:r>
            <w:r w:rsidRPr="001F29E3">
              <w:rPr>
                <w:rFonts w:cs="Arial"/>
              </w:rPr>
              <w:t xml:space="preserve">Certificate III in Hospitality, </w:t>
            </w:r>
            <w:r w:rsidR="00CC0C50" w:rsidRPr="001F29E3">
              <w:rPr>
                <w:rFonts w:cs="Arial"/>
              </w:rPr>
              <w:t>Certificate</w:t>
            </w:r>
            <w:r w:rsidR="004833EF" w:rsidRPr="001F29E3">
              <w:rPr>
                <w:rFonts w:cs="Arial"/>
              </w:rPr>
              <w:t xml:space="preserve"> III in </w:t>
            </w:r>
            <w:r w:rsidR="005133F2" w:rsidRPr="001F29E3">
              <w:rPr>
                <w:rFonts w:cs="Arial"/>
              </w:rPr>
              <w:t>Retail</w:t>
            </w:r>
            <w:r w:rsidR="005E32EB" w:rsidRPr="001F29E3">
              <w:rPr>
                <w:rFonts w:cs="Arial"/>
              </w:rPr>
              <w:t xml:space="preserve"> and</w:t>
            </w:r>
            <w:r w:rsidR="00D315E3" w:rsidRPr="001F29E3">
              <w:rPr>
                <w:rFonts w:cs="Arial"/>
              </w:rPr>
              <w:t xml:space="preserve"> Certificate III in Process Manufacturing</w:t>
            </w:r>
            <w:r w:rsidR="005E32EB" w:rsidRPr="001F29E3">
              <w:rPr>
                <w:rFonts w:cs="Arial"/>
              </w:rPr>
              <w:t xml:space="preserve"> have </w:t>
            </w:r>
            <w:r w:rsidR="007F0A64">
              <w:rPr>
                <w:rFonts w:cs="Arial"/>
              </w:rPr>
              <w:t xml:space="preserve">seen </w:t>
            </w:r>
            <w:r w:rsidR="005E32EB" w:rsidRPr="001F29E3">
              <w:rPr>
                <w:rFonts w:cs="Arial"/>
              </w:rPr>
              <w:t>their enrolments decline significantly</w:t>
            </w:r>
            <w:r w:rsidR="00BE49EA" w:rsidRPr="001F29E3">
              <w:rPr>
                <w:rFonts w:cs="Arial"/>
              </w:rPr>
              <w:t xml:space="preserve">. </w:t>
            </w:r>
          </w:p>
          <w:p w:rsidR="00BE49EA" w:rsidRPr="001F29E3" w:rsidRDefault="00CC70C1" w:rsidP="00CF5D1C">
            <w:pPr>
              <w:pStyle w:val="ListBullet"/>
              <w:numPr>
                <w:ilvl w:val="0"/>
                <w:numId w:val="9"/>
              </w:numPr>
              <w:ind w:right="113"/>
              <w:rPr>
                <w:rFonts w:cs="Arial"/>
              </w:rPr>
            </w:pPr>
            <w:r w:rsidRPr="001F29E3">
              <w:rPr>
                <w:rFonts w:cs="Arial"/>
              </w:rPr>
              <w:t>The d</w:t>
            </w:r>
            <w:r w:rsidR="00BE49EA" w:rsidRPr="001F29E3">
              <w:rPr>
                <w:rFonts w:cs="Arial"/>
              </w:rPr>
              <w:t xml:space="preserve">ecline </w:t>
            </w:r>
            <w:r w:rsidR="00963A2A" w:rsidRPr="001F29E3">
              <w:rPr>
                <w:rFonts w:cs="Arial"/>
              </w:rPr>
              <w:t xml:space="preserve">in trainees </w:t>
            </w:r>
            <w:r w:rsidR="00BE49EA" w:rsidRPr="001F29E3">
              <w:rPr>
                <w:rFonts w:cs="Arial"/>
              </w:rPr>
              <w:t>at Certificate I to II levels was largely due to a reduction in traineeships within the Certificate II in Retail. The reduction in Diploma &amp; Above trainee training was within the Diploma of Management.</w:t>
            </w:r>
          </w:p>
          <w:p w:rsidR="00351166" w:rsidRPr="001F29E3" w:rsidRDefault="00CC70C1" w:rsidP="00012FB0">
            <w:pPr>
              <w:pStyle w:val="ListBullet"/>
              <w:numPr>
                <w:ilvl w:val="0"/>
                <w:numId w:val="9"/>
              </w:numPr>
              <w:ind w:right="113"/>
              <w:rPr>
                <w:rFonts w:cs="Arial"/>
              </w:rPr>
            </w:pPr>
            <w:r w:rsidRPr="001F29E3">
              <w:rPr>
                <w:rFonts w:cs="Arial"/>
              </w:rPr>
              <w:t>Th</w:t>
            </w:r>
            <w:r w:rsidR="00BE49EA" w:rsidRPr="001F29E3">
              <w:rPr>
                <w:rFonts w:cs="Arial"/>
              </w:rPr>
              <w:t>ere w</w:t>
            </w:r>
            <w:r w:rsidR="00632717" w:rsidRPr="001F29E3">
              <w:rPr>
                <w:rFonts w:cs="Arial"/>
              </w:rPr>
              <w:t>ere s</w:t>
            </w:r>
            <w:r w:rsidRPr="001F29E3">
              <w:rPr>
                <w:rFonts w:cs="Arial"/>
              </w:rPr>
              <w:t>mall</w:t>
            </w:r>
            <w:r w:rsidR="00632717" w:rsidRPr="001F29E3">
              <w:rPr>
                <w:rFonts w:cs="Arial"/>
              </w:rPr>
              <w:t xml:space="preserve"> increases in traineeships in some industry sector, such as Transport, Po</w:t>
            </w:r>
            <w:r w:rsidR="003427AB">
              <w:rPr>
                <w:rFonts w:cs="Arial"/>
              </w:rPr>
              <w:t>stal and Warehousing (up 430), C</w:t>
            </w:r>
            <w:r w:rsidR="00632717" w:rsidRPr="001F29E3">
              <w:rPr>
                <w:rFonts w:cs="Arial"/>
              </w:rPr>
              <w:t>onstruction (up 130) and Agriculture, Forestry and Fishing (up 120).</w:t>
            </w:r>
            <w:r w:rsidR="00351166" w:rsidRPr="001F29E3">
              <w:rPr>
                <w:rFonts w:cs="Arial"/>
              </w:rPr>
              <w:t xml:space="preserve"> </w:t>
            </w:r>
          </w:p>
          <w:p w:rsidR="00910C9A" w:rsidRPr="001F29E3" w:rsidRDefault="00910C9A" w:rsidP="00910C9A">
            <w:pPr>
              <w:pStyle w:val="ListBullet"/>
              <w:numPr>
                <w:ilvl w:val="0"/>
                <w:numId w:val="0"/>
              </w:numPr>
              <w:ind w:left="473" w:right="113"/>
              <w:rPr>
                <w:rFonts w:cs="Arial"/>
              </w:rPr>
            </w:pPr>
          </w:p>
        </w:tc>
      </w:tr>
    </w:tbl>
    <w:p w:rsidR="00351166" w:rsidRPr="001F29E3" w:rsidRDefault="00351166" w:rsidP="00351166">
      <w:pPr>
        <w:rPr>
          <w:rFonts w:cs="Arial"/>
        </w:rPr>
      </w:pPr>
    </w:p>
    <w:p w:rsidR="00EE6BD1" w:rsidRPr="001F29E3" w:rsidRDefault="00EE6BD1">
      <w:pPr>
        <w:spacing w:after="0" w:line="240" w:lineRule="auto"/>
        <w:jc w:val="left"/>
        <w:rPr>
          <w:rFonts w:cs="Arial"/>
          <w:b/>
          <w:bCs/>
        </w:rPr>
      </w:pPr>
      <w:r w:rsidRPr="001F29E3">
        <w:rPr>
          <w:rFonts w:cs="Arial"/>
          <w:b/>
          <w:bCs/>
        </w:rPr>
        <w:br w:type="page"/>
      </w:r>
    </w:p>
    <w:p w:rsidR="00EE6BD1" w:rsidRPr="001F29E3" w:rsidRDefault="00EE6BD1" w:rsidP="00EE6BD1">
      <w:pPr>
        <w:pStyle w:val="Heading2"/>
      </w:pPr>
      <w:bookmarkStart w:id="71" w:name="_Toc359501561"/>
      <w:r w:rsidRPr="001F29E3">
        <w:lastRenderedPageBreak/>
        <w:t>Government subsidised regional activity</w:t>
      </w:r>
      <w:bookmarkEnd w:id="71"/>
    </w:p>
    <w:p w:rsidR="00EE6BD1" w:rsidRPr="001F29E3" w:rsidRDefault="00EE6BD1" w:rsidP="00EE6BD1">
      <w:pPr>
        <w:jc w:val="left"/>
        <w:rPr>
          <w:rFonts w:cs="Arial"/>
          <w:b/>
          <w:bCs/>
        </w:rPr>
      </w:pPr>
    </w:p>
    <w:p w:rsidR="00DB5345" w:rsidRPr="001F29E3" w:rsidRDefault="00022B50" w:rsidP="00DB5345">
      <w:pPr>
        <w:jc w:val="left"/>
        <w:rPr>
          <w:rFonts w:cs="Arial"/>
        </w:rPr>
      </w:pPr>
      <w:r w:rsidRPr="00022B50">
        <w:rPr>
          <w:rFonts w:cs="Arial"/>
        </w:rPr>
        <w:t>For the purpose of p</w:t>
      </w:r>
      <w:r w:rsidR="00DA7582" w:rsidRPr="00022B50">
        <w:rPr>
          <w:rFonts w:cs="Arial"/>
        </w:rPr>
        <w:t>rovid</w:t>
      </w:r>
      <w:r w:rsidRPr="00022B50">
        <w:rPr>
          <w:rFonts w:cs="Arial"/>
        </w:rPr>
        <w:t>ing</w:t>
      </w:r>
      <w:r w:rsidR="00DA7582" w:rsidRPr="00022B50">
        <w:rPr>
          <w:rFonts w:cs="Arial"/>
        </w:rPr>
        <w:t xml:space="preserve"> an overview of regional training activity, government subsidised enrolment</w:t>
      </w:r>
      <w:r w:rsidR="00DB5345" w:rsidRPr="00022B50">
        <w:rPr>
          <w:rFonts w:cs="Arial"/>
        </w:rPr>
        <w:t xml:space="preserve"> number</w:t>
      </w:r>
      <w:r w:rsidR="00752D53" w:rsidRPr="00022B50">
        <w:rPr>
          <w:rFonts w:cs="Arial"/>
        </w:rPr>
        <w:t>s are presented for</w:t>
      </w:r>
      <w:r w:rsidR="00DA7582" w:rsidRPr="00022B50">
        <w:rPr>
          <w:rFonts w:cs="Arial"/>
        </w:rPr>
        <w:t xml:space="preserve"> the four departmental regions from 2008 to 2012</w:t>
      </w:r>
      <w:r w:rsidR="00467F90" w:rsidRPr="00022B50">
        <w:rPr>
          <w:rFonts w:cs="Arial"/>
        </w:rPr>
        <w:t>,</w:t>
      </w:r>
      <w:r w:rsidR="00DA7582" w:rsidRPr="00022B50">
        <w:rPr>
          <w:rFonts w:cs="Arial"/>
        </w:rPr>
        <w:t xml:space="preserve"> and </w:t>
      </w:r>
      <w:r w:rsidR="00DB5345" w:rsidRPr="00022B50">
        <w:rPr>
          <w:rFonts w:cs="Arial"/>
        </w:rPr>
        <w:t>Q</w:t>
      </w:r>
      <w:r w:rsidR="00DA7582" w:rsidRPr="00022B50">
        <w:rPr>
          <w:rFonts w:cs="Arial"/>
        </w:rPr>
        <w:t xml:space="preserve">uarter </w:t>
      </w:r>
      <w:r w:rsidR="00DB5345" w:rsidRPr="00022B50">
        <w:rPr>
          <w:rFonts w:cs="Arial"/>
        </w:rPr>
        <w:t>O</w:t>
      </w:r>
      <w:r w:rsidR="00DA7582" w:rsidRPr="00022B50">
        <w:rPr>
          <w:rFonts w:cs="Arial"/>
        </w:rPr>
        <w:t>ne data for 2012 and 2013.</w:t>
      </w:r>
      <w:r w:rsidR="002C240D" w:rsidRPr="00022B50">
        <w:rPr>
          <w:rFonts w:cs="Arial"/>
        </w:rPr>
        <w:t xml:space="preserve"> </w:t>
      </w:r>
      <w:r w:rsidR="00DA7582" w:rsidRPr="00022B50">
        <w:rPr>
          <w:rFonts w:cs="Arial"/>
        </w:rPr>
        <w:t xml:space="preserve">For the purpose of this report, </w:t>
      </w:r>
      <w:r w:rsidR="00752D53" w:rsidRPr="00022B50">
        <w:rPr>
          <w:rFonts w:cs="Arial"/>
        </w:rPr>
        <w:t xml:space="preserve">data on </w:t>
      </w:r>
      <w:r w:rsidR="00932A44" w:rsidRPr="00022B50">
        <w:rPr>
          <w:rFonts w:cs="Arial"/>
        </w:rPr>
        <w:t xml:space="preserve">government subsidised enrolments are further disaggregated into nine </w:t>
      </w:r>
      <w:r w:rsidR="00752D53" w:rsidRPr="00022B50">
        <w:rPr>
          <w:rFonts w:cs="Arial"/>
        </w:rPr>
        <w:t xml:space="preserve">smaller geographical </w:t>
      </w:r>
      <w:r w:rsidR="00932A44" w:rsidRPr="00022B50">
        <w:rPr>
          <w:rFonts w:cs="Arial"/>
        </w:rPr>
        <w:t xml:space="preserve">areas </w:t>
      </w:r>
      <w:r w:rsidR="00467F90" w:rsidRPr="00022B50">
        <w:rPr>
          <w:rFonts w:cs="Arial"/>
        </w:rPr>
        <w:t>to provide</w:t>
      </w:r>
      <w:r w:rsidR="00EB6FFA" w:rsidRPr="00022B50">
        <w:rPr>
          <w:rFonts w:cs="Arial"/>
        </w:rPr>
        <w:t xml:space="preserve"> more granular data.</w:t>
      </w:r>
    </w:p>
    <w:p w:rsidR="00932A44" w:rsidRPr="001F29E3" w:rsidRDefault="00DB5345" w:rsidP="00DB5345">
      <w:pPr>
        <w:jc w:val="left"/>
        <w:rPr>
          <w:rFonts w:cs="Arial"/>
        </w:rPr>
      </w:pPr>
      <w:r w:rsidRPr="001F29E3">
        <w:rPr>
          <w:rFonts w:cs="Arial"/>
        </w:rPr>
        <w:t>South-Western departmental region comprises Barwon South</w:t>
      </w:r>
      <w:r w:rsidR="00467F90" w:rsidRPr="001F29E3">
        <w:rPr>
          <w:rFonts w:cs="Arial"/>
        </w:rPr>
        <w:t xml:space="preserve"> </w:t>
      </w:r>
      <w:r w:rsidRPr="001F29E3">
        <w:rPr>
          <w:rFonts w:cs="Arial"/>
        </w:rPr>
        <w:t>West, Grampians and Western Metropolitan regional areas.</w:t>
      </w:r>
      <w:r w:rsidR="002C240D" w:rsidRPr="001F29E3">
        <w:rPr>
          <w:rFonts w:cs="Arial"/>
        </w:rPr>
        <w:t xml:space="preserve"> </w:t>
      </w:r>
      <w:r w:rsidRPr="001F29E3">
        <w:rPr>
          <w:rFonts w:cs="Arial"/>
        </w:rPr>
        <w:t xml:space="preserve">North-Western departmental region comprises Loddon </w:t>
      </w:r>
      <w:proofErr w:type="spellStart"/>
      <w:r w:rsidRPr="001F29E3">
        <w:rPr>
          <w:rFonts w:cs="Arial"/>
        </w:rPr>
        <w:t>Mallee</w:t>
      </w:r>
      <w:proofErr w:type="spellEnd"/>
      <w:r w:rsidRPr="001F29E3">
        <w:rPr>
          <w:rFonts w:cs="Arial"/>
        </w:rPr>
        <w:t xml:space="preserve"> and Northern</w:t>
      </w:r>
      <w:r w:rsidR="00DA7582" w:rsidRPr="001F29E3">
        <w:rPr>
          <w:rFonts w:cs="Arial"/>
        </w:rPr>
        <w:t xml:space="preserve"> </w:t>
      </w:r>
      <w:r w:rsidRPr="001F29E3">
        <w:rPr>
          <w:rFonts w:cs="Arial"/>
        </w:rPr>
        <w:t>Metropolitan regional areas. North-Eastern departmental region comprises Hume and Eastern Metropolitan regional areas. South-Eastern departmental region comprises Gippsland and Southern Metropolitan regional areas.</w:t>
      </w:r>
    </w:p>
    <w:p w:rsidR="00204000" w:rsidRPr="001F29E3" w:rsidRDefault="00932A44" w:rsidP="00932A44">
      <w:pPr>
        <w:rPr>
          <w:rFonts w:cs="Arial"/>
        </w:rPr>
      </w:pPr>
      <w:r w:rsidRPr="001F29E3">
        <w:rPr>
          <w:rFonts w:cs="Arial"/>
        </w:rPr>
        <w:t xml:space="preserve"> </w:t>
      </w:r>
    </w:p>
    <w:p w:rsidR="00204000" w:rsidRPr="001F29E3" w:rsidRDefault="00204000" w:rsidP="00022B50">
      <w:pPr>
        <w:pStyle w:val="Caption"/>
        <w:jc w:val="left"/>
        <w:rPr>
          <w:rFonts w:cs="Arial"/>
        </w:rPr>
      </w:pPr>
      <w:r w:rsidRPr="001F29E3">
        <w:rPr>
          <w:rFonts w:cs="Arial"/>
        </w:rPr>
        <w:t>Table 1.</w:t>
      </w:r>
      <w:r w:rsidR="00022B50">
        <w:rPr>
          <w:rFonts w:cs="Arial"/>
        </w:rPr>
        <w:t>1</w:t>
      </w:r>
      <w:r w:rsidR="00E925B6">
        <w:rPr>
          <w:rFonts w:cs="Arial"/>
        </w:rPr>
        <w:t>3</w:t>
      </w:r>
      <w:r w:rsidRPr="001F29E3">
        <w:rPr>
          <w:rFonts w:cs="Arial"/>
        </w:rPr>
        <w:t>: Government subsidised enrolments by departmental region, 2008–2012, Q1 2012 and Q1 2013</w:t>
      </w:r>
    </w:p>
    <w:p w:rsidR="00EE6BD1" w:rsidRPr="001F29E3" w:rsidRDefault="00E30EDD" w:rsidP="00EE6BD1">
      <w:pPr>
        <w:jc w:val="left"/>
        <w:rPr>
          <w:rFonts w:cs="Arial"/>
          <w:b/>
          <w:bCs/>
        </w:rPr>
      </w:pPr>
      <w:r w:rsidRPr="001F29E3">
        <w:rPr>
          <w:rFonts w:cs="Arial"/>
          <w:noProof/>
          <w:lang w:eastAsia="en-AU"/>
        </w:rPr>
        <w:drawing>
          <wp:inline distT="0" distB="0" distL="0" distR="0" wp14:anchorId="0F5E3C65" wp14:editId="2D3F94FB">
            <wp:extent cx="5760720" cy="1292419"/>
            <wp:effectExtent l="0" t="0" r="0" b="31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1292419"/>
                    </a:xfrm>
                    <a:prstGeom prst="rect">
                      <a:avLst/>
                    </a:prstGeom>
                    <a:noFill/>
                    <a:ln>
                      <a:noFill/>
                    </a:ln>
                  </pic:spPr>
                </pic:pic>
              </a:graphicData>
            </a:graphic>
          </wp:inline>
        </w:drawing>
      </w:r>
    </w:p>
    <w:p w:rsidR="00E30EDD" w:rsidRPr="001F29E3" w:rsidRDefault="00EE6BD1" w:rsidP="00EE6BD1">
      <w:pPr>
        <w:jc w:val="left"/>
        <w:rPr>
          <w:rFonts w:cs="Arial"/>
        </w:rPr>
      </w:pPr>
      <w:r w:rsidRPr="001F29E3">
        <w:rPr>
          <w:rFonts w:cs="Arial"/>
        </w:rPr>
        <w:t xml:space="preserve"> </w:t>
      </w:r>
    </w:p>
    <w:p w:rsidR="00E30EDD" w:rsidRPr="001F29E3" w:rsidRDefault="00E30EDD" w:rsidP="00022B50">
      <w:pPr>
        <w:pStyle w:val="Caption"/>
        <w:jc w:val="left"/>
        <w:rPr>
          <w:rFonts w:cs="Arial"/>
        </w:rPr>
      </w:pPr>
      <w:r w:rsidRPr="001F29E3">
        <w:rPr>
          <w:rFonts w:cs="Arial"/>
        </w:rPr>
        <w:t>Table 1.</w:t>
      </w:r>
      <w:r w:rsidR="00022B50">
        <w:rPr>
          <w:rFonts w:cs="Arial"/>
        </w:rPr>
        <w:t>1</w:t>
      </w:r>
      <w:r w:rsidR="00E925B6">
        <w:rPr>
          <w:rFonts w:cs="Arial"/>
        </w:rPr>
        <w:t>4</w:t>
      </w:r>
      <w:r w:rsidRPr="001F29E3">
        <w:rPr>
          <w:rFonts w:cs="Arial"/>
        </w:rPr>
        <w:t>: Government subsidised enrolments by regional area, 2008–2012, Q1 2012 and Q1 2013</w:t>
      </w:r>
    </w:p>
    <w:p w:rsidR="00E30EDD" w:rsidRPr="001F29E3" w:rsidRDefault="00BF030E" w:rsidP="00EE6BD1">
      <w:pPr>
        <w:jc w:val="left"/>
        <w:rPr>
          <w:rFonts w:cs="Arial"/>
        </w:rPr>
      </w:pPr>
      <w:r w:rsidRPr="001F29E3">
        <w:rPr>
          <w:rFonts w:cs="Arial"/>
          <w:noProof/>
          <w:lang w:eastAsia="en-AU"/>
        </w:rPr>
        <w:drawing>
          <wp:inline distT="0" distB="0" distL="0" distR="0" wp14:anchorId="7B43340D" wp14:editId="5C30D2E1">
            <wp:extent cx="5760720" cy="2198688"/>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2198688"/>
                    </a:xfrm>
                    <a:prstGeom prst="rect">
                      <a:avLst/>
                    </a:prstGeom>
                    <a:noFill/>
                    <a:ln>
                      <a:noFill/>
                    </a:ln>
                  </pic:spPr>
                </pic:pic>
              </a:graphicData>
            </a:graphic>
          </wp:inline>
        </w:drawing>
      </w:r>
    </w:p>
    <w:p w:rsidR="00467F90" w:rsidRPr="001F29E3" w:rsidRDefault="00204000" w:rsidP="00EE6BD1">
      <w:pPr>
        <w:jc w:val="left"/>
        <w:rPr>
          <w:rFonts w:cs="Arial"/>
          <w:b/>
          <w:bCs/>
        </w:rPr>
      </w:pPr>
      <w:r w:rsidRPr="001F29E3">
        <w:rPr>
          <w:rFonts w:cs="Arial"/>
        </w:rPr>
        <w:t xml:space="preserve"> </w:t>
      </w: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467F90" w:rsidRPr="001F29E3" w:rsidTr="00467F90">
        <w:trPr>
          <w:trHeight w:val="495"/>
        </w:trPr>
        <w:tc>
          <w:tcPr>
            <w:tcW w:w="9088" w:type="dxa"/>
          </w:tcPr>
          <w:p w:rsidR="00467F90" w:rsidRPr="001F29E3" w:rsidRDefault="00467F90" w:rsidP="00467F90">
            <w:pPr>
              <w:pStyle w:val="Heading3"/>
            </w:pPr>
          </w:p>
          <w:p w:rsidR="00467F90" w:rsidRPr="001F29E3" w:rsidRDefault="00467F90" w:rsidP="00467F90">
            <w:pPr>
              <w:pStyle w:val="Heading3"/>
            </w:pPr>
            <w:r w:rsidRPr="001F29E3">
              <w:t>Key Points</w:t>
            </w:r>
          </w:p>
          <w:p w:rsidR="00B235C9" w:rsidRPr="001F29E3" w:rsidRDefault="00B235C9" w:rsidP="00CF5D1C">
            <w:pPr>
              <w:pStyle w:val="ListBullet"/>
              <w:numPr>
                <w:ilvl w:val="0"/>
                <w:numId w:val="9"/>
              </w:numPr>
              <w:ind w:right="113"/>
              <w:jc w:val="left"/>
              <w:rPr>
                <w:rFonts w:cs="Arial"/>
              </w:rPr>
            </w:pPr>
            <w:r w:rsidRPr="001F29E3">
              <w:rPr>
                <w:rFonts w:cs="Arial"/>
              </w:rPr>
              <w:t xml:space="preserve">Government subsidised enrolment numbers have declined across four departmental regions in Q1 2013 compared to Q1 2012. This reflects the </w:t>
            </w:r>
            <w:r w:rsidR="00467F90" w:rsidRPr="001F29E3">
              <w:rPr>
                <w:rFonts w:cs="Arial"/>
              </w:rPr>
              <w:t xml:space="preserve">overall </w:t>
            </w:r>
            <w:r w:rsidRPr="001F29E3">
              <w:rPr>
                <w:rFonts w:cs="Arial"/>
              </w:rPr>
              <w:t xml:space="preserve">decline in government subsidised enrolments over the same periods. </w:t>
            </w:r>
          </w:p>
          <w:p w:rsidR="00467F90" w:rsidRPr="001F29E3" w:rsidRDefault="00B235C9" w:rsidP="00CF5D1C">
            <w:pPr>
              <w:pStyle w:val="ListBullet"/>
              <w:numPr>
                <w:ilvl w:val="0"/>
                <w:numId w:val="9"/>
              </w:numPr>
              <w:ind w:right="113"/>
              <w:jc w:val="left"/>
              <w:rPr>
                <w:rFonts w:cs="Arial"/>
              </w:rPr>
            </w:pPr>
            <w:r w:rsidRPr="001F29E3">
              <w:rPr>
                <w:rFonts w:cs="Arial"/>
              </w:rPr>
              <w:t xml:space="preserve">Further disaggregation of regions’ data into nine regional areas, Q1 2013 data show that against the declining trend, Hume, Western Metropolitan and Northern Metropolitan regional areas have experienced increases in government subsidised enrolments (up 42 per cent, 3 per cent and 2 per cent, respectively) compared to Q1 2012. </w:t>
            </w:r>
          </w:p>
          <w:p w:rsidR="00B235C9" w:rsidRPr="001F29E3" w:rsidRDefault="00B235C9" w:rsidP="00CF5D1C">
            <w:pPr>
              <w:pStyle w:val="ListBullet"/>
              <w:numPr>
                <w:ilvl w:val="0"/>
                <w:numId w:val="9"/>
              </w:numPr>
              <w:ind w:right="113"/>
              <w:jc w:val="left"/>
              <w:rPr>
                <w:rFonts w:cs="Arial"/>
              </w:rPr>
            </w:pPr>
            <w:r w:rsidRPr="001F29E3">
              <w:rPr>
                <w:rFonts w:cs="Arial"/>
              </w:rPr>
              <w:t>The growth in government subsidised enrolments in Hume in Q1 2013 has occurred across all Australian Qualification Levels: Certificate I to II (up 59 per cent), Certificate III to IV (up 36 per cent) and Diploma &amp; Above (up 29 per cent) compared to Q1 2012.</w:t>
            </w:r>
            <w:r w:rsidR="00FB1ECF" w:rsidRPr="001F29E3">
              <w:rPr>
                <w:rFonts w:cs="Arial"/>
              </w:rPr>
              <w:t xml:space="preserve"> </w:t>
            </w:r>
            <w:r w:rsidRPr="001F29E3">
              <w:rPr>
                <w:rFonts w:cs="Arial"/>
              </w:rPr>
              <w:t>The large increase in enrolments in Hume regional area was associated with:</w:t>
            </w:r>
          </w:p>
          <w:p w:rsidR="00B235C9" w:rsidRPr="001F29E3" w:rsidRDefault="00B235C9" w:rsidP="000B208D">
            <w:pPr>
              <w:pStyle w:val="ListBullet"/>
              <w:numPr>
                <w:ilvl w:val="1"/>
                <w:numId w:val="14"/>
              </w:numPr>
              <w:ind w:left="811" w:right="113" w:hanging="357"/>
              <w:jc w:val="left"/>
              <w:rPr>
                <w:rFonts w:cs="Arial"/>
              </w:rPr>
            </w:pPr>
            <w:r w:rsidRPr="001F29E3">
              <w:rPr>
                <w:rFonts w:cs="Arial"/>
              </w:rPr>
              <w:t>Increase in course enrolments at Certificate I to II levels that was mainly driven by a significant increase in foundation skills courses (up 225 per cent, from 820 in Q1 2012 to 2,700 in Q1 2013).</w:t>
            </w:r>
            <w:r w:rsidR="002C240D" w:rsidRPr="001F29E3">
              <w:rPr>
                <w:rFonts w:cs="Arial"/>
              </w:rPr>
              <w:t xml:space="preserve"> </w:t>
            </w:r>
          </w:p>
          <w:p w:rsidR="00B235C9" w:rsidRPr="001F29E3" w:rsidRDefault="00B235C9" w:rsidP="000B208D">
            <w:pPr>
              <w:pStyle w:val="ListBullet"/>
              <w:numPr>
                <w:ilvl w:val="1"/>
                <w:numId w:val="14"/>
              </w:numPr>
              <w:ind w:left="811" w:right="113" w:hanging="357"/>
              <w:jc w:val="left"/>
              <w:rPr>
                <w:rFonts w:cs="Arial"/>
              </w:rPr>
            </w:pPr>
            <w:r w:rsidRPr="001F29E3">
              <w:rPr>
                <w:rFonts w:cs="Arial"/>
              </w:rPr>
              <w:t xml:space="preserve">At Certificate III to IV levels, industry sectors with a large increase in enrolments were: </w:t>
            </w:r>
          </w:p>
          <w:p w:rsidR="00B235C9" w:rsidRPr="001F29E3" w:rsidRDefault="00B235C9" w:rsidP="000B208D">
            <w:pPr>
              <w:pStyle w:val="ListBullet"/>
              <w:numPr>
                <w:ilvl w:val="1"/>
                <w:numId w:val="14"/>
              </w:numPr>
              <w:ind w:left="1208" w:right="113" w:hanging="357"/>
              <w:jc w:val="left"/>
              <w:rPr>
                <w:rFonts w:cs="Arial"/>
              </w:rPr>
            </w:pPr>
            <w:r w:rsidRPr="001F29E3">
              <w:rPr>
                <w:rFonts w:cs="Arial"/>
              </w:rPr>
              <w:t xml:space="preserve">Education and Training (from 300 in Q1 2012 to 1,000 in Q1 2013); </w:t>
            </w:r>
          </w:p>
          <w:p w:rsidR="00B235C9" w:rsidRPr="001F29E3" w:rsidRDefault="00B235C9" w:rsidP="000B208D">
            <w:pPr>
              <w:pStyle w:val="ListBullet"/>
              <w:numPr>
                <w:ilvl w:val="1"/>
                <w:numId w:val="14"/>
              </w:numPr>
              <w:ind w:left="1208" w:right="113" w:hanging="357"/>
              <w:jc w:val="left"/>
              <w:rPr>
                <w:rFonts w:cs="Arial"/>
              </w:rPr>
            </w:pPr>
            <w:r w:rsidRPr="001F29E3">
              <w:rPr>
                <w:rFonts w:cs="Arial"/>
              </w:rPr>
              <w:t xml:space="preserve">Arts and Recreation Services (from 310 in Q1 2012 to 900 in Q1 2013); and </w:t>
            </w:r>
          </w:p>
          <w:p w:rsidR="00B235C9" w:rsidRPr="001F29E3" w:rsidRDefault="00B235C9" w:rsidP="000B208D">
            <w:pPr>
              <w:pStyle w:val="ListBullet"/>
              <w:numPr>
                <w:ilvl w:val="1"/>
                <w:numId w:val="14"/>
              </w:numPr>
              <w:ind w:left="1208" w:right="113" w:hanging="357"/>
              <w:jc w:val="left"/>
              <w:rPr>
                <w:rFonts w:cs="Arial"/>
              </w:rPr>
            </w:pPr>
            <w:r w:rsidRPr="001F29E3">
              <w:rPr>
                <w:rFonts w:cs="Arial"/>
              </w:rPr>
              <w:t xml:space="preserve">Construction (from 740 in Q1 2012 to 1200 in Q1 2013). </w:t>
            </w:r>
          </w:p>
          <w:p w:rsidR="00B235C9" w:rsidRPr="001F29E3" w:rsidRDefault="00B235C9" w:rsidP="00FB1ECF">
            <w:pPr>
              <w:pStyle w:val="ListBullet"/>
              <w:numPr>
                <w:ilvl w:val="0"/>
                <w:numId w:val="0"/>
              </w:numPr>
              <w:ind w:left="709" w:right="113"/>
              <w:jc w:val="left"/>
              <w:rPr>
                <w:rFonts w:cs="Arial"/>
              </w:rPr>
            </w:pPr>
            <w:r w:rsidRPr="001F29E3">
              <w:rPr>
                <w:rFonts w:cs="Arial"/>
              </w:rPr>
              <w:t>Within this qualification group, enrolment numbers in foundation skills courses have also increased from 130 in Q1 2012 to 300 in Q1 2013.</w:t>
            </w:r>
          </w:p>
          <w:p w:rsidR="00B235C9" w:rsidRPr="001F29E3" w:rsidRDefault="00B235C9" w:rsidP="000B208D">
            <w:pPr>
              <w:pStyle w:val="ListBullet"/>
              <w:numPr>
                <w:ilvl w:val="1"/>
                <w:numId w:val="14"/>
              </w:numPr>
              <w:ind w:left="811" w:right="113" w:hanging="357"/>
              <w:jc w:val="left"/>
              <w:rPr>
                <w:rFonts w:cs="Arial"/>
              </w:rPr>
            </w:pPr>
            <w:r w:rsidRPr="001F29E3">
              <w:rPr>
                <w:rFonts w:cs="Arial"/>
              </w:rPr>
              <w:t>For Diploma &amp; Above qualifications, the biggest increase in course enrolments was in Health Care and Social Assistance sector.</w:t>
            </w:r>
          </w:p>
          <w:p w:rsidR="00910C9A" w:rsidRPr="001F29E3" w:rsidRDefault="00910C9A" w:rsidP="00910C9A">
            <w:pPr>
              <w:pStyle w:val="ListBullet"/>
              <w:numPr>
                <w:ilvl w:val="0"/>
                <w:numId w:val="0"/>
              </w:numPr>
              <w:ind w:left="811" w:right="113"/>
              <w:jc w:val="left"/>
              <w:rPr>
                <w:rFonts w:cs="Arial"/>
              </w:rPr>
            </w:pPr>
          </w:p>
        </w:tc>
      </w:tr>
    </w:tbl>
    <w:p w:rsidR="002D4C03" w:rsidRPr="001F29E3" w:rsidRDefault="002D4C03" w:rsidP="00EE6BD1">
      <w:pPr>
        <w:jc w:val="left"/>
        <w:rPr>
          <w:rFonts w:cs="Arial"/>
        </w:rPr>
      </w:pPr>
      <w:r w:rsidRPr="001F29E3">
        <w:rPr>
          <w:rFonts w:cs="Arial"/>
          <w:b/>
          <w:bCs/>
        </w:rPr>
        <w:br w:type="page"/>
      </w:r>
    </w:p>
    <w:p w:rsidR="00351166" w:rsidRPr="001F29E3" w:rsidRDefault="00F31E54" w:rsidP="00A9260A">
      <w:pPr>
        <w:pStyle w:val="Heading2"/>
      </w:pPr>
      <w:bookmarkStart w:id="72" w:name="_Toc359501562"/>
      <w:r w:rsidRPr="001F29E3">
        <w:lastRenderedPageBreak/>
        <w:t xml:space="preserve">Government Subsidised </w:t>
      </w:r>
      <w:r w:rsidR="00A50357" w:rsidRPr="001F29E3">
        <w:t>D</w:t>
      </w:r>
      <w:r w:rsidR="00351166" w:rsidRPr="001F29E3">
        <w:t xml:space="preserve">elivery by </w:t>
      </w:r>
      <w:r w:rsidR="00A50357" w:rsidRPr="001F29E3">
        <w:t>P</w:t>
      </w:r>
      <w:r w:rsidR="00351166" w:rsidRPr="001F29E3">
        <w:t xml:space="preserve">rovider </w:t>
      </w:r>
      <w:r w:rsidR="00A50357" w:rsidRPr="001F29E3">
        <w:t>T</w:t>
      </w:r>
      <w:r w:rsidR="00351166" w:rsidRPr="001F29E3">
        <w:t>ype</w:t>
      </w:r>
      <w:bookmarkEnd w:id="72"/>
    </w:p>
    <w:p w:rsidR="00927329" w:rsidRPr="001F29E3" w:rsidRDefault="00927329" w:rsidP="00927329">
      <w:pPr>
        <w:spacing w:after="0"/>
        <w:rPr>
          <w:rFonts w:cs="Arial"/>
        </w:rPr>
      </w:pPr>
    </w:p>
    <w:p w:rsidR="00927329" w:rsidRPr="001F29E3" w:rsidRDefault="00927329" w:rsidP="001A618D">
      <w:pPr>
        <w:pStyle w:val="Caption"/>
        <w:jc w:val="left"/>
        <w:rPr>
          <w:rFonts w:cs="Arial"/>
        </w:rPr>
      </w:pPr>
      <w:r w:rsidRPr="001F29E3">
        <w:rPr>
          <w:rFonts w:cs="Arial"/>
        </w:rPr>
        <w:t>Table 1</w:t>
      </w:r>
      <w:r w:rsidR="001A618D">
        <w:rPr>
          <w:rFonts w:cs="Arial"/>
        </w:rPr>
        <w:t>.1</w:t>
      </w:r>
      <w:r w:rsidR="00E925B6">
        <w:rPr>
          <w:rFonts w:cs="Arial"/>
        </w:rPr>
        <w:t>5</w:t>
      </w:r>
      <w:r w:rsidR="00C53935" w:rsidRPr="001F29E3">
        <w:rPr>
          <w:rFonts w:cs="Arial"/>
        </w:rPr>
        <w:t xml:space="preserve">: Government subsidised enrolments by </w:t>
      </w:r>
      <w:r w:rsidRPr="001F29E3">
        <w:rPr>
          <w:rFonts w:cs="Arial"/>
        </w:rPr>
        <w:t>provider type, 2008–2012</w:t>
      </w:r>
      <w:r w:rsidR="00325C60" w:rsidRPr="001F29E3">
        <w:rPr>
          <w:rFonts w:cs="Arial"/>
        </w:rPr>
        <w:t>, Q1 2012 and Q1 2013</w:t>
      </w:r>
    </w:p>
    <w:p w:rsidR="00927329" w:rsidRPr="001F29E3" w:rsidRDefault="00C53935" w:rsidP="00927329">
      <w:pPr>
        <w:rPr>
          <w:rFonts w:cs="Arial"/>
        </w:rPr>
      </w:pPr>
      <w:r w:rsidRPr="001F29E3">
        <w:rPr>
          <w:rFonts w:cs="Arial"/>
          <w:noProof/>
          <w:lang w:eastAsia="en-AU"/>
        </w:rPr>
        <w:drawing>
          <wp:inline distT="0" distB="0" distL="0" distR="0" wp14:anchorId="5816DAD4" wp14:editId="7FD5CFBA">
            <wp:extent cx="5760720" cy="9167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916774"/>
                    </a:xfrm>
                    <a:prstGeom prst="rect">
                      <a:avLst/>
                    </a:prstGeom>
                    <a:noFill/>
                    <a:ln>
                      <a:noFill/>
                    </a:ln>
                  </pic:spPr>
                </pic:pic>
              </a:graphicData>
            </a:graphic>
          </wp:inline>
        </w:drawing>
      </w:r>
    </w:p>
    <w:p w:rsidR="00325C60" w:rsidRPr="001F29E3" w:rsidRDefault="00325C60" w:rsidP="00927329">
      <w:pPr>
        <w:rPr>
          <w:rFonts w:cs="Arial"/>
        </w:rPr>
      </w:pPr>
    </w:p>
    <w:p w:rsidR="00F31E54" w:rsidRPr="001F29E3" w:rsidRDefault="00F31E54" w:rsidP="001A618D">
      <w:pPr>
        <w:pStyle w:val="Caption"/>
        <w:jc w:val="left"/>
        <w:rPr>
          <w:rFonts w:cs="Arial"/>
        </w:rPr>
      </w:pPr>
      <w:r w:rsidRPr="001F29E3">
        <w:rPr>
          <w:rFonts w:cs="Arial"/>
        </w:rPr>
        <w:t>Figure 1.</w:t>
      </w:r>
      <w:r w:rsidR="001A618D">
        <w:rPr>
          <w:rFonts w:cs="Arial"/>
        </w:rPr>
        <w:t>1</w:t>
      </w:r>
      <w:r w:rsidR="00E925B6">
        <w:rPr>
          <w:rFonts w:cs="Arial"/>
        </w:rPr>
        <w:t>2</w:t>
      </w:r>
      <w:r w:rsidRPr="001F29E3">
        <w:rPr>
          <w:rFonts w:cs="Arial"/>
        </w:rPr>
        <w:t>: Government subsidised enrolments by provider type, Q1 2012 and Q1 2013</w:t>
      </w:r>
    </w:p>
    <w:p w:rsidR="00C53935" w:rsidRPr="001F29E3" w:rsidRDefault="0087506D" w:rsidP="001A618D">
      <w:pPr>
        <w:jc w:val="center"/>
        <w:rPr>
          <w:rFonts w:cs="Arial"/>
        </w:rPr>
      </w:pPr>
      <w:r w:rsidRPr="0087506D">
        <w:rPr>
          <w:noProof/>
          <w:lang w:eastAsia="en-AU"/>
        </w:rPr>
        <w:drawing>
          <wp:inline distT="0" distB="0" distL="0" distR="0" wp14:anchorId="488F152C" wp14:editId="342C038A">
            <wp:extent cx="5229225" cy="2733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29225" cy="2733675"/>
                    </a:xfrm>
                    <a:prstGeom prst="rect">
                      <a:avLst/>
                    </a:prstGeom>
                    <a:noFill/>
                    <a:ln>
                      <a:noFill/>
                    </a:ln>
                  </pic:spPr>
                </pic:pic>
              </a:graphicData>
            </a:graphic>
          </wp:inline>
        </w:drawing>
      </w:r>
    </w:p>
    <w:p w:rsidR="00F31E54" w:rsidRPr="001F29E3" w:rsidRDefault="00F31E54" w:rsidP="00927329">
      <w:pPr>
        <w:rPr>
          <w:rFonts w:cs="Arial"/>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927329" w:rsidRPr="001F29E3" w:rsidTr="00DE2DDE">
        <w:trPr>
          <w:trHeight w:val="518"/>
        </w:trPr>
        <w:tc>
          <w:tcPr>
            <w:tcW w:w="9088" w:type="dxa"/>
          </w:tcPr>
          <w:p w:rsidR="00927329" w:rsidRPr="001F29E3" w:rsidRDefault="00927329" w:rsidP="00DE2DDE">
            <w:pPr>
              <w:rPr>
                <w:rFonts w:cs="Arial"/>
              </w:rPr>
            </w:pPr>
          </w:p>
          <w:p w:rsidR="00927329" w:rsidRPr="001F29E3" w:rsidRDefault="00927329" w:rsidP="00A9260A">
            <w:pPr>
              <w:pStyle w:val="Heading3"/>
            </w:pPr>
            <w:r w:rsidRPr="001F29E3">
              <w:t>Key Points</w:t>
            </w:r>
          </w:p>
          <w:p w:rsidR="00927329" w:rsidRPr="001F29E3" w:rsidRDefault="00FB1ECF" w:rsidP="00DB5345">
            <w:pPr>
              <w:pStyle w:val="ListBullet"/>
              <w:numPr>
                <w:ilvl w:val="0"/>
                <w:numId w:val="8"/>
              </w:numPr>
              <w:ind w:right="113"/>
              <w:jc w:val="left"/>
              <w:rPr>
                <w:rFonts w:cs="Arial"/>
              </w:rPr>
            </w:pPr>
            <w:r w:rsidRPr="001F29E3">
              <w:rPr>
                <w:rFonts w:cs="Arial"/>
              </w:rPr>
              <w:t>The d</w:t>
            </w:r>
            <w:r w:rsidR="00F31E54" w:rsidRPr="001F29E3">
              <w:rPr>
                <w:rFonts w:cs="Arial"/>
              </w:rPr>
              <w:t>ecline in government subsidised e</w:t>
            </w:r>
            <w:r w:rsidR="00927329" w:rsidRPr="001F29E3">
              <w:rPr>
                <w:rFonts w:cs="Arial"/>
              </w:rPr>
              <w:t xml:space="preserve">nrolments </w:t>
            </w:r>
            <w:r w:rsidR="00F31E54" w:rsidRPr="001F29E3">
              <w:rPr>
                <w:rFonts w:cs="Arial"/>
              </w:rPr>
              <w:t xml:space="preserve">occurred </w:t>
            </w:r>
            <w:r w:rsidR="00927329" w:rsidRPr="001F29E3">
              <w:rPr>
                <w:rFonts w:cs="Arial"/>
              </w:rPr>
              <w:t xml:space="preserve">across all provider groups </w:t>
            </w:r>
            <w:r w:rsidR="00F31E54" w:rsidRPr="001F29E3">
              <w:rPr>
                <w:rFonts w:cs="Arial"/>
              </w:rPr>
              <w:t>in Q1 2013 compared to Q1 2012</w:t>
            </w:r>
            <w:r w:rsidR="00927329" w:rsidRPr="001F29E3">
              <w:rPr>
                <w:rFonts w:cs="Arial"/>
              </w:rPr>
              <w:t xml:space="preserve">. </w:t>
            </w:r>
            <w:r w:rsidR="00F31E54" w:rsidRPr="001F29E3">
              <w:rPr>
                <w:rFonts w:cs="Arial"/>
              </w:rPr>
              <w:t xml:space="preserve">ACE providers and TAFEs fell </w:t>
            </w:r>
            <w:r w:rsidR="00D8550F" w:rsidRPr="001F29E3">
              <w:rPr>
                <w:rFonts w:cs="Arial"/>
              </w:rPr>
              <w:t>by 11 per cent and 10 per cent, respectively.</w:t>
            </w:r>
            <w:r w:rsidR="002C240D" w:rsidRPr="001F29E3">
              <w:rPr>
                <w:rFonts w:cs="Arial"/>
              </w:rPr>
              <w:t xml:space="preserve"> </w:t>
            </w:r>
            <w:r w:rsidR="00927329" w:rsidRPr="001F29E3">
              <w:rPr>
                <w:rFonts w:cs="Arial"/>
              </w:rPr>
              <w:t xml:space="preserve">Private RTOs </w:t>
            </w:r>
            <w:r w:rsidR="00D8550F" w:rsidRPr="001F29E3">
              <w:rPr>
                <w:rFonts w:cs="Arial"/>
              </w:rPr>
              <w:t>declined slightly by 3 per cent.</w:t>
            </w:r>
          </w:p>
          <w:p w:rsidR="00D8550F" w:rsidRPr="001F29E3" w:rsidRDefault="00D8550F" w:rsidP="00DB5345">
            <w:pPr>
              <w:pStyle w:val="ListBullet"/>
              <w:numPr>
                <w:ilvl w:val="0"/>
                <w:numId w:val="8"/>
              </w:numPr>
              <w:ind w:right="113"/>
              <w:jc w:val="left"/>
              <w:rPr>
                <w:rFonts w:cs="Arial"/>
              </w:rPr>
            </w:pPr>
            <w:r w:rsidRPr="001F29E3">
              <w:rPr>
                <w:rFonts w:cs="Arial"/>
              </w:rPr>
              <w:t xml:space="preserve">Of all government subsidised enrolments, the proportional share of private RTOs has increased by </w:t>
            </w:r>
            <w:r w:rsidR="00DB5345" w:rsidRPr="001F29E3">
              <w:rPr>
                <w:rFonts w:cs="Arial"/>
              </w:rPr>
              <w:br/>
            </w:r>
            <w:r w:rsidRPr="001F29E3">
              <w:rPr>
                <w:rFonts w:cs="Arial"/>
              </w:rPr>
              <w:t xml:space="preserve">2 percentage points to 47 per cent in Q1 2013 compared to Q1 2012, while there has been a </w:t>
            </w:r>
            <w:r w:rsidR="00DB5345" w:rsidRPr="001F29E3">
              <w:rPr>
                <w:rFonts w:cs="Arial"/>
              </w:rPr>
              <w:t>one</w:t>
            </w:r>
            <w:r w:rsidRPr="001F29E3">
              <w:rPr>
                <w:rFonts w:cs="Arial"/>
              </w:rPr>
              <w:t xml:space="preserve"> percentage point of decline in the shares from each of ACE and TAFEs groups. </w:t>
            </w:r>
          </w:p>
          <w:p w:rsidR="00910C9A" w:rsidRPr="001F29E3" w:rsidRDefault="00910C9A" w:rsidP="00910C9A">
            <w:pPr>
              <w:pStyle w:val="ListBullet"/>
              <w:numPr>
                <w:ilvl w:val="0"/>
                <w:numId w:val="0"/>
              </w:numPr>
              <w:ind w:left="473" w:right="113"/>
              <w:jc w:val="left"/>
              <w:rPr>
                <w:rFonts w:cs="Arial"/>
              </w:rPr>
            </w:pPr>
          </w:p>
        </w:tc>
      </w:tr>
    </w:tbl>
    <w:p w:rsidR="00F70B21" w:rsidRPr="001F29E3" w:rsidRDefault="00351166" w:rsidP="00F70B21">
      <w:pPr>
        <w:pStyle w:val="Caption"/>
        <w:rPr>
          <w:rFonts w:cs="Arial"/>
        </w:rPr>
      </w:pPr>
      <w:r w:rsidRPr="001F29E3">
        <w:rPr>
          <w:rFonts w:cs="Arial"/>
        </w:rPr>
        <w:br w:type="page"/>
      </w:r>
      <w:bookmarkStart w:id="73" w:name="_Toc329936444"/>
    </w:p>
    <w:p w:rsidR="00351166" w:rsidRPr="001F29E3" w:rsidRDefault="00351166" w:rsidP="00A9260A">
      <w:pPr>
        <w:pStyle w:val="Heading2"/>
      </w:pPr>
      <w:bookmarkStart w:id="74" w:name="_Toc359501563"/>
      <w:r w:rsidRPr="001F29E3">
        <w:lastRenderedPageBreak/>
        <w:t>Adult, Community and Further Education (ACFE) Performance</w:t>
      </w:r>
      <w:bookmarkEnd w:id="74"/>
      <w:r w:rsidRPr="001F29E3">
        <w:t xml:space="preserve"> </w:t>
      </w:r>
    </w:p>
    <w:p w:rsidR="00351166" w:rsidRPr="001F29E3" w:rsidRDefault="00351166" w:rsidP="00351166">
      <w:pPr>
        <w:rPr>
          <w:rFonts w:cs="Arial"/>
        </w:rPr>
      </w:pPr>
    </w:p>
    <w:p w:rsidR="00FA7172" w:rsidRPr="001F29E3" w:rsidRDefault="00FA7172" w:rsidP="001A618D">
      <w:pPr>
        <w:pStyle w:val="Caption"/>
        <w:jc w:val="left"/>
        <w:rPr>
          <w:rFonts w:cs="Arial"/>
        </w:rPr>
      </w:pPr>
      <w:r w:rsidRPr="001F29E3">
        <w:rPr>
          <w:rFonts w:cs="Arial"/>
        </w:rPr>
        <w:t>Figure 1.</w:t>
      </w:r>
      <w:r w:rsidR="001A618D">
        <w:rPr>
          <w:rFonts w:cs="Arial"/>
        </w:rPr>
        <w:t>1</w:t>
      </w:r>
      <w:r w:rsidR="00E925B6">
        <w:rPr>
          <w:rFonts w:cs="Arial"/>
        </w:rPr>
        <w:t>3</w:t>
      </w:r>
      <w:r w:rsidRPr="001F29E3">
        <w:rPr>
          <w:rFonts w:cs="Arial"/>
        </w:rPr>
        <w:t>: Government subsidised ACFE enrolments, accredited and pre-accredited</w:t>
      </w:r>
      <w:r w:rsidR="00AA38F4" w:rsidRPr="001F29E3">
        <w:rPr>
          <w:rFonts w:cs="Arial"/>
        </w:rPr>
        <w:t>, 2008-2012, Q1 2012 and Q1 2013</w:t>
      </w:r>
    </w:p>
    <w:p w:rsidR="00FA7172" w:rsidRPr="001F29E3" w:rsidRDefault="001A618D" w:rsidP="0046280E">
      <w:pPr>
        <w:jc w:val="center"/>
        <w:rPr>
          <w:rFonts w:cs="Arial"/>
        </w:rPr>
      </w:pPr>
      <w:r w:rsidRPr="001A618D">
        <w:rPr>
          <w:noProof/>
          <w:lang w:eastAsia="en-AU"/>
        </w:rPr>
        <w:drawing>
          <wp:inline distT="0" distB="0" distL="0" distR="0" wp14:anchorId="179094B6" wp14:editId="20A5B9D9">
            <wp:extent cx="5760720" cy="2799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2799350"/>
                    </a:xfrm>
                    <a:prstGeom prst="rect">
                      <a:avLst/>
                    </a:prstGeom>
                    <a:noFill/>
                    <a:ln>
                      <a:noFill/>
                    </a:ln>
                  </pic:spPr>
                </pic:pic>
              </a:graphicData>
            </a:graphic>
          </wp:inline>
        </w:drawing>
      </w:r>
    </w:p>
    <w:p w:rsidR="00AA38F4" w:rsidRPr="001F29E3" w:rsidRDefault="00AA38F4" w:rsidP="00AA38F4">
      <w:pPr>
        <w:pStyle w:val="Caption"/>
        <w:rPr>
          <w:rFonts w:cs="Arial"/>
        </w:rPr>
      </w:pPr>
    </w:p>
    <w:p w:rsidR="00AA38F4" w:rsidRPr="001F29E3" w:rsidRDefault="00AA38F4" w:rsidP="001A618D">
      <w:pPr>
        <w:pStyle w:val="Caption"/>
        <w:spacing w:after="0"/>
        <w:jc w:val="left"/>
        <w:rPr>
          <w:rFonts w:cs="Arial"/>
        </w:rPr>
      </w:pPr>
      <w:r w:rsidRPr="001F29E3">
        <w:rPr>
          <w:rFonts w:cs="Arial"/>
        </w:rPr>
        <w:t>Figure 1.</w:t>
      </w:r>
      <w:r w:rsidR="001A618D">
        <w:rPr>
          <w:rFonts w:cs="Arial"/>
        </w:rPr>
        <w:t>1</w:t>
      </w:r>
      <w:r w:rsidR="00E925B6">
        <w:rPr>
          <w:rFonts w:cs="Arial"/>
        </w:rPr>
        <w:t>4</w:t>
      </w:r>
      <w:r w:rsidRPr="001F29E3">
        <w:rPr>
          <w:rFonts w:cs="Arial"/>
        </w:rPr>
        <w:t>: Government subsidised ACFE student contact hours (millions), accredited and pre-accredited, 2008-2012, Q1 2012 and Q1 2013</w:t>
      </w:r>
    </w:p>
    <w:p w:rsidR="00AA38F4" w:rsidRPr="001F29E3" w:rsidRDefault="001A618D" w:rsidP="0046280E">
      <w:pPr>
        <w:jc w:val="center"/>
        <w:rPr>
          <w:rFonts w:cs="Arial"/>
        </w:rPr>
      </w:pPr>
      <w:r w:rsidRPr="001A618D">
        <w:rPr>
          <w:noProof/>
          <w:lang w:eastAsia="en-AU"/>
        </w:rPr>
        <w:drawing>
          <wp:inline distT="0" distB="0" distL="0" distR="0" wp14:anchorId="10D7885C" wp14:editId="3796F2AF">
            <wp:extent cx="5760720" cy="306038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3060383"/>
                    </a:xfrm>
                    <a:prstGeom prst="rect">
                      <a:avLst/>
                    </a:prstGeom>
                    <a:noFill/>
                    <a:ln>
                      <a:noFill/>
                    </a:ln>
                  </pic:spPr>
                </pic:pic>
              </a:graphicData>
            </a:graphic>
          </wp:inline>
        </w:drawing>
      </w:r>
    </w:p>
    <w:p w:rsidR="00AA38F4" w:rsidRPr="001F29E3" w:rsidRDefault="00AA38F4" w:rsidP="00351166">
      <w:pPr>
        <w:rPr>
          <w:rFonts w:cs="Arial"/>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879"/>
        <w:gridCol w:w="1839"/>
        <w:gridCol w:w="880"/>
        <w:gridCol w:w="1879"/>
        <w:gridCol w:w="880"/>
        <w:gridCol w:w="2715"/>
        <w:gridCol w:w="16"/>
      </w:tblGrid>
      <w:tr w:rsidR="00351166" w:rsidRPr="001F29E3" w:rsidTr="0046280E">
        <w:trPr>
          <w:trHeight w:val="1467"/>
        </w:trPr>
        <w:tc>
          <w:tcPr>
            <w:tcW w:w="9088" w:type="dxa"/>
            <w:gridSpan w:val="7"/>
          </w:tcPr>
          <w:p w:rsidR="00351166" w:rsidRPr="001F29E3" w:rsidRDefault="00351166" w:rsidP="004C7064">
            <w:pPr>
              <w:rPr>
                <w:rFonts w:cs="Arial"/>
              </w:rPr>
            </w:pPr>
          </w:p>
          <w:p w:rsidR="00351166" w:rsidRPr="001F29E3" w:rsidRDefault="00351166" w:rsidP="00A9260A">
            <w:pPr>
              <w:pStyle w:val="Heading3"/>
            </w:pPr>
            <w:r w:rsidRPr="001F29E3">
              <w:t>Key Points</w:t>
            </w:r>
          </w:p>
          <w:p w:rsidR="00AA38F4" w:rsidRPr="001F29E3" w:rsidRDefault="00AA38F4" w:rsidP="00AA38F4">
            <w:pPr>
              <w:pStyle w:val="ListBullet"/>
              <w:numPr>
                <w:ilvl w:val="0"/>
                <w:numId w:val="10"/>
              </w:numPr>
              <w:ind w:right="113"/>
              <w:rPr>
                <w:rFonts w:cs="Arial"/>
              </w:rPr>
            </w:pPr>
            <w:r w:rsidRPr="001F29E3">
              <w:rPr>
                <w:rFonts w:cs="Arial"/>
              </w:rPr>
              <w:t xml:space="preserve">Accredited enrolments fell by 11 per cent to 16,600 </w:t>
            </w:r>
            <w:r w:rsidR="00F32027" w:rsidRPr="001F29E3">
              <w:rPr>
                <w:rFonts w:cs="Arial"/>
              </w:rPr>
              <w:t xml:space="preserve">in Q1 2013 </w:t>
            </w:r>
            <w:r w:rsidRPr="001F29E3">
              <w:rPr>
                <w:rFonts w:cs="Arial"/>
              </w:rPr>
              <w:t xml:space="preserve">compared to Q1 2012 with a minimal </w:t>
            </w:r>
            <w:r w:rsidR="00F32027" w:rsidRPr="001F29E3">
              <w:rPr>
                <w:rFonts w:cs="Arial"/>
              </w:rPr>
              <w:t xml:space="preserve">change in </w:t>
            </w:r>
            <w:r w:rsidRPr="001F29E3">
              <w:rPr>
                <w:rFonts w:cs="Arial"/>
              </w:rPr>
              <w:t>reported student contact hours. The major contraction in enrolments by industry sector were Accommodation and Food Services, down by 2,200 enrolments or 89 per cent, Retail and Trade down by 430 enrolments or 61 per cent. There was an increase of 1,600 enrolments or 23 per cent for Foundation Skills and LOTE courses.</w:t>
            </w:r>
          </w:p>
          <w:p w:rsidR="00351166" w:rsidRPr="001F29E3" w:rsidRDefault="00AA38F4" w:rsidP="00AA38F4">
            <w:pPr>
              <w:pStyle w:val="ListBullet"/>
              <w:numPr>
                <w:ilvl w:val="0"/>
                <w:numId w:val="10"/>
              </w:numPr>
              <w:ind w:right="113"/>
              <w:rPr>
                <w:rFonts w:cs="Arial"/>
              </w:rPr>
            </w:pPr>
            <w:r w:rsidRPr="001F29E3">
              <w:rPr>
                <w:rFonts w:cs="Arial"/>
              </w:rPr>
              <w:t xml:space="preserve">Pre-accredited enrolments fell by 12 per cent to 6,600 with minimal change in reported student contact hours in Q1 2013 compared to Q1 2012, a return to the long term trend of students undertaking courses of a lengthier duration. </w:t>
            </w:r>
          </w:p>
          <w:p w:rsidR="00910C9A" w:rsidRPr="001F29E3" w:rsidRDefault="00910C9A" w:rsidP="00910C9A">
            <w:pPr>
              <w:pStyle w:val="ListBullet"/>
              <w:numPr>
                <w:ilvl w:val="0"/>
                <w:numId w:val="0"/>
              </w:numPr>
              <w:ind w:left="473" w:right="113"/>
              <w:rPr>
                <w:rFonts w:cs="Arial"/>
              </w:rPr>
            </w:pPr>
          </w:p>
        </w:tc>
      </w:tr>
      <w:tr w:rsidR="00351166" w:rsidRPr="001F29E3" w:rsidTr="0046280E">
        <w:tblPrEx>
          <w:tblBorders>
            <w:top w:val="none" w:sz="0" w:space="0" w:color="auto"/>
            <w:left w:val="none" w:sz="0" w:space="0" w:color="auto"/>
            <w:bottom w:val="none" w:sz="0" w:space="0" w:color="auto"/>
            <w:right w:val="none" w:sz="0" w:space="0" w:color="auto"/>
          </w:tblBorders>
        </w:tblPrEx>
        <w:trPr>
          <w:gridAfter w:val="1"/>
          <w:wAfter w:w="13" w:type="dxa"/>
        </w:trPr>
        <w:tc>
          <w:tcPr>
            <w:tcW w:w="9072" w:type="dxa"/>
            <w:gridSpan w:val="6"/>
          </w:tcPr>
          <w:p w:rsidR="002F78AB" w:rsidRPr="001F29E3" w:rsidRDefault="002F78AB" w:rsidP="001F78C1">
            <w:pPr>
              <w:pStyle w:val="Caption"/>
              <w:jc w:val="left"/>
              <w:rPr>
                <w:rFonts w:cs="Arial"/>
              </w:rPr>
            </w:pPr>
            <w:r w:rsidRPr="001F29E3">
              <w:rPr>
                <w:rFonts w:cs="Arial"/>
              </w:rPr>
              <w:lastRenderedPageBreak/>
              <w:t>Table 1.1</w:t>
            </w:r>
            <w:r w:rsidR="00E925B6">
              <w:rPr>
                <w:rFonts w:cs="Arial"/>
              </w:rPr>
              <w:t>6</w:t>
            </w:r>
            <w:r w:rsidRPr="001F29E3">
              <w:rPr>
                <w:rFonts w:cs="Arial"/>
              </w:rPr>
              <w:t xml:space="preserve">: Government subsidised ACFE Students by Departmental region, accredited and pre-accredited, </w:t>
            </w:r>
            <w:r w:rsidR="00534C20">
              <w:rPr>
                <w:rFonts w:cs="Arial"/>
              </w:rPr>
              <w:br/>
            </w:r>
            <w:r w:rsidRPr="001F29E3">
              <w:rPr>
                <w:rFonts w:cs="Arial"/>
              </w:rPr>
              <w:t>2008</w:t>
            </w:r>
            <w:r w:rsidR="00534C20">
              <w:rPr>
                <w:rFonts w:cs="Arial"/>
              </w:rPr>
              <w:t>-</w:t>
            </w:r>
            <w:r w:rsidRPr="001F29E3">
              <w:rPr>
                <w:rFonts w:cs="Arial"/>
              </w:rPr>
              <w:t xml:space="preserve">2012, Q1 2012 </w:t>
            </w:r>
            <w:r w:rsidR="00534C20">
              <w:rPr>
                <w:rFonts w:cs="Arial"/>
              </w:rPr>
              <w:t>and</w:t>
            </w:r>
            <w:r w:rsidRPr="001F29E3">
              <w:rPr>
                <w:rFonts w:cs="Arial"/>
              </w:rPr>
              <w:t xml:space="preserve"> Q1 2013</w:t>
            </w:r>
          </w:p>
          <w:p w:rsidR="002F78AB" w:rsidRPr="001F29E3" w:rsidRDefault="00AF6E00" w:rsidP="002F78AB">
            <w:pPr>
              <w:pStyle w:val="Caption"/>
              <w:rPr>
                <w:rFonts w:cs="Arial"/>
              </w:rPr>
            </w:pPr>
            <w:r>
              <w:rPr>
                <w:rFonts w:cs="Arial"/>
                <w:noProof/>
                <w:lang w:eastAsia="en-AU"/>
              </w:rPr>
              <w:drawing>
                <wp:inline distT="0" distB="0" distL="0" distR="0" wp14:anchorId="34E9056E" wp14:editId="6A822F57">
                  <wp:extent cx="5753100" cy="1200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1200150"/>
                          </a:xfrm>
                          <a:prstGeom prst="rect">
                            <a:avLst/>
                          </a:prstGeom>
                          <a:noFill/>
                          <a:ln>
                            <a:noFill/>
                          </a:ln>
                        </pic:spPr>
                      </pic:pic>
                    </a:graphicData>
                  </a:graphic>
                </wp:inline>
              </w:drawing>
            </w:r>
          </w:p>
          <w:p w:rsidR="002F78AB" w:rsidRPr="001F29E3" w:rsidRDefault="001F78C1" w:rsidP="001F78C1">
            <w:pPr>
              <w:rPr>
                <w:rFonts w:cs="Arial"/>
                <w:sz w:val="16"/>
                <w:szCs w:val="16"/>
              </w:rPr>
            </w:pPr>
            <w:r w:rsidRPr="001F29E3">
              <w:rPr>
                <w:rFonts w:cs="Arial"/>
                <w:sz w:val="16"/>
                <w:szCs w:val="16"/>
              </w:rPr>
              <w:t>AEIs: Adult Education Institutes</w:t>
            </w:r>
          </w:p>
          <w:p w:rsidR="001F78C1" w:rsidRPr="001F29E3" w:rsidRDefault="00351166" w:rsidP="002F78AB">
            <w:pPr>
              <w:pStyle w:val="Caption"/>
              <w:rPr>
                <w:rFonts w:cs="Arial"/>
              </w:rPr>
            </w:pPr>
            <w:r w:rsidRPr="001F29E3">
              <w:rPr>
                <w:rFonts w:cs="Arial"/>
              </w:rPr>
              <w:br w:type="page"/>
            </w:r>
          </w:p>
          <w:p w:rsidR="00351166" w:rsidRPr="001F29E3" w:rsidRDefault="00351166" w:rsidP="00E925B6">
            <w:pPr>
              <w:pStyle w:val="Caption"/>
              <w:jc w:val="left"/>
              <w:rPr>
                <w:rFonts w:cs="Arial"/>
              </w:rPr>
            </w:pPr>
            <w:r w:rsidRPr="001F29E3">
              <w:rPr>
                <w:rFonts w:cs="Arial"/>
              </w:rPr>
              <w:t>Figure 1.</w:t>
            </w:r>
            <w:r w:rsidR="0046280E">
              <w:rPr>
                <w:rFonts w:cs="Arial"/>
              </w:rPr>
              <w:t>1</w:t>
            </w:r>
            <w:r w:rsidR="00E925B6">
              <w:rPr>
                <w:rFonts w:cs="Arial"/>
              </w:rPr>
              <w:t>5</w:t>
            </w:r>
            <w:r w:rsidRPr="001F29E3">
              <w:rPr>
                <w:rFonts w:cs="Arial"/>
              </w:rPr>
              <w:t>: Government subsidised ACE students by region</w:t>
            </w:r>
            <w:r w:rsidR="001F78C1" w:rsidRPr="001F29E3">
              <w:rPr>
                <w:rFonts w:cs="Arial"/>
              </w:rPr>
              <w:t>al area</w:t>
            </w:r>
            <w:r w:rsidRPr="001F29E3">
              <w:rPr>
                <w:rFonts w:cs="Arial"/>
              </w:rPr>
              <w:t>, accredited and pre-accredited</w:t>
            </w:r>
            <w:r w:rsidR="001F78C1" w:rsidRPr="001F29E3">
              <w:rPr>
                <w:rFonts w:cs="Arial"/>
              </w:rPr>
              <w:t>, 2008-2012, Q1 2012 and Q1 2013</w:t>
            </w:r>
            <w:r w:rsidRPr="001F29E3">
              <w:rPr>
                <w:rFonts w:cs="Arial"/>
              </w:rPr>
              <w:t xml:space="preserve"> </w:t>
            </w:r>
          </w:p>
        </w:tc>
      </w:tr>
      <w:tr w:rsidR="00351166" w:rsidRPr="001F29E3" w:rsidTr="0046280E">
        <w:tblPrEx>
          <w:tblBorders>
            <w:top w:val="none" w:sz="0" w:space="0" w:color="auto"/>
            <w:left w:val="none" w:sz="0" w:space="0" w:color="auto"/>
            <w:bottom w:val="none" w:sz="0" w:space="0" w:color="auto"/>
            <w:right w:val="none" w:sz="0" w:space="0" w:color="auto"/>
          </w:tblBorders>
        </w:tblPrEx>
        <w:trPr>
          <w:gridAfter w:val="1"/>
          <w:wAfter w:w="13" w:type="dxa"/>
          <w:trHeight w:val="3067"/>
        </w:trPr>
        <w:tc>
          <w:tcPr>
            <w:tcW w:w="9072" w:type="dxa"/>
            <w:gridSpan w:val="6"/>
            <w:tcBorders>
              <w:bottom w:val="single" w:sz="4" w:space="0" w:color="85A644"/>
            </w:tcBorders>
          </w:tcPr>
          <w:p w:rsidR="00351166" w:rsidRPr="001F29E3" w:rsidRDefault="00BF030E" w:rsidP="004C7064">
            <w:pPr>
              <w:pStyle w:val="TablePhoto"/>
              <w:rPr>
                <w:rFonts w:cs="Arial"/>
              </w:rPr>
            </w:pPr>
            <w:r w:rsidRPr="001F29E3">
              <w:rPr>
                <w:rFonts w:cs="Arial"/>
                <w:noProof/>
                <w:lang w:eastAsia="en-AU"/>
              </w:rPr>
              <w:drawing>
                <wp:inline distT="0" distB="0" distL="0" distR="0" wp14:anchorId="1F5F0967" wp14:editId="1BF8845E">
                  <wp:extent cx="5760720" cy="2106777"/>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0477" b="-1906"/>
                          <a:stretch/>
                        </pic:blipFill>
                        <pic:spPr bwMode="auto">
                          <a:xfrm>
                            <a:off x="0" y="0"/>
                            <a:ext cx="5762625" cy="21074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1166" w:rsidRPr="001F29E3" w:rsidTr="0046280E">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gridAfter w:val="1"/>
          <w:wAfter w:w="13" w:type="dxa"/>
          <w:trHeight w:val="255"/>
        </w:trPr>
        <w:tc>
          <w:tcPr>
            <w:tcW w:w="879" w:type="dxa"/>
            <w:tcBorders>
              <w:top w:val="single" w:sz="4" w:space="0" w:color="85A644"/>
              <w:left w:val="single" w:sz="4" w:space="0" w:color="85A644"/>
              <w:bottom w:val="single" w:sz="6" w:space="0" w:color="85A644"/>
              <w:right w:val="single" w:sz="6" w:space="0" w:color="85A644"/>
            </w:tcBorders>
            <w:shd w:val="clear" w:color="000000" w:fill="FFFFFF"/>
            <w:noWrap/>
            <w:vAlign w:val="bottom"/>
            <w:hideMark/>
          </w:tcPr>
          <w:p w:rsidR="00351166" w:rsidRPr="001F29E3" w:rsidRDefault="00351166" w:rsidP="004C7064">
            <w:pPr>
              <w:spacing w:after="0" w:line="240" w:lineRule="auto"/>
              <w:jc w:val="left"/>
              <w:rPr>
                <w:rFonts w:cs="Arial"/>
                <w:color w:val="85A644"/>
                <w:sz w:val="16"/>
                <w:szCs w:val="16"/>
                <w:lang w:eastAsia="en-AU"/>
              </w:rPr>
            </w:pPr>
            <w:r w:rsidRPr="001F29E3">
              <w:rPr>
                <w:rFonts w:cs="Arial"/>
                <w:color w:val="85A644"/>
                <w:sz w:val="16"/>
                <w:szCs w:val="16"/>
                <w:lang w:eastAsia="en-AU"/>
              </w:rPr>
              <w:t>BSW</w:t>
            </w:r>
          </w:p>
        </w:tc>
        <w:tc>
          <w:tcPr>
            <w:tcW w:w="1839" w:type="dxa"/>
            <w:tcBorders>
              <w:top w:val="single" w:sz="4" w:space="0" w:color="85A644"/>
              <w:left w:val="single" w:sz="6" w:space="0" w:color="85A644"/>
              <w:bottom w:val="single" w:sz="6" w:space="0" w:color="85A644"/>
              <w:right w:val="single" w:sz="6" w:space="0" w:color="85A644"/>
            </w:tcBorders>
            <w:shd w:val="clear" w:color="000000" w:fill="FFFFFF"/>
            <w:noWrap/>
            <w:vAlign w:val="bottom"/>
            <w:hideMark/>
          </w:tcPr>
          <w:p w:rsidR="00351166" w:rsidRPr="001F29E3" w:rsidRDefault="00351166" w:rsidP="004C7064">
            <w:pPr>
              <w:spacing w:after="0" w:line="240" w:lineRule="auto"/>
              <w:jc w:val="left"/>
              <w:rPr>
                <w:rFonts w:cs="Arial"/>
                <w:color w:val="85A644"/>
                <w:sz w:val="16"/>
                <w:szCs w:val="16"/>
                <w:lang w:eastAsia="en-AU"/>
              </w:rPr>
            </w:pPr>
            <w:r w:rsidRPr="001F29E3">
              <w:rPr>
                <w:rFonts w:cs="Arial"/>
                <w:color w:val="85A644"/>
                <w:sz w:val="16"/>
                <w:szCs w:val="16"/>
                <w:lang w:eastAsia="en-AU"/>
              </w:rPr>
              <w:t>Barwon South West</w:t>
            </w:r>
          </w:p>
        </w:tc>
        <w:tc>
          <w:tcPr>
            <w:tcW w:w="880" w:type="dxa"/>
            <w:tcBorders>
              <w:top w:val="single" w:sz="4" w:space="0" w:color="85A644"/>
              <w:left w:val="single" w:sz="6" w:space="0" w:color="85A644"/>
              <w:bottom w:val="single" w:sz="6" w:space="0" w:color="85A644"/>
              <w:right w:val="single" w:sz="6" w:space="0" w:color="85A644"/>
            </w:tcBorders>
            <w:shd w:val="clear" w:color="000000" w:fill="FFFFFF"/>
            <w:noWrap/>
            <w:vAlign w:val="bottom"/>
            <w:hideMark/>
          </w:tcPr>
          <w:p w:rsidR="00351166" w:rsidRPr="001F29E3" w:rsidRDefault="00351166" w:rsidP="004C7064">
            <w:pPr>
              <w:spacing w:after="0" w:line="240" w:lineRule="auto"/>
              <w:jc w:val="left"/>
              <w:rPr>
                <w:rFonts w:cs="Arial"/>
                <w:color w:val="85A644"/>
                <w:sz w:val="16"/>
                <w:szCs w:val="16"/>
                <w:lang w:eastAsia="en-AU"/>
              </w:rPr>
            </w:pPr>
            <w:r w:rsidRPr="001F29E3">
              <w:rPr>
                <w:rFonts w:cs="Arial"/>
                <w:color w:val="85A644"/>
                <w:sz w:val="16"/>
                <w:szCs w:val="16"/>
                <w:lang w:eastAsia="en-AU"/>
              </w:rPr>
              <w:t>HUM</w:t>
            </w:r>
          </w:p>
        </w:tc>
        <w:tc>
          <w:tcPr>
            <w:tcW w:w="1879" w:type="dxa"/>
            <w:tcBorders>
              <w:top w:val="single" w:sz="4" w:space="0" w:color="85A644"/>
              <w:left w:val="single" w:sz="6" w:space="0" w:color="85A644"/>
              <w:bottom w:val="single" w:sz="6" w:space="0" w:color="85A644"/>
              <w:right w:val="single" w:sz="6" w:space="0" w:color="85A644"/>
            </w:tcBorders>
            <w:shd w:val="clear" w:color="000000" w:fill="FFFFFF"/>
            <w:noWrap/>
            <w:vAlign w:val="bottom"/>
            <w:hideMark/>
          </w:tcPr>
          <w:p w:rsidR="00351166" w:rsidRPr="001F29E3" w:rsidRDefault="00351166" w:rsidP="004C7064">
            <w:pPr>
              <w:spacing w:after="0" w:line="240" w:lineRule="auto"/>
              <w:jc w:val="left"/>
              <w:rPr>
                <w:rFonts w:cs="Arial"/>
                <w:color w:val="85A644"/>
                <w:sz w:val="16"/>
                <w:szCs w:val="16"/>
                <w:lang w:eastAsia="en-AU"/>
              </w:rPr>
            </w:pPr>
            <w:r w:rsidRPr="001F29E3">
              <w:rPr>
                <w:rFonts w:cs="Arial"/>
                <w:color w:val="85A644"/>
                <w:sz w:val="16"/>
                <w:szCs w:val="16"/>
                <w:lang w:eastAsia="en-AU"/>
              </w:rPr>
              <w:t>Hume</w:t>
            </w:r>
          </w:p>
        </w:tc>
        <w:tc>
          <w:tcPr>
            <w:tcW w:w="880" w:type="dxa"/>
            <w:tcBorders>
              <w:top w:val="single" w:sz="4" w:space="0" w:color="85A644"/>
              <w:left w:val="single" w:sz="6" w:space="0" w:color="85A644"/>
              <w:bottom w:val="single" w:sz="6" w:space="0" w:color="85A644"/>
              <w:right w:val="single" w:sz="6" w:space="0" w:color="85A644"/>
            </w:tcBorders>
            <w:shd w:val="clear" w:color="000000" w:fill="FFFFFF"/>
            <w:noWrap/>
            <w:vAlign w:val="bottom"/>
            <w:hideMark/>
          </w:tcPr>
          <w:p w:rsidR="00351166" w:rsidRPr="001F29E3" w:rsidRDefault="00351166" w:rsidP="00BF030E">
            <w:pPr>
              <w:spacing w:after="0" w:line="240" w:lineRule="auto"/>
              <w:jc w:val="left"/>
              <w:rPr>
                <w:rFonts w:cs="Arial"/>
                <w:color w:val="85A644"/>
                <w:sz w:val="16"/>
                <w:szCs w:val="16"/>
                <w:lang w:eastAsia="en-AU"/>
              </w:rPr>
            </w:pPr>
            <w:r w:rsidRPr="001F29E3">
              <w:rPr>
                <w:rFonts w:cs="Arial"/>
                <w:color w:val="85A644"/>
                <w:sz w:val="16"/>
                <w:szCs w:val="16"/>
                <w:lang w:eastAsia="en-AU"/>
              </w:rPr>
              <w:t>NWM</w:t>
            </w:r>
          </w:p>
        </w:tc>
        <w:tc>
          <w:tcPr>
            <w:tcW w:w="2715" w:type="dxa"/>
            <w:tcBorders>
              <w:top w:val="single" w:sz="4" w:space="0" w:color="85A644"/>
              <w:left w:val="single" w:sz="6" w:space="0" w:color="85A644"/>
              <w:bottom w:val="single" w:sz="6" w:space="0" w:color="85A644"/>
              <w:right w:val="single" w:sz="4" w:space="0" w:color="85A644"/>
            </w:tcBorders>
            <w:shd w:val="clear" w:color="000000" w:fill="FFFFFF"/>
            <w:noWrap/>
            <w:vAlign w:val="bottom"/>
            <w:hideMark/>
          </w:tcPr>
          <w:p w:rsidR="00351166" w:rsidRPr="001F29E3" w:rsidRDefault="00351166" w:rsidP="004C7064">
            <w:pPr>
              <w:spacing w:after="0" w:line="240" w:lineRule="auto"/>
              <w:jc w:val="left"/>
              <w:rPr>
                <w:rFonts w:cs="Arial"/>
                <w:color w:val="85A644"/>
                <w:sz w:val="16"/>
                <w:szCs w:val="16"/>
                <w:lang w:eastAsia="en-AU"/>
              </w:rPr>
            </w:pPr>
            <w:r w:rsidRPr="001F29E3">
              <w:rPr>
                <w:rFonts w:cs="Arial"/>
                <w:color w:val="85A644"/>
                <w:sz w:val="16"/>
                <w:szCs w:val="16"/>
                <w:lang w:eastAsia="en-AU"/>
              </w:rPr>
              <w:t>North Western Metropolitan</w:t>
            </w:r>
          </w:p>
        </w:tc>
      </w:tr>
      <w:tr w:rsidR="00351166" w:rsidRPr="001F29E3" w:rsidTr="0046280E">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gridAfter w:val="1"/>
          <w:wAfter w:w="13" w:type="dxa"/>
          <w:trHeight w:val="255"/>
        </w:trPr>
        <w:tc>
          <w:tcPr>
            <w:tcW w:w="879" w:type="dxa"/>
            <w:tcBorders>
              <w:top w:val="single" w:sz="6" w:space="0" w:color="85A644"/>
              <w:left w:val="single" w:sz="4" w:space="0" w:color="85A644"/>
              <w:bottom w:val="single" w:sz="6" w:space="0" w:color="85A644"/>
              <w:right w:val="single" w:sz="6" w:space="0" w:color="85A644"/>
            </w:tcBorders>
            <w:shd w:val="clear" w:color="000000" w:fill="FFFFFF"/>
            <w:noWrap/>
            <w:vAlign w:val="bottom"/>
            <w:hideMark/>
          </w:tcPr>
          <w:p w:rsidR="00351166" w:rsidRPr="001F29E3" w:rsidRDefault="00351166" w:rsidP="004C7064">
            <w:pPr>
              <w:spacing w:after="0" w:line="240" w:lineRule="auto"/>
              <w:jc w:val="left"/>
              <w:rPr>
                <w:rFonts w:cs="Arial"/>
                <w:color w:val="85A644"/>
                <w:sz w:val="16"/>
                <w:szCs w:val="16"/>
                <w:lang w:eastAsia="en-AU"/>
              </w:rPr>
            </w:pPr>
            <w:r w:rsidRPr="001F29E3">
              <w:rPr>
                <w:rFonts w:cs="Arial"/>
                <w:color w:val="85A644"/>
                <w:sz w:val="16"/>
                <w:szCs w:val="16"/>
                <w:lang w:eastAsia="en-AU"/>
              </w:rPr>
              <w:t>GRA</w:t>
            </w:r>
          </w:p>
        </w:tc>
        <w:tc>
          <w:tcPr>
            <w:tcW w:w="1839" w:type="dxa"/>
            <w:tcBorders>
              <w:top w:val="single" w:sz="6" w:space="0" w:color="85A644"/>
              <w:left w:val="single" w:sz="6" w:space="0" w:color="85A644"/>
              <w:bottom w:val="single" w:sz="6" w:space="0" w:color="85A644"/>
              <w:right w:val="single" w:sz="6" w:space="0" w:color="85A644"/>
            </w:tcBorders>
            <w:shd w:val="clear" w:color="000000" w:fill="FFFFFF"/>
            <w:noWrap/>
            <w:vAlign w:val="bottom"/>
            <w:hideMark/>
          </w:tcPr>
          <w:p w:rsidR="00351166" w:rsidRPr="001F29E3" w:rsidRDefault="00351166" w:rsidP="004C7064">
            <w:pPr>
              <w:spacing w:after="0" w:line="240" w:lineRule="auto"/>
              <w:jc w:val="left"/>
              <w:rPr>
                <w:rFonts w:cs="Arial"/>
                <w:color w:val="85A644"/>
                <w:sz w:val="16"/>
                <w:szCs w:val="16"/>
                <w:lang w:eastAsia="en-AU"/>
              </w:rPr>
            </w:pPr>
            <w:r w:rsidRPr="001F29E3">
              <w:rPr>
                <w:rFonts w:cs="Arial"/>
                <w:color w:val="85A644"/>
                <w:sz w:val="16"/>
                <w:szCs w:val="16"/>
                <w:lang w:eastAsia="en-AU"/>
              </w:rPr>
              <w:t>Grampians</w:t>
            </w:r>
          </w:p>
        </w:tc>
        <w:tc>
          <w:tcPr>
            <w:tcW w:w="880" w:type="dxa"/>
            <w:tcBorders>
              <w:top w:val="single" w:sz="6" w:space="0" w:color="85A644"/>
              <w:left w:val="single" w:sz="6" w:space="0" w:color="85A644"/>
              <w:bottom w:val="single" w:sz="6" w:space="0" w:color="85A644"/>
              <w:right w:val="single" w:sz="6" w:space="0" w:color="85A644"/>
            </w:tcBorders>
            <w:shd w:val="clear" w:color="000000" w:fill="FFFFFF"/>
            <w:noWrap/>
            <w:vAlign w:val="bottom"/>
            <w:hideMark/>
          </w:tcPr>
          <w:p w:rsidR="00351166" w:rsidRPr="001F29E3" w:rsidRDefault="00351166" w:rsidP="004C7064">
            <w:pPr>
              <w:spacing w:after="0" w:line="240" w:lineRule="auto"/>
              <w:jc w:val="left"/>
              <w:rPr>
                <w:rFonts w:cs="Arial"/>
                <w:color w:val="85A644"/>
                <w:sz w:val="16"/>
                <w:szCs w:val="16"/>
                <w:lang w:eastAsia="en-AU"/>
              </w:rPr>
            </w:pPr>
            <w:r w:rsidRPr="001F29E3">
              <w:rPr>
                <w:rFonts w:cs="Arial"/>
                <w:color w:val="85A644"/>
                <w:sz w:val="16"/>
                <w:szCs w:val="16"/>
                <w:lang w:eastAsia="en-AU"/>
              </w:rPr>
              <w:t>GIP</w:t>
            </w:r>
          </w:p>
        </w:tc>
        <w:tc>
          <w:tcPr>
            <w:tcW w:w="1879" w:type="dxa"/>
            <w:tcBorders>
              <w:top w:val="single" w:sz="6" w:space="0" w:color="85A644"/>
              <w:left w:val="single" w:sz="6" w:space="0" w:color="85A644"/>
              <w:bottom w:val="single" w:sz="6" w:space="0" w:color="85A644"/>
              <w:right w:val="single" w:sz="6" w:space="0" w:color="85A644"/>
            </w:tcBorders>
            <w:shd w:val="clear" w:color="000000" w:fill="FFFFFF"/>
            <w:noWrap/>
            <w:vAlign w:val="bottom"/>
            <w:hideMark/>
          </w:tcPr>
          <w:p w:rsidR="00351166" w:rsidRPr="001F29E3" w:rsidRDefault="00351166" w:rsidP="004C7064">
            <w:pPr>
              <w:spacing w:after="0" w:line="240" w:lineRule="auto"/>
              <w:jc w:val="left"/>
              <w:rPr>
                <w:rFonts w:cs="Arial"/>
                <w:color w:val="85A644"/>
                <w:sz w:val="16"/>
                <w:szCs w:val="16"/>
                <w:lang w:eastAsia="en-AU"/>
              </w:rPr>
            </w:pPr>
            <w:r w:rsidRPr="001F29E3">
              <w:rPr>
                <w:rFonts w:cs="Arial"/>
                <w:color w:val="85A644"/>
                <w:sz w:val="16"/>
                <w:szCs w:val="16"/>
                <w:lang w:eastAsia="en-AU"/>
              </w:rPr>
              <w:t>Gippsland</w:t>
            </w:r>
          </w:p>
        </w:tc>
        <w:tc>
          <w:tcPr>
            <w:tcW w:w="880" w:type="dxa"/>
            <w:tcBorders>
              <w:top w:val="single" w:sz="6" w:space="0" w:color="85A644"/>
              <w:left w:val="single" w:sz="6" w:space="0" w:color="85A644"/>
              <w:bottom w:val="single" w:sz="6" w:space="0" w:color="85A644"/>
              <w:right w:val="single" w:sz="6" w:space="0" w:color="85A644"/>
            </w:tcBorders>
            <w:shd w:val="clear" w:color="000000" w:fill="FFFFFF"/>
            <w:noWrap/>
            <w:vAlign w:val="bottom"/>
            <w:hideMark/>
          </w:tcPr>
          <w:p w:rsidR="00351166" w:rsidRPr="001F29E3" w:rsidRDefault="00BF030E" w:rsidP="004C7064">
            <w:pPr>
              <w:spacing w:after="0" w:line="240" w:lineRule="auto"/>
              <w:jc w:val="left"/>
              <w:rPr>
                <w:rFonts w:cs="Arial"/>
                <w:color w:val="85A644"/>
                <w:sz w:val="16"/>
                <w:szCs w:val="16"/>
                <w:lang w:eastAsia="en-AU"/>
              </w:rPr>
            </w:pPr>
            <w:r w:rsidRPr="001F29E3">
              <w:rPr>
                <w:rFonts w:cs="Arial"/>
                <w:color w:val="85A644"/>
                <w:sz w:val="16"/>
                <w:szCs w:val="16"/>
                <w:lang w:eastAsia="en-AU"/>
              </w:rPr>
              <w:t>SM</w:t>
            </w:r>
          </w:p>
        </w:tc>
        <w:tc>
          <w:tcPr>
            <w:tcW w:w="2715" w:type="dxa"/>
            <w:tcBorders>
              <w:top w:val="single" w:sz="6" w:space="0" w:color="85A644"/>
              <w:left w:val="single" w:sz="6" w:space="0" w:color="85A644"/>
              <w:bottom w:val="single" w:sz="6" w:space="0" w:color="85A644"/>
              <w:right w:val="single" w:sz="4" w:space="0" w:color="85A644"/>
            </w:tcBorders>
            <w:shd w:val="clear" w:color="000000" w:fill="FFFFFF"/>
            <w:noWrap/>
            <w:vAlign w:val="bottom"/>
            <w:hideMark/>
          </w:tcPr>
          <w:p w:rsidR="00351166" w:rsidRPr="001F29E3" w:rsidRDefault="00351166" w:rsidP="004C7064">
            <w:pPr>
              <w:spacing w:after="0" w:line="240" w:lineRule="auto"/>
              <w:jc w:val="left"/>
              <w:rPr>
                <w:rFonts w:cs="Arial"/>
                <w:color w:val="85A644"/>
                <w:sz w:val="16"/>
                <w:szCs w:val="16"/>
                <w:lang w:eastAsia="en-AU"/>
              </w:rPr>
            </w:pPr>
            <w:r w:rsidRPr="001F29E3">
              <w:rPr>
                <w:rFonts w:cs="Arial"/>
                <w:color w:val="85A644"/>
                <w:sz w:val="16"/>
                <w:szCs w:val="16"/>
                <w:lang w:eastAsia="en-AU"/>
              </w:rPr>
              <w:t>Southern Metropolitan</w:t>
            </w:r>
          </w:p>
        </w:tc>
      </w:tr>
      <w:tr w:rsidR="00351166" w:rsidRPr="001F29E3" w:rsidTr="0046280E">
        <w:tblPrEx>
          <w:tblBorders>
            <w:top w:val="none" w:sz="0" w:space="0" w:color="auto"/>
            <w:left w:val="none" w:sz="0" w:space="0" w:color="auto"/>
            <w:bottom w:val="none" w:sz="0" w:space="0" w:color="auto"/>
            <w:right w:val="none" w:sz="0" w:space="0" w:color="auto"/>
          </w:tblBorders>
          <w:tblCellMar>
            <w:left w:w="108" w:type="dxa"/>
            <w:right w:w="108" w:type="dxa"/>
          </w:tblCellMar>
          <w:tblLook w:val="04A0" w:firstRow="1" w:lastRow="0" w:firstColumn="1" w:lastColumn="0" w:noHBand="0" w:noVBand="1"/>
        </w:tblPrEx>
        <w:trPr>
          <w:gridAfter w:val="1"/>
          <w:wAfter w:w="13" w:type="dxa"/>
          <w:trHeight w:val="255"/>
        </w:trPr>
        <w:tc>
          <w:tcPr>
            <w:tcW w:w="879" w:type="dxa"/>
            <w:tcBorders>
              <w:top w:val="single" w:sz="6" w:space="0" w:color="85A644"/>
              <w:left w:val="single" w:sz="4" w:space="0" w:color="85A644"/>
              <w:bottom w:val="single" w:sz="4" w:space="0" w:color="85A644"/>
              <w:right w:val="single" w:sz="6" w:space="0" w:color="85A644"/>
            </w:tcBorders>
            <w:shd w:val="clear" w:color="000000" w:fill="FFFFFF"/>
            <w:noWrap/>
            <w:vAlign w:val="bottom"/>
            <w:hideMark/>
          </w:tcPr>
          <w:p w:rsidR="00351166" w:rsidRPr="001F29E3" w:rsidRDefault="00351166" w:rsidP="004C7064">
            <w:pPr>
              <w:spacing w:after="0" w:line="240" w:lineRule="auto"/>
              <w:jc w:val="left"/>
              <w:rPr>
                <w:rFonts w:cs="Arial"/>
                <w:color w:val="85A644"/>
                <w:sz w:val="16"/>
                <w:szCs w:val="16"/>
                <w:lang w:eastAsia="en-AU"/>
              </w:rPr>
            </w:pPr>
            <w:r w:rsidRPr="001F29E3">
              <w:rPr>
                <w:rFonts w:cs="Arial"/>
                <w:color w:val="85A644"/>
                <w:sz w:val="16"/>
                <w:szCs w:val="16"/>
                <w:lang w:eastAsia="en-AU"/>
              </w:rPr>
              <w:t>LMR</w:t>
            </w:r>
          </w:p>
        </w:tc>
        <w:tc>
          <w:tcPr>
            <w:tcW w:w="1839" w:type="dxa"/>
            <w:tcBorders>
              <w:top w:val="single" w:sz="6" w:space="0" w:color="85A644"/>
              <w:left w:val="single" w:sz="6" w:space="0" w:color="85A644"/>
              <w:bottom w:val="single" w:sz="4" w:space="0" w:color="85A644"/>
              <w:right w:val="single" w:sz="6" w:space="0" w:color="85A644"/>
            </w:tcBorders>
            <w:shd w:val="clear" w:color="000000" w:fill="FFFFFF"/>
            <w:noWrap/>
            <w:vAlign w:val="bottom"/>
            <w:hideMark/>
          </w:tcPr>
          <w:p w:rsidR="00351166" w:rsidRPr="001F29E3" w:rsidRDefault="00351166" w:rsidP="004C7064">
            <w:pPr>
              <w:spacing w:after="0" w:line="240" w:lineRule="auto"/>
              <w:jc w:val="left"/>
              <w:rPr>
                <w:rFonts w:cs="Arial"/>
                <w:color w:val="85A644"/>
                <w:sz w:val="16"/>
                <w:szCs w:val="16"/>
                <w:lang w:eastAsia="en-AU"/>
              </w:rPr>
            </w:pPr>
            <w:r w:rsidRPr="001F29E3">
              <w:rPr>
                <w:rFonts w:cs="Arial"/>
                <w:color w:val="85A644"/>
                <w:sz w:val="16"/>
                <w:szCs w:val="16"/>
                <w:lang w:eastAsia="en-AU"/>
              </w:rPr>
              <w:t xml:space="preserve">Loddon </w:t>
            </w:r>
            <w:proofErr w:type="spellStart"/>
            <w:r w:rsidRPr="001F29E3">
              <w:rPr>
                <w:rFonts w:cs="Arial"/>
                <w:color w:val="85A644"/>
                <w:sz w:val="16"/>
                <w:szCs w:val="16"/>
                <w:lang w:eastAsia="en-AU"/>
              </w:rPr>
              <w:t>Mallee</w:t>
            </w:r>
            <w:proofErr w:type="spellEnd"/>
          </w:p>
        </w:tc>
        <w:tc>
          <w:tcPr>
            <w:tcW w:w="880" w:type="dxa"/>
            <w:tcBorders>
              <w:top w:val="single" w:sz="6" w:space="0" w:color="85A644"/>
              <w:left w:val="single" w:sz="6" w:space="0" w:color="85A644"/>
              <w:bottom w:val="single" w:sz="4" w:space="0" w:color="85A644"/>
              <w:right w:val="single" w:sz="6" w:space="0" w:color="85A644"/>
            </w:tcBorders>
            <w:shd w:val="clear" w:color="000000" w:fill="FFFFFF"/>
            <w:noWrap/>
            <w:vAlign w:val="bottom"/>
            <w:hideMark/>
          </w:tcPr>
          <w:p w:rsidR="00351166" w:rsidRPr="001F29E3" w:rsidRDefault="00351166" w:rsidP="00BF030E">
            <w:pPr>
              <w:spacing w:after="0" w:line="240" w:lineRule="auto"/>
              <w:jc w:val="left"/>
              <w:rPr>
                <w:rFonts w:cs="Arial"/>
                <w:color w:val="85A644"/>
                <w:sz w:val="16"/>
                <w:szCs w:val="16"/>
                <w:lang w:eastAsia="en-AU"/>
              </w:rPr>
            </w:pPr>
            <w:r w:rsidRPr="001F29E3">
              <w:rPr>
                <w:rFonts w:cs="Arial"/>
                <w:color w:val="85A644"/>
                <w:sz w:val="16"/>
                <w:szCs w:val="16"/>
                <w:lang w:eastAsia="en-AU"/>
              </w:rPr>
              <w:t>EM</w:t>
            </w:r>
          </w:p>
        </w:tc>
        <w:tc>
          <w:tcPr>
            <w:tcW w:w="1879" w:type="dxa"/>
            <w:tcBorders>
              <w:top w:val="single" w:sz="6" w:space="0" w:color="85A644"/>
              <w:left w:val="single" w:sz="6" w:space="0" w:color="85A644"/>
              <w:bottom w:val="single" w:sz="4" w:space="0" w:color="85A644"/>
              <w:right w:val="single" w:sz="6" w:space="0" w:color="85A644"/>
            </w:tcBorders>
            <w:shd w:val="clear" w:color="000000" w:fill="FFFFFF"/>
            <w:noWrap/>
            <w:vAlign w:val="bottom"/>
            <w:hideMark/>
          </w:tcPr>
          <w:p w:rsidR="00351166" w:rsidRPr="001F29E3" w:rsidRDefault="00351166" w:rsidP="004C7064">
            <w:pPr>
              <w:spacing w:after="0" w:line="240" w:lineRule="auto"/>
              <w:jc w:val="left"/>
              <w:rPr>
                <w:rFonts w:cs="Arial"/>
                <w:color w:val="85A644"/>
                <w:sz w:val="16"/>
                <w:szCs w:val="16"/>
                <w:lang w:eastAsia="en-AU"/>
              </w:rPr>
            </w:pPr>
            <w:r w:rsidRPr="001F29E3">
              <w:rPr>
                <w:rFonts w:cs="Arial"/>
                <w:color w:val="85A644"/>
                <w:sz w:val="16"/>
                <w:szCs w:val="16"/>
                <w:lang w:eastAsia="en-AU"/>
              </w:rPr>
              <w:t>Eastern Metropolitan</w:t>
            </w:r>
          </w:p>
        </w:tc>
        <w:tc>
          <w:tcPr>
            <w:tcW w:w="880" w:type="dxa"/>
            <w:tcBorders>
              <w:top w:val="single" w:sz="6" w:space="0" w:color="85A644"/>
              <w:left w:val="single" w:sz="6" w:space="0" w:color="85A644"/>
              <w:bottom w:val="single" w:sz="4" w:space="0" w:color="85A644"/>
              <w:right w:val="single" w:sz="6" w:space="0" w:color="85A644"/>
            </w:tcBorders>
            <w:shd w:val="clear" w:color="000000" w:fill="FFFFFF"/>
            <w:noWrap/>
            <w:vAlign w:val="bottom"/>
            <w:hideMark/>
          </w:tcPr>
          <w:p w:rsidR="00351166" w:rsidRPr="001F29E3" w:rsidRDefault="00351166" w:rsidP="004C7064">
            <w:pPr>
              <w:spacing w:after="0" w:line="240" w:lineRule="auto"/>
              <w:jc w:val="left"/>
              <w:rPr>
                <w:rFonts w:cs="Arial"/>
                <w:color w:val="85A644"/>
                <w:sz w:val="16"/>
                <w:szCs w:val="16"/>
                <w:lang w:eastAsia="en-AU"/>
              </w:rPr>
            </w:pPr>
            <w:r w:rsidRPr="001F29E3">
              <w:rPr>
                <w:rFonts w:cs="Arial"/>
                <w:color w:val="85A644"/>
                <w:sz w:val="16"/>
                <w:szCs w:val="16"/>
                <w:lang w:eastAsia="en-AU"/>
              </w:rPr>
              <w:t>AEIs</w:t>
            </w:r>
          </w:p>
        </w:tc>
        <w:tc>
          <w:tcPr>
            <w:tcW w:w="2715" w:type="dxa"/>
            <w:tcBorders>
              <w:top w:val="single" w:sz="6" w:space="0" w:color="85A644"/>
              <w:left w:val="single" w:sz="6" w:space="0" w:color="85A644"/>
              <w:bottom w:val="single" w:sz="4" w:space="0" w:color="85A644"/>
              <w:right w:val="single" w:sz="4" w:space="0" w:color="85A644"/>
            </w:tcBorders>
            <w:shd w:val="clear" w:color="000000" w:fill="FFFFFF"/>
            <w:noWrap/>
            <w:vAlign w:val="bottom"/>
            <w:hideMark/>
          </w:tcPr>
          <w:p w:rsidR="00351166" w:rsidRPr="001F29E3" w:rsidRDefault="00351166" w:rsidP="004C7064">
            <w:pPr>
              <w:spacing w:after="0" w:line="240" w:lineRule="auto"/>
              <w:jc w:val="left"/>
              <w:rPr>
                <w:rFonts w:cs="Arial"/>
                <w:color w:val="85A644"/>
                <w:sz w:val="16"/>
                <w:szCs w:val="16"/>
                <w:lang w:eastAsia="en-AU"/>
              </w:rPr>
            </w:pPr>
            <w:r w:rsidRPr="001F29E3">
              <w:rPr>
                <w:rFonts w:cs="Arial"/>
                <w:color w:val="85A644"/>
                <w:sz w:val="16"/>
                <w:szCs w:val="16"/>
                <w:lang w:eastAsia="en-AU"/>
              </w:rPr>
              <w:t>Adult Education Institutes</w:t>
            </w:r>
          </w:p>
        </w:tc>
      </w:tr>
    </w:tbl>
    <w:p w:rsidR="00351166" w:rsidRPr="001F29E3" w:rsidRDefault="00351166" w:rsidP="00351166">
      <w:pPr>
        <w:rPr>
          <w:rFonts w:cs="Arial"/>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351166" w:rsidRPr="001F29E3" w:rsidTr="004C7064">
        <w:trPr>
          <w:trHeight w:val="1467"/>
        </w:trPr>
        <w:tc>
          <w:tcPr>
            <w:tcW w:w="6867" w:type="dxa"/>
          </w:tcPr>
          <w:p w:rsidR="00351166" w:rsidRPr="001F29E3" w:rsidRDefault="00351166" w:rsidP="004C7064">
            <w:pPr>
              <w:rPr>
                <w:rFonts w:cs="Arial"/>
              </w:rPr>
            </w:pPr>
          </w:p>
          <w:p w:rsidR="00351166" w:rsidRPr="001F29E3" w:rsidRDefault="00351166" w:rsidP="00A9260A">
            <w:pPr>
              <w:pStyle w:val="Heading3"/>
            </w:pPr>
            <w:r w:rsidRPr="001F29E3">
              <w:t>Key Points</w:t>
            </w:r>
          </w:p>
          <w:p w:rsidR="001F78C1" w:rsidRPr="001F29E3" w:rsidRDefault="001F78C1" w:rsidP="000B208D">
            <w:pPr>
              <w:pStyle w:val="ListBullet"/>
              <w:numPr>
                <w:ilvl w:val="0"/>
                <w:numId w:val="11"/>
              </w:numPr>
              <w:ind w:right="113"/>
              <w:rPr>
                <w:rFonts w:cs="Arial"/>
              </w:rPr>
            </w:pPr>
            <w:r w:rsidRPr="001F29E3">
              <w:rPr>
                <w:rFonts w:cs="Arial"/>
              </w:rPr>
              <w:t xml:space="preserve">The number of students participating in Learn Local organisations and Adult Education Institutions across the state fell in Q1 2013 compared to Q2 2012. Participation from the combined accredited and pre-accredited student population contracted by 13 per cent, down by 2,800 students. </w:t>
            </w:r>
          </w:p>
          <w:p w:rsidR="001F78C1" w:rsidRPr="001F29E3" w:rsidRDefault="001F78C1" w:rsidP="000B208D">
            <w:pPr>
              <w:pStyle w:val="ListBullet"/>
              <w:numPr>
                <w:ilvl w:val="0"/>
                <w:numId w:val="11"/>
              </w:numPr>
              <w:ind w:right="113"/>
              <w:rPr>
                <w:rFonts w:cs="Arial"/>
              </w:rPr>
            </w:pPr>
            <w:r w:rsidRPr="001F29E3">
              <w:rPr>
                <w:rFonts w:cs="Arial"/>
              </w:rPr>
              <w:t>At the Departmental region level, compared to Q1 2012 the North-Western region recorded a growth of 6 per cent in Q1 2013. The remaining three regions and Adult Education Institutions contracted their training delivery over the comparative period with the major falls in South-Western (30 per cent) and North-Eastern regions (21 per cent).</w:t>
            </w:r>
          </w:p>
          <w:p w:rsidR="00351166" w:rsidRPr="001F29E3" w:rsidRDefault="001F78C1" w:rsidP="000B208D">
            <w:pPr>
              <w:pStyle w:val="ListBullet"/>
              <w:numPr>
                <w:ilvl w:val="0"/>
                <w:numId w:val="11"/>
              </w:numPr>
              <w:ind w:right="113"/>
              <w:rPr>
                <w:rFonts w:cs="Arial"/>
              </w:rPr>
            </w:pPr>
            <w:r w:rsidRPr="001F29E3">
              <w:rPr>
                <w:rFonts w:cs="Arial"/>
              </w:rPr>
              <w:t xml:space="preserve">The most significant regional area movement was in Barwon South West, down by 46%, or 1,900 students compared to Q1 2012. Grampians </w:t>
            </w:r>
            <w:r w:rsidR="00125C24" w:rsidRPr="001F29E3">
              <w:rPr>
                <w:rFonts w:cs="Arial"/>
              </w:rPr>
              <w:t>regional area</w:t>
            </w:r>
            <w:r w:rsidRPr="001F29E3">
              <w:rPr>
                <w:rFonts w:cs="Arial"/>
              </w:rPr>
              <w:t xml:space="preserve"> reported a contraction in student participation of 45 per cent, or 500 students reflecting the downturn in student contact hours for that region. North Western </w:t>
            </w:r>
            <w:r w:rsidR="00125C24" w:rsidRPr="001F29E3">
              <w:rPr>
                <w:rFonts w:cs="Arial"/>
              </w:rPr>
              <w:t xml:space="preserve">Metropolitan </w:t>
            </w:r>
            <w:r w:rsidRPr="001F29E3">
              <w:rPr>
                <w:rFonts w:cs="Arial"/>
              </w:rPr>
              <w:t xml:space="preserve">and Loddon </w:t>
            </w:r>
            <w:proofErr w:type="spellStart"/>
            <w:r w:rsidRPr="001F29E3">
              <w:rPr>
                <w:rFonts w:cs="Arial"/>
              </w:rPr>
              <w:t>Mallee</w:t>
            </w:r>
            <w:proofErr w:type="spellEnd"/>
            <w:r w:rsidRPr="001F29E3">
              <w:rPr>
                <w:rFonts w:cs="Arial"/>
              </w:rPr>
              <w:t xml:space="preserve"> region</w:t>
            </w:r>
            <w:r w:rsidR="00125C24" w:rsidRPr="001F29E3">
              <w:rPr>
                <w:rFonts w:cs="Arial"/>
              </w:rPr>
              <w:t>al area</w:t>
            </w:r>
            <w:r w:rsidRPr="001F29E3">
              <w:rPr>
                <w:rFonts w:cs="Arial"/>
              </w:rPr>
              <w:t>s reported increased student participation of 10 per cent and 9 per cent</w:t>
            </w:r>
            <w:r w:rsidR="00125C24" w:rsidRPr="001F29E3">
              <w:rPr>
                <w:rFonts w:cs="Arial"/>
              </w:rPr>
              <w:t>,</w:t>
            </w:r>
            <w:r w:rsidRPr="001F29E3">
              <w:rPr>
                <w:rFonts w:cs="Arial"/>
              </w:rPr>
              <w:t xml:space="preserve"> respectively.</w:t>
            </w:r>
          </w:p>
          <w:p w:rsidR="00910C9A" w:rsidRPr="001F29E3" w:rsidRDefault="00910C9A" w:rsidP="00910C9A">
            <w:pPr>
              <w:pStyle w:val="ListBullet"/>
              <w:numPr>
                <w:ilvl w:val="0"/>
                <w:numId w:val="0"/>
              </w:numPr>
              <w:ind w:left="473" w:right="113"/>
              <w:rPr>
                <w:rFonts w:cs="Arial"/>
              </w:rPr>
            </w:pPr>
          </w:p>
        </w:tc>
      </w:tr>
    </w:tbl>
    <w:p w:rsidR="00351166" w:rsidRPr="001F29E3" w:rsidRDefault="00351166" w:rsidP="00351166">
      <w:pPr>
        <w:pStyle w:val="ListParagraph"/>
        <w:rPr>
          <w:rFonts w:ascii="Arial" w:hAnsi="Arial" w:cs="Arial"/>
        </w:rPr>
      </w:pPr>
    </w:p>
    <w:p w:rsidR="00351166" w:rsidRPr="001F29E3" w:rsidRDefault="00351166" w:rsidP="00351166">
      <w:pPr>
        <w:rPr>
          <w:rFonts w:cs="Arial"/>
        </w:rPr>
      </w:pPr>
      <w:r w:rsidRPr="001F29E3">
        <w:rPr>
          <w:rFonts w:cs="Arial"/>
          <w:b/>
          <w:bCs/>
        </w:rPr>
        <w:br w:type="page"/>
      </w:r>
    </w:p>
    <w:p w:rsidR="00483582" w:rsidRPr="001F29E3" w:rsidRDefault="00483582" w:rsidP="00351166">
      <w:pPr>
        <w:rPr>
          <w:rFonts w:cs="Arial"/>
          <w:sz w:val="16"/>
          <w:szCs w:val="16"/>
        </w:rPr>
      </w:pPr>
    </w:p>
    <w:p w:rsidR="00483582" w:rsidRPr="001F29E3" w:rsidRDefault="00483582" w:rsidP="00483582">
      <w:pPr>
        <w:pStyle w:val="Caption"/>
        <w:jc w:val="left"/>
        <w:rPr>
          <w:rFonts w:cs="Arial"/>
        </w:rPr>
      </w:pPr>
      <w:r w:rsidRPr="001F29E3">
        <w:rPr>
          <w:rFonts w:cs="Arial"/>
        </w:rPr>
        <w:t>Figure 1.</w:t>
      </w:r>
      <w:r w:rsidR="00E925B6">
        <w:rPr>
          <w:rFonts w:cs="Arial"/>
        </w:rPr>
        <w:t>16</w:t>
      </w:r>
      <w:r w:rsidRPr="001F29E3">
        <w:rPr>
          <w:rFonts w:cs="Arial"/>
        </w:rPr>
        <w:t>: Government subsidised hard to reach students, accredited and pre-accredited Learn Local Organisations and Adult Education Institutions, 2008-2012, Q1 2012 and Q1 2013</w:t>
      </w:r>
    </w:p>
    <w:p w:rsidR="00483582" w:rsidRPr="001F29E3" w:rsidRDefault="00483582" w:rsidP="00483582">
      <w:pPr>
        <w:rPr>
          <w:rFonts w:cs="Arial"/>
        </w:rPr>
      </w:pPr>
    </w:p>
    <w:p w:rsidR="00483582" w:rsidRPr="001F29E3" w:rsidRDefault="00483582" w:rsidP="00483582">
      <w:pPr>
        <w:rPr>
          <w:rFonts w:cs="Arial"/>
        </w:rPr>
      </w:pPr>
      <w:r w:rsidRPr="001F29E3">
        <w:rPr>
          <w:rFonts w:cs="Arial"/>
          <w:noProof/>
          <w:lang w:eastAsia="en-AU"/>
        </w:rPr>
        <w:drawing>
          <wp:inline distT="0" distB="0" distL="0" distR="0" wp14:anchorId="36383820" wp14:editId="25CDF3E0">
            <wp:extent cx="5757062" cy="24027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4921"/>
                    <a:stretch/>
                  </pic:blipFill>
                  <pic:spPr bwMode="auto">
                    <a:xfrm>
                      <a:off x="0" y="0"/>
                      <a:ext cx="5757062" cy="2402746"/>
                    </a:xfrm>
                    <a:prstGeom prst="rect">
                      <a:avLst/>
                    </a:prstGeom>
                    <a:noFill/>
                    <a:ln>
                      <a:noFill/>
                    </a:ln>
                    <a:extLst>
                      <a:ext uri="{53640926-AAD7-44D8-BBD7-CCE9431645EC}">
                        <a14:shadowObscured xmlns:a14="http://schemas.microsoft.com/office/drawing/2010/main"/>
                      </a:ext>
                    </a:extLst>
                  </pic:spPr>
                </pic:pic>
              </a:graphicData>
            </a:graphic>
          </wp:inline>
        </w:drawing>
      </w:r>
    </w:p>
    <w:p w:rsidR="00351166" w:rsidRPr="001F29E3" w:rsidRDefault="00351166" w:rsidP="00351166">
      <w:pPr>
        <w:rPr>
          <w:rFonts w:cs="Arial"/>
          <w:sz w:val="16"/>
          <w:szCs w:val="16"/>
        </w:rPr>
      </w:pPr>
      <w:r w:rsidRPr="001F29E3">
        <w:rPr>
          <w:rFonts w:cs="Arial"/>
          <w:sz w:val="16"/>
          <w:szCs w:val="16"/>
        </w:rPr>
        <w:t>Note: Hard to reach categories are not mutually exclusive.</w:t>
      </w:r>
    </w:p>
    <w:p w:rsidR="00351166" w:rsidRPr="001F29E3" w:rsidRDefault="00351166" w:rsidP="00351166">
      <w:pPr>
        <w:rPr>
          <w:rFonts w:cs="Arial"/>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351166" w:rsidRPr="001F29E3" w:rsidTr="004C7064">
        <w:trPr>
          <w:trHeight w:val="1449"/>
        </w:trPr>
        <w:tc>
          <w:tcPr>
            <w:tcW w:w="7568" w:type="dxa"/>
          </w:tcPr>
          <w:p w:rsidR="00351166" w:rsidRPr="001F29E3" w:rsidRDefault="00351166" w:rsidP="004C7064">
            <w:pPr>
              <w:rPr>
                <w:rFonts w:cs="Arial"/>
              </w:rPr>
            </w:pPr>
          </w:p>
          <w:p w:rsidR="00351166" w:rsidRPr="001F29E3" w:rsidRDefault="00351166" w:rsidP="00A9260A">
            <w:pPr>
              <w:pStyle w:val="Heading3"/>
            </w:pPr>
            <w:r w:rsidRPr="001F29E3">
              <w:t>Key Points</w:t>
            </w:r>
          </w:p>
          <w:p w:rsidR="00CD0525" w:rsidRPr="001F29E3" w:rsidRDefault="00CD0525" w:rsidP="000B208D">
            <w:pPr>
              <w:pStyle w:val="ListBullet"/>
              <w:numPr>
                <w:ilvl w:val="0"/>
                <w:numId w:val="11"/>
              </w:numPr>
              <w:ind w:right="113"/>
              <w:rPr>
                <w:rFonts w:cs="Arial"/>
              </w:rPr>
            </w:pPr>
            <w:r w:rsidRPr="001F29E3">
              <w:rPr>
                <w:rFonts w:cs="Arial"/>
              </w:rPr>
              <w:t>The number of ‘hard to reach’ students participating in the Learn Local sector generally declined across each of the ‘hard to reach’ groups in Q1 2013 compared to Q2 2012.</w:t>
            </w:r>
          </w:p>
          <w:p w:rsidR="00CD0525" w:rsidRPr="001F29E3" w:rsidRDefault="00CD0525" w:rsidP="000B208D">
            <w:pPr>
              <w:pStyle w:val="ListBullet"/>
              <w:numPr>
                <w:ilvl w:val="0"/>
                <w:numId w:val="11"/>
              </w:numPr>
              <w:ind w:right="113"/>
              <w:rPr>
                <w:rFonts w:cs="Arial"/>
              </w:rPr>
            </w:pPr>
            <w:r w:rsidRPr="001F29E3">
              <w:rPr>
                <w:rFonts w:cs="Arial"/>
              </w:rPr>
              <w:t xml:space="preserve">Contraction was strongest in the early school leavers cohort, down 18 per cent (to 4,200 students) and male students aged 45 to 64 years of age 15 per cent (to 1,400). The fall in participation from other ‘hard-to-reach’ groups was CALD 11 per cent (to 4,959), unemployed students 9 per cent (to 5,900), vulnerable workers 8 per cent (to 4,200), persons reporting a disability 8 per cent (to 4,200) and disengaged youth 2 per cent (to 1,500). </w:t>
            </w:r>
          </w:p>
          <w:p w:rsidR="00CD0525" w:rsidRPr="001F29E3" w:rsidRDefault="00CD0525" w:rsidP="000B208D">
            <w:pPr>
              <w:pStyle w:val="ListBullet"/>
              <w:numPr>
                <w:ilvl w:val="0"/>
                <w:numId w:val="11"/>
              </w:numPr>
              <w:ind w:right="113"/>
              <w:rPr>
                <w:rFonts w:cs="Arial"/>
              </w:rPr>
            </w:pPr>
            <w:r w:rsidRPr="001F29E3">
              <w:rPr>
                <w:rFonts w:cs="Arial"/>
              </w:rPr>
              <w:t>Unemployed students made up the largest number of 'hard to reach' students at Learn Local organisations and Adult Education Institutions, followed by students from a CALD background or vulnerable workers.</w:t>
            </w:r>
          </w:p>
          <w:p w:rsidR="00351166" w:rsidRPr="001F29E3" w:rsidRDefault="00351166" w:rsidP="004C7064">
            <w:pPr>
              <w:pStyle w:val="ListBullet"/>
              <w:numPr>
                <w:ilvl w:val="0"/>
                <w:numId w:val="0"/>
              </w:numPr>
              <w:rPr>
                <w:rFonts w:cs="Arial"/>
              </w:rPr>
            </w:pPr>
          </w:p>
        </w:tc>
      </w:tr>
      <w:bookmarkEnd w:id="73"/>
    </w:tbl>
    <w:p w:rsidR="00351166" w:rsidRPr="001F29E3" w:rsidRDefault="00351166" w:rsidP="00351166">
      <w:pPr>
        <w:rPr>
          <w:rFonts w:cs="Arial"/>
        </w:rPr>
      </w:pPr>
    </w:p>
    <w:p w:rsidR="00EA724D" w:rsidRPr="001F29E3" w:rsidRDefault="00EA724D" w:rsidP="00351166">
      <w:pPr>
        <w:rPr>
          <w:rFonts w:cs="Arial"/>
        </w:rPr>
      </w:pPr>
    </w:p>
    <w:p w:rsidR="00EA724D" w:rsidRPr="001F29E3" w:rsidRDefault="00EA724D" w:rsidP="00351166">
      <w:pPr>
        <w:rPr>
          <w:rFonts w:cs="Arial"/>
        </w:rPr>
      </w:pPr>
    </w:p>
    <w:p w:rsidR="00483582" w:rsidRPr="001F29E3" w:rsidRDefault="00483582">
      <w:pPr>
        <w:spacing w:after="0" w:line="240" w:lineRule="auto"/>
        <w:jc w:val="left"/>
        <w:rPr>
          <w:rFonts w:cs="Arial"/>
          <w:color w:val="76923C" w:themeColor="accent3" w:themeShade="BF"/>
          <w:spacing w:val="-12"/>
          <w:sz w:val="46"/>
          <w:szCs w:val="46"/>
        </w:rPr>
      </w:pPr>
      <w:bookmarkStart w:id="75" w:name="_Toc346793030"/>
      <w:bookmarkStart w:id="76" w:name="_Ref350270885"/>
      <w:bookmarkStart w:id="77" w:name="_Ref350270891"/>
      <w:bookmarkStart w:id="78" w:name="_Ref350271465"/>
      <w:bookmarkStart w:id="79" w:name="_Ref350271472"/>
      <w:bookmarkStart w:id="80" w:name="_Ref350272597"/>
      <w:bookmarkStart w:id="81" w:name="_Ref350272601"/>
      <w:bookmarkStart w:id="82" w:name="_Toc322454245"/>
      <w:bookmarkStart w:id="83" w:name="_Toc316542835"/>
      <w:bookmarkStart w:id="84" w:name="_Toc316629596"/>
      <w:bookmarkStart w:id="85" w:name="_Toc317173958"/>
      <w:bookmarkEnd w:id="66"/>
      <w:bookmarkEnd w:id="67"/>
      <w:r w:rsidRPr="001F29E3">
        <w:rPr>
          <w:rFonts w:cs="Arial"/>
        </w:rPr>
        <w:br w:type="page"/>
      </w:r>
    </w:p>
    <w:p w:rsidR="002D49D9" w:rsidRPr="001F29E3" w:rsidRDefault="002D49D9" w:rsidP="002D49D9">
      <w:pPr>
        <w:pStyle w:val="Heading1"/>
        <w:rPr>
          <w:rStyle w:val="Heading1Char"/>
          <w:rFonts w:cs="Arial"/>
        </w:rPr>
      </w:pPr>
      <w:bookmarkStart w:id="86" w:name="_Ref350272660"/>
      <w:bookmarkStart w:id="87" w:name="_Ref350272515"/>
      <w:bookmarkStart w:id="88" w:name="_Ref350272506"/>
      <w:bookmarkStart w:id="89" w:name="_Ref350272253"/>
      <w:bookmarkStart w:id="90" w:name="_Ref350272247"/>
      <w:bookmarkStart w:id="91" w:name="_Toc349899150"/>
      <w:bookmarkStart w:id="92" w:name="_Toc359501564"/>
      <w:r w:rsidRPr="001F29E3">
        <w:rPr>
          <w:rStyle w:val="Heading1Char"/>
          <w:rFonts w:cs="Arial"/>
        </w:rPr>
        <w:lastRenderedPageBreak/>
        <w:t>Responsiveness to Skills Needs</w:t>
      </w:r>
      <w:bookmarkEnd w:id="86"/>
      <w:bookmarkEnd w:id="87"/>
      <w:bookmarkEnd w:id="88"/>
      <w:bookmarkEnd w:id="89"/>
      <w:bookmarkEnd w:id="90"/>
      <w:bookmarkEnd w:id="91"/>
      <w:bookmarkEnd w:id="92"/>
    </w:p>
    <w:p w:rsidR="002D49D9" w:rsidRPr="001F29E3" w:rsidRDefault="002D49D9" w:rsidP="002D49D9">
      <w:pPr>
        <w:spacing w:after="84"/>
        <w:rPr>
          <w:rFonts w:cs="Arial"/>
          <w:color w:val="000000"/>
          <w:sz w:val="22"/>
          <w:szCs w:val="19"/>
          <w:lang w:eastAsia="en-AU"/>
        </w:rPr>
      </w:pPr>
    </w:p>
    <w:p w:rsidR="002D49D9" w:rsidRPr="001F29E3" w:rsidRDefault="002D49D9" w:rsidP="002D49D9">
      <w:pPr>
        <w:rPr>
          <w:rFonts w:cs="Arial"/>
          <w:szCs w:val="19"/>
        </w:rPr>
      </w:pPr>
      <w:r w:rsidRPr="001F29E3">
        <w:rPr>
          <w:rFonts w:cs="Arial"/>
          <w:szCs w:val="19"/>
        </w:rPr>
        <w:t>This section reports on VET training delivery in the first quarter of 2013 and how it corresponds to the skills required by the market based on occupational requirements. ‘Responsiveness’ considers the extent to which VET training responds to training required for specialist and/or skills shortage occupations.</w:t>
      </w:r>
    </w:p>
    <w:p w:rsidR="002D49D9" w:rsidRPr="001F29E3" w:rsidRDefault="002D49D9" w:rsidP="002D49D9">
      <w:pPr>
        <w:rPr>
          <w:rFonts w:cs="Arial"/>
          <w:szCs w:val="19"/>
        </w:rPr>
      </w:pPr>
      <w:r w:rsidRPr="001F29E3">
        <w:rPr>
          <w:rFonts w:cs="Arial"/>
          <w:szCs w:val="19"/>
        </w:rPr>
        <w:t>The three responsiveness categories relate to government subsidised training to onshore domestic students only. The category 'Industry-specific qualifications' allows like-with-like comparison of training performance by excluding non-accredited training and training in generic skills such as literacy and numeracy. While this foundational training is crucial, it is not by itself sufficient to meet demand for training in a particular occupation.</w:t>
      </w:r>
    </w:p>
    <w:tbl>
      <w:tblPr>
        <w:tblW w:w="4900" w:type="pct"/>
        <w:tblLook w:val="04A0" w:firstRow="1" w:lastRow="0" w:firstColumn="1" w:lastColumn="0" w:noHBand="0" w:noVBand="1"/>
      </w:tblPr>
      <w:tblGrid>
        <w:gridCol w:w="3171"/>
        <w:gridCol w:w="217"/>
        <w:gridCol w:w="2926"/>
        <w:gridCol w:w="217"/>
        <w:gridCol w:w="2757"/>
      </w:tblGrid>
      <w:tr w:rsidR="002D49D9" w:rsidRPr="001F29E3" w:rsidTr="001F3AE1">
        <w:trPr>
          <w:trHeight w:val="300"/>
        </w:trPr>
        <w:tc>
          <w:tcPr>
            <w:tcW w:w="1580" w:type="pct"/>
            <w:tcBorders>
              <w:top w:val="single" w:sz="4" w:space="0" w:color="76933C"/>
              <w:left w:val="single" w:sz="4" w:space="0" w:color="76933C"/>
              <w:bottom w:val="nil"/>
              <w:right w:val="single" w:sz="4" w:space="0" w:color="76933C"/>
            </w:tcBorders>
            <w:shd w:val="clear" w:color="auto" w:fill="76933C"/>
            <w:noWrap/>
            <w:vAlign w:val="bottom"/>
            <w:hideMark/>
          </w:tcPr>
          <w:p w:rsidR="002D49D9" w:rsidRPr="001F29E3" w:rsidRDefault="002D49D9" w:rsidP="001F3AE1">
            <w:pPr>
              <w:spacing w:after="0" w:line="240" w:lineRule="auto"/>
              <w:jc w:val="center"/>
              <w:rPr>
                <w:rFonts w:cs="Arial"/>
                <w:color w:val="FFFFFF"/>
                <w:szCs w:val="19"/>
                <w:lang w:eastAsia="en-AU"/>
              </w:rPr>
            </w:pPr>
            <w:r w:rsidRPr="001F29E3">
              <w:rPr>
                <w:rFonts w:cs="Arial"/>
                <w:color w:val="FFFFFF"/>
                <w:szCs w:val="19"/>
                <w:lang w:eastAsia="en-AU"/>
              </w:rPr>
              <w:t>'Industry-specific</w:t>
            </w:r>
          </w:p>
          <w:p w:rsidR="002D49D9" w:rsidRPr="001F29E3" w:rsidRDefault="002D49D9" w:rsidP="001F3AE1">
            <w:pPr>
              <w:spacing w:after="0" w:line="240" w:lineRule="auto"/>
              <w:jc w:val="center"/>
              <w:rPr>
                <w:rFonts w:cs="Arial"/>
                <w:color w:val="FFFFFF"/>
                <w:szCs w:val="19"/>
                <w:lang w:eastAsia="en-AU"/>
              </w:rPr>
            </w:pPr>
            <w:r w:rsidRPr="001F29E3">
              <w:rPr>
                <w:rFonts w:cs="Arial"/>
                <w:color w:val="FFFFFF"/>
                <w:szCs w:val="19"/>
                <w:lang w:eastAsia="en-AU"/>
              </w:rPr>
              <w:t>qualifications'</w:t>
            </w:r>
          </w:p>
        </w:tc>
        <w:tc>
          <w:tcPr>
            <w:tcW w:w="129" w:type="pct"/>
            <w:noWrap/>
            <w:vAlign w:val="bottom"/>
            <w:hideMark/>
          </w:tcPr>
          <w:p w:rsidR="002D49D9" w:rsidRPr="001F29E3" w:rsidRDefault="002D49D9" w:rsidP="001F3AE1">
            <w:pPr>
              <w:spacing w:after="0" w:line="276" w:lineRule="auto"/>
              <w:rPr>
                <w:rFonts w:cs="Arial"/>
                <w:sz w:val="22"/>
                <w:szCs w:val="22"/>
              </w:rPr>
            </w:pPr>
          </w:p>
        </w:tc>
        <w:tc>
          <w:tcPr>
            <w:tcW w:w="1581" w:type="pct"/>
            <w:tcBorders>
              <w:top w:val="single" w:sz="4" w:space="0" w:color="76933C"/>
              <w:left w:val="single" w:sz="4" w:space="0" w:color="76933C"/>
              <w:bottom w:val="nil"/>
              <w:right w:val="single" w:sz="4" w:space="0" w:color="76933C"/>
            </w:tcBorders>
            <w:shd w:val="clear" w:color="auto" w:fill="76933C"/>
            <w:noWrap/>
            <w:vAlign w:val="bottom"/>
            <w:hideMark/>
          </w:tcPr>
          <w:p w:rsidR="002D49D9" w:rsidRPr="001F29E3" w:rsidRDefault="002D49D9" w:rsidP="001F3AE1">
            <w:pPr>
              <w:spacing w:after="0" w:line="240" w:lineRule="auto"/>
              <w:jc w:val="center"/>
              <w:rPr>
                <w:rFonts w:cs="Arial"/>
                <w:color w:val="FFFFFF"/>
                <w:szCs w:val="19"/>
                <w:lang w:eastAsia="en-AU"/>
              </w:rPr>
            </w:pPr>
            <w:r w:rsidRPr="001F29E3">
              <w:rPr>
                <w:rFonts w:cs="Arial"/>
                <w:color w:val="FFFFFF"/>
                <w:szCs w:val="19"/>
                <w:lang w:eastAsia="en-AU"/>
              </w:rPr>
              <w:t>'Specialised'</w:t>
            </w:r>
          </w:p>
          <w:p w:rsidR="002D49D9" w:rsidRPr="001F29E3" w:rsidRDefault="002D49D9" w:rsidP="001F3AE1">
            <w:pPr>
              <w:spacing w:after="0" w:line="240" w:lineRule="auto"/>
              <w:jc w:val="center"/>
              <w:rPr>
                <w:rFonts w:cs="Arial"/>
                <w:color w:val="FFFFFF"/>
                <w:szCs w:val="19"/>
                <w:lang w:eastAsia="en-AU"/>
              </w:rPr>
            </w:pPr>
            <w:r w:rsidRPr="001F29E3">
              <w:rPr>
                <w:rFonts w:cs="Arial"/>
                <w:color w:val="FFFFFF"/>
                <w:szCs w:val="19"/>
                <w:lang w:eastAsia="en-AU"/>
              </w:rPr>
              <w:t>occupations</w:t>
            </w:r>
          </w:p>
        </w:tc>
        <w:tc>
          <w:tcPr>
            <w:tcW w:w="130" w:type="pct"/>
            <w:noWrap/>
            <w:vAlign w:val="bottom"/>
            <w:hideMark/>
          </w:tcPr>
          <w:p w:rsidR="002D49D9" w:rsidRPr="001F29E3" w:rsidRDefault="002D49D9" w:rsidP="001F3AE1">
            <w:pPr>
              <w:spacing w:after="0" w:line="276" w:lineRule="auto"/>
              <w:rPr>
                <w:rFonts w:cs="Arial"/>
                <w:sz w:val="22"/>
                <w:szCs w:val="22"/>
              </w:rPr>
            </w:pPr>
          </w:p>
        </w:tc>
        <w:tc>
          <w:tcPr>
            <w:tcW w:w="1580" w:type="pct"/>
            <w:tcBorders>
              <w:top w:val="single" w:sz="4" w:space="0" w:color="76933C"/>
              <w:left w:val="single" w:sz="4" w:space="0" w:color="76933C"/>
              <w:bottom w:val="nil"/>
              <w:right w:val="single" w:sz="4" w:space="0" w:color="76933C"/>
            </w:tcBorders>
            <w:shd w:val="clear" w:color="auto" w:fill="76933C"/>
            <w:noWrap/>
            <w:vAlign w:val="bottom"/>
            <w:hideMark/>
          </w:tcPr>
          <w:p w:rsidR="002D49D9" w:rsidRPr="001F29E3" w:rsidRDefault="002D49D9" w:rsidP="001F3AE1">
            <w:pPr>
              <w:spacing w:after="0" w:line="240" w:lineRule="auto"/>
              <w:jc w:val="center"/>
              <w:rPr>
                <w:rFonts w:cs="Arial"/>
                <w:color w:val="FFFFFF"/>
                <w:szCs w:val="19"/>
                <w:lang w:eastAsia="en-AU"/>
              </w:rPr>
            </w:pPr>
            <w:r w:rsidRPr="001F29E3">
              <w:rPr>
                <w:rFonts w:cs="Arial"/>
                <w:color w:val="FFFFFF"/>
                <w:szCs w:val="19"/>
                <w:lang w:eastAsia="en-AU"/>
              </w:rPr>
              <w:t>'In Shortage'</w:t>
            </w:r>
          </w:p>
          <w:p w:rsidR="002D49D9" w:rsidRPr="001F29E3" w:rsidRDefault="002D49D9" w:rsidP="001F3AE1">
            <w:pPr>
              <w:spacing w:after="0" w:line="240" w:lineRule="auto"/>
              <w:jc w:val="center"/>
              <w:rPr>
                <w:rFonts w:cs="Arial"/>
                <w:color w:val="FFFFFF"/>
                <w:szCs w:val="19"/>
                <w:lang w:eastAsia="en-AU"/>
              </w:rPr>
            </w:pPr>
            <w:r w:rsidRPr="001F29E3">
              <w:rPr>
                <w:rFonts w:cs="Arial"/>
                <w:color w:val="FFFFFF"/>
                <w:szCs w:val="19"/>
                <w:lang w:eastAsia="en-AU"/>
              </w:rPr>
              <w:t>occupations</w:t>
            </w:r>
          </w:p>
        </w:tc>
      </w:tr>
      <w:tr w:rsidR="002D49D9" w:rsidRPr="001F29E3" w:rsidTr="001F3AE1">
        <w:trPr>
          <w:trHeight w:val="610"/>
        </w:trPr>
        <w:tc>
          <w:tcPr>
            <w:tcW w:w="1580" w:type="pct"/>
            <w:tcBorders>
              <w:top w:val="nil"/>
              <w:left w:val="single" w:sz="4" w:space="0" w:color="76933C"/>
              <w:bottom w:val="nil"/>
              <w:right w:val="single" w:sz="4" w:space="0" w:color="76933C"/>
            </w:tcBorders>
            <w:noWrap/>
            <w:vAlign w:val="center"/>
            <w:hideMark/>
          </w:tcPr>
          <w:p w:rsidR="002D49D9" w:rsidRPr="001F29E3" w:rsidRDefault="002D49D9" w:rsidP="001F3AE1">
            <w:pPr>
              <w:numPr>
                <w:ilvl w:val="0"/>
                <w:numId w:val="15"/>
              </w:numPr>
              <w:tabs>
                <w:tab w:val="clear" w:pos="360"/>
                <w:tab w:val="num" w:pos="49"/>
                <w:tab w:val="num" w:pos="720"/>
              </w:tabs>
              <w:spacing w:after="0" w:line="240" w:lineRule="auto"/>
              <w:ind w:left="191" w:hanging="191"/>
              <w:contextualSpacing/>
              <w:jc w:val="left"/>
              <w:rPr>
                <w:rFonts w:cs="Arial"/>
                <w:color w:val="000000"/>
                <w:szCs w:val="19"/>
                <w:lang w:eastAsia="en-AU"/>
              </w:rPr>
            </w:pPr>
            <w:r w:rsidRPr="001F29E3">
              <w:rPr>
                <w:rFonts w:cs="Arial"/>
                <w:color w:val="000000"/>
                <w:szCs w:val="19"/>
                <w:lang w:eastAsia="en-AU"/>
              </w:rPr>
              <w:t>Includes all accredited vocational qualifications at Certificate I and above, but excludes generic training such as foundation skills, education pathways and low-level LOTE courses</w:t>
            </w:r>
          </w:p>
        </w:tc>
        <w:tc>
          <w:tcPr>
            <w:tcW w:w="129" w:type="pct"/>
            <w:noWrap/>
            <w:vAlign w:val="bottom"/>
            <w:hideMark/>
          </w:tcPr>
          <w:p w:rsidR="002D49D9" w:rsidRPr="001F29E3" w:rsidRDefault="002D49D9" w:rsidP="001F3AE1">
            <w:pPr>
              <w:spacing w:after="0" w:line="276" w:lineRule="auto"/>
              <w:rPr>
                <w:rFonts w:cs="Arial"/>
                <w:sz w:val="22"/>
                <w:szCs w:val="22"/>
              </w:rPr>
            </w:pPr>
          </w:p>
        </w:tc>
        <w:tc>
          <w:tcPr>
            <w:tcW w:w="1581" w:type="pct"/>
            <w:vMerge w:val="restart"/>
            <w:tcBorders>
              <w:top w:val="nil"/>
              <w:left w:val="single" w:sz="4" w:space="0" w:color="76933C"/>
              <w:bottom w:val="single" w:sz="4" w:space="0" w:color="76933C"/>
              <w:right w:val="single" w:sz="4" w:space="0" w:color="76933C"/>
            </w:tcBorders>
            <w:noWrap/>
            <w:hideMark/>
          </w:tcPr>
          <w:p w:rsidR="002D49D9" w:rsidRPr="001F29E3" w:rsidRDefault="002D49D9" w:rsidP="001F3AE1">
            <w:pPr>
              <w:pStyle w:val="ListParagraph"/>
              <w:numPr>
                <w:ilvl w:val="0"/>
                <w:numId w:val="16"/>
              </w:numPr>
              <w:tabs>
                <w:tab w:val="num" w:pos="68"/>
              </w:tabs>
              <w:spacing w:after="0" w:line="240" w:lineRule="auto"/>
              <w:ind w:left="68" w:hanging="142"/>
              <w:contextualSpacing/>
              <w:rPr>
                <w:rFonts w:ascii="Arial" w:hAnsi="Arial" w:cs="Arial"/>
                <w:sz w:val="19"/>
                <w:szCs w:val="19"/>
              </w:rPr>
            </w:pPr>
            <w:r w:rsidRPr="001F29E3">
              <w:rPr>
                <w:rFonts w:ascii="Arial" w:hAnsi="Arial" w:cs="Arial"/>
                <w:color w:val="000000"/>
                <w:sz w:val="19"/>
                <w:szCs w:val="19"/>
              </w:rPr>
              <w:t>Uses the Australian Workforce and Productivity Agency (formerly Skills Australia) list of specialised occupations, which is used to inform the skilled migration program</w:t>
            </w:r>
          </w:p>
          <w:p w:rsidR="002D49D9" w:rsidRPr="001F29E3" w:rsidRDefault="002D49D9" w:rsidP="001F3AE1">
            <w:pPr>
              <w:pStyle w:val="ListParagraph"/>
              <w:numPr>
                <w:ilvl w:val="0"/>
                <w:numId w:val="16"/>
              </w:numPr>
              <w:tabs>
                <w:tab w:val="num" w:pos="68"/>
              </w:tabs>
              <w:spacing w:after="0" w:line="240" w:lineRule="auto"/>
              <w:ind w:left="68" w:hanging="142"/>
              <w:contextualSpacing/>
              <w:rPr>
                <w:rFonts w:ascii="Arial" w:hAnsi="Arial" w:cs="Arial"/>
                <w:color w:val="000000"/>
                <w:sz w:val="19"/>
                <w:szCs w:val="19"/>
              </w:rPr>
            </w:pPr>
            <w:r w:rsidRPr="001F29E3">
              <w:rPr>
                <w:rFonts w:ascii="Arial" w:hAnsi="Arial" w:cs="Arial"/>
                <w:color w:val="000000"/>
                <w:sz w:val="19"/>
                <w:szCs w:val="19"/>
              </w:rPr>
              <w:t>These occupations have a long lead-time for training, high economic value and a significant match between training and employment</w:t>
            </w:r>
          </w:p>
        </w:tc>
        <w:tc>
          <w:tcPr>
            <w:tcW w:w="130" w:type="pct"/>
            <w:noWrap/>
            <w:vAlign w:val="bottom"/>
            <w:hideMark/>
          </w:tcPr>
          <w:p w:rsidR="002D49D9" w:rsidRPr="001F29E3" w:rsidRDefault="002D49D9" w:rsidP="001F3AE1">
            <w:pPr>
              <w:spacing w:after="0" w:line="276" w:lineRule="auto"/>
              <w:rPr>
                <w:rFonts w:cs="Arial"/>
                <w:sz w:val="22"/>
                <w:szCs w:val="22"/>
              </w:rPr>
            </w:pPr>
          </w:p>
        </w:tc>
        <w:tc>
          <w:tcPr>
            <w:tcW w:w="1580" w:type="pct"/>
            <w:vMerge w:val="restart"/>
            <w:tcBorders>
              <w:top w:val="nil"/>
              <w:left w:val="single" w:sz="4" w:space="0" w:color="76933C"/>
              <w:bottom w:val="single" w:sz="4" w:space="0" w:color="76933C"/>
              <w:right w:val="single" w:sz="4" w:space="0" w:color="76933C"/>
            </w:tcBorders>
            <w:noWrap/>
            <w:hideMark/>
          </w:tcPr>
          <w:p w:rsidR="002D49D9" w:rsidRPr="001F29E3" w:rsidRDefault="002D49D9" w:rsidP="001F3AE1">
            <w:pPr>
              <w:pStyle w:val="ListParagraph"/>
              <w:numPr>
                <w:ilvl w:val="0"/>
                <w:numId w:val="17"/>
              </w:numPr>
              <w:tabs>
                <w:tab w:val="num" w:pos="101"/>
              </w:tabs>
              <w:spacing w:after="0" w:line="240" w:lineRule="auto"/>
              <w:ind w:left="101" w:hanging="142"/>
              <w:contextualSpacing/>
              <w:rPr>
                <w:rFonts w:ascii="Arial" w:hAnsi="Arial" w:cs="Arial"/>
                <w:sz w:val="19"/>
                <w:szCs w:val="19"/>
              </w:rPr>
            </w:pPr>
            <w:r w:rsidRPr="001F29E3">
              <w:rPr>
                <w:rFonts w:ascii="Arial" w:hAnsi="Arial" w:cs="Arial"/>
                <w:sz w:val="19"/>
                <w:szCs w:val="19"/>
              </w:rPr>
              <w:t xml:space="preserve">Uses the </w:t>
            </w:r>
            <w:r w:rsidRPr="001F29E3">
              <w:rPr>
                <w:rFonts w:ascii="Arial" w:hAnsi="Arial" w:cs="Arial"/>
                <w:color w:val="000000"/>
                <w:sz w:val="19"/>
                <w:szCs w:val="19"/>
              </w:rPr>
              <w:t>2012 DEECD Skills Shortage list</w:t>
            </w:r>
          </w:p>
          <w:p w:rsidR="002D49D9" w:rsidRPr="001F29E3" w:rsidRDefault="002D49D9" w:rsidP="001F3AE1">
            <w:pPr>
              <w:pStyle w:val="ListParagraph"/>
              <w:numPr>
                <w:ilvl w:val="0"/>
                <w:numId w:val="17"/>
              </w:numPr>
              <w:tabs>
                <w:tab w:val="num" w:pos="101"/>
              </w:tabs>
              <w:spacing w:after="0" w:line="240" w:lineRule="auto"/>
              <w:ind w:left="101" w:hanging="142"/>
              <w:contextualSpacing/>
              <w:rPr>
                <w:rFonts w:ascii="Arial" w:hAnsi="Arial" w:cs="Arial"/>
                <w:sz w:val="19"/>
                <w:szCs w:val="19"/>
              </w:rPr>
            </w:pPr>
            <w:r w:rsidRPr="001F29E3">
              <w:rPr>
                <w:rFonts w:ascii="Arial" w:hAnsi="Arial" w:cs="Arial"/>
                <w:color w:val="000000"/>
                <w:sz w:val="19"/>
                <w:szCs w:val="19"/>
              </w:rPr>
              <w:t>List compiled with reference to reports from Victorian industry training bodies and direct consultation with industry groups and workforce planning agencies</w:t>
            </w:r>
          </w:p>
          <w:p w:rsidR="002D49D9" w:rsidRPr="001F29E3" w:rsidRDefault="002D49D9" w:rsidP="001F3AE1">
            <w:pPr>
              <w:pStyle w:val="ListParagraph"/>
              <w:numPr>
                <w:ilvl w:val="0"/>
                <w:numId w:val="17"/>
              </w:numPr>
              <w:tabs>
                <w:tab w:val="num" w:pos="101"/>
              </w:tabs>
              <w:spacing w:after="0" w:line="240" w:lineRule="auto"/>
              <w:ind w:left="101" w:hanging="142"/>
              <w:contextualSpacing/>
              <w:rPr>
                <w:rFonts w:ascii="Arial" w:hAnsi="Arial" w:cs="Arial"/>
                <w:sz w:val="19"/>
                <w:szCs w:val="19"/>
              </w:rPr>
            </w:pPr>
            <w:r w:rsidRPr="001F29E3">
              <w:rPr>
                <w:rFonts w:ascii="Arial" w:hAnsi="Arial" w:cs="Arial"/>
                <w:color w:val="000000"/>
                <w:sz w:val="19"/>
                <w:szCs w:val="19"/>
              </w:rPr>
              <w:t>National advice included where it had relevance to Victoria</w:t>
            </w:r>
          </w:p>
        </w:tc>
      </w:tr>
      <w:tr w:rsidR="002D49D9" w:rsidRPr="001F29E3" w:rsidTr="001F3AE1">
        <w:trPr>
          <w:trHeight w:val="300"/>
        </w:trPr>
        <w:tc>
          <w:tcPr>
            <w:tcW w:w="1580" w:type="pct"/>
            <w:vMerge w:val="restart"/>
            <w:tcBorders>
              <w:top w:val="nil"/>
              <w:left w:val="single" w:sz="4" w:space="0" w:color="76933C"/>
              <w:bottom w:val="single" w:sz="4" w:space="0" w:color="76933C"/>
              <w:right w:val="single" w:sz="4" w:space="0" w:color="76933C"/>
            </w:tcBorders>
            <w:noWrap/>
            <w:hideMark/>
          </w:tcPr>
          <w:p w:rsidR="002D49D9" w:rsidRPr="001F29E3" w:rsidRDefault="002D49D9" w:rsidP="001F3AE1">
            <w:pPr>
              <w:pStyle w:val="ListParagraph"/>
              <w:numPr>
                <w:ilvl w:val="0"/>
                <w:numId w:val="18"/>
              </w:numPr>
              <w:tabs>
                <w:tab w:val="num" w:pos="49"/>
                <w:tab w:val="num" w:pos="191"/>
              </w:tabs>
              <w:spacing w:after="0" w:line="240" w:lineRule="auto"/>
              <w:ind w:left="191" w:hanging="142"/>
              <w:contextualSpacing/>
              <w:rPr>
                <w:rFonts w:ascii="Arial" w:hAnsi="Arial" w:cs="Arial"/>
                <w:sz w:val="19"/>
                <w:szCs w:val="19"/>
              </w:rPr>
            </w:pPr>
            <w:r w:rsidRPr="001F29E3">
              <w:rPr>
                <w:rFonts w:ascii="Arial" w:hAnsi="Arial" w:cs="Arial"/>
                <w:color w:val="000000"/>
                <w:sz w:val="19"/>
                <w:szCs w:val="19"/>
              </w:rPr>
              <w:t>Allows like-with-like comparison of specialised and in shortage categories against broader training delivery trends</w:t>
            </w:r>
          </w:p>
        </w:tc>
        <w:tc>
          <w:tcPr>
            <w:tcW w:w="129" w:type="pct"/>
            <w:noWrap/>
            <w:vAlign w:val="bottom"/>
            <w:hideMark/>
          </w:tcPr>
          <w:p w:rsidR="002D49D9" w:rsidRPr="001F29E3" w:rsidRDefault="002D49D9" w:rsidP="001F3AE1">
            <w:pPr>
              <w:spacing w:after="0" w:line="276" w:lineRule="auto"/>
              <w:rPr>
                <w:rFonts w:cs="Arial"/>
                <w:sz w:val="22"/>
                <w:szCs w:val="22"/>
              </w:rPr>
            </w:pPr>
          </w:p>
        </w:tc>
        <w:tc>
          <w:tcPr>
            <w:tcW w:w="0" w:type="auto"/>
            <w:vMerge/>
            <w:tcBorders>
              <w:top w:val="nil"/>
              <w:left w:val="single" w:sz="4" w:space="0" w:color="76933C"/>
              <w:bottom w:val="single" w:sz="4" w:space="0" w:color="76933C"/>
              <w:right w:val="single" w:sz="4" w:space="0" w:color="76933C"/>
            </w:tcBorders>
            <w:vAlign w:val="center"/>
            <w:hideMark/>
          </w:tcPr>
          <w:p w:rsidR="002D49D9" w:rsidRPr="001F29E3" w:rsidRDefault="002D49D9" w:rsidP="001F3AE1">
            <w:pPr>
              <w:spacing w:after="0" w:line="240" w:lineRule="auto"/>
              <w:rPr>
                <w:rFonts w:cs="Arial"/>
                <w:color w:val="000000"/>
                <w:szCs w:val="19"/>
              </w:rPr>
            </w:pPr>
          </w:p>
        </w:tc>
        <w:tc>
          <w:tcPr>
            <w:tcW w:w="130" w:type="pct"/>
            <w:noWrap/>
            <w:vAlign w:val="bottom"/>
            <w:hideMark/>
          </w:tcPr>
          <w:p w:rsidR="002D49D9" w:rsidRPr="001F29E3" w:rsidRDefault="002D49D9" w:rsidP="001F3AE1">
            <w:pPr>
              <w:spacing w:after="0" w:line="276" w:lineRule="auto"/>
              <w:rPr>
                <w:rFonts w:cs="Arial"/>
                <w:sz w:val="22"/>
                <w:szCs w:val="22"/>
              </w:rPr>
            </w:pPr>
          </w:p>
        </w:tc>
        <w:tc>
          <w:tcPr>
            <w:tcW w:w="0" w:type="auto"/>
            <w:vMerge/>
            <w:tcBorders>
              <w:top w:val="nil"/>
              <w:left w:val="single" w:sz="4" w:space="0" w:color="76933C"/>
              <w:bottom w:val="single" w:sz="4" w:space="0" w:color="76933C"/>
              <w:right w:val="single" w:sz="4" w:space="0" w:color="76933C"/>
            </w:tcBorders>
            <w:vAlign w:val="center"/>
            <w:hideMark/>
          </w:tcPr>
          <w:p w:rsidR="002D49D9" w:rsidRPr="001F29E3" w:rsidRDefault="002D49D9" w:rsidP="001F3AE1">
            <w:pPr>
              <w:spacing w:after="0" w:line="240" w:lineRule="auto"/>
              <w:rPr>
                <w:rFonts w:cs="Arial"/>
                <w:szCs w:val="19"/>
              </w:rPr>
            </w:pPr>
          </w:p>
        </w:tc>
      </w:tr>
      <w:tr w:rsidR="002D49D9" w:rsidRPr="001F29E3" w:rsidTr="001F3AE1">
        <w:trPr>
          <w:trHeight w:val="300"/>
        </w:trPr>
        <w:tc>
          <w:tcPr>
            <w:tcW w:w="0" w:type="auto"/>
            <w:vMerge/>
            <w:tcBorders>
              <w:top w:val="nil"/>
              <w:left w:val="single" w:sz="4" w:space="0" w:color="76933C"/>
              <w:bottom w:val="single" w:sz="4" w:space="0" w:color="76933C"/>
              <w:right w:val="single" w:sz="4" w:space="0" w:color="76933C"/>
            </w:tcBorders>
            <w:vAlign w:val="center"/>
            <w:hideMark/>
          </w:tcPr>
          <w:p w:rsidR="002D49D9" w:rsidRPr="001F29E3" w:rsidRDefault="002D49D9" w:rsidP="001F3AE1">
            <w:pPr>
              <w:spacing w:after="0" w:line="240" w:lineRule="auto"/>
              <w:rPr>
                <w:rFonts w:cs="Arial"/>
                <w:szCs w:val="19"/>
              </w:rPr>
            </w:pPr>
          </w:p>
        </w:tc>
        <w:tc>
          <w:tcPr>
            <w:tcW w:w="129" w:type="pct"/>
            <w:noWrap/>
            <w:vAlign w:val="bottom"/>
            <w:hideMark/>
          </w:tcPr>
          <w:p w:rsidR="002D49D9" w:rsidRPr="001F29E3" w:rsidRDefault="002D49D9" w:rsidP="001F3AE1">
            <w:pPr>
              <w:spacing w:after="0" w:line="276" w:lineRule="auto"/>
              <w:rPr>
                <w:rFonts w:cs="Arial"/>
                <w:sz w:val="22"/>
                <w:szCs w:val="22"/>
              </w:rPr>
            </w:pPr>
          </w:p>
        </w:tc>
        <w:tc>
          <w:tcPr>
            <w:tcW w:w="0" w:type="auto"/>
            <w:vMerge/>
            <w:tcBorders>
              <w:top w:val="nil"/>
              <w:left w:val="single" w:sz="4" w:space="0" w:color="76933C"/>
              <w:bottom w:val="single" w:sz="4" w:space="0" w:color="76933C"/>
              <w:right w:val="single" w:sz="4" w:space="0" w:color="76933C"/>
            </w:tcBorders>
            <w:vAlign w:val="center"/>
            <w:hideMark/>
          </w:tcPr>
          <w:p w:rsidR="002D49D9" w:rsidRPr="001F29E3" w:rsidRDefault="002D49D9" w:rsidP="001F3AE1">
            <w:pPr>
              <w:spacing w:after="0" w:line="240" w:lineRule="auto"/>
              <w:rPr>
                <w:rFonts w:cs="Arial"/>
                <w:color w:val="000000"/>
                <w:szCs w:val="19"/>
              </w:rPr>
            </w:pPr>
          </w:p>
        </w:tc>
        <w:tc>
          <w:tcPr>
            <w:tcW w:w="130" w:type="pct"/>
            <w:noWrap/>
            <w:vAlign w:val="bottom"/>
            <w:hideMark/>
          </w:tcPr>
          <w:p w:rsidR="002D49D9" w:rsidRPr="001F29E3" w:rsidRDefault="002D49D9" w:rsidP="001F3AE1">
            <w:pPr>
              <w:spacing w:after="0" w:line="276" w:lineRule="auto"/>
              <w:rPr>
                <w:rFonts w:cs="Arial"/>
                <w:sz w:val="22"/>
                <w:szCs w:val="22"/>
              </w:rPr>
            </w:pPr>
          </w:p>
        </w:tc>
        <w:tc>
          <w:tcPr>
            <w:tcW w:w="0" w:type="auto"/>
            <w:vMerge/>
            <w:tcBorders>
              <w:top w:val="nil"/>
              <w:left w:val="single" w:sz="4" w:space="0" w:color="76933C"/>
              <w:bottom w:val="single" w:sz="4" w:space="0" w:color="76933C"/>
              <w:right w:val="single" w:sz="4" w:space="0" w:color="76933C"/>
            </w:tcBorders>
            <w:vAlign w:val="center"/>
            <w:hideMark/>
          </w:tcPr>
          <w:p w:rsidR="002D49D9" w:rsidRPr="001F29E3" w:rsidRDefault="002D49D9" w:rsidP="001F3AE1">
            <w:pPr>
              <w:spacing w:after="0" w:line="240" w:lineRule="auto"/>
              <w:rPr>
                <w:rFonts w:cs="Arial"/>
                <w:szCs w:val="19"/>
              </w:rPr>
            </w:pPr>
          </w:p>
        </w:tc>
      </w:tr>
    </w:tbl>
    <w:p w:rsidR="002D49D9" w:rsidRPr="001F29E3" w:rsidRDefault="002D49D9" w:rsidP="002D49D9">
      <w:pPr>
        <w:spacing w:after="84"/>
        <w:rPr>
          <w:rFonts w:cs="Arial"/>
          <w:sz w:val="22"/>
          <w:szCs w:val="22"/>
        </w:rPr>
      </w:pPr>
    </w:p>
    <w:p w:rsidR="002D49D9" w:rsidRPr="001F29E3" w:rsidRDefault="002D49D9" w:rsidP="002D49D9">
      <w:pPr>
        <w:spacing w:after="84"/>
        <w:rPr>
          <w:rFonts w:cs="Arial"/>
          <w:szCs w:val="19"/>
        </w:rPr>
      </w:pPr>
      <w:r w:rsidRPr="001F29E3">
        <w:rPr>
          <w:rFonts w:cs="Arial"/>
          <w:szCs w:val="19"/>
        </w:rPr>
        <w:t>The first part of this section examines top-level trends in training delivery against these categories. As only a small number of specialised occupations are not also on the skills shortages list the subsequent detailed analysis considers a combined set. The second and third parts of this section provide summary breakdowns per industry and occupation of training in the combined specialised or in shortage categories.</w:t>
      </w:r>
    </w:p>
    <w:p w:rsidR="002D49D9" w:rsidRPr="001F29E3" w:rsidRDefault="002D49D9" w:rsidP="002D49D9">
      <w:pPr>
        <w:spacing w:after="84"/>
        <w:rPr>
          <w:rFonts w:cs="Arial"/>
          <w:szCs w:val="19"/>
        </w:rPr>
      </w:pPr>
    </w:p>
    <w:p w:rsidR="002D49D9" w:rsidRPr="001F29E3" w:rsidRDefault="002D49D9" w:rsidP="002D49D9">
      <w:pPr>
        <w:spacing w:after="84"/>
        <w:rPr>
          <w:rFonts w:cs="Arial"/>
          <w:szCs w:val="19"/>
        </w:rPr>
      </w:pPr>
    </w:p>
    <w:p w:rsidR="002D49D9" w:rsidRPr="001F29E3" w:rsidRDefault="002D49D9" w:rsidP="002D49D9">
      <w:pPr>
        <w:rPr>
          <w:rFonts w:eastAsiaTheme="majorEastAsia" w:cs="Arial"/>
          <w:b/>
          <w:bCs/>
          <w:color w:val="76923C" w:themeColor="accent3" w:themeShade="BF"/>
          <w:sz w:val="26"/>
          <w:szCs w:val="26"/>
        </w:rPr>
      </w:pPr>
      <w:r w:rsidRPr="001F29E3">
        <w:rPr>
          <w:rFonts w:cs="Arial"/>
          <w:color w:val="76923C" w:themeColor="accent3" w:themeShade="BF"/>
        </w:rPr>
        <w:br w:type="page"/>
      </w:r>
      <w:bookmarkStart w:id="93" w:name="_Toc349899152"/>
    </w:p>
    <w:p w:rsidR="002D49D9" w:rsidRPr="001F29E3" w:rsidRDefault="002D49D9" w:rsidP="002D49D9">
      <w:pPr>
        <w:pStyle w:val="Heading2"/>
        <w:rPr>
          <w:rFonts w:eastAsiaTheme="majorEastAsia"/>
          <w:b/>
          <w:sz w:val="26"/>
          <w:szCs w:val="26"/>
        </w:rPr>
      </w:pPr>
      <w:bookmarkStart w:id="94" w:name="_Toc359501565"/>
      <w:r w:rsidRPr="001F29E3">
        <w:lastRenderedPageBreak/>
        <w:t>Overall Responsiveness of the Training Market</w:t>
      </w:r>
      <w:bookmarkEnd w:id="93"/>
      <w:bookmarkEnd w:id="94"/>
    </w:p>
    <w:p w:rsidR="002D49D9" w:rsidRDefault="002D49D9" w:rsidP="002D49D9">
      <w:pPr>
        <w:rPr>
          <w:rFonts w:cs="Arial"/>
          <w:szCs w:val="19"/>
        </w:rPr>
      </w:pPr>
    </w:p>
    <w:p w:rsidR="002D49D9" w:rsidRPr="001F29E3" w:rsidRDefault="002D49D9" w:rsidP="002D49D9">
      <w:pPr>
        <w:rPr>
          <w:rFonts w:cs="Arial"/>
          <w:szCs w:val="19"/>
        </w:rPr>
      </w:pPr>
      <w:r w:rsidRPr="001F29E3">
        <w:rPr>
          <w:rFonts w:cs="Arial"/>
          <w:szCs w:val="19"/>
        </w:rPr>
        <w:t>Analysis of this early data for 2013 shows a marked difference from trends observed from full-year 2011-2012. Early indications are that the deliberate policy interventions of 2012 appears to have shifted growth to those qualifications linked to specialised and in shortage occupations, and reduced growth in other qualifications (excluding foundation training).</w:t>
      </w:r>
    </w:p>
    <w:p w:rsidR="002D49D9" w:rsidRPr="001F29E3" w:rsidRDefault="002D49D9" w:rsidP="002D49D9">
      <w:pPr>
        <w:rPr>
          <w:rFonts w:cs="Arial"/>
          <w:szCs w:val="19"/>
        </w:rPr>
      </w:pPr>
      <w:r w:rsidRPr="001F29E3">
        <w:rPr>
          <w:rFonts w:cs="Arial"/>
          <w:szCs w:val="19"/>
        </w:rPr>
        <w:t xml:space="preserve">As the chart below shows, the broader context of training delivery </w:t>
      </w:r>
      <w:r>
        <w:rPr>
          <w:rFonts w:cs="Arial"/>
          <w:szCs w:val="19"/>
        </w:rPr>
        <w:t xml:space="preserve">in Q1 2013 compared to </w:t>
      </w:r>
      <w:r w:rsidRPr="001F29E3">
        <w:rPr>
          <w:rFonts w:cs="Arial"/>
          <w:szCs w:val="19"/>
        </w:rPr>
        <w:t xml:space="preserve">Q1 2012 has seen a 7 per cent decline in overall reported government </w:t>
      </w:r>
      <w:r>
        <w:rPr>
          <w:rFonts w:cs="Arial"/>
          <w:szCs w:val="19"/>
        </w:rPr>
        <w:t>subsidised</w:t>
      </w:r>
      <w:r w:rsidRPr="001F29E3">
        <w:rPr>
          <w:rFonts w:cs="Arial"/>
          <w:szCs w:val="19"/>
        </w:rPr>
        <w:t xml:space="preserve"> enrolments. Within this total, enrolments in industry specific qualifications have declined by 14%. However, this overall decrease includes a 4 per cent increase in enrolments in qualifications related to either </w:t>
      </w:r>
      <w:proofErr w:type="gramStart"/>
      <w:r w:rsidRPr="001F29E3">
        <w:rPr>
          <w:rFonts w:cs="Arial"/>
          <w:szCs w:val="19"/>
        </w:rPr>
        <w:t>specialised</w:t>
      </w:r>
      <w:proofErr w:type="gramEnd"/>
      <w:r w:rsidRPr="001F29E3">
        <w:rPr>
          <w:rFonts w:cs="Arial"/>
          <w:szCs w:val="19"/>
        </w:rPr>
        <w:t xml:space="preserve"> or in shortage occupations, providing an early indication of a potential shift in the structure of training delivery in 2013.</w:t>
      </w:r>
    </w:p>
    <w:p w:rsidR="002D49D9" w:rsidRDefault="002D49D9" w:rsidP="002D49D9">
      <w:pPr>
        <w:pStyle w:val="Caption"/>
        <w:jc w:val="left"/>
        <w:rPr>
          <w:rFonts w:cs="Arial"/>
        </w:rPr>
      </w:pPr>
    </w:p>
    <w:p w:rsidR="002D49D9" w:rsidRPr="001F29E3" w:rsidRDefault="002D49D9" w:rsidP="002D49D9">
      <w:pPr>
        <w:pStyle w:val="Caption"/>
        <w:jc w:val="left"/>
        <w:rPr>
          <w:rFonts w:cs="Arial"/>
        </w:rPr>
      </w:pPr>
      <w:proofErr w:type="gramStart"/>
      <w:r w:rsidRPr="001F29E3">
        <w:rPr>
          <w:rFonts w:cs="Arial"/>
        </w:rPr>
        <w:t xml:space="preserve">Figure </w:t>
      </w:r>
      <w:r w:rsidR="003427AB">
        <w:rPr>
          <w:rFonts w:cs="Arial"/>
        </w:rPr>
        <w:t>2</w:t>
      </w:r>
      <w:r w:rsidRPr="001F29E3">
        <w:rPr>
          <w:rFonts w:cs="Arial"/>
        </w:rPr>
        <w:t>.</w:t>
      </w:r>
      <w:proofErr w:type="gramEnd"/>
      <w:r w:rsidRPr="001F29E3">
        <w:rPr>
          <w:rFonts w:cs="Arial"/>
        </w:rPr>
        <w:fldChar w:fldCharType="begin"/>
      </w:r>
      <w:r w:rsidRPr="001F29E3">
        <w:rPr>
          <w:rFonts w:cs="Arial"/>
        </w:rPr>
        <w:instrText xml:space="preserve"> SEQ Graph \* ARABIC \s 1 </w:instrText>
      </w:r>
      <w:r w:rsidRPr="001F29E3">
        <w:rPr>
          <w:rFonts w:cs="Arial"/>
        </w:rPr>
        <w:fldChar w:fldCharType="separate"/>
      </w:r>
      <w:r w:rsidR="00F94B14">
        <w:rPr>
          <w:rFonts w:cs="Arial"/>
          <w:noProof/>
        </w:rPr>
        <w:t>1</w:t>
      </w:r>
      <w:r w:rsidRPr="001F29E3">
        <w:rPr>
          <w:rFonts w:cs="Arial"/>
          <w:noProof/>
        </w:rPr>
        <w:fldChar w:fldCharType="end"/>
      </w:r>
      <w:r w:rsidRPr="001F29E3">
        <w:rPr>
          <w:rFonts w:cs="Arial"/>
        </w:rPr>
        <w:t>: Responsiveness of training market in the context of all government subsidised training, Q1 2012</w:t>
      </w:r>
      <w:r>
        <w:rPr>
          <w:rFonts w:cs="Arial"/>
        </w:rPr>
        <w:t xml:space="preserve"> and </w:t>
      </w:r>
      <w:r>
        <w:rPr>
          <w:rFonts w:cs="Arial"/>
        </w:rPr>
        <w:br/>
      </w:r>
      <w:r w:rsidRPr="001F29E3">
        <w:rPr>
          <w:rFonts w:cs="Arial"/>
        </w:rPr>
        <w:t xml:space="preserve">Q1 </w:t>
      </w:r>
      <w:r>
        <w:rPr>
          <w:rFonts w:cs="Arial"/>
        </w:rPr>
        <w:t>2</w:t>
      </w:r>
      <w:r w:rsidRPr="001F29E3">
        <w:rPr>
          <w:rFonts w:cs="Arial"/>
        </w:rPr>
        <w:t>013</w:t>
      </w:r>
    </w:p>
    <w:p w:rsidR="002D49D9" w:rsidRPr="001F29E3" w:rsidRDefault="002D49D9" w:rsidP="002D49D9">
      <w:pPr>
        <w:rPr>
          <w:rFonts w:cs="Arial"/>
          <w:szCs w:val="19"/>
        </w:rPr>
      </w:pPr>
      <w:r w:rsidRPr="001F29E3">
        <w:rPr>
          <w:rFonts w:cs="Arial"/>
          <w:noProof/>
          <w:szCs w:val="19"/>
          <w:lang w:eastAsia="en-AU"/>
        </w:rPr>
        <w:drawing>
          <wp:inline distT="0" distB="0" distL="0" distR="0" wp14:anchorId="4D8BA630" wp14:editId="01734C05">
            <wp:extent cx="5732993" cy="3869741"/>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t="6372"/>
                    <a:stretch/>
                  </pic:blipFill>
                  <pic:spPr bwMode="auto">
                    <a:xfrm>
                      <a:off x="0" y="0"/>
                      <a:ext cx="5734050" cy="3870454"/>
                    </a:xfrm>
                    <a:prstGeom prst="rect">
                      <a:avLst/>
                    </a:prstGeom>
                    <a:noFill/>
                    <a:ln>
                      <a:noFill/>
                    </a:ln>
                    <a:extLst>
                      <a:ext uri="{53640926-AAD7-44D8-BBD7-CCE9431645EC}">
                        <a14:shadowObscured xmlns:a14="http://schemas.microsoft.com/office/drawing/2010/main"/>
                      </a:ext>
                    </a:extLst>
                  </pic:spPr>
                </pic:pic>
              </a:graphicData>
            </a:graphic>
          </wp:inline>
        </w:drawing>
      </w:r>
    </w:p>
    <w:p w:rsidR="002D49D9" w:rsidRPr="001F29E3" w:rsidRDefault="002D49D9" w:rsidP="002D49D9">
      <w:pPr>
        <w:rPr>
          <w:rFonts w:cs="Arial"/>
          <w:szCs w:val="19"/>
        </w:rPr>
      </w:pPr>
      <w:r w:rsidRPr="001F29E3">
        <w:rPr>
          <w:rFonts w:cs="Arial"/>
          <w:noProof/>
          <w:sz w:val="22"/>
          <w:szCs w:val="22"/>
          <w:lang w:eastAsia="en-AU"/>
        </w:rPr>
        <w:drawing>
          <wp:inline distT="0" distB="0" distL="0" distR="0">
            <wp:extent cx="2491740" cy="2320290"/>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91740" cy="2320290"/>
                    </a:xfrm>
                    <a:prstGeom prst="rect">
                      <a:avLst/>
                    </a:prstGeom>
                    <a:noFill/>
                  </pic:spPr>
                </pic:pic>
              </a:graphicData>
            </a:graphic>
          </wp:inline>
        </w:drawing>
      </w:r>
    </w:p>
    <w:p w:rsidR="002D49D9" w:rsidRPr="001F29E3" w:rsidRDefault="002D49D9" w:rsidP="002D49D9">
      <w:pPr>
        <w:rPr>
          <w:rFonts w:cs="Arial"/>
          <w:szCs w:val="19"/>
        </w:rPr>
      </w:pPr>
      <w:r w:rsidRPr="001F29E3">
        <w:rPr>
          <w:rFonts w:cs="Arial"/>
          <w:szCs w:val="19"/>
        </w:rPr>
        <w:t xml:space="preserve">Training against the combined set of specialised or in shortage occupations now represents 40 per cent of all industry-specific qualifications (see chart </w:t>
      </w:r>
      <w:r w:rsidR="00F933D5">
        <w:rPr>
          <w:rFonts w:cs="Arial"/>
          <w:szCs w:val="19"/>
        </w:rPr>
        <w:t>above</w:t>
      </w:r>
      <w:r w:rsidRPr="001F29E3">
        <w:rPr>
          <w:rFonts w:cs="Arial"/>
          <w:szCs w:val="19"/>
        </w:rPr>
        <w:t>), a significant increase from 33 per cent in the first quarter of 2012.</w:t>
      </w:r>
    </w:p>
    <w:p w:rsidR="002D49D9" w:rsidRPr="00D70734" w:rsidRDefault="002D49D9" w:rsidP="00D70734">
      <w:pPr>
        <w:rPr>
          <w:rFonts w:cs="Arial"/>
          <w:szCs w:val="19"/>
        </w:rPr>
      </w:pPr>
      <w:r w:rsidRPr="001F29E3">
        <w:rPr>
          <w:rFonts w:cs="Arial"/>
          <w:szCs w:val="19"/>
        </w:rPr>
        <w:lastRenderedPageBreak/>
        <w:t>The following tables show the number and percentage change against the four categories of training market responsiveness, as well as the comparison category 'Industry-specific qualifications’, for reported enrolments and student contact hours. In the first quarter of 2013 there was an increase in training against both specialised and in shortage occupations compared to the same period in 2012.</w:t>
      </w:r>
    </w:p>
    <w:p w:rsidR="002D49D9" w:rsidRDefault="002D49D9" w:rsidP="002D49D9"/>
    <w:p w:rsidR="002D49D9" w:rsidRPr="001F29E3" w:rsidRDefault="002D49D9" w:rsidP="002D49D9">
      <w:pPr>
        <w:pStyle w:val="Caption"/>
        <w:jc w:val="left"/>
        <w:rPr>
          <w:rFonts w:cs="Arial"/>
        </w:rPr>
      </w:pPr>
      <w:proofErr w:type="gramStart"/>
      <w:r w:rsidRPr="001F29E3">
        <w:rPr>
          <w:rFonts w:cs="Arial"/>
        </w:rPr>
        <w:t xml:space="preserve">Table </w:t>
      </w:r>
      <w:r w:rsidR="003427AB">
        <w:rPr>
          <w:rFonts w:cs="Arial"/>
        </w:rPr>
        <w:t>2</w:t>
      </w:r>
      <w:r w:rsidRPr="001F29E3">
        <w:rPr>
          <w:rFonts w:cs="Arial"/>
        </w:rPr>
        <w:t>.</w:t>
      </w:r>
      <w:proofErr w:type="gramEnd"/>
      <w:r w:rsidRPr="001F29E3">
        <w:rPr>
          <w:rFonts w:cs="Arial"/>
        </w:rPr>
        <w:fldChar w:fldCharType="begin"/>
      </w:r>
      <w:r w:rsidRPr="001F29E3">
        <w:rPr>
          <w:rFonts w:cs="Arial"/>
        </w:rPr>
        <w:instrText xml:space="preserve"> SEQ Table \* ARABIC \s 1 </w:instrText>
      </w:r>
      <w:r w:rsidRPr="001F29E3">
        <w:rPr>
          <w:rFonts w:cs="Arial"/>
        </w:rPr>
        <w:fldChar w:fldCharType="separate"/>
      </w:r>
      <w:r w:rsidR="00F94B14">
        <w:rPr>
          <w:rFonts w:cs="Arial"/>
          <w:noProof/>
        </w:rPr>
        <w:t>1</w:t>
      </w:r>
      <w:r w:rsidRPr="001F29E3">
        <w:rPr>
          <w:rFonts w:cs="Arial"/>
          <w:noProof/>
        </w:rPr>
        <w:fldChar w:fldCharType="end"/>
      </w:r>
      <w:r w:rsidRPr="001F29E3">
        <w:rPr>
          <w:rFonts w:cs="Arial"/>
        </w:rPr>
        <w:t xml:space="preserve">: </w:t>
      </w:r>
      <w:r>
        <w:rPr>
          <w:rFonts w:cs="Arial"/>
        </w:rPr>
        <w:t>G</w:t>
      </w:r>
      <w:r w:rsidRPr="001F29E3">
        <w:rPr>
          <w:rFonts w:cs="Arial"/>
        </w:rPr>
        <w:t xml:space="preserve">overnment subsidised enrolments </w:t>
      </w:r>
      <w:r>
        <w:rPr>
          <w:rFonts w:cs="Arial"/>
        </w:rPr>
        <w:t xml:space="preserve">and student contact hours </w:t>
      </w:r>
      <w:r w:rsidRPr="001F29E3">
        <w:rPr>
          <w:rFonts w:cs="Arial"/>
        </w:rPr>
        <w:t>by responsiveness category</w:t>
      </w:r>
      <w:r>
        <w:rPr>
          <w:rFonts w:cs="Arial"/>
        </w:rPr>
        <w:t xml:space="preserve">, 2008–2012, </w:t>
      </w:r>
      <w:r>
        <w:rPr>
          <w:rFonts w:cs="Arial"/>
        </w:rPr>
        <w:br/>
        <w:t>Q1 2012 and Q1 2013</w:t>
      </w:r>
      <w:r w:rsidRPr="001F29E3">
        <w:rPr>
          <w:rFonts w:cs="Arial"/>
        </w:rPr>
        <w:t xml:space="preserve"> </w:t>
      </w:r>
    </w:p>
    <w:tbl>
      <w:tblPr>
        <w:tblW w:w="9096" w:type="dxa"/>
        <w:tblInd w:w="93" w:type="dxa"/>
        <w:tblLook w:val="04A0" w:firstRow="1" w:lastRow="0" w:firstColumn="1" w:lastColumn="0" w:noHBand="0" w:noVBand="1"/>
      </w:tblPr>
      <w:tblGrid>
        <w:gridCol w:w="1409"/>
        <w:gridCol w:w="795"/>
        <w:gridCol w:w="795"/>
        <w:gridCol w:w="795"/>
        <w:gridCol w:w="795"/>
        <w:gridCol w:w="795"/>
        <w:gridCol w:w="868"/>
        <w:gridCol w:w="795"/>
        <w:gridCol w:w="795"/>
        <w:gridCol w:w="1254"/>
      </w:tblGrid>
      <w:tr w:rsidR="002D49D9" w:rsidRPr="001F29E3" w:rsidTr="001F3AE1">
        <w:trPr>
          <w:trHeight w:val="225"/>
        </w:trPr>
        <w:tc>
          <w:tcPr>
            <w:tcW w:w="9096" w:type="dxa"/>
            <w:gridSpan w:val="10"/>
            <w:tcBorders>
              <w:top w:val="single" w:sz="4" w:space="0" w:color="9BBB59"/>
              <w:left w:val="single" w:sz="4" w:space="0" w:color="9BBB59"/>
              <w:bottom w:val="single" w:sz="4" w:space="0" w:color="9BBB59"/>
              <w:right w:val="single" w:sz="4" w:space="0" w:color="9BBB59"/>
            </w:tcBorders>
            <w:shd w:val="clear" w:color="auto" w:fill="76933C"/>
            <w:noWrap/>
            <w:vAlign w:val="bottom"/>
            <w:hideMark/>
          </w:tcPr>
          <w:p w:rsidR="002D49D9" w:rsidRPr="001F29E3" w:rsidRDefault="002D49D9" w:rsidP="001F3AE1">
            <w:pPr>
              <w:spacing w:after="0" w:line="240" w:lineRule="auto"/>
              <w:jc w:val="center"/>
              <w:rPr>
                <w:rFonts w:cs="Arial"/>
                <w:b/>
                <w:bCs/>
                <w:color w:val="FFFFFF"/>
                <w:sz w:val="20"/>
                <w:szCs w:val="16"/>
                <w:lang w:eastAsia="en-AU"/>
              </w:rPr>
            </w:pPr>
            <w:r w:rsidRPr="001F29E3">
              <w:rPr>
                <w:rFonts w:cs="Arial"/>
                <w:b/>
                <w:bCs/>
                <w:color w:val="FFFFFF"/>
                <w:sz w:val="20"/>
                <w:szCs w:val="16"/>
                <w:lang w:eastAsia="en-AU"/>
              </w:rPr>
              <w:t>All Industry Specific</w:t>
            </w:r>
          </w:p>
        </w:tc>
      </w:tr>
      <w:tr w:rsidR="002D49D9" w:rsidRPr="001F29E3" w:rsidTr="001F3AE1">
        <w:trPr>
          <w:trHeight w:val="450"/>
        </w:trPr>
        <w:tc>
          <w:tcPr>
            <w:tcW w:w="1409" w:type="dxa"/>
            <w:tcBorders>
              <w:top w:val="nil"/>
              <w:left w:val="single" w:sz="4" w:space="0" w:color="9BBB59"/>
              <w:bottom w:val="single" w:sz="4" w:space="0" w:color="76933C"/>
              <w:right w:val="nil"/>
            </w:tcBorders>
            <w:shd w:val="clear" w:color="auto" w:fill="9BBB59"/>
            <w:noWrap/>
            <w:vAlign w:val="bottom"/>
            <w:hideMark/>
          </w:tcPr>
          <w:p w:rsidR="002D49D9" w:rsidRPr="001F29E3" w:rsidRDefault="002D49D9" w:rsidP="001F3AE1">
            <w:pPr>
              <w:spacing w:after="0" w:line="240" w:lineRule="auto"/>
              <w:rPr>
                <w:rFonts w:cs="Arial"/>
                <w:color w:val="FFFFFF"/>
                <w:sz w:val="16"/>
                <w:szCs w:val="16"/>
                <w:lang w:eastAsia="en-AU"/>
              </w:rPr>
            </w:pPr>
            <w:r w:rsidRPr="001F29E3">
              <w:rPr>
                <w:rFonts w:cs="Arial"/>
                <w:color w:val="FFFFFF"/>
                <w:sz w:val="16"/>
                <w:szCs w:val="16"/>
                <w:lang w:eastAsia="en-AU"/>
              </w:rPr>
              <w:t> </w:t>
            </w:r>
          </w:p>
        </w:tc>
        <w:tc>
          <w:tcPr>
            <w:tcW w:w="795" w:type="dxa"/>
            <w:tcBorders>
              <w:top w:val="nil"/>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2008</w:t>
            </w:r>
          </w:p>
        </w:tc>
        <w:tc>
          <w:tcPr>
            <w:tcW w:w="795" w:type="dxa"/>
            <w:tcBorders>
              <w:top w:val="nil"/>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2009</w:t>
            </w:r>
          </w:p>
        </w:tc>
        <w:tc>
          <w:tcPr>
            <w:tcW w:w="795" w:type="dxa"/>
            <w:tcBorders>
              <w:top w:val="nil"/>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2010</w:t>
            </w:r>
          </w:p>
        </w:tc>
        <w:tc>
          <w:tcPr>
            <w:tcW w:w="795" w:type="dxa"/>
            <w:tcBorders>
              <w:top w:val="nil"/>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2011</w:t>
            </w:r>
          </w:p>
        </w:tc>
        <w:tc>
          <w:tcPr>
            <w:tcW w:w="795" w:type="dxa"/>
            <w:tcBorders>
              <w:top w:val="nil"/>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2012</w:t>
            </w:r>
          </w:p>
        </w:tc>
        <w:tc>
          <w:tcPr>
            <w:tcW w:w="868" w:type="dxa"/>
            <w:tcBorders>
              <w:top w:val="nil"/>
              <w:left w:val="nil"/>
              <w:bottom w:val="single" w:sz="4" w:space="0" w:color="76933C"/>
              <w:right w:val="nil"/>
            </w:tcBorders>
            <w:shd w:val="clear" w:color="auto" w:fill="9BBB59"/>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 2008 - 2012</w:t>
            </w:r>
          </w:p>
        </w:tc>
        <w:tc>
          <w:tcPr>
            <w:tcW w:w="795" w:type="dxa"/>
            <w:tcBorders>
              <w:top w:val="nil"/>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b/>
                <w:color w:val="FFFFFF"/>
                <w:sz w:val="16"/>
                <w:szCs w:val="16"/>
                <w:lang w:eastAsia="en-AU"/>
              </w:rPr>
            </w:pPr>
            <w:r w:rsidRPr="001F29E3">
              <w:rPr>
                <w:rFonts w:cs="Arial"/>
                <w:b/>
                <w:color w:val="FFFFFF"/>
                <w:sz w:val="16"/>
                <w:szCs w:val="16"/>
                <w:lang w:eastAsia="en-AU"/>
              </w:rPr>
              <w:t>Q1 2012</w:t>
            </w:r>
          </w:p>
        </w:tc>
        <w:tc>
          <w:tcPr>
            <w:tcW w:w="795" w:type="dxa"/>
            <w:tcBorders>
              <w:top w:val="nil"/>
              <w:left w:val="nil"/>
              <w:bottom w:val="single" w:sz="4" w:space="0" w:color="76933C"/>
              <w:right w:val="single" w:sz="4" w:space="0" w:color="9BBB59"/>
            </w:tcBorders>
            <w:shd w:val="clear" w:color="auto" w:fill="9BBB59"/>
            <w:noWrap/>
            <w:vAlign w:val="bottom"/>
            <w:hideMark/>
          </w:tcPr>
          <w:p w:rsidR="002D49D9" w:rsidRPr="001F29E3" w:rsidRDefault="002D49D9" w:rsidP="001F3AE1">
            <w:pPr>
              <w:spacing w:after="0" w:line="240" w:lineRule="auto"/>
              <w:jc w:val="center"/>
              <w:rPr>
                <w:rFonts w:cs="Arial"/>
                <w:b/>
                <w:color w:val="FFFFFF"/>
                <w:sz w:val="16"/>
                <w:szCs w:val="16"/>
                <w:lang w:eastAsia="en-AU"/>
              </w:rPr>
            </w:pPr>
            <w:r w:rsidRPr="001F29E3">
              <w:rPr>
                <w:rFonts w:cs="Arial"/>
                <w:b/>
                <w:color w:val="FFFFFF"/>
                <w:sz w:val="16"/>
                <w:szCs w:val="16"/>
                <w:lang w:eastAsia="en-AU"/>
              </w:rPr>
              <w:t>Q1 2013</w:t>
            </w:r>
          </w:p>
        </w:tc>
        <w:tc>
          <w:tcPr>
            <w:tcW w:w="1254" w:type="dxa"/>
            <w:tcBorders>
              <w:top w:val="nil"/>
              <w:left w:val="nil"/>
              <w:bottom w:val="single" w:sz="4" w:space="0" w:color="76933C"/>
              <w:right w:val="single" w:sz="4" w:space="0" w:color="9BBB59"/>
            </w:tcBorders>
            <w:shd w:val="clear" w:color="auto" w:fill="9BBB59"/>
            <w:vAlign w:val="bottom"/>
            <w:hideMark/>
          </w:tcPr>
          <w:p w:rsidR="002D49D9" w:rsidRPr="001F29E3" w:rsidRDefault="002D49D9" w:rsidP="001F3AE1">
            <w:pPr>
              <w:spacing w:after="0" w:line="240" w:lineRule="auto"/>
              <w:jc w:val="center"/>
              <w:rPr>
                <w:rFonts w:cs="Arial"/>
                <w:b/>
                <w:color w:val="FFFFFF"/>
                <w:sz w:val="16"/>
                <w:szCs w:val="16"/>
                <w:lang w:eastAsia="en-AU"/>
              </w:rPr>
            </w:pPr>
            <w:r w:rsidRPr="001F29E3">
              <w:rPr>
                <w:rFonts w:cs="Arial"/>
                <w:b/>
                <w:color w:val="FFFFFF"/>
                <w:sz w:val="16"/>
                <w:szCs w:val="16"/>
                <w:lang w:eastAsia="en-AU"/>
              </w:rPr>
              <w:t>% Q1 2012 - Q1 2013</w:t>
            </w:r>
          </w:p>
        </w:tc>
      </w:tr>
      <w:tr w:rsidR="002D49D9" w:rsidRPr="001F29E3" w:rsidTr="001F3AE1">
        <w:trPr>
          <w:trHeight w:val="225"/>
        </w:trPr>
        <w:tc>
          <w:tcPr>
            <w:tcW w:w="1409" w:type="dxa"/>
            <w:tcBorders>
              <w:top w:val="nil"/>
              <w:left w:val="single" w:sz="4" w:space="0" w:color="76933C"/>
              <w:bottom w:val="single" w:sz="4" w:space="0" w:color="76933C"/>
              <w:right w:val="nil"/>
            </w:tcBorders>
            <w:noWrap/>
            <w:vAlign w:val="bottom"/>
            <w:hideMark/>
          </w:tcPr>
          <w:p w:rsidR="002D49D9" w:rsidRPr="001F29E3" w:rsidRDefault="002D49D9" w:rsidP="001F3AE1">
            <w:pPr>
              <w:spacing w:after="0" w:line="240" w:lineRule="auto"/>
              <w:rPr>
                <w:rFonts w:cs="Arial"/>
                <w:b/>
                <w:bCs/>
                <w:color w:val="76933C"/>
                <w:sz w:val="16"/>
                <w:szCs w:val="16"/>
                <w:lang w:eastAsia="en-AU"/>
              </w:rPr>
            </w:pPr>
            <w:r w:rsidRPr="001F29E3">
              <w:rPr>
                <w:rFonts w:cs="Arial"/>
                <w:b/>
                <w:bCs/>
                <w:color w:val="76933C"/>
                <w:sz w:val="16"/>
                <w:szCs w:val="16"/>
                <w:lang w:eastAsia="en-AU"/>
              </w:rPr>
              <w:t>Enrolments</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276,400</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285,500</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337,100</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443,500</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506,000</w:t>
            </w:r>
          </w:p>
        </w:tc>
        <w:tc>
          <w:tcPr>
            <w:tcW w:w="868" w:type="dxa"/>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83%</w:t>
            </w:r>
          </w:p>
        </w:tc>
        <w:tc>
          <w:tcPr>
            <w:tcW w:w="795" w:type="dxa"/>
            <w:tcBorders>
              <w:top w:val="single" w:sz="4" w:space="0" w:color="76933C"/>
              <w:left w:val="single" w:sz="4" w:space="0" w:color="76933C"/>
              <w:bottom w:val="single" w:sz="4" w:space="0" w:color="76933C"/>
              <w:right w:val="nil"/>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246,500</w:t>
            </w:r>
          </w:p>
        </w:tc>
        <w:tc>
          <w:tcPr>
            <w:tcW w:w="7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212,000</w:t>
            </w:r>
          </w:p>
        </w:tc>
        <w:tc>
          <w:tcPr>
            <w:tcW w:w="1254" w:type="dxa"/>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-14%</w:t>
            </w:r>
          </w:p>
        </w:tc>
      </w:tr>
      <w:tr w:rsidR="002D49D9" w:rsidRPr="001F29E3" w:rsidTr="001F3AE1">
        <w:trPr>
          <w:trHeight w:val="225"/>
        </w:trPr>
        <w:tc>
          <w:tcPr>
            <w:tcW w:w="1409" w:type="dxa"/>
            <w:tcBorders>
              <w:top w:val="nil"/>
              <w:left w:val="single" w:sz="4" w:space="0" w:color="76933C"/>
              <w:bottom w:val="single" w:sz="4" w:space="0" w:color="76933C"/>
              <w:right w:val="nil"/>
            </w:tcBorders>
            <w:noWrap/>
            <w:vAlign w:val="bottom"/>
            <w:hideMark/>
          </w:tcPr>
          <w:p w:rsidR="002D49D9" w:rsidRPr="001F29E3" w:rsidRDefault="002D49D9" w:rsidP="001F3AE1">
            <w:pPr>
              <w:spacing w:after="0" w:line="240" w:lineRule="auto"/>
              <w:rPr>
                <w:rFonts w:cs="Arial"/>
                <w:b/>
                <w:bCs/>
                <w:color w:val="76933C"/>
                <w:sz w:val="16"/>
                <w:szCs w:val="16"/>
                <w:lang w:eastAsia="en-AU"/>
              </w:rPr>
            </w:pPr>
            <w:r w:rsidRPr="001F29E3">
              <w:rPr>
                <w:rFonts w:cs="Arial"/>
                <w:b/>
                <w:bCs/>
                <w:color w:val="76933C"/>
                <w:sz w:val="16"/>
                <w:szCs w:val="16"/>
                <w:lang w:eastAsia="en-AU"/>
              </w:rPr>
              <w:t xml:space="preserve">Hours </w:t>
            </w:r>
            <w:r w:rsidRPr="001F29E3">
              <w:rPr>
                <w:rFonts w:cs="Arial"/>
                <w:color w:val="76933C"/>
                <w:sz w:val="16"/>
                <w:szCs w:val="16"/>
                <w:lang w:eastAsia="en-AU"/>
              </w:rPr>
              <w:t>(millions)</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75.2</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82.7</w:t>
            </w:r>
          </w:p>
        </w:tc>
        <w:tc>
          <w:tcPr>
            <w:tcW w:w="795" w:type="dxa"/>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100.3</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130.1</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164.2</w:t>
            </w:r>
          </w:p>
        </w:tc>
        <w:tc>
          <w:tcPr>
            <w:tcW w:w="868" w:type="dxa"/>
            <w:tcBorders>
              <w:top w:val="nil"/>
              <w:left w:val="nil"/>
              <w:bottom w:val="nil"/>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118%</w:t>
            </w:r>
          </w:p>
        </w:tc>
        <w:tc>
          <w:tcPr>
            <w:tcW w:w="795" w:type="dxa"/>
            <w:tcBorders>
              <w:top w:val="single" w:sz="4" w:space="0" w:color="76933C"/>
              <w:left w:val="single" w:sz="4" w:space="0" w:color="76933C"/>
              <w:bottom w:val="single" w:sz="4" w:space="0" w:color="76933C"/>
              <w:right w:val="nil"/>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77.5</w:t>
            </w:r>
          </w:p>
        </w:tc>
        <w:tc>
          <w:tcPr>
            <w:tcW w:w="7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70.0</w:t>
            </w:r>
          </w:p>
        </w:tc>
        <w:tc>
          <w:tcPr>
            <w:tcW w:w="1254" w:type="dxa"/>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-10%</w:t>
            </w:r>
          </w:p>
        </w:tc>
      </w:tr>
      <w:tr w:rsidR="002D49D9" w:rsidRPr="001F29E3" w:rsidTr="001F3AE1">
        <w:trPr>
          <w:trHeight w:val="225"/>
        </w:trPr>
        <w:tc>
          <w:tcPr>
            <w:tcW w:w="1409" w:type="dxa"/>
            <w:noWrap/>
            <w:vAlign w:val="bottom"/>
            <w:hideMark/>
          </w:tcPr>
          <w:p w:rsidR="002D49D9" w:rsidRPr="001F29E3" w:rsidRDefault="002D49D9" w:rsidP="001F3AE1">
            <w:pPr>
              <w:spacing w:after="0" w:line="276" w:lineRule="auto"/>
              <w:rPr>
                <w:rFonts w:cs="Arial"/>
                <w:sz w:val="22"/>
                <w:szCs w:val="22"/>
              </w:rPr>
            </w:pPr>
          </w:p>
        </w:tc>
        <w:tc>
          <w:tcPr>
            <w:tcW w:w="795" w:type="dxa"/>
            <w:noWrap/>
            <w:vAlign w:val="bottom"/>
            <w:hideMark/>
          </w:tcPr>
          <w:p w:rsidR="002D49D9" w:rsidRPr="001F29E3" w:rsidRDefault="002D49D9" w:rsidP="001F3AE1">
            <w:pPr>
              <w:spacing w:after="0" w:line="276" w:lineRule="auto"/>
              <w:rPr>
                <w:rFonts w:cs="Arial"/>
                <w:sz w:val="22"/>
                <w:szCs w:val="22"/>
              </w:rPr>
            </w:pPr>
          </w:p>
        </w:tc>
        <w:tc>
          <w:tcPr>
            <w:tcW w:w="795" w:type="dxa"/>
            <w:noWrap/>
            <w:vAlign w:val="bottom"/>
            <w:hideMark/>
          </w:tcPr>
          <w:p w:rsidR="002D49D9" w:rsidRPr="001F29E3" w:rsidRDefault="002D49D9" w:rsidP="001F3AE1">
            <w:pPr>
              <w:spacing w:after="0" w:line="276" w:lineRule="auto"/>
              <w:rPr>
                <w:rFonts w:cs="Arial"/>
                <w:sz w:val="22"/>
                <w:szCs w:val="22"/>
              </w:rPr>
            </w:pPr>
          </w:p>
        </w:tc>
        <w:tc>
          <w:tcPr>
            <w:tcW w:w="795" w:type="dxa"/>
            <w:tcBorders>
              <w:top w:val="single" w:sz="4" w:space="0" w:color="76933C"/>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c>
          <w:tcPr>
            <w:tcW w:w="795" w:type="dxa"/>
            <w:noWrap/>
            <w:vAlign w:val="bottom"/>
            <w:hideMark/>
          </w:tcPr>
          <w:p w:rsidR="002D49D9" w:rsidRPr="001F29E3" w:rsidRDefault="002D49D9" w:rsidP="001F3AE1">
            <w:pPr>
              <w:spacing w:after="0" w:line="276" w:lineRule="auto"/>
              <w:rPr>
                <w:rFonts w:cs="Arial"/>
                <w:sz w:val="22"/>
                <w:szCs w:val="22"/>
              </w:rPr>
            </w:pPr>
          </w:p>
        </w:tc>
        <w:tc>
          <w:tcPr>
            <w:tcW w:w="795" w:type="dxa"/>
            <w:noWrap/>
            <w:vAlign w:val="bottom"/>
            <w:hideMark/>
          </w:tcPr>
          <w:p w:rsidR="002D49D9" w:rsidRPr="001F29E3" w:rsidRDefault="002D49D9" w:rsidP="001F3AE1">
            <w:pPr>
              <w:spacing w:after="0" w:line="276" w:lineRule="auto"/>
              <w:rPr>
                <w:rFonts w:cs="Arial"/>
                <w:sz w:val="22"/>
                <w:szCs w:val="22"/>
              </w:rPr>
            </w:pPr>
          </w:p>
        </w:tc>
        <w:tc>
          <w:tcPr>
            <w:tcW w:w="868" w:type="dxa"/>
            <w:tcBorders>
              <w:top w:val="single" w:sz="4" w:space="0" w:color="76933C"/>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c>
          <w:tcPr>
            <w:tcW w:w="795" w:type="dxa"/>
            <w:noWrap/>
            <w:vAlign w:val="bottom"/>
            <w:hideMark/>
          </w:tcPr>
          <w:p w:rsidR="002D49D9" w:rsidRPr="001F29E3" w:rsidRDefault="002D49D9" w:rsidP="001F3AE1">
            <w:pPr>
              <w:spacing w:after="0" w:line="276" w:lineRule="auto"/>
              <w:rPr>
                <w:rFonts w:cs="Arial"/>
                <w:sz w:val="22"/>
                <w:szCs w:val="22"/>
              </w:rPr>
            </w:pPr>
          </w:p>
        </w:tc>
        <w:tc>
          <w:tcPr>
            <w:tcW w:w="795" w:type="dxa"/>
            <w:noWrap/>
            <w:vAlign w:val="bottom"/>
            <w:hideMark/>
          </w:tcPr>
          <w:p w:rsidR="002D49D9" w:rsidRPr="001F29E3" w:rsidRDefault="002D49D9" w:rsidP="001F3AE1">
            <w:pPr>
              <w:spacing w:after="0" w:line="276" w:lineRule="auto"/>
              <w:rPr>
                <w:rFonts w:cs="Arial"/>
                <w:sz w:val="22"/>
                <w:szCs w:val="22"/>
              </w:rPr>
            </w:pPr>
          </w:p>
        </w:tc>
        <w:tc>
          <w:tcPr>
            <w:tcW w:w="1254" w:type="dxa"/>
            <w:noWrap/>
            <w:vAlign w:val="bottom"/>
            <w:hideMark/>
          </w:tcPr>
          <w:p w:rsidR="002D49D9" w:rsidRPr="001F29E3" w:rsidRDefault="002D49D9" w:rsidP="001F3AE1">
            <w:pPr>
              <w:spacing w:after="0" w:line="276" w:lineRule="auto"/>
              <w:rPr>
                <w:rFonts w:cs="Arial"/>
                <w:sz w:val="22"/>
                <w:szCs w:val="22"/>
              </w:rPr>
            </w:pPr>
          </w:p>
        </w:tc>
      </w:tr>
      <w:tr w:rsidR="002D49D9" w:rsidRPr="001F29E3" w:rsidTr="001F3AE1">
        <w:trPr>
          <w:trHeight w:val="225"/>
        </w:trPr>
        <w:tc>
          <w:tcPr>
            <w:tcW w:w="9096" w:type="dxa"/>
            <w:gridSpan w:val="10"/>
            <w:tcBorders>
              <w:top w:val="single" w:sz="4" w:space="0" w:color="9BBB59"/>
              <w:left w:val="single" w:sz="4" w:space="0" w:color="9BBB59"/>
              <w:bottom w:val="single" w:sz="4" w:space="0" w:color="9BBB59"/>
              <w:right w:val="single" w:sz="4" w:space="0" w:color="9BBB59"/>
            </w:tcBorders>
            <w:shd w:val="clear" w:color="auto" w:fill="76933C"/>
            <w:noWrap/>
            <w:vAlign w:val="bottom"/>
            <w:hideMark/>
          </w:tcPr>
          <w:p w:rsidR="002D49D9" w:rsidRPr="001F29E3" w:rsidRDefault="002D49D9" w:rsidP="001F3AE1">
            <w:pPr>
              <w:spacing w:after="0" w:line="240" w:lineRule="auto"/>
              <w:jc w:val="center"/>
              <w:rPr>
                <w:rFonts w:cs="Arial"/>
                <w:b/>
                <w:bCs/>
                <w:color w:val="FFFFFF"/>
                <w:sz w:val="20"/>
                <w:szCs w:val="16"/>
                <w:lang w:eastAsia="en-AU"/>
              </w:rPr>
            </w:pPr>
            <w:r w:rsidRPr="001F29E3">
              <w:rPr>
                <w:rFonts w:cs="Arial"/>
                <w:b/>
                <w:bCs/>
                <w:color w:val="FFFFFF"/>
                <w:sz w:val="20"/>
                <w:szCs w:val="16"/>
                <w:lang w:eastAsia="en-AU"/>
              </w:rPr>
              <w:t>Specialised</w:t>
            </w:r>
          </w:p>
        </w:tc>
      </w:tr>
      <w:tr w:rsidR="002D49D9" w:rsidRPr="001F29E3" w:rsidTr="001F3AE1">
        <w:trPr>
          <w:trHeight w:val="450"/>
        </w:trPr>
        <w:tc>
          <w:tcPr>
            <w:tcW w:w="1409" w:type="dxa"/>
            <w:tcBorders>
              <w:top w:val="nil"/>
              <w:left w:val="single" w:sz="4" w:space="0" w:color="9BBB59"/>
              <w:bottom w:val="single" w:sz="4" w:space="0" w:color="76933C"/>
              <w:right w:val="nil"/>
            </w:tcBorders>
            <w:shd w:val="clear" w:color="auto" w:fill="9BBB59"/>
            <w:noWrap/>
            <w:vAlign w:val="bottom"/>
            <w:hideMark/>
          </w:tcPr>
          <w:p w:rsidR="002D49D9" w:rsidRPr="001F29E3" w:rsidRDefault="002D49D9" w:rsidP="001F3AE1">
            <w:pPr>
              <w:spacing w:after="0" w:line="240" w:lineRule="auto"/>
              <w:rPr>
                <w:rFonts w:cs="Arial"/>
                <w:color w:val="FFFFFF"/>
                <w:sz w:val="16"/>
                <w:szCs w:val="16"/>
                <w:lang w:eastAsia="en-AU"/>
              </w:rPr>
            </w:pPr>
            <w:r w:rsidRPr="001F29E3">
              <w:rPr>
                <w:rFonts w:cs="Arial"/>
                <w:color w:val="FFFFFF"/>
                <w:sz w:val="16"/>
                <w:szCs w:val="16"/>
                <w:lang w:eastAsia="en-AU"/>
              </w:rPr>
              <w:t> </w:t>
            </w:r>
          </w:p>
        </w:tc>
        <w:tc>
          <w:tcPr>
            <w:tcW w:w="795" w:type="dxa"/>
            <w:tcBorders>
              <w:top w:val="nil"/>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2008</w:t>
            </w:r>
          </w:p>
        </w:tc>
        <w:tc>
          <w:tcPr>
            <w:tcW w:w="795" w:type="dxa"/>
            <w:tcBorders>
              <w:top w:val="nil"/>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2009</w:t>
            </w:r>
          </w:p>
        </w:tc>
        <w:tc>
          <w:tcPr>
            <w:tcW w:w="795" w:type="dxa"/>
            <w:tcBorders>
              <w:top w:val="nil"/>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2010</w:t>
            </w:r>
          </w:p>
        </w:tc>
        <w:tc>
          <w:tcPr>
            <w:tcW w:w="795" w:type="dxa"/>
            <w:tcBorders>
              <w:top w:val="nil"/>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2011</w:t>
            </w:r>
          </w:p>
        </w:tc>
        <w:tc>
          <w:tcPr>
            <w:tcW w:w="795" w:type="dxa"/>
            <w:tcBorders>
              <w:top w:val="nil"/>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2012</w:t>
            </w:r>
          </w:p>
        </w:tc>
        <w:tc>
          <w:tcPr>
            <w:tcW w:w="868" w:type="dxa"/>
            <w:tcBorders>
              <w:top w:val="nil"/>
              <w:left w:val="nil"/>
              <w:bottom w:val="single" w:sz="4" w:space="0" w:color="76933C"/>
              <w:right w:val="nil"/>
            </w:tcBorders>
            <w:shd w:val="clear" w:color="auto" w:fill="9BBB59"/>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 2008 - 2012</w:t>
            </w:r>
          </w:p>
        </w:tc>
        <w:tc>
          <w:tcPr>
            <w:tcW w:w="795" w:type="dxa"/>
            <w:tcBorders>
              <w:top w:val="nil"/>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b/>
                <w:color w:val="FFFFFF"/>
                <w:sz w:val="16"/>
                <w:szCs w:val="16"/>
                <w:lang w:eastAsia="en-AU"/>
              </w:rPr>
            </w:pPr>
            <w:r w:rsidRPr="001F29E3">
              <w:rPr>
                <w:rFonts w:cs="Arial"/>
                <w:b/>
                <w:color w:val="FFFFFF"/>
                <w:sz w:val="16"/>
                <w:szCs w:val="16"/>
                <w:lang w:eastAsia="en-AU"/>
              </w:rPr>
              <w:t>Q1 2012</w:t>
            </w:r>
          </w:p>
        </w:tc>
        <w:tc>
          <w:tcPr>
            <w:tcW w:w="795" w:type="dxa"/>
            <w:tcBorders>
              <w:top w:val="nil"/>
              <w:left w:val="nil"/>
              <w:bottom w:val="single" w:sz="4" w:space="0" w:color="76933C"/>
              <w:right w:val="single" w:sz="4" w:space="0" w:color="9BBB59"/>
            </w:tcBorders>
            <w:shd w:val="clear" w:color="auto" w:fill="9BBB59"/>
            <w:noWrap/>
            <w:vAlign w:val="bottom"/>
            <w:hideMark/>
          </w:tcPr>
          <w:p w:rsidR="002D49D9" w:rsidRPr="001F29E3" w:rsidRDefault="002D49D9" w:rsidP="001F3AE1">
            <w:pPr>
              <w:spacing w:after="0" w:line="240" w:lineRule="auto"/>
              <w:jc w:val="center"/>
              <w:rPr>
                <w:rFonts w:cs="Arial"/>
                <w:b/>
                <w:color w:val="FFFFFF"/>
                <w:sz w:val="16"/>
                <w:szCs w:val="16"/>
                <w:lang w:eastAsia="en-AU"/>
              </w:rPr>
            </w:pPr>
            <w:r w:rsidRPr="001F29E3">
              <w:rPr>
                <w:rFonts w:cs="Arial"/>
                <w:b/>
                <w:color w:val="FFFFFF"/>
                <w:sz w:val="16"/>
                <w:szCs w:val="16"/>
                <w:lang w:eastAsia="en-AU"/>
              </w:rPr>
              <w:t>Q1 2013</w:t>
            </w:r>
          </w:p>
        </w:tc>
        <w:tc>
          <w:tcPr>
            <w:tcW w:w="1254" w:type="dxa"/>
            <w:tcBorders>
              <w:top w:val="nil"/>
              <w:left w:val="nil"/>
              <w:bottom w:val="single" w:sz="4" w:space="0" w:color="76933C"/>
              <w:right w:val="single" w:sz="4" w:space="0" w:color="9BBB59"/>
            </w:tcBorders>
            <w:shd w:val="clear" w:color="auto" w:fill="9BBB59"/>
            <w:vAlign w:val="bottom"/>
            <w:hideMark/>
          </w:tcPr>
          <w:p w:rsidR="002D49D9" w:rsidRPr="001F29E3" w:rsidRDefault="002D49D9" w:rsidP="001F3AE1">
            <w:pPr>
              <w:spacing w:after="0" w:line="240" w:lineRule="auto"/>
              <w:jc w:val="center"/>
              <w:rPr>
                <w:rFonts w:cs="Arial"/>
                <w:b/>
                <w:color w:val="FFFFFF"/>
                <w:sz w:val="16"/>
                <w:szCs w:val="16"/>
                <w:lang w:eastAsia="en-AU"/>
              </w:rPr>
            </w:pPr>
            <w:r w:rsidRPr="001F29E3">
              <w:rPr>
                <w:rFonts w:cs="Arial"/>
                <w:b/>
                <w:color w:val="FFFFFF"/>
                <w:sz w:val="16"/>
                <w:szCs w:val="16"/>
                <w:lang w:eastAsia="en-AU"/>
              </w:rPr>
              <w:t>% Q1 2012 - Q1 2013</w:t>
            </w:r>
          </w:p>
        </w:tc>
      </w:tr>
      <w:tr w:rsidR="002D49D9" w:rsidRPr="001F29E3" w:rsidTr="001F3AE1">
        <w:trPr>
          <w:trHeight w:val="225"/>
        </w:trPr>
        <w:tc>
          <w:tcPr>
            <w:tcW w:w="1409" w:type="dxa"/>
            <w:tcBorders>
              <w:top w:val="nil"/>
              <w:left w:val="single" w:sz="4" w:space="0" w:color="76933C"/>
              <w:bottom w:val="single" w:sz="4" w:space="0" w:color="76933C"/>
              <w:right w:val="nil"/>
            </w:tcBorders>
            <w:noWrap/>
            <w:vAlign w:val="bottom"/>
            <w:hideMark/>
          </w:tcPr>
          <w:p w:rsidR="002D49D9" w:rsidRPr="001F29E3" w:rsidRDefault="002D49D9" w:rsidP="001F3AE1">
            <w:pPr>
              <w:spacing w:after="0" w:line="240" w:lineRule="auto"/>
              <w:rPr>
                <w:rFonts w:cs="Arial"/>
                <w:b/>
                <w:bCs/>
                <w:color w:val="76933C"/>
                <w:sz w:val="16"/>
                <w:szCs w:val="16"/>
                <w:lang w:eastAsia="en-AU"/>
              </w:rPr>
            </w:pPr>
            <w:r w:rsidRPr="001F29E3">
              <w:rPr>
                <w:rFonts w:cs="Arial"/>
                <w:b/>
                <w:bCs/>
                <w:color w:val="76933C"/>
                <w:sz w:val="16"/>
                <w:szCs w:val="16"/>
                <w:lang w:eastAsia="en-AU"/>
              </w:rPr>
              <w:t>Enrolments</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57,000</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59,300</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64,900</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72,300</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80,300</w:t>
            </w:r>
          </w:p>
        </w:tc>
        <w:tc>
          <w:tcPr>
            <w:tcW w:w="868" w:type="dxa"/>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41%</w:t>
            </w:r>
          </w:p>
        </w:tc>
        <w:tc>
          <w:tcPr>
            <w:tcW w:w="795" w:type="dxa"/>
            <w:tcBorders>
              <w:top w:val="single" w:sz="4" w:space="0" w:color="76933C"/>
              <w:left w:val="single" w:sz="4" w:space="0" w:color="76933C"/>
              <w:bottom w:val="single" w:sz="4" w:space="0" w:color="76933C"/>
              <w:right w:val="nil"/>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43,800</w:t>
            </w:r>
          </w:p>
        </w:tc>
        <w:tc>
          <w:tcPr>
            <w:tcW w:w="7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44,000</w:t>
            </w:r>
          </w:p>
        </w:tc>
        <w:tc>
          <w:tcPr>
            <w:tcW w:w="1254" w:type="dxa"/>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0.5%</w:t>
            </w:r>
          </w:p>
        </w:tc>
      </w:tr>
      <w:tr w:rsidR="002D49D9" w:rsidRPr="001F29E3" w:rsidTr="001F3AE1">
        <w:trPr>
          <w:trHeight w:val="225"/>
        </w:trPr>
        <w:tc>
          <w:tcPr>
            <w:tcW w:w="1409" w:type="dxa"/>
            <w:tcBorders>
              <w:top w:val="nil"/>
              <w:left w:val="single" w:sz="4" w:space="0" w:color="76933C"/>
              <w:bottom w:val="single" w:sz="4" w:space="0" w:color="76933C"/>
              <w:right w:val="nil"/>
            </w:tcBorders>
            <w:noWrap/>
            <w:vAlign w:val="bottom"/>
            <w:hideMark/>
          </w:tcPr>
          <w:p w:rsidR="002D49D9" w:rsidRPr="001F29E3" w:rsidRDefault="002D49D9" w:rsidP="001F3AE1">
            <w:pPr>
              <w:spacing w:after="0" w:line="240" w:lineRule="auto"/>
              <w:rPr>
                <w:rFonts w:cs="Arial"/>
                <w:b/>
                <w:bCs/>
                <w:color w:val="76933C"/>
                <w:sz w:val="16"/>
                <w:szCs w:val="16"/>
                <w:lang w:eastAsia="en-AU"/>
              </w:rPr>
            </w:pPr>
            <w:r w:rsidRPr="001F29E3">
              <w:rPr>
                <w:rFonts w:cs="Arial"/>
                <w:b/>
                <w:bCs/>
                <w:color w:val="76933C"/>
                <w:sz w:val="16"/>
                <w:szCs w:val="16"/>
                <w:lang w:eastAsia="en-AU"/>
              </w:rPr>
              <w:t xml:space="preserve">Hours </w:t>
            </w:r>
            <w:r w:rsidRPr="001F29E3">
              <w:rPr>
                <w:rFonts w:cs="Arial"/>
                <w:color w:val="76933C"/>
                <w:sz w:val="16"/>
                <w:szCs w:val="16"/>
                <w:lang w:eastAsia="en-AU"/>
              </w:rPr>
              <w:t>(millions)</w:t>
            </w:r>
          </w:p>
        </w:tc>
        <w:tc>
          <w:tcPr>
            <w:tcW w:w="795" w:type="dxa"/>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16.6</w:t>
            </w:r>
          </w:p>
        </w:tc>
        <w:tc>
          <w:tcPr>
            <w:tcW w:w="795" w:type="dxa"/>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19.6</w:t>
            </w:r>
          </w:p>
        </w:tc>
        <w:tc>
          <w:tcPr>
            <w:tcW w:w="795" w:type="dxa"/>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21.1</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21.8</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25.9</w:t>
            </w:r>
          </w:p>
        </w:tc>
        <w:tc>
          <w:tcPr>
            <w:tcW w:w="868" w:type="dxa"/>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56%</w:t>
            </w:r>
          </w:p>
        </w:tc>
        <w:tc>
          <w:tcPr>
            <w:tcW w:w="795" w:type="dxa"/>
            <w:tcBorders>
              <w:top w:val="single" w:sz="4" w:space="0" w:color="76933C"/>
              <w:left w:val="single" w:sz="4" w:space="0" w:color="76933C"/>
              <w:bottom w:val="single" w:sz="4" w:space="0" w:color="76933C"/>
              <w:right w:val="nil"/>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13.0</w:t>
            </w:r>
          </w:p>
        </w:tc>
        <w:tc>
          <w:tcPr>
            <w:tcW w:w="7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13.5</w:t>
            </w:r>
          </w:p>
        </w:tc>
        <w:tc>
          <w:tcPr>
            <w:tcW w:w="1254" w:type="dxa"/>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4%</w:t>
            </w:r>
          </w:p>
        </w:tc>
      </w:tr>
      <w:tr w:rsidR="002D49D9" w:rsidRPr="001F29E3" w:rsidTr="001F3AE1">
        <w:trPr>
          <w:trHeight w:val="225"/>
        </w:trPr>
        <w:tc>
          <w:tcPr>
            <w:tcW w:w="1409" w:type="dxa"/>
            <w:noWrap/>
            <w:vAlign w:val="bottom"/>
            <w:hideMark/>
          </w:tcPr>
          <w:p w:rsidR="002D49D9" w:rsidRPr="001F29E3" w:rsidRDefault="002D49D9" w:rsidP="001F3AE1">
            <w:pPr>
              <w:spacing w:after="0" w:line="276" w:lineRule="auto"/>
              <w:rPr>
                <w:rFonts w:cs="Arial"/>
                <w:sz w:val="22"/>
                <w:szCs w:val="22"/>
              </w:rPr>
            </w:pPr>
          </w:p>
        </w:tc>
        <w:tc>
          <w:tcPr>
            <w:tcW w:w="795" w:type="dxa"/>
            <w:tcBorders>
              <w:top w:val="single" w:sz="4" w:space="0" w:color="76933C"/>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c>
          <w:tcPr>
            <w:tcW w:w="795" w:type="dxa"/>
            <w:tcBorders>
              <w:top w:val="single" w:sz="4" w:space="0" w:color="76933C"/>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c>
          <w:tcPr>
            <w:tcW w:w="795" w:type="dxa"/>
            <w:tcBorders>
              <w:top w:val="single" w:sz="4" w:space="0" w:color="76933C"/>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c>
          <w:tcPr>
            <w:tcW w:w="795" w:type="dxa"/>
            <w:noWrap/>
            <w:vAlign w:val="bottom"/>
            <w:hideMark/>
          </w:tcPr>
          <w:p w:rsidR="002D49D9" w:rsidRPr="001F29E3" w:rsidRDefault="002D49D9" w:rsidP="001F3AE1">
            <w:pPr>
              <w:spacing w:after="0" w:line="276" w:lineRule="auto"/>
              <w:rPr>
                <w:rFonts w:cs="Arial"/>
                <w:sz w:val="22"/>
                <w:szCs w:val="22"/>
              </w:rPr>
            </w:pPr>
          </w:p>
        </w:tc>
        <w:tc>
          <w:tcPr>
            <w:tcW w:w="795" w:type="dxa"/>
            <w:noWrap/>
            <w:vAlign w:val="bottom"/>
            <w:hideMark/>
          </w:tcPr>
          <w:p w:rsidR="002D49D9" w:rsidRPr="001F29E3" w:rsidRDefault="002D49D9" w:rsidP="001F3AE1">
            <w:pPr>
              <w:spacing w:after="0" w:line="276" w:lineRule="auto"/>
              <w:rPr>
                <w:rFonts w:cs="Arial"/>
                <w:sz w:val="22"/>
                <w:szCs w:val="22"/>
              </w:rPr>
            </w:pPr>
          </w:p>
        </w:tc>
        <w:tc>
          <w:tcPr>
            <w:tcW w:w="868" w:type="dxa"/>
            <w:noWrap/>
            <w:vAlign w:val="bottom"/>
            <w:hideMark/>
          </w:tcPr>
          <w:p w:rsidR="002D49D9" w:rsidRPr="001F29E3" w:rsidRDefault="002D49D9" w:rsidP="001F3AE1">
            <w:pPr>
              <w:spacing w:after="0" w:line="276" w:lineRule="auto"/>
              <w:rPr>
                <w:rFonts w:cs="Arial"/>
                <w:sz w:val="22"/>
                <w:szCs w:val="22"/>
              </w:rPr>
            </w:pPr>
          </w:p>
        </w:tc>
        <w:tc>
          <w:tcPr>
            <w:tcW w:w="795" w:type="dxa"/>
            <w:tcBorders>
              <w:top w:val="nil"/>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c>
          <w:tcPr>
            <w:tcW w:w="795" w:type="dxa"/>
            <w:tcBorders>
              <w:top w:val="nil"/>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c>
          <w:tcPr>
            <w:tcW w:w="1254" w:type="dxa"/>
            <w:tcBorders>
              <w:top w:val="nil"/>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r>
      <w:tr w:rsidR="002D49D9" w:rsidRPr="001F29E3" w:rsidTr="001F3AE1">
        <w:trPr>
          <w:trHeight w:val="225"/>
        </w:trPr>
        <w:tc>
          <w:tcPr>
            <w:tcW w:w="9096" w:type="dxa"/>
            <w:gridSpan w:val="10"/>
            <w:tcBorders>
              <w:top w:val="single" w:sz="4" w:space="0" w:color="9BBB59"/>
              <w:left w:val="single" w:sz="4" w:space="0" w:color="9BBB59"/>
              <w:bottom w:val="nil"/>
              <w:right w:val="single" w:sz="4" w:space="0" w:color="9BBB59"/>
            </w:tcBorders>
            <w:shd w:val="clear" w:color="auto" w:fill="76933C"/>
            <w:noWrap/>
            <w:vAlign w:val="bottom"/>
            <w:hideMark/>
          </w:tcPr>
          <w:p w:rsidR="002D49D9" w:rsidRPr="001F29E3" w:rsidRDefault="002D49D9" w:rsidP="001F3AE1">
            <w:pPr>
              <w:spacing w:after="0" w:line="240" w:lineRule="auto"/>
              <w:jc w:val="center"/>
              <w:rPr>
                <w:rFonts w:cs="Arial"/>
                <w:b/>
                <w:bCs/>
                <w:color w:val="FFFFFF"/>
                <w:sz w:val="20"/>
                <w:szCs w:val="16"/>
                <w:lang w:eastAsia="en-AU"/>
              </w:rPr>
            </w:pPr>
            <w:r w:rsidRPr="001F29E3">
              <w:rPr>
                <w:rFonts w:cs="Arial"/>
                <w:b/>
                <w:bCs/>
                <w:color w:val="FFFFFF"/>
                <w:sz w:val="20"/>
                <w:szCs w:val="16"/>
                <w:lang w:eastAsia="en-AU"/>
              </w:rPr>
              <w:t>In Shortage</w:t>
            </w:r>
          </w:p>
        </w:tc>
      </w:tr>
      <w:tr w:rsidR="002D49D9" w:rsidRPr="001F29E3" w:rsidTr="001F3AE1">
        <w:trPr>
          <w:trHeight w:val="450"/>
        </w:trPr>
        <w:tc>
          <w:tcPr>
            <w:tcW w:w="1409" w:type="dxa"/>
            <w:tcBorders>
              <w:top w:val="single" w:sz="4" w:space="0" w:color="9BBB59"/>
              <w:left w:val="single" w:sz="4" w:space="0" w:color="9BBB59"/>
              <w:bottom w:val="single" w:sz="4" w:space="0" w:color="76933C"/>
              <w:right w:val="nil"/>
            </w:tcBorders>
            <w:shd w:val="clear" w:color="auto" w:fill="9BBB59"/>
            <w:noWrap/>
            <w:vAlign w:val="bottom"/>
            <w:hideMark/>
          </w:tcPr>
          <w:p w:rsidR="002D49D9" w:rsidRPr="001F29E3" w:rsidRDefault="002D49D9" w:rsidP="001F3AE1">
            <w:pPr>
              <w:spacing w:after="0" w:line="240" w:lineRule="auto"/>
              <w:rPr>
                <w:rFonts w:cs="Arial"/>
                <w:color w:val="FFFFFF"/>
                <w:sz w:val="16"/>
                <w:szCs w:val="16"/>
                <w:lang w:eastAsia="en-AU"/>
              </w:rPr>
            </w:pPr>
            <w:r w:rsidRPr="001F29E3">
              <w:rPr>
                <w:rFonts w:cs="Arial"/>
                <w:color w:val="FFFFFF"/>
                <w:sz w:val="16"/>
                <w:szCs w:val="16"/>
                <w:lang w:eastAsia="en-AU"/>
              </w:rPr>
              <w:t> </w:t>
            </w:r>
          </w:p>
        </w:tc>
        <w:tc>
          <w:tcPr>
            <w:tcW w:w="795" w:type="dxa"/>
            <w:tcBorders>
              <w:top w:val="single" w:sz="4" w:space="0" w:color="9BBB59"/>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2008</w:t>
            </w:r>
          </w:p>
        </w:tc>
        <w:tc>
          <w:tcPr>
            <w:tcW w:w="795" w:type="dxa"/>
            <w:tcBorders>
              <w:top w:val="single" w:sz="4" w:space="0" w:color="9BBB59"/>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2009</w:t>
            </w:r>
          </w:p>
        </w:tc>
        <w:tc>
          <w:tcPr>
            <w:tcW w:w="795" w:type="dxa"/>
            <w:tcBorders>
              <w:top w:val="single" w:sz="4" w:space="0" w:color="9BBB59"/>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2010</w:t>
            </w:r>
          </w:p>
        </w:tc>
        <w:tc>
          <w:tcPr>
            <w:tcW w:w="795" w:type="dxa"/>
            <w:tcBorders>
              <w:top w:val="single" w:sz="4" w:space="0" w:color="9BBB59"/>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2011</w:t>
            </w:r>
          </w:p>
        </w:tc>
        <w:tc>
          <w:tcPr>
            <w:tcW w:w="795" w:type="dxa"/>
            <w:tcBorders>
              <w:top w:val="single" w:sz="4" w:space="0" w:color="9BBB59"/>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2012</w:t>
            </w:r>
          </w:p>
        </w:tc>
        <w:tc>
          <w:tcPr>
            <w:tcW w:w="868" w:type="dxa"/>
            <w:tcBorders>
              <w:top w:val="single" w:sz="4" w:space="0" w:color="9BBB59"/>
              <w:left w:val="nil"/>
              <w:bottom w:val="single" w:sz="4" w:space="0" w:color="76933C"/>
              <w:right w:val="nil"/>
            </w:tcBorders>
            <w:shd w:val="clear" w:color="auto" w:fill="9BBB59"/>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 2008 - 2012</w:t>
            </w:r>
          </w:p>
        </w:tc>
        <w:tc>
          <w:tcPr>
            <w:tcW w:w="795" w:type="dxa"/>
            <w:tcBorders>
              <w:top w:val="single" w:sz="4" w:space="0" w:color="9BBB59"/>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b/>
                <w:color w:val="FFFFFF"/>
                <w:sz w:val="16"/>
                <w:szCs w:val="16"/>
                <w:lang w:eastAsia="en-AU"/>
              </w:rPr>
            </w:pPr>
            <w:r w:rsidRPr="001F29E3">
              <w:rPr>
                <w:rFonts w:cs="Arial"/>
                <w:b/>
                <w:color w:val="FFFFFF"/>
                <w:sz w:val="16"/>
                <w:szCs w:val="16"/>
                <w:lang w:eastAsia="en-AU"/>
              </w:rPr>
              <w:t>Q1 2012</w:t>
            </w:r>
          </w:p>
        </w:tc>
        <w:tc>
          <w:tcPr>
            <w:tcW w:w="795" w:type="dxa"/>
            <w:tcBorders>
              <w:top w:val="single" w:sz="4" w:space="0" w:color="9BBB59"/>
              <w:left w:val="nil"/>
              <w:bottom w:val="single" w:sz="4" w:space="0" w:color="76933C"/>
              <w:right w:val="single" w:sz="4" w:space="0" w:color="9BBB59"/>
            </w:tcBorders>
            <w:shd w:val="clear" w:color="auto" w:fill="9BBB59"/>
            <w:noWrap/>
            <w:vAlign w:val="bottom"/>
            <w:hideMark/>
          </w:tcPr>
          <w:p w:rsidR="002D49D9" w:rsidRPr="001F29E3" w:rsidRDefault="002D49D9" w:rsidP="001F3AE1">
            <w:pPr>
              <w:spacing w:after="0" w:line="240" w:lineRule="auto"/>
              <w:jc w:val="center"/>
              <w:rPr>
                <w:rFonts w:cs="Arial"/>
                <w:b/>
                <w:color w:val="FFFFFF"/>
                <w:sz w:val="16"/>
                <w:szCs w:val="16"/>
                <w:lang w:eastAsia="en-AU"/>
              </w:rPr>
            </w:pPr>
            <w:r w:rsidRPr="001F29E3">
              <w:rPr>
                <w:rFonts w:cs="Arial"/>
                <w:b/>
                <w:color w:val="FFFFFF"/>
                <w:sz w:val="16"/>
                <w:szCs w:val="16"/>
                <w:lang w:eastAsia="en-AU"/>
              </w:rPr>
              <w:t>Q1 2013</w:t>
            </w:r>
          </w:p>
        </w:tc>
        <w:tc>
          <w:tcPr>
            <w:tcW w:w="1254" w:type="dxa"/>
            <w:tcBorders>
              <w:top w:val="single" w:sz="4" w:space="0" w:color="9BBB59"/>
              <w:left w:val="nil"/>
              <w:bottom w:val="single" w:sz="4" w:space="0" w:color="76933C"/>
              <w:right w:val="single" w:sz="4" w:space="0" w:color="9BBB59"/>
            </w:tcBorders>
            <w:shd w:val="clear" w:color="auto" w:fill="9BBB59"/>
            <w:vAlign w:val="bottom"/>
            <w:hideMark/>
          </w:tcPr>
          <w:p w:rsidR="002D49D9" w:rsidRPr="001F29E3" w:rsidRDefault="002D49D9" w:rsidP="001F3AE1">
            <w:pPr>
              <w:spacing w:after="0" w:line="240" w:lineRule="auto"/>
              <w:jc w:val="center"/>
              <w:rPr>
                <w:rFonts w:cs="Arial"/>
                <w:b/>
                <w:color w:val="FFFFFF"/>
                <w:sz w:val="16"/>
                <w:szCs w:val="16"/>
                <w:lang w:eastAsia="en-AU"/>
              </w:rPr>
            </w:pPr>
            <w:r w:rsidRPr="001F29E3">
              <w:rPr>
                <w:rFonts w:cs="Arial"/>
                <w:b/>
                <w:color w:val="FFFFFF"/>
                <w:sz w:val="16"/>
                <w:szCs w:val="16"/>
                <w:lang w:eastAsia="en-AU"/>
              </w:rPr>
              <w:t>% Q1 2012 - Q1 2013</w:t>
            </w:r>
          </w:p>
        </w:tc>
      </w:tr>
      <w:tr w:rsidR="002D49D9" w:rsidRPr="001F29E3" w:rsidTr="001F3AE1">
        <w:trPr>
          <w:trHeight w:val="225"/>
        </w:trPr>
        <w:tc>
          <w:tcPr>
            <w:tcW w:w="1409" w:type="dxa"/>
            <w:tcBorders>
              <w:top w:val="nil"/>
              <w:left w:val="single" w:sz="4" w:space="0" w:color="76933C"/>
              <w:bottom w:val="nil"/>
              <w:right w:val="nil"/>
            </w:tcBorders>
            <w:noWrap/>
            <w:vAlign w:val="bottom"/>
            <w:hideMark/>
          </w:tcPr>
          <w:p w:rsidR="002D49D9" w:rsidRPr="001F29E3" w:rsidRDefault="002D49D9" w:rsidP="001F3AE1">
            <w:pPr>
              <w:spacing w:after="0" w:line="240" w:lineRule="auto"/>
              <w:rPr>
                <w:rFonts w:cs="Arial"/>
                <w:b/>
                <w:bCs/>
                <w:color w:val="76933C"/>
                <w:sz w:val="16"/>
                <w:szCs w:val="16"/>
                <w:lang w:eastAsia="en-AU"/>
              </w:rPr>
            </w:pPr>
            <w:r w:rsidRPr="001F29E3">
              <w:rPr>
                <w:rFonts w:cs="Arial"/>
                <w:b/>
                <w:bCs/>
                <w:color w:val="76933C"/>
                <w:sz w:val="16"/>
                <w:szCs w:val="16"/>
                <w:lang w:eastAsia="en-AU"/>
              </w:rPr>
              <w:t>Enrolments</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84,200</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95,900</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108,900</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129,400</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152,400</w:t>
            </w:r>
          </w:p>
        </w:tc>
        <w:tc>
          <w:tcPr>
            <w:tcW w:w="868" w:type="dxa"/>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81%</w:t>
            </w:r>
          </w:p>
        </w:tc>
        <w:tc>
          <w:tcPr>
            <w:tcW w:w="795" w:type="dxa"/>
            <w:tcBorders>
              <w:top w:val="single" w:sz="4" w:space="0" w:color="76933C"/>
              <w:left w:val="single" w:sz="4" w:space="0" w:color="76933C"/>
              <w:bottom w:val="single" w:sz="4" w:space="0" w:color="76933C"/>
              <w:right w:val="nil"/>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76,200</w:t>
            </w:r>
          </w:p>
        </w:tc>
        <w:tc>
          <w:tcPr>
            <w:tcW w:w="7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80,600</w:t>
            </w:r>
          </w:p>
        </w:tc>
        <w:tc>
          <w:tcPr>
            <w:tcW w:w="1254" w:type="dxa"/>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6%</w:t>
            </w:r>
          </w:p>
        </w:tc>
      </w:tr>
      <w:tr w:rsidR="002D49D9" w:rsidRPr="001F29E3" w:rsidTr="001F3AE1">
        <w:trPr>
          <w:trHeight w:val="225"/>
        </w:trPr>
        <w:tc>
          <w:tcPr>
            <w:tcW w:w="1409" w:type="dxa"/>
            <w:tcBorders>
              <w:top w:val="single" w:sz="4" w:space="0" w:color="76933C"/>
              <w:left w:val="single" w:sz="4" w:space="0" w:color="76933C"/>
              <w:bottom w:val="single" w:sz="4" w:space="0" w:color="76933C"/>
              <w:right w:val="nil"/>
            </w:tcBorders>
            <w:noWrap/>
            <w:vAlign w:val="bottom"/>
            <w:hideMark/>
          </w:tcPr>
          <w:p w:rsidR="002D49D9" w:rsidRPr="001F29E3" w:rsidRDefault="002D49D9" w:rsidP="001F3AE1">
            <w:pPr>
              <w:spacing w:after="0" w:line="240" w:lineRule="auto"/>
              <w:rPr>
                <w:rFonts w:cs="Arial"/>
                <w:b/>
                <w:bCs/>
                <w:color w:val="76933C"/>
                <w:sz w:val="16"/>
                <w:szCs w:val="16"/>
                <w:lang w:eastAsia="en-AU"/>
              </w:rPr>
            </w:pPr>
            <w:r w:rsidRPr="001F29E3">
              <w:rPr>
                <w:rFonts w:cs="Arial"/>
                <w:b/>
                <w:bCs/>
                <w:color w:val="76933C"/>
                <w:sz w:val="16"/>
                <w:szCs w:val="16"/>
                <w:lang w:eastAsia="en-AU"/>
              </w:rPr>
              <w:t xml:space="preserve">Hours </w:t>
            </w:r>
            <w:r w:rsidRPr="001F29E3">
              <w:rPr>
                <w:rFonts w:cs="Arial"/>
                <w:color w:val="76933C"/>
                <w:sz w:val="16"/>
                <w:szCs w:val="16"/>
                <w:lang w:eastAsia="en-AU"/>
              </w:rPr>
              <w:t>(millions)</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26.7</w:t>
            </w:r>
          </w:p>
        </w:tc>
        <w:tc>
          <w:tcPr>
            <w:tcW w:w="795" w:type="dxa"/>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31.7</w:t>
            </w:r>
          </w:p>
        </w:tc>
        <w:tc>
          <w:tcPr>
            <w:tcW w:w="795" w:type="dxa"/>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36.9</w:t>
            </w:r>
          </w:p>
        </w:tc>
        <w:tc>
          <w:tcPr>
            <w:tcW w:w="795" w:type="dxa"/>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42.1</w:t>
            </w:r>
          </w:p>
        </w:tc>
        <w:tc>
          <w:tcPr>
            <w:tcW w:w="795" w:type="dxa"/>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50.9</w:t>
            </w:r>
          </w:p>
        </w:tc>
        <w:tc>
          <w:tcPr>
            <w:tcW w:w="868" w:type="dxa"/>
            <w:tcBorders>
              <w:top w:val="nil"/>
              <w:left w:val="nil"/>
              <w:bottom w:val="nil"/>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90%</w:t>
            </w:r>
          </w:p>
        </w:tc>
        <w:tc>
          <w:tcPr>
            <w:tcW w:w="795" w:type="dxa"/>
            <w:tcBorders>
              <w:top w:val="single" w:sz="4" w:space="0" w:color="76933C"/>
              <w:left w:val="single" w:sz="4" w:space="0" w:color="76933C"/>
              <w:bottom w:val="single" w:sz="4" w:space="0" w:color="76933C"/>
              <w:right w:val="nil"/>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25.6</w:t>
            </w:r>
          </w:p>
        </w:tc>
        <w:tc>
          <w:tcPr>
            <w:tcW w:w="7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28.2</w:t>
            </w:r>
          </w:p>
        </w:tc>
        <w:tc>
          <w:tcPr>
            <w:tcW w:w="1254" w:type="dxa"/>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10%</w:t>
            </w:r>
          </w:p>
        </w:tc>
      </w:tr>
      <w:tr w:rsidR="002D49D9" w:rsidRPr="001F29E3" w:rsidTr="001F3AE1">
        <w:trPr>
          <w:trHeight w:val="225"/>
        </w:trPr>
        <w:tc>
          <w:tcPr>
            <w:tcW w:w="1409" w:type="dxa"/>
            <w:noWrap/>
            <w:vAlign w:val="bottom"/>
            <w:hideMark/>
          </w:tcPr>
          <w:p w:rsidR="002D49D9" w:rsidRPr="001F29E3" w:rsidRDefault="002D49D9" w:rsidP="001F3AE1">
            <w:pPr>
              <w:spacing w:after="0" w:line="276" w:lineRule="auto"/>
              <w:rPr>
                <w:rFonts w:cs="Arial"/>
                <w:sz w:val="22"/>
                <w:szCs w:val="22"/>
              </w:rPr>
            </w:pPr>
          </w:p>
        </w:tc>
        <w:tc>
          <w:tcPr>
            <w:tcW w:w="795" w:type="dxa"/>
            <w:noWrap/>
            <w:vAlign w:val="bottom"/>
            <w:hideMark/>
          </w:tcPr>
          <w:p w:rsidR="002D49D9" w:rsidRPr="001F29E3" w:rsidRDefault="002D49D9" w:rsidP="001F3AE1">
            <w:pPr>
              <w:spacing w:after="0" w:line="276" w:lineRule="auto"/>
              <w:rPr>
                <w:rFonts w:cs="Arial"/>
                <w:sz w:val="22"/>
                <w:szCs w:val="22"/>
              </w:rPr>
            </w:pPr>
          </w:p>
        </w:tc>
        <w:tc>
          <w:tcPr>
            <w:tcW w:w="795" w:type="dxa"/>
            <w:tcBorders>
              <w:top w:val="single" w:sz="4" w:space="0" w:color="76933C"/>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c>
          <w:tcPr>
            <w:tcW w:w="795" w:type="dxa"/>
            <w:tcBorders>
              <w:top w:val="single" w:sz="4" w:space="0" w:color="76933C"/>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c>
          <w:tcPr>
            <w:tcW w:w="795" w:type="dxa"/>
            <w:tcBorders>
              <w:top w:val="single" w:sz="4" w:space="0" w:color="76933C"/>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c>
          <w:tcPr>
            <w:tcW w:w="795" w:type="dxa"/>
            <w:tcBorders>
              <w:top w:val="single" w:sz="4" w:space="0" w:color="76933C"/>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c>
          <w:tcPr>
            <w:tcW w:w="868" w:type="dxa"/>
            <w:tcBorders>
              <w:top w:val="single" w:sz="4" w:space="0" w:color="76933C"/>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c>
          <w:tcPr>
            <w:tcW w:w="795" w:type="dxa"/>
            <w:tcBorders>
              <w:top w:val="nil"/>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c>
          <w:tcPr>
            <w:tcW w:w="795" w:type="dxa"/>
            <w:tcBorders>
              <w:top w:val="nil"/>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c>
          <w:tcPr>
            <w:tcW w:w="1254" w:type="dxa"/>
            <w:tcBorders>
              <w:top w:val="nil"/>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r>
      <w:tr w:rsidR="002D49D9" w:rsidRPr="001F29E3" w:rsidTr="001F3AE1">
        <w:trPr>
          <w:trHeight w:val="225"/>
        </w:trPr>
        <w:tc>
          <w:tcPr>
            <w:tcW w:w="9096" w:type="dxa"/>
            <w:gridSpan w:val="10"/>
            <w:tcBorders>
              <w:top w:val="single" w:sz="4" w:space="0" w:color="9BBB59"/>
              <w:left w:val="single" w:sz="4" w:space="0" w:color="9BBB59"/>
              <w:bottom w:val="nil"/>
              <w:right w:val="single" w:sz="4" w:space="0" w:color="9BBB59"/>
            </w:tcBorders>
            <w:shd w:val="clear" w:color="auto" w:fill="76933C"/>
            <w:noWrap/>
            <w:vAlign w:val="bottom"/>
            <w:hideMark/>
          </w:tcPr>
          <w:p w:rsidR="002D49D9" w:rsidRPr="001F29E3" w:rsidRDefault="002D49D9" w:rsidP="001F3AE1">
            <w:pPr>
              <w:spacing w:after="0" w:line="240" w:lineRule="auto"/>
              <w:jc w:val="center"/>
              <w:rPr>
                <w:rFonts w:cs="Arial"/>
                <w:b/>
                <w:bCs/>
                <w:color w:val="FFFFFF"/>
                <w:sz w:val="20"/>
                <w:szCs w:val="16"/>
                <w:lang w:eastAsia="en-AU"/>
              </w:rPr>
            </w:pPr>
            <w:r w:rsidRPr="001F29E3">
              <w:rPr>
                <w:rFonts w:cs="Arial"/>
                <w:b/>
                <w:bCs/>
                <w:color w:val="FFFFFF"/>
                <w:sz w:val="20"/>
                <w:szCs w:val="16"/>
                <w:lang w:eastAsia="en-AU"/>
              </w:rPr>
              <w:t>Both Specialised and In Shortage</w:t>
            </w:r>
          </w:p>
        </w:tc>
      </w:tr>
      <w:tr w:rsidR="002D49D9" w:rsidRPr="001F29E3" w:rsidTr="001F3AE1">
        <w:trPr>
          <w:trHeight w:val="450"/>
        </w:trPr>
        <w:tc>
          <w:tcPr>
            <w:tcW w:w="1409" w:type="dxa"/>
            <w:tcBorders>
              <w:top w:val="single" w:sz="4" w:space="0" w:color="9BBB59"/>
              <w:left w:val="single" w:sz="4" w:space="0" w:color="9BBB59"/>
              <w:bottom w:val="single" w:sz="4" w:space="0" w:color="76933C"/>
              <w:right w:val="nil"/>
            </w:tcBorders>
            <w:shd w:val="clear" w:color="auto" w:fill="9BBB59"/>
            <w:noWrap/>
            <w:vAlign w:val="bottom"/>
            <w:hideMark/>
          </w:tcPr>
          <w:p w:rsidR="002D49D9" w:rsidRPr="001F29E3" w:rsidRDefault="002D49D9" w:rsidP="001F3AE1">
            <w:pPr>
              <w:spacing w:after="0" w:line="240" w:lineRule="auto"/>
              <w:rPr>
                <w:rFonts w:cs="Arial"/>
                <w:color w:val="FFFFFF"/>
                <w:sz w:val="16"/>
                <w:szCs w:val="16"/>
                <w:lang w:eastAsia="en-AU"/>
              </w:rPr>
            </w:pPr>
            <w:r w:rsidRPr="001F29E3">
              <w:rPr>
                <w:rFonts w:cs="Arial"/>
                <w:color w:val="FFFFFF"/>
                <w:sz w:val="16"/>
                <w:szCs w:val="16"/>
                <w:lang w:eastAsia="en-AU"/>
              </w:rPr>
              <w:t> </w:t>
            </w:r>
          </w:p>
        </w:tc>
        <w:tc>
          <w:tcPr>
            <w:tcW w:w="795" w:type="dxa"/>
            <w:tcBorders>
              <w:top w:val="single" w:sz="4" w:space="0" w:color="9BBB59"/>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2008</w:t>
            </w:r>
          </w:p>
        </w:tc>
        <w:tc>
          <w:tcPr>
            <w:tcW w:w="795" w:type="dxa"/>
            <w:tcBorders>
              <w:top w:val="single" w:sz="4" w:space="0" w:color="9BBB59"/>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2009</w:t>
            </w:r>
          </w:p>
        </w:tc>
        <w:tc>
          <w:tcPr>
            <w:tcW w:w="795" w:type="dxa"/>
            <w:tcBorders>
              <w:top w:val="single" w:sz="4" w:space="0" w:color="9BBB59"/>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2010</w:t>
            </w:r>
          </w:p>
        </w:tc>
        <w:tc>
          <w:tcPr>
            <w:tcW w:w="795" w:type="dxa"/>
            <w:tcBorders>
              <w:top w:val="single" w:sz="4" w:space="0" w:color="9BBB59"/>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2011</w:t>
            </w:r>
          </w:p>
        </w:tc>
        <w:tc>
          <w:tcPr>
            <w:tcW w:w="795" w:type="dxa"/>
            <w:tcBorders>
              <w:top w:val="single" w:sz="4" w:space="0" w:color="9BBB59"/>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2012</w:t>
            </w:r>
          </w:p>
        </w:tc>
        <w:tc>
          <w:tcPr>
            <w:tcW w:w="868" w:type="dxa"/>
            <w:tcBorders>
              <w:top w:val="single" w:sz="4" w:space="0" w:color="9BBB59"/>
              <w:left w:val="nil"/>
              <w:bottom w:val="single" w:sz="4" w:space="0" w:color="76933C"/>
              <w:right w:val="nil"/>
            </w:tcBorders>
            <w:shd w:val="clear" w:color="auto" w:fill="9BBB59"/>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 2008 - 2012</w:t>
            </w:r>
          </w:p>
        </w:tc>
        <w:tc>
          <w:tcPr>
            <w:tcW w:w="795" w:type="dxa"/>
            <w:tcBorders>
              <w:top w:val="single" w:sz="4" w:space="0" w:color="9BBB59"/>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b/>
                <w:color w:val="FFFFFF"/>
                <w:sz w:val="16"/>
                <w:szCs w:val="16"/>
                <w:lang w:eastAsia="en-AU"/>
              </w:rPr>
            </w:pPr>
            <w:r w:rsidRPr="001F29E3">
              <w:rPr>
                <w:rFonts w:cs="Arial"/>
                <w:b/>
                <w:color w:val="FFFFFF"/>
                <w:sz w:val="16"/>
                <w:szCs w:val="16"/>
                <w:lang w:eastAsia="en-AU"/>
              </w:rPr>
              <w:t>Q1 2012</w:t>
            </w:r>
          </w:p>
        </w:tc>
        <w:tc>
          <w:tcPr>
            <w:tcW w:w="795" w:type="dxa"/>
            <w:tcBorders>
              <w:top w:val="single" w:sz="4" w:space="0" w:color="9BBB59"/>
              <w:left w:val="nil"/>
              <w:bottom w:val="single" w:sz="4" w:space="0" w:color="76933C"/>
              <w:right w:val="single" w:sz="4" w:space="0" w:color="9BBB59"/>
            </w:tcBorders>
            <w:shd w:val="clear" w:color="auto" w:fill="9BBB59"/>
            <w:noWrap/>
            <w:vAlign w:val="bottom"/>
            <w:hideMark/>
          </w:tcPr>
          <w:p w:rsidR="002D49D9" w:rsidRPr="001F29E3" w:rsidRDefault="002D49D9" w:rsidP="001F3AE1">
            <w:pPr>
              <w:spacing w:after="0" w:line="240" w:lineRule="auto"/>
              <w:jc w:val="center"/>
              <w:rPr>
                <w:rFonts w:cs="Arial"/>
                <w:b/>
                <w:color w:val="FFFFFF"/>
                <w:sz w:val="16"/>
                <w:szCs w:val="16"/>
                <w:lang w:eastAsia="en-AU"/>
              </w:rPr>
            </w:pPr>
            <w:r w:rsidRPr="001F29E3">
              <w:rPr>
                <w:rFonts w:cs="Arial"/>
                <w:b/>
                <w:color w:val="FFFFFF"/>
                <w:sz w:val="16"/>
                <w:szCs w:val="16"/>
                <w:lang w:eastAsia="en-AU"/>
              </w:rPr>
              <w:t>Q1 2013</w:t>
            </w:r>
          </w:p>
        </w:tc>
        <w:tc>
          <w:tcPr>
            <w:tcW w:w="1254" w:type="dxa"/>
            <w:tcBorders>
              <w:top w:val="single" w:sz="4" w:space="0" w:color="9BBB59"/>
              <w:left w:val="nil"/>
              <w:bottom w:val="single" w:sz="4" w:space="0" w:color="76933C"/>
              <w:right w:val="single" w:sz="4" w:space="0" w:color="9BBB59"/>
            </w:tcBorders>
            <w:shd w:val="clear" w:color="auto" w:fill="9BBB59"/>
            <w:vAlign w:val="bottom"/>
            <w:hideMark/>
          </w:tcPr>
          <w:p w:rsidR="002D49D9" w:rsidRPr="001F29E3" w:rsidRDefault="002D49D9" w:rsidP="001F3AE1">
            <w:pPr>
              <w:spacing w:after="0" w:line="240" w:lineRule="auto"/>
              <w:jc w:val="center"/>
              <w:rPr>
                <w:rFonts w:cs="Arial"/>
                <w:b/>
                <w:color w:val="FFFFFF"/>
                <w:sz w:val="16"/>
                <w:szCs w:val="16"/>
                <w:lang w:eastAsia="en-AU"/>
              </w:rPr>
            </w:pPr>
            <w:r w:rsidRPr="001F29E3">
              <w:rPr>
                <w:rFonts w:cs="Arial"/>
                <w:b/>
                <w:color w:val="FFFFFF"/>
                <w:sz w:val="16"/>
                <w:szCs w:val="16"/>
                <w:lang w:eastAsia="en-AU"/>
              </w:rPr>
              <w:t>% Q1 2012 - Q1 2013</w:t>
            </w:r>
          </w:p>
        </w:tc>
      </w:tr>
      <w:tr w:rsidR="002D49D9" w:rsidRPr="001F29E3" w:rsidTr="001F3AE1">
        <w:trPr>
          <w:trHeight w:val="225"/>
        </w:trPr>
        <w:tc>
          <w:tcPr>
            <w:tcW w:w="1409" w:type="dxa"/>
            <w:tcBorders>
              <w:top w:val="nil"/>
              <w:left w:val="single" w:sz="4" w:space="0" w:color="76933C"/>
              <w:bottom w:val="nil"/>
              <w:right w:val="nil"/>
            </w:tcBorders>
            <w:noWrap/>
            <w:vAlign w:val="bottom"/>
            <w:hideMark/>
          </w:tcPr>
          <w:p w:rsidR="002D49D9" w:rsidRPr="001F29E3" w:rsidRDefault="002D49D9" w:rsidP="001F3AE1">
            <w:pPr>
              <w:spacing w:after="0" w:line="240" w:lineRule="auto"/>
              <w:rPr>
                <w:rFonts w:cs="Arial"/>
                <w:b/>
                <w:bCs/>
                <w:color w:val="76933C"/>
                <w:sz w:val="16"/>
                <w:szCs w:val="16"/>
                <w:lang w:eastAsia="en-AU"/>
              </w:rPr>
            </w:pPr>
            <w:r w:rsidRPr="001F29E3">
              <w:rPr>
                <w:rFonts w:cs="Arial"/>
                <w:b/>
                <w:bCs/>
                <w:color w:val="76933C"/>
                <w:sz w:val="16"/>
                <w:szCs w:val="16"/>
                <w:lang w:eastAsia="en-AU"/>
              </w:rPr>
              <w:t>Enrolments</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49,800</w:t>
            </w:r>
          </w:p>
        </w:tc>
        <w:tc>
          <w:tcPr>
            <w:tcW w:w="795" w:type="dxa"/>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52,500</w:t>
            </w:r>
          </w:p>
        </w:tc>
        <w:tc>
          <w:tcPr>
            <w:tcW w:w="795" w:type="dxa"/>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57,400</w:t>
            </w:r>
          </w:p>
        </w:tc>
        <w:tc>
          <w:tcPr>
            <w:tcW w:w="795" w:type="dxa"/>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64,400</w:t>
            </w:r>
          </w:p>
        </w:tc>
        <w:tc>
          <w:tcPr>
            <w:tcW w:w="795" w:type="dxa"/>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69,600</w:t>
            </w:r>
          </w:p>
        </w:tc>
        <w:tc>
          <w:tcPr>
            <w:tcW w:w="868" w:type="dxa"/>
            <w:tcBorders>
              <w:top w:val="nil"/>
              <w:left w:val="nil"/>
              <w:bottom w:val="nil"/>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40%</w:t>
            </w:r>
          </w:p>
        </w:tc>
        <w:tc>
          <w:tcPr>
            <w:tcW w:w="795" w:type="dxa"/>
            <w:tcBorders>
              <w:top w:val="single" w:sz="4" w:space="0" w:color="76933C"/>
              <w:left w:val="single" w:sz="4" w:space="0" w:color="76933C"/>
              <w:bottom w:val="single" w:sz="4" w:space="0" w:color="76933C"/>
              <w:right w:val="nil"/>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38,900</w:t>
            </w:r>
          </w:p>
        </w:tc>
        <w:tc>
          <w:tcPr>
            <w:tcW w:w="7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40,100</w:t>
            </w:r>
          </w:p>
        </w:tc>
        <w:tc>
          <w:tcPr>
            <w:tcW w:w="1254" w:type="dxa"/>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3%</w:t>
            </w:r>
          </w:p>
        </w:tc>
      </w:tr>
      <w:tr w:rsidR="002D49D9" w:rsidRPr="001F29E3" w:rsidTr="001F3AE1">
        <w:trPr>
          <w:trHeight w:val="225"/>
        </w:trPr>
        <w:tc>
          <w:tcPr>
            <w:tcW w:w="1409" w:type="dxa"/>
            <w:tcBorders>
              <w:top w:val="single" w:sz="4" w:space="0" w:color="76933C"/>
              <w:left w:val="single" w:sz="4" w:space="0" w:color="76933C"/>
              <w:bottom w:val="single" w:sz="4" w:space="0" w:color="76933C"/>
              <w:right w:val="nil"/>
            </w:tcBorders>
            <w:noWrap/>
            <w:vAlign w:val="bottom"/>
            <w:hideMark/>
          </w:tcPr>
          <w:p w:rsidR="002D49D9" w:rsidRPr="001F29E3" w:rsidRDefault="002D49D9" w:rsidP="001F3AE1">
            <w:pPr>
              <w:spacing w:after="0" w:line="240" w:lineRule="auto"/>
              <w:rPr>
                <w:rFonts w:cs="Arial"/>
                <w:b/>
                <w:bCs/>
                <w:color w:val="76933C"/>
                <w:sz w:val="16"/>
                <w:szCs w:val="16"/>
                <w:lang w:eastAsia="en-AU"/>
              </w:rPr>
            </w:pPr>
            <w:r w:rsidRPr="001F29E3">
              <w:rPr>
                <w:rFonts w:cs="Arial"/>
                <w:b/>
                <w:bCs/>
                <w:color w:val="76933C"/>
                <w:sz w:val="16"/>
                <w:szCs w:val="16"/>
                <w:lang w:eastAsia="en-AU"/>
              </w:rPr>
              <w:t xml:space="preserve">Hours </w:t>
            </w:r>
            <w:r w:rsidRPr="001F29E3">
              <w:rPr>
                <w:rFonts w:cs="Arial"/>
                <w:color w:val="76933C"/>
                <w:sz w:val="16"/>
                <w:szCs w:val="16"/>
                <w:lang w:eastAsia="en-AU"/>
              </w:rPr>
              <w:t>(millions)</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14.9</w:t>
            </w:r>
          </w:p>
        </w:tc>
        <w:tc>
          <w:tcPr>
            <w:tcW w:w="7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17.7</w:t>
            </w:r>
          </w:p>
        </w:tc>
        <w:tc>
          <w:tcPr>
            <w:tcW w:w="7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19.1</w:t>
            </w:r>
          </w:p>
        </w:tc>
        <w:tc>
          <w:tcPr>
            <w:tcW w:w="7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19.6</w:t>
            </w:r>
          </w:p>
        </w:tc>
        <w:tc>
          <w:tcPr>
            <w:tcW w:w="7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21.9</w:t>
            </w:r>
          </w:p>
        </w:tc>
        <w:tc>
          <w:tcPr>
            <w:tcW w:w="868" w:type="dxa"/>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47%</w:t>
            </w:r>
          </w:p>
        </w:tc>
        <w:tc>
          <w:tcPr>
            <w:tcW w:w="795" w:type="dxa"/>
            <w:tcBorders>
              <w:top w:val="single" w:sz="4" w:space="0" w:color="76933C"/>
              <w:left w:val="single" w:sz="4" w:space="0" w:color="76933C"/>
              <w:bottom w:val="single" w:sz="4" w:space="0" w:color="76933C"/>
              <w:right w:val="nil"/>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11.2</w:t>
            </w:r>
          </w:p>
        </w:tc>
        <w:tc>
          <w:tcPr>
            <w:tcW w:w="7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12.2</w:t>
            </w:r>
          </w:p>
        </w:tc>
        <w:tc>
          <w:tcPr>
            <w:tcW w:w="1254" w:type="dxa"/>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9%</w:t>
            </w:r>
          </w:p>
        </w:tc>
      </w:tr>
      <w:tr w:rsidR="002D49D9" w:rsidRPr="001F29E3" w:rsidTr="001F3AE1">
        <w:trPr>
          <w:trHeight w:val="225"/>
        </w:trPr>
        <w:tc>
          <w:tcPr>
            <w:tcW w:w="1409" w:type="dxa"/>
            <w:noWrap/>
            <w:vAlign w:val="bottom"/>
            <w:hideMark/>
          </w:tcPr>
          <w:p w:rsidR="002D49D9" w:rsidRPr="001F29E3" w:rsidRDefault="002D49D9" w:rsidP="001F3AE1">
            <w:pPr>
              <w:spacing w:after="0" w:line="276" w:lineRule="auto"/>
              <w:rPr>
                <w:rFonts w:cs="Arial"/>
                <w:sz w:val="22"/>
                <w:szCs w:val="22"/>
              </w:rPr>
            </w:pPr>
          </w:p>
        </w:tc>
        <w:tc>
          <w:tcPr>
            <w:tcW w:w="795" w:type="dxa"/>
            <w:noWrap/>
            <w:vAlign w:val="bottom"/>
            <w:hideMark/>
          </w:tcPr>
          <w:p w:rsidR="002D49D9" w:rsidRPr="001F29E3" w:rsidRDefault="002D49D9" w:rsidP="001F3AE1">
            <w:pPr>
              <w:spacing w:after="0" w:line="276" w:lineRule="auto"/>
              <w:rPr>
                <w:rFonts w:cs="Arial"/>
                <w:sz w:val="22"/>
                <w:szCs w:val="22"/>
              </w:rPr>
            </w:pPr>
          </w:p>
        </w:tc>
        <w:tc>
          <w:tcPr>
            <w:tcW w:w="795" w:type="dxa"/>
            <w:tcBorders>
              <w:top w:val="nil"/>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c>
          <w:tcPr>
            <w:tcW w:w="795" w:type="dxa"/>
            <w:tcBorders>
              <w:top w:val="nil"/>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c>
          <w:tcPr>
            <w:tcW w:w="795" w:type="dxa"/>
            <w:tcBorders>
              <w:top w:val="nil"/>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c>
          <w:tcPr>
            <w:tcW w:w="795" w:type="dxa"/>
            <w:tcBorders>
              <w:top w:val="nil"/>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c>
          <w:tcPr>
            <w:tcW w:w="868" w:type="dxa"/>
            <w:tcBorders>
              <w:top w:val="nil"/>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c>
          <w:tcPr>
            <w:tcW w:w="795" w:type="dxa"/>
            <w:tcBorders>
              <w:top w:val="nil"/>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c>
          <w:tcPr>
            <w:tcW w:w="795" w:type="dxa"/>
            <w:tcBorders>
              <w:top w:val="nil"/>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c>
          <w:tcPr>
            <w:tcW w:w="1254" w:type="dxa"/>
            <w:tcBorders>
              <w:top w:val="nil"/>
              <w:left w:val="nil"/>
              <w:bottom w:val="single" w:sz="4" w:space="0" w:color="9BBB59"/>
              <w:right w:val="nil"/>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 </w:t>
            </w:r>
          </w:p>
        </w:tc>
      </w:tr>
      <w:tr w:rsidR="002D49D9" w:rsidRPr="001F29E3" w:rsidTr="001F3AE1">
        <w:trPr>
          <w:trHeight w:val="225"/>
        </w:trPr>
        <w:tc>
          <w:tcPr>
            <w:tcW w:w="9096" w:type="dxa"/>
            <w:gridSpan w:val="10"/>
            <w:tcBorders>
              <w:top w:val="single" w:sz="4" w:space="0" w:color="9BBB59"/>
              <w:left w:val="single" w:sz="4" w:space="0" w:color="9BBB59"/>
              <w:bottom w:val="nil"/>
              <w:right w:val="single" w:sz="4" w:space="0" w:color="9BBB59"/>
            </w:tcBorders>
            <w:shd w:val="clear" w:color="auto" w:fill="76933C"/>
            <w:noWrap/>
            <w:vAlign w:val="bottom"/>
            <w:hideMark/>
          </w:tcPr>
          <w:p w:rsidR="002D49D9" w:rsidRPr="001F29E3" w:rsidRDefault="002D49D9" w:rsidP="001F3AE1">
            <w:pPr>
              <w:spacing w:after="0" w:line="240" w:lineRule="auto"/>
              <w:jc w:val="center"/>
              <w:rPr>
                <w:rFonts w:cs="Arial"/>
                <w:b/>
                <w:bCs/>
                <w:color w:val="FFFFFF"/>
                <w:sz w:val="20"/>
                <w:szCs w:val="16"/>
                <w:lang w:eastAsia="en-AU"/>
              </w:rPr>
            </w:pPr>
            <w:r w:rsidRPr="001F29E3">
              <w:rPr>
                <w:rFonts w:cs="Arial"/>
                <w:b/>
                <w:bCs/>
                <w:color w:val="FFFFFF"/>
                <w:sz w:val="20"/>
                <w:szCs w:val="16"/>
                <w:lang w:eastAsia="en-AU"/>
              </w:rPr>
              <w:t>Either Specialised or In shortage</w:t>
            </w:r>
          </w:p>
        </w:tc>
      </w:tr>
      <w:tr w:rsidR="002D49D9" w:rsidRPr="001F29E3" w:rsidTr="001F3AE1">
        <w:trPr>
          <w:trHeight w:val="450"/>
        </w:trPr>
        <w:tc>
          <w:tcPr>
            <w:tcW w:w="1409" w:type="dxa"/>
            <w:tcBorders>
              <w:top w:val="single" w:sz="4" w:space="0" w:color="9BBB59"/>
              <w:left w:val="single" w:sz="4" w:space="0" w:color="9BBB59"/>
              <w:bottom w:val="single" w:sz="4" w:space="0" w:color="76933C"/>
              <w:right w:val="nil"/>
            </w:tcBorders>
            <w:shd w:val="clear" w:color="auto" w:fill="9BBB59"/>
            <w:noWrap/>
            <w:vAlign w:val="bottom"/>
            <w:hideMark/>
          </w:tcPr>
          <w:p w:rsidR="002D49D9" w:rsidRPr="001F29E3" w:rsidRDefault="002D49D9" w:rsidP="001F3AE1">
            <w:pPr>
              <w:spacing w:after="0" w:line="240" w:lineRule="auto"/>
              <w:rPr>
                <w:rFonts w:cs="Arial"/>
                <w:color w:val="FFFFFF"/>
                <w:sz w:val="16"/>
                <w:szCs w:val="16"/>
                <w:lang w:eastAsia="en-AU"/>
              </w:rPr>
            </w:pPr>
            <w:r w:rsidRPr="001F29E3">
              <w:rPr>
                <w:rFonts w:cs="Arial"/>
                <w:color w:val="FFFFFF"/>
                <w:sz w:val="16"/>
                <w:szCs w:val="16"/>
                <w:lang w:eastAsia="en-AU"/>
              </w:rPr>
              <w:t> </w:t>
            </w:r>
          </w:p>
        </w:tc>
        <w:tc>
          <w:tcPr>
            <w:tcW w:w="795" w:type="dxa"/>
            <w:tcBorders>
              <w:top w:val="single" w:sz="4" w:space="0" w:color="9BBB59"/>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2008</w:t>
            </w:r>
          </w:p>
        </w:tc>
        <w:tc>
          <w:tcPr>
            <w:tcW w:w="795" w:type="dxa"/>
            <w:tcBorders>
              <w:top w:val="single" w:sz="4" w:space="0" w:color="9BBB59"/>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2009</w:t>
            </w:r>
          </w:p>
        </w:tc>
        <w:tc>
          <w:tcPr>
            <w:tcW w:w="795" w:type="dxa"/>
            <w:tcBorders>
              <w:top w:val="single" w:sz="4" w:space="0" w:color="9BBB59"/>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2010</w:t>
            </w:r>
          </w:p>
        </w:tc>
        <w:tc>
          <w:tcPr>
            <w:tcW w:w="795" w:type="dxa"/>
            <w:tcBorders>
              <w:top w:val="single" w:sz="4" w:space="0" w:color="9BBB59"/>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2011</w:t>
            </w:r>
          </w:p>
        </w:tc>
        <w:tc>
          <w:tcPr>
            <w:tcW w:w="795" w:type="dxa"/>
            <w:tcBorders>
              <w:top w:val="single" w:sz="4" w:space="0" w:color="9BBB59"/>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2012</w:t>
            </w:r>
          </w:p>
        </w:tc>
        <w:tc>
          <w:tcPr>
            <w:tcW w:w="868" w:type="dxa"/>
            <w:tcBorders>
              <w:top w:val="single" w:sz="4" w:space="0" w:color="9BBB59"/>
              <w:left w:val="nil"/>
              <w:bottom w:val="single" w:sz="4" w:space="0" w:color="76933C"/>
              <w:right w:val="nil"/>
            </w:tcBorders>
            <w:shd w:val="clear" w:color="auto" w:fill="9BBB59"/>
            <w:vAlign w:val="bottom"/>
            <w:hideMark/>
          </w:tcPr>
          <w:p w:rsidR="002D49D9" w:rsidRPr="001F29E3" w:rsidRDefault="002D49D9" w:rsidP="001F3AE1">
            <w:pPr>
              <w:spacing w:after="0" w:line="240" w:lineRule="auto"/>
              <w:jc w:val="center"/>
              <w:rPr>
                <w:rFonts w:cs="Arial"/>
                <w:color w:val="FFFFFF"/>
                <w:sz w:val="16"/>
                <w:szCs w:val="16"/>
                <w:lang w:eastAsia="en-AU"/>
              </w:rPr>
            </w:pPr>
            <w:r w:rsidRPr="001F29E3">
              <w:rPr>
                <w:rFonts w:cs="Arial"/>
                <w:color w:val="FFFFFF"/>
                <w:sz w:val="16"/>
                <w:szCs w:val="16"/>
                <w:lang w:eastAsia="en-AU"/>
              </w:rPr>
              <w:t>% 2008 - 2012</w:t>
            </w:r>
          </w:p>
        </w:tc>
        <w:tc>
          <w:tcPr>
            <w:tcW w:w="795" w:type="dxa"/>
            <w:tcBorders>
              <w:top w:val="single" w:sz="4" w:space="0" w:color="9BBB59"/>
              <w:left w:val="nil"/>
              <w:bottom w:val="single" w:sz="4" w:space="0" w:color="76933C"/>
              <w:right w:val="nil"/>
            </w:tcBorders>
            <w:shd w:val="clear" w:color="auto" w:fill="9BBB59"/>
            <w:noWrap/>
            <w:vAlign w:val="bottom"/>
            <w:hideMark/>
          </w:tcPr>
          <w:p w:rsidR="002D49D9" w:rsidRPr="001F29E3" w:rsidRDefault="002D49D9" w:rsidP="001F3AE1">
            <w:pPr>
              <w:spacing w:after="0" w:line="240" w:lineRule="auto"/>
              <w:jc w:val="center"/>
              <w:rPr>
                <w:rFonts w:cs="Arial"/>
                <w:b/>
                <w:color w:val="FFFFFF"/>
                <w:sz w:val="16"/>
                <w:szCs w:val="16"/>
                <w:lang w:eastAsia="en-AU"/>
              </w:rPr>
            </w:pPr>
            <w:r w:rsidRPr="001F29E3">
              <w:rPr>
                <w:rFonts w:cs="Arial"/>
                <w:b/>
                <w:color w:val="FFFFFF"/>
                <w:sz w:val="16"/>
                <w:szCs w:val="16"/>
                <w:lang w:eastAsia="en-AU"/>
              </w:rPr>
              <w:t>Q1 2012</w:t>
            </w:r>
          </w:p>
        </w:tc>
        <w:tc>
          <w:tcPr>
            <w:tcW w:w="795" w:type="dxa"/>
            <w:tcBorders>
              <w:top w:val="single" w:sz="4" w:space="0" w:color="9BBB59"/>
              <w:left w:val="nil"/>
              <w:bottom w:val="single" w:sz="4" w:space="0" w:color="76933C"/>
              <w:right w:val="single" w:sz="4" w:space="0" w:color="9BBB59"/>
            </w:tcBorders>
            <w:shd w:val="clear" w:color="auto" w:fill="9BBB59"/>
            <w:noWrap/>
            <w:vAlign w:val="bottom"/>
            <w:hideMark/>
          </w:tcPr>
          <w:p w:rsidR="002D49D9" w:rsidRPr="001F29E3" w:rsidRDefault="002D49D9" w:rsidP="001F3AE1">
            <w:pPr>
              <w:spacing w:after="0" w:line="240" w:lineRule="auto"/>
              <w:jc w:val="center"/>
              <w:rPr>
                <w:rFonts w:cs="Arial"/>
                <w:b/>
                <w:color w:val="FFFFFF"/>
                <w:sz w:val="16"/>
                <w:szCs w:val="16"/>
                <w:lang w:eastAsia="en-AU"/>
              </w:rPr>
            </w:pPr>
            <w:r w:rsidRPr="001F29E3">
              <w:rPr>
                <w:rFonts w:cs="Arial"/>
                <w:b/>
                <w:color w:val="FFFFFF"/>
                <w:sz w:val="16"/>
                <w:szCs w:val="16"/>
                <w:lang w:eastAsia="en-AU"/>
              </w:rPr>
              <w:t>Q1 2013</w:t>
            </w:r>
          </w:p>
        </w:tc>
        <w:tc>
          <w:tcPr>
            <w:tcW w:w="1254" w:type="dxa"/>
            <w:tcBorders>
              <w:top w:val="single" w:sz="4" w:space="0" w:color="9BBB59"/>
              <w:left w:val="nil"/>
              <w:bottom w:val="single" w:sz="4" w:space="0" w:color="76933C"/>
              <w:right w:val="single" w:sz="4" w:space="0" w:color="9BBB59"/>
            </w:tcBorders>
            <w:shd w:val="clear" w:color="auto" w:fill="9BBB59"/>
            <w:vAlign w:val="bottom"/>
            <w:hideMark/>
          </w:tcPr>
          <w:p w:rsidR="002D49D9" w:rsidRPr="001F29E3" w:rsidRDefault="002D49D9" w:rsidP="001F3AE1">
            <w:pPr>
              <w:spacing w:after="0" w:line="240" w:lineRule="auto"/>
              <w:jc w:val="center"/>
              <w:rPr>
                <w:rFonts w:cs="Arial"/>
                <w:b/>
                <w:color w:val="FFFFFF"/>
                <w:sz w:val="16"/>
                <w:szCs w:val="16"/>
                <w:lang w:eastAsia="en-AU"/>
              </w:rPr>
            </w:pPr>
            <w:r w:rsidRPr="001F29E3">
              <w:rPr>
                <w:rFonts w:cs="Arial"/>
                <w:b/>
                <w:color w:val="FFFFFF"/>
                <w:sz w:val="16"/>
                <w:szCs w:val="16"/>
                <w:lang w:eastAsia="en-AU"/>
              </w:rPr>
              <w:t>% Q1 2012 - Q1 2013</w:t>
            </w:r>
          </w:p>
        </w:tc>
      </w:tr>
      <w:tr w:rsidR="002D49D9" w:rsidRPr="001F29E3" w:rsidTr="001F3AE1">
        <w:trPr>
          <w:trHeight w:val="225"/>
        </w:trPr>
        <w:tc>
          <w:tcPr>
            <w:tcW w:w="1409" w:type="dxa"/>
            <w:tcBorders>
              <w:top w:val="nil"/>
              <w:left w:val="single" w:sz="4" w:space="0" w:color="76933C"/>
              <w:bottom w:val="single" w:sz="4" w:space="0" w:color="76933C"/>
              <w:right w:val="nil"/>
            </w:tcBorders>
            <w:noWrap/>
            <w:vAlign w:val="bottom"/>
            <w:hideMark/>
          </w:tcPr>
          <w:p w:rsidR="002D49D9" w:rsidRPr="001F29E3" w:rsidRDefault="002D49D9" w:rsidP="001F3AE1">
            <w:pPr>
              <w:spacing w:after="0" w:line="240" w:lineRule="auto"/>
              <w:rPr>
                <w:rFonts w:cs="Arial"/>
                <w:b/>
                <w:bCs/>
                <w:color w:val="76933C"/>
                <w:sz w:val="16"/>
                <w:szCs w:val="16"/>
                <w:lang w:eastAsia="en-AU"/>
              </w:rPr>
            </w:pPr>
            <w:r w:rsidRPr="001F29E3">
              <w:rPr>
                <w:rFonts w:cs="Arial"/>
                <w:b/>
                <w:bCs/>
                <w:color w:val="76933C"/>
                <w:sz w:val="16"/>
                <w:szCs w:val="16"/>
                <w:lang w:eastAsia="en-AU"/>
              </w:rPr>
              <w:t>Enrolments</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91,400</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102,600</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116,500</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137,300</w:t>
            </w:r>
          </w:p>
        </w:tc>
        <w:tc>
          <w:tcPr>
            <w:tcW w:w="7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163,100</w:t>
            </w:r>
          </w:p>
        </w:tc>
        <w:tc>
          <w:tcPr>
            <w:tcW w:w="868" w:type="dxa"/>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78%</w:t>
            </w:r>
          </w:p>
        </w:tc>
        <w:tc>
          <w:tcPr>
            <w:tcW w:w="795" w:type="dxa"/>
            <w:tcBorders>
              <w:top w:val="single" w:sz="4" w:space="0" w:color="76933C"/>
              <w:left w:val="single" w:sz="4" w:space="0" w:color="76933C"/>
              <w:bottom w:val="single" w:sz="4" w:space="0" w:color="76933C"/>
              <w:right w:val="nil"/>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81,100</w:t>
            </w:r>
          </w:p>
        </w:tc>
        <w:tc>
          <w:tcPr>
            <w:tcW w:w="7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84,600</w:t>
            </w:r>
          </w:p>
        </w:tc>
        <w:tc>
          <w:tcPr>
            <w:tcW w:w="1254" w:type="dxa"/>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4%</w:t>
            </w:r>
          </w:p>
        </w:tc>
      </w:tr>
      <w:tr w:rsidR="002D49D9" w:rsidRPr="001F29E3" w:rsidTr="001F3AE1">
        <w:trPr>
          <w:trHeight w:val="225"/>
        </w:trPr>
        <w:tc>
          <w:tcPr>
            <w:tcW w:w="1409" w:type="dxa"/>
            <w:tcBorders>
              <w:top w:val="single" w:sz="4" w:space="0" w:color="76933C"/>
              <w:left w:val="single" w:sz="4" w:space="0" w:color="76933C"/>
              <w:bottom w:val="single" w:sz="4" w:space="0" w:color="76933C"/>
              <w:right w:val="nil"/>
            </w:tcBorders>
            <w:noWrap/>
            <w:vAlign w:val="bottom"/>
            <w:hideMark/>
          </w:tcPr>
          <w:p w:rsidR="002D49D9" w:rsidRPr="001F29E3" w:rsidRDefault="002D49D9" w:rsidP="001F3AE1">
            <w:pPr>
              <w:spacing w:after="0" w:line="240" w:lineRule="auto"/>
              <w:rPr>
                <w:rFonts w:cs="Arial"/>
                <w:b/>
                <w:bCs/>
                <w:color w:val="76933C"/>
                <w:sz w:val="16"/>
                <w:szCs w:val="16"/>
                <w:lang w:eastAsia="en-AU"/>
              </w:rPr>
            </w:pPr>
            <w:r w:rsidRPr="001F29E3">
              <w:rPr>
                <w:rFonts w:cs="Arial"/>
                <w:b/>
                <w:bCs/>
                <w:color w:val="76933C"/>
                <w:sz w:val="16"/>
                <w:szCs w:val="16"/>
                <w:lang w:eastAsia="en-AU"/>
              </w:rPr>
              <w:t xml:space="preserve">Hours </w:t>
            </w:r>
            <w:r w:rsidRPr="001F29E3">
              <w:rPr>
                <w:rFonts w:cs="Arial"/>
                <w:color w:val="76933C"/>
                <w:sz w:val="16"/>
                <w:szCs w:val="16"/>
                <w:lang w:eastAsia="en-AU"/>
              </w:rPr>
              <w:t>(millions)</w:t>
            </w:r>
          </w:p>
        </w:tc>
        <w:tc>
          <w:tcPr>
            <w:tcW w:w="7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28.4</w:t>
            </w:r>
          </w:p>
        </w:tc>
        <w:tc>
          <w:tcPr>
            <w:tcW w:w="7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33.6</w:t>
            </w:r>
          </w:p>
        </w:tc>
        <w:tc>
          <w:tcPr>
            <w:tcW w:w="7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38.9</w:t>
            </w:r>
          </w:p>
        </w:tc>
        <w:tc>
          <w:tcPr>
            <w:tcW w:w="7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44.3</w:t>
            </w:r>
          </w:p>
        </w:tc>
        <w:tc>
          <w:tcPr>
            <w:tcW w:w="7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54.9</w:t>
            </w:r>
          </w:p>
        </w:tc>
        <w:tc>
          <w:tcPr>
            <w:tcW w:w="868" w:type="dxa"/>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93%</w:t>
            </w:r>
          </w:p>
        </w:tc>
        <w:tc>
          <w:tcPr>
            <w:tcW w:w="795" w:type="dxa"/>
            <w:tcBorders>
              <w:top w:val="single" w:sz="4" w:space="0" w:color="76933C"/>
              <w:left w:val="single" w:sz="4" w:space="0" w:color="76933C"/>
              <w:bottom w:val="single" w:sz="4" w:space="0" w:color="76933C"/>
              <w:right w:val="nil"/>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27.4</w:t>
            </w:r>
          </w:p>
        </w:tc>
        <w:tc>
          <w:tcPr>
            <w:tcW w:w="7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29.5</w:t>
            </w:r>
          </w:p>
        </w:tc>
        <w:tc>
          <w:tcPr>
            <w:tcW w:w="1254" w:type="dxa"/>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b/>
                <w:color w:val="000000"/>
                <w:sz w:val="16"/>
                <w:szCs w:val="16"/>
                <w:lang w:eastAsia="en-AU"/>
              </w:rPr>
            </w:pPr>
            <w:r w:rsidRPr="001F29E3">
              <w:rPr>
                <w:rFonts w:cs="Arial"/>
                <w:b/>
                <w:color w:val="000000"/>
                <w:sz w:val="16"/>
                <w:szCs w:val="16"/>
                <w:lang w:eastAsia="en-AU"/>
              </w:rPr>
              <w:t>8%</w:t>
            </w:r>
          </w:p>
        </w:tc>
      </w:tr>
    </w:tbl>
    <w:p w:rsidR="002D49D9" w:rsidRPr="001F29E3" w:rsidRDefault="00D70734" w:rsidP="002D49D9">
      <w:pPr>
        <w:rPr>
          <w:rFonts w:eastAsiaTheme="minorHAnsi"/>
        </w:rPr>
      </w:pPr>
      <w:r w:rsidRPr="001F29E3">
        <w:rPr>
          <w:rFonts w:eastAsiaTheme="majorEastAsia"/>
          <w:noProof/>
          <w:lang w:eastAsia="en-AU"/>
        </w:rPr>
        <mc:AlternateContent>
          <mc:Choice Requires="wps">
            <w:drawing>
              <wp:inline distT="0" distB="0" distL="0" distR="0">
                <wp:extent cx="3038475" cy="3672840"/>
                <wp:effectExtent l="0" t="0" r="28575" b="26670"/>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3672840"/>
                        </a:xfrm>
                        <a:prstGeom prst="rect">
                          <a:avLst/>
                        </a:prstGeom>
                        <a:solidFill>
                          <a:srgbClr val="FFFFFF"/>
                        </a:solidFill>
                        <a:ln w="9525">
                          <a:solidFill>
                            <a:schemeClr val="accent3">
                              <a:lumMod val="75000"/>
                            </a:schemeClr>
                          </a:solidFill>
                          <a:miter lim="800000"/>
                          <a:headEnd/>
                          <a:tailEnd/>
                        </a:ln>
                      </wps:spPr>
                      <wps:txbx>
                        <w:txbxContent>
                          <w:p w:rsidR="004856D4" w:rsidRDefault="004856D4" w:rsidP="002D49D9">
                            <w:pPr>
                              <w:pStyle w:val="ListBullet"/>
                              <w:numPr>
                                <w:ilvl w:val="0"/>
                                <w:numId w:val="0"/>
                              </w:numPr>
                              <w:tabs>
                                <w:tab w:val="left" w:pos="720"/>
                              </w:tabs>
                              <w:ind w:left="360" w:hanging="360"/>
                              <w:rPr>
                                <w:b/>
                                <w:color w:val="76923C"/>
                                <w:sz w:val="18"/>
                                <w:szCs w:val="18"/>
                              </w:rPr>
                            </w:pPr>
                          </w:p>
                          <w:p w:rsidR="004856D4" w:rsidRDefault="004856D4" w:rsidP="002D49D9">
                            <w:pPr>
                              <w:pStyle w:val="ListBullet"/>
                              <w:numPr>
                                <w:ilvl w:val="0"/>
                                <w:numId w:val="0"/>
                              </w:numPr>
                              <w:tabs>
                                <w:tab w:val="left" w:pos="720"/>
                              </w:tabs>
                              <w:ind w:left="360" w:hanging="360"/>
                              <w:rPr>
                                <w:b/>
                                <w:color w:val="76923C"/>
                                <w:sz w:val="18"/>
                                <w:szCs w:val="18"/>
                              </w:rPr>
                            </w:pPr>
                            <w:r>
                              <w:rPr>
                                <w:b/>
                                <w:color w:val="76923C"/>
                                <w:sz w:val="18"/>
                                <w:szCs w:val="18"/>
                              </w:rPr>
                              <w:t>Key Points</w:t>
                            </w:r>
                          </w:p>
                          <w:p w:rsidR="004856D4" w:rsidRDefault="004856D4" w:rsidP="002D49D9">
                            <w:pPr>
                              <w:pStyle w:val="ListBullet"/>
                              <w:numPr>
                                <w:ilvl w:val="0"/>
                                <w:numId w:val="19"/>
                              </w:numPr>
                              <w:tabs>
                                <w:tab w:val="left" w:pos="720"/>
                              </w:tabs>
                              <w:ind w:right="113"/>
                            </w:pPr>
                            <w:r>
                              <w:t xml:space="preserve">There is continued evidence of rising trends in student enrolments and contact student contact hours in courses related to </w:t>
                            </w:r>
                            <w:proofErr w:type="gramStart"/>
                            <w:r>
                              <w:t>specialised</w:t>
                            </w:r>
                            <w:proofErr w:type="gramEnd"/>
                            <w:r>
                              <w:t xml:space="preserve"> and in shortage occupations in the first quarter of 2013. </w:t>
                            </w:r>
                          </w:p>
                          <w:p w:rsidR="004856D4" w:rsidRDefault="004856D4" w:rsidP="002D49D9">
                            <w:pPr>
                              <w:pStyle w:val="ListBullet"/>
                              <w:numPr>
                                <w:ilvl w:val="0"/>
                                <w:numId w:val="19"/>
                              </w:numPr>
                              <w:tabs>
                                <w:tab w:val="left" w:pos="720"/>
                              </w:tabs>
                              <w:ind w:right="113"/>
                            </w:pPr>
                            <w:r>
                              <w:t>Enrolments in qualifications related to specialised or in shortage occupations accounted for 40 per cent of all industry enrolments in the first quarter of 2013, compared 33 per cent reported during the same period in 2012.</w:t>
                            </w:r>
                          </w:p>
                          <w:p w:rsidR="004856D4" w:rsidRDefault="004856D4" w:rsidP="002D49D9">
                            <w:pPr>
                              <w:pStyle w:val="ListBullet"/>
                              <w:numPr>
                                <w:ilvl w:val="0"/>
                                <w:numId w:val="19"/>
                              </w:numPr>
                              <w:tabs>
                                <w:tab w:val="left" w:pos="720"/>
                              </w:tabs>
                              <w:ind w:right="113"/>
                            </w:pPr>
                            <w:r>
                              <w:t>In the first quarter of 2013, training delivery of courses related to specialised and in shortage occupations has been primarily driven by TAFEs (accounts for 51 per cent of enrolments), followed by private RTOs (43 per cent). Compared to the first quarter of 2012, enrolments in private RTOs for these courses have risen by 24 per cent, whereas that it has fallen for ACE and TAFE providers.</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307" o:spid="_x0000_s1026" type="#_x0000_t202" style="width:239.25pt;height:28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" strokecolor="#76923c [2406]">
                <v:textbox style="mso-fit-shape-to-text:t">
                  <w:txbxContent>
                    <w:p w:rsidR="004856D4" w:rsidRDefault="004856D4" w:rsidP="002D49D9">
                      <w:pPr>
                        <w:pStyle w:val="ListBullet"/>
                        <w:numPr>
                          <w:ilvl w:val="0"/>
                          <w:numId w:val="0"/>
                        </w:numPr>
                        <w:tabs>
                          <w:tab w:val="left" w:pos="720"/>
                        </w:tabs>
                        <w:ind w:left="360" w:hanging="360"/>
                        <w:rPr>
                          <w:b/>
                          <w:color w:val="76923C"/>
                          <w:sz w:val="18"/>
                          <w:szCs w:val="18"/>
                        </w:rPr>
                      </w:pPr>
                    </w:p>
                    <w:p w:rsidR="004856D4" w:rsidRDefault="004856D4" w:rsidP="002D49D9">
                      <w:pPr>
                        <w:pStyle w:val="ListBullet"/>
                        <w:numPr>
                          <w:ilvl w:val="0"/>
                          <w:numId w:val="0"/>
                        </w:numPr>
                        <w:tabs>
                          <w:tab w:val="left" w:pos="720"/>
                        </w:tabs>
                        <w:ind w:left="360" w:hanging="360"/>
                        <w:rPr>
                          <w:b/>
                          <w:color w:val="76923C"/>
                          <w:sz w:val="18"/>
                          <w:szCs w:val="18"/>
                        </w:rPr>
                      </w:pPr>
                      <w:r>
                        <w:rPr>
                          <w:b/>
                          <w:color w:val="76923C"/>
                          <w:sz w:val="18"/>
                          <w:szCs w:val="18"/>
                        </w:rPr>
                        <w:t>Key Points</w:t>
                      </w:r>
                    </w:p>
                    <w:p w:rsidR="004856D4" w:rsidRDefault="004856D4" w:rsidP="002D49D9">
                      <w:pPr>
                        <w:pStyle w:val="ListBullet"/>
                        <w:numPr>
                          <w:ilvl w:val="0"/>
                          <w:numId w:val="19"/>
                        </w:numPr>
                        <w:tabs>
                          <w:tab w:val="left" w:pos="720"/>
                        </w:tabs>
                        <w:ind w:right="113"/>
                      </w:pPr>
                      <w:r>
                        <w:t xml:space="preserve">There is continued evidence of rising trends in student enrolments and contact student contact hours in courses related to </w:t>
                      </w:r>
                      <w:proofErr w:type="gramStart"/>
                      <w:r>
                        <w:t>specialised</w:t>
                      </w:r>
                      <w:proofErr w:type="gramEnd"/>
                      <w:r>
                        <w:t xml:space="preserve"> and in shortage occupations in the first quarter of 2013. </w:t>
                      </w:r>
                    </w:p>
                    <w:p w:rsidR="004856D4" w:rsidRDefault="004856D4" w:rsidP="002D49D9">
                      <w:pPr>
                        <w:pStyle w:val="ListBullet"/>
                        <w:numPr>
                          <w:ilvl w:val="0"/>
                          <w:numId w:val="19"/>
                        </w:numPr>
                        <w:tabs>
                          <w:tab w:val="left" w:pos="720"/>
                        </w:tabs>
                        <w:ind w:right="113"/>
                      </w:pPr>
                      <w:r>
                        <w:t>Enrolments in qualifications related to specialised or in shortage occupations accounted for 40 per cent of all industry enrolments in the first quarter of 2013, compared 33 per cent reported during the same period in 2012.</w:t>
                      </w:r>
                    </w:p>
                    <w:p w:rsidR="004856D4" w:rsidRDefault="004856D4" w:rsidP="002D49D9">
                      <w:pPr>
                        <w:pStyle w:val="ListBullet"/>
                        <w:numPr>
                          <w:ilvl w:val="0"/>
                          <w:numId w:val="19"/>
                        </w:numPr>
                        <w:tabs>
                          <w:tab w:val="left" w:pos="720"/>
                        </w:tabs>
                        <w:ind w:right="113"/>
                      </w:pPr>
                      <w:r>
                        <w:t>In the first quarter of 2013, training delivery of courses related to specialised and in shortage occupations has been primarily driven by TAFEs (accounts for 51 per cent of enrolments), followed by private RTOs (43 per cent). Compared to the first quarter of 2012, enrolments in private RTOs for these courses have risen by 24 per cent, whereas that it has fallen for ACE and TAFE providers.</w:t>
                      </w:r>
                    </w:p>
                  </w:txbxContent>
                </v:textbox>
                <w10:anchorlock/>
              </v:shape>
            </w:pict>
          </mc:Fallback>
        </mc:AlternateContent>
      </w:r>
      <w:r w:rsidR="002D49D9" w:rsidRPr="001F29E3">
        <w:rPr>
          <w:rFonts w:eastAsiaTheme="majorEastAsia"/>
          <w:noProof/>
          <w:lang w:eastAsia="en-AU"/>
        </w:rPr>
        <w:drawing>
          <wp:inline distT="0" distB="0" distL="0" distR="0" wp14:anchorId="42685144" wp14:editId="37027119">
            <wp:extent cx="2515870" cy="25609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15870" cy="2560955"/>
                    </a:xfrm>
                    <a:prstGeom prst="rect">
                      <a:avLst/>
                    </a:prstGeom>
                    <a:noFill/>
                  </pic:spPr>
                </pic:pic>
              </a:graphicData>
            </a:graphic>
          </wp:inline>
        </w:drawing>
      </w:r>
    </w:p>
    <w:p w:rsidR="002D49D9" w:rsidRPr="001F29E3" w:rsidRDefault="002D49D9" w:rsidP="002D49D9">
      <w:pPr>
        <w:rPr>
          <w:rFonts w:eastAsiaTheme="minorHAnsi"/>
        </w:rPr>
      </w:pPr>
    </w:p>
    <w:p w:rsidR="002D49D9" w:rsidRPr="001F29E3" w:rsidRDefault="002D49D9" w:rsidP="002D49D9">
      <w:pPr>
        <w:pStyle w:val="Heading2"/>
      </w:pPr>
      <w:bookmarkStart w:id="95" w:name="_Toc349899153"/>
      <w:bookmarkStart w:id="96" w:name="_Toc349184537"/>
      <w:bookmarkStart w:id="97" w:name="_Toc349184347"/>
      <w:bookmarkStart w:id="98" w:name="_Toc359501566"/>
      <w:r w:rsidRPr="001F29E3">
        <w:lastRenderedPageBreak/>
        <w:t>Analysis of Specialised and In Shortage Courses by Industry Sector</w:t>
      </w:r>
      <w:bookmarkEnd w:id="95"/>
      <w:bookmarkEnd w:id="96"/>
      <w:bookmarkEnd w:id="97"/>
      <w:bookmarkEnd w:id="98"/>
    </w:p>
    <w:p w:rsidR="002D49D9" w:rsidRPr="001F29E3" w:rsidRDefault="002D49D9" w:rsidP="002D49D9">
      <w:pPr>
        <w:rPr>
          <w:rFonts w:cs="Arial"/>
          <w:szCs w:val="19"/>
        </w:rPr>
      </w:pPr>
    </w:p>
    <w:p w:rsidR="002D49D9" w:rsidRPr="001F29E3" w:rsidRDefault="002D49D9" w:rsidP="002D49D9">
      <w:pPr>
        <w:rPr>
          <w:rFonts w:cs="Arial"/>
          <w:szCs w:val="19"/>
        </w:rPr>
      </w:pPr>
      <w:r w:rsidRPr="001F29E3">
        <w:rPr>
          <w:rFonts w:cs="Arial"/>
          <w:szCs w:val="19"/>
        </w:rPr>
        <w:t>Table</w:t>
      </w:r>
      <w:r>
        <w:rPr>
          <w:rFonts w:cs="Arial"/>
          <w:szCs w:val="19"/>
        </w:rPr>
        <w:t>s</w:t>
      </w:r>
      <w:r w:rsidRPr="001F29E3">
        <w:rPr>
          <w:rFonts w:cs="Arial"/>
          <w:szCs w:val="19"/>
        </w:rPr>
        <w:t xml:space="preserve"> 3.</w:t>
      </w:r>
      <w:r>
        <w:rPr>
          <w:rFonts w:cs="Arial"/>
          <w:szCs w:val="19"/>
        </w:rPr>
        <w:t>2 and 3.</w:t>
      </w:r>
      <w:r w:rsidRPr="001F29E3">
        <w:rPr>
          <w:rFonts w:cs="Arial"/>
          <w:szCs w:val="19"/>
        </w:rPr>
        <w:t xml:space="preserve">3 look at the industry share of employment, economic output and enrolments in qualifications related to </w:t>
      </w:r>
      <w:proofErr w:type="gramStart"/>
      <w:r>
        <w:rPr>
          <w:rFonts w:cs="Arial"/>
          <w:szCs w:val="19"/>
        </w:rPr>
        <w:t>specialised</w:t>
      </w:r>
      <w:proofErr w:type="gramEnd"/>
      <w:r>
        <w:rPr>
          <w:rFonts w:cs="Arial"/>
          <w:szCs w:val="19"/>
        </w:rPr>
        <w:t xml:space="preserve"> and i</w:t>
      </w:r>
      <w:r w:rsidRPr="001F29E3">
        <w:rPr>
          <w:rFonts w:cs="Arial"/>
          <w:szCs w:val="19"/>
        </w:rPr>
        <w:t xml:space="preserve">n </w:t>
      </w:r>
      <w:r>
        <w:rPr>
          <w:rFonts w:cs="Arial"/>
          <w:szCs w:val="19"/>
        </w:rPr>
        <w:t>s</w:t>
      </w:r>
      <w:r w:rsidRPr="001F29E3">
        <w:rPr>
          <w:rFonts w:cs="Arial"/>
          <w:szCs w:val="19"/>
        </w:rPr>
        <w:t xml:space="preserve">hortage occupations. </w:t>
      </w:r>
    </w:p>
    <w:p w:rsidR="002D49D9" w:rsidRPr="001F29E3" w:rsidRDefault="002D49D9" w:rsidP="002D49D9">
      <w:pPr>
        <w:rPr>
          <w:rFonts w:cs="Arial"/>
          <w:szCs w:val="19"/>
        </w:rPr>
      </w:pPr>
      <w:r w:rsidRPr="001F29E3">
        <w:rPr>
          <w:rFonts w:cs="Arial"/>
          <w:szCs w:val="19"/>
        </w:rPr>
        <w:t>It is evident from the statistics that enrolments in specialised and in shortage occupations are aligned to some of the larger industries, characterised by high economic output and employment, such as the Health Care and Social Assistance, Construction and Manufacturing sectors.</w:t>
      </w:r>
    </w:p>
    <w:p w:rsidR="002D49D9" w:rsidRPr="001F29E3" w:rsidRDefault="002D49D9" w:rsidP="002D49D9">
      <w:pPr>
        <w:spacing w:after="0" w:line="240" w:lineRule="auto"/>
        <w:jc w:val="left"/>
        <w:rPr>
          <w:rFonts w:cs="Arial"/>
          <w:b/>
          <w:bCs/>
          <w:color w:val="76923C" w:themeColor="accent3" w:themeShade="BF"/>
          <w:sz w:val="16"/>
          <w:szCs w:val="16"/>
        </w:rPr>
      </w:pPr>
    </w:p>
    <w:p w:rsidR="002D49D9" w:rsidRPr="001F29E3" w:rsidRDefault="002D49D9" w:rsidP="002D49D9">
      <w:pPr>
        <w:pStyle w:val="Caption"/>
        <w:jc w:val="left"/>
        <w:rPr>
          <w:rFonts w:cs="Arial"/>
        </w:rPr>
      </w:pPr>
      <w:r w:rsidRPr="001F29E3">
        <w:rPr>
          <w:rFonts w:cs="Arial"/>
        </w:rPr>
        <w:t xml:space="preserve">Table </w:t>
      </w:r>
      <w:r w:rsidR="003427AB">
        <w:rPr>
          <w:rFonts w:cs="Arial"/>
        </w:rPr>
        <w:t>2</w:t>
      </w:r>
      <w:r w:rsidRPr="001F29E3">
        <w:rPr>
          <w:rFonts w:cs="Arial"/>
        </w:rPr>
        <w:t>.2: Industry share of employment and economic output</w:t>
      </w:r>
      <w:r w:rsidRPr="001F29E3">
        <w:rPr>
          <w:rStyle w:val="FootnoteReference"/>
          <w:rFonts w:cs="Arial"/>
        </w:rPr>
        <w:footnoteReference w:id="10"/>
      </w:r>
      <w:r w:rsidRPr="001F29E3">
        <w:rPr>
          <w:rFonts w:cs="Arial"/>
        </w:rPr>
        <w:t xml:space="preserve"> </w:t>
      </w:r>
    </w:p>
    <w:tbl>
      <w:tblPr>
        <w:tblW w:w="5000" w:type="pct"/>
        <w:tblLook w:val="04A0" w:firstRow="1" w:lastRow="0" w:firstColumn="1" w:lastColumn="0" w:noHBand="0" w:noVBand="1"/>
      </w:tblPr>
      <w:tblGrid>
        <w:gridCol w:w="4852"/>
        <w:gridCol w:w="1109"/>
        <w:gridCol w:w="1109"/>
        <w:gridCol w:w="1109"/>
        <w:gridCol w:w="1109"/>
      </w:tblGrid>
      <w:tr w:rsidR="002D49D9" w:rsidRPr="001F29E3" w:rsidTr="001F3AE1">
        <w:trPr>
          <w:trHeight w:val="300"/>
        </w:trPr>
        <w:tc>
          <w:tcPr>
            <w:tcW w:w="2612" w:type="pct"/>
            <w:vMerge w:val="restart"/>
            <w:shd w:val="clear" w:color="auto" w:fill="76933C"/>
            <w:noWrap/>
            <w:vAlign w:val="center"/>
            <w:hideMark/>
          </w:tcPr>
          <w:p w:rsidR="002D49D9" w:rsidRPr="001F29E3" w:rsidRDefault="002D49D9" w:rsidP="001F3AE1">
            <w:pPr>
              <w:spacing w:after="0" w:line="240" w:lineRule="auto"/>
              <w:jc w:val="center"/>
              <w:rPr>
                <w:rFonts w:cs="Arial"/>
                <w:b/>
                <w:bCs/>
                <w:color w:val="FFFFFF"/>
                <w:sz w:val="16"/>
                <w:szCs w:val="16"/>
                <w:lang w:eastAsia="en-AU"/>
              </w:rPr>
            </w:pPr>
            <w:r w:rsidRPr="001F29E3">
              <w:rPr>
                <w:rFonts w:cs="Arial"/>
                <w:b/>
                <w:bCs/>
                <w:color w:val="FFFFFF"/>
                <w:sz w:val="16"/>
                <w:szCs w:val="16"/>
                <w:lang w:eastAsia="en-AU"/>
              </w:rPr>
              <w:t>Industry</w:t>
            </w:r>
          </w:p>
        </w:tc>
        <w:tc>
          <w:tcPr>
            <w:tcW w:w="1194" w:type="pct"/>
            <w:gridSpan w:val="2"/>
            <w:tcBorders>
              <w:top w:val="nil"/>
              <w:left w:val="nil"/>
              <w:bottom w:val="single" w:sz="4" w:space="0" w:color="76933C"/>
              <w:right w:val="nil"/>
            </w:tcBorders>
            <w:shd w:val="clear" w:color="auto" w:fill="76933C"/>
            <w:noWrap/>
            <w:vAlign w:val="bottom"/>
            <w:hideMark/>
          </w:tcPr>
          <w:p w:rsidR="002D49D9" w:rsidRPr="001F29E3" w:rsidRDefault="002D49D9" w:rsidP="001F3AE1">
            <w:pPr>
              <w:spacing w:after="0" w:line="240" w:lineRule="auto"/>
              <w:jc w:val="center"/>
              <w:rPr>
                <w:rFonts w:cs="Arial"/>
                <w:b/>
                <w:bCs/>
                <w:color w:val="FFFFFF"/>
                <w:sz w:val="16"/>
                <w:szCs w:val="16"/>
                <w:lang w:eastAsia="en-AU"/>
              </w:rPr>
            </w:pPr>
            <w:r w:rsidRPr="001F29E3">
              <w:rPr>
                <w:rFonts w:cs="Arial"/>
                <w:b/>
                <w:bCs/>
                <w:color w:val="FFFFFF"/>
                <w:sz w:val="16"/>
                <w:szCs w:val="16"/>
                <w:lang w:eastAsia="en-AU"/>
              </w:rPr>
              <w:t>Employment</w:t>
            </w:r>
          </w:p>
        </w:tc>
        <w:tc>
          <w:tcPr>
            <w:tcW w:w="1194" w:type="pct"/>
            <w:gridSpan w:val="2"/>
            <w:tcBorders>
              <w:top w:val="nil"/>
              <w:left w:val="nil"/>
              <w:bottom w:val="single" w:sz="4" w:space="0" w:color="76933C"/>
              <w:right w:val="single" w:sz="4" w:space="0" w:color="76933C"/>
            </w:tcBorders>
            <w:shd w:val="clear" w:color="auto" w:fill="76933C"/>
            <w:noWrap/>
            <w:vAlign w:val="bottom"/>
            <w:hideMark/>
          </w:tcPr>
          <w:p w:rsidR="002D49D9" w:rsidRPr="001F29E3" w:rsidRDefault="002D49D9" w:rsidP="001F3AE1">
            <w:pPr>
              <w:spacing w:after="0" w:line="240" w:lineRule="auto"/>
              <w:jc w:val="center"/>
              <w:rPr>
                <w:rFonts w:cs="Arial"/>
                <w:b/>
                <w:bCs/>
                <w:color w:val="FFFFFF"/>
                <w:sz w:val="16"/>
                <w:szCs w:val="16"/>
                <w:lang w:eastAsia="en-AU"/>
              </w:rPr>
            </w:pPr>
            <w:r w:rsidRPr="001F29E3">
              <w:rPr>
                <w:rFonts w:cs="Arial"/>
                <w:b/>
                <w:bCs/>
                <w:color w:val="FFFFFF"/>
                <w:sz w:val="16"/>
                <w:szCs w:val="16"/>
                <w:lang w:eastAsia="en-AU"/>
              </w:rPr>
              <w:t>Economic Output</w:t>
            </w:r>
            <w:r w:rsidRPr="001F29E3">
              <w:rPr>
                <w:rStyle w:val="FootnoteReference"/>
                <w:rFonts w:cs="Arial"/>
                <w:b/>
                <w:bCs/>
                <w:color w:val="FFFFFF"/>
                <w:sz w:val="16"/>
                <w:szCs w:val="16"/>
                <w:lang w:eastAsia="en-AU"/>
              </w:rPr>
              <w:footnoteReference w:id="11"/>
            </w:r>
          </w:p>
        </w:tc>
      </w:tr>
      <w:tr w:rsidR="002D49D9" w:rsidRPr="001F29E3" w:rsidTr="001F3AE1">
        <w:trPr>
          <w:trHeight w:val="675"/>
        </w:trPr>
        <w:tc>
          <w:tcPr>
            <w:tcW w:w="0" w:type="auto"/>
            <w:vMerge/>
            <w:vAlign w:val="center"/>
            <w:hideMark/>
          </w:tcPr>
          <w:p w:rsidR="002D49D9" w:rsidRPr="001F29E3" w:rsidRDefault="002D49D9" w:rsidP="001F3AE1">
            <w:pPr>
              <w:spacing w:after="0" w:line="240" w:lineRule="auto"/>
              <w:rPr>
                <w:rFonts w:cs="Arial"/>
                <w:b/>
                <w:bCs/>
                <w:color w:val="FFFFFF"/>
                <w:sz w:val="16"/>
                <w:szCs w:val="16"/>
                <w:lang w:eastAsia="en-AU"/>
              </w:rPr>
            </w:pPr>
          </w:p>
        </w:tc>
        <w:tc>
          <w:tcPr>
            <w:tcW w:w="597" w:type="pct"/>
            <w:shd w:val="clear" w:color="auto" w:fill="76933C"/>
            <w:vAlign w:val="center"/>
            <w:hideMark/>
          </w:tcPr>
          <w:p w:rsidR="002D49D9" w:rsidRPr="001F29E3" w:rsidRDefault="002D49D9" w:rsidP="001F3AE1">
            <w:pPr>
              <w:spacing w:after="0" w:line="240" w:lineRule="auto"/>
              <w:jc w:val="center"/>
              <w:rPr>
                <w:rFonts w:cs="Arial"/>
                <w:b/>
                <w:bCs/>
                <w:color w:val="FFFFFF"/>
                <w:sz w:val="16"/>
                <w:szCs w:val="16"/>
                <w:lang w:eastAsia="en-AU"/>
              </w:rPr>
            </w:pPr>
            <w:r w:rsidRPr="001F29E3">
              <w:rPr>
                <w:rFonts w:cs="Arial"/>
                <w:b/>
                <w:bCs/>
                <w:color w:val="FFFFFF"/>
                <w:sz w:val="16"/>
                <w:szCs w:val="16"/>
                <w:lang w:eastAsia="en-AU"/>
              </w:rPr>
              <w:t>Share 2012</w:t>
            </w:r>
          </w:p>
        </w:tc>
        <w:tc>
          <w:tcPr>
            <w:tcW w:w="597" w:type="pct"/>
            <w:shd w:val="clear" w:color="auto" w:fill="76933C"/>
            <w:vAlign w:val="center"/>
            <w:hideMark/>
          </w:tcPr>
          <w:p w:rsidR="002D49D9" w:rsidRPr="001F29E3" w:rsidRDefault="002D49D9" w:rsidP="001F3AE1">
            <w:pPr>
              <w:spacing w:after="0" w:line="240" w:lineRule="auto"/>
              <w:jc w:val="center"/>
              <w:rPr>
                <w:rFonts w:cs="Arial"/>
                <w:b/>
                <w:bCs/>
                <w:color w:val="FFFFFF"/>
                <w:sz w:val="16"/>
                <w:szCs w:val="16"/>
                <w:lang w:eastAsia="en-AU"/>
              </w:rPr>
            </w:pPr>
            <w:r w:rsidRPr="001F29E3">
              <w:rPr>
                <w:rFonts w:cs="Arial"/>
                <w:b/>
                <w:bCs/>
                <w:color w:val="FFFFFF"/>
                <w:sz w:val="16"/>
                <w:szCs w:val="16"/>
                <w:lang w:eastAsia="en-AU"/>
              </w:rPr>
              <w:t>Forecast change 2012 - 2017</w:t>
            </w:r>
          </w:p>
        </w:tc>
        <w:tc>
          <w:tcPr>
            <w:tcW w:w="597" w:type="pct"/>
            <w:shd w:val="clear" w:color="auto" w:fill="76933C"/>
            <w:vAlign w:val="center"/>
            <w:hideMark/>
          </w:tcPr>
          <w:p w:rsidR="002D49D9" w:rsidRPr="001F29E3" w:rsidRDefault="002D49D9" w:rsidP="001F3AE1">
            <w:pPr>
              <w:spacing w:after="0" w:line="240" w:lineRule="auto"/>
              <w:jc w:val="center"/>
              <w:rPr>
                <w:rFonts w:cs="Arial"/>
                <w:b/>
                <w:bCs/>
                <w:color w:val="FFFFFF"/>
                <w:sz w:val="16"/>
                <w:szCs w:val="16"/>
                <w:lang w:eastAsia="en-AU"/>
              </w:rPr>
            </w:pPr>
            <w:r w:rsidRPr="001F29E3">
              <w:rPr>
                <w:rFonts w:cs="Arial"/>
                <w:b/>
                <w:bCs/>
                <w:color w:val="FFFFFF"/>
                <w:sz w:val="16"/>
                <w:szCs w:val="16"/>
                <w:lang w:eastAsia="en-AU"/>
              </w:rPr>
              <w:t>Share 2012</w:t>
            </w:r>
          </w:p>
        </w:tc>
        <w:tc>
          <w:tcPr>
            <w:tcW w:w="597" w:type="pct"/>
            <w:tcBorders>
              <w:top w:val="nil"/>
              <w:left w:val="nil"/>
              <w:bottom w:val="nil"/>
              <w:right w:val="single" w:sz="4" w:space="0" w:color="76933C"/>
            </w:tcBorders>
            <w:shd w:val="clear" w:color="auto" w:fill="76933C"/>
            <w:vAlign w:val="center"/>
            <w:hideMark/>
          </w:tcPr>
          <w:p w:rsidR="002D49D9" w:rsidRPr="001F29E3" w:rsidRDefault="002D49D9" w:rsidP="001F3AE1">
            <w:pPr>
              <w:spacing w:after="0" w:line="240" w:lineRule="auto"/>
              <w:jc w:val="center"/>
              <w:rPr>
                <w:rFonts w:cs="Arial"/>
                <w:b/>
                <w:bCs/>
                <w:color w:val="FFFFFF"/>
                <w:sz w:val="16"/>
                <w:szCs w:val="16"/>
                <w:lang w:eastAsia="en-AU"/>
              </w:rPr>
            </w:pPr>
            <w:r w:rsidRPr="001F29E3">
              <w:rPr>
                <w:rFonts w:cs="Arial"/>
                <w:b/>
                <w:bCs/>
                <w:color w:val="FFFFFF"/>
                <w:sz w:val="16"/>
                <w:szCs w:val="16"/>
                <w:lang w:eastAsia="en-AU"/>
              </w:rPr>
              <w:t>Forecast change 2012 - 2017</w:t>
            </w:r>
          </w:p>
        </w:tc>
      </w:tr>
      <w:tr w:rsidR="002D49D9" w:rsidRPr="001F29E3" w:rsidTr="001F3AE1">
        <w:trPr>
          <w:trHeight w:val="225"/>
        </w:trPr>
        <w:tc>
          <w:tcPr>
            <w:tcW w:w="2612" w:type="pct"/>
            <w:tcBorders>
              <w:top w:val="single" w:sz="4" w:space="0" w:color="76933C"/>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Accommodation and Food Services</w:t>
            </w:r>
          </w:p>
        </w:tc>
        <w:tc>
          <w:tcPr>
            <w:tcW w:w="597" w:type="pct"/>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6%</w:t>
            </w:r>
          </w:p>
        </w:tc>
        <w:tc>
          <w:tcPr>
            <w:tcW w:w="597" w:type="pct"/>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w:t>
            </w:r>
          </w:p>
        </w:tc>
        <w:tc>
          <w:tcPr>
            <w:tcW w:w="597" w:type="pct"/>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w:t>
            </w:r>
          </w:p>
        </w:tc>
        <w:tc>
          <w:tcPr>
            <w:tcW w:w="597" w:type="pct"/>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9%</w:t>
            </w:r>
          </w:p>
        </w:tc>
      </w:tr>
      <w:tr w:rsidR="002D49D9" w:rsidRPr="001F29E3" w:rsidTr="001F3AE1">
        <w:trPr>
          <w:trHeight w:val="225"/>
        </w:trPr>
        <w:tc>
          <w:tcPr>
            <w:tcW w:w="2612" w:type="pct"/>
            <w:tcBorders>
              <w:top w:val="nil"/>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Administrative Services</w:t>
            </w:r>
          </w:p>
        </w:tc>
        <w:tc>
          <w:tcPr>
            <w:tcW w:w="597"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w:t>
            </w:r>
          </w:p>
        </w:tc>
        <w:tc>
          <w:tcPr>
            <w:tcW w:w="59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w:t>
            </w:r>
          </w:p>
        </w:tc>
        <w:tc>
          <w:tcPr>
            <w:tcW w:w="597"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w:t>
            </w:r>
          </w:p>
        </w:tc>
        <w:tc>
          <w:tcPr>
            <w:tcW w:w="59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15%</w:t>
            </w:r>
          </w:p>
        </w:tc>
      </w:tr>
      <w:tr w:rsidR="002D49D9" w:rsidRPr="001F29E3" w:rsidTr="001F3AE1">
        <w:trPr>
          <w:trHeight w:val="225"/>
        </w:trPr>
        <w:tc>
          <w:tcPr>
            <w:tcW w:w="2612" w:type="pct"/>
            <w:tcBorders>
              <w:top w:val="nil"/>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Agriculture, Forestry and Fishing</w:t>
            </w:r>
          </w:p>
        </w:tc>
        <w:tc>
          <w:tcPr>
            <w:tcW w:w="597"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w:t>
            </w:r>
          </w:p>
        </w:tc>
        <w:tc>
          <w:tcPr>
            <w:tcW w:w="59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22%</w:t>
            </w:r>
          </w:p>
        </w:tc>
        <w:tc>
          <w:tcPr>
            <w:tcW w:w="597"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w:t>
            </w:r>
          </w:p>
        </w:tc>
        <w:tc>
          <w:tcPr>
            <w:tcW w:w="59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26%</w:t>
            </w:r>
          </w:p>
        </w:tc>
      </w:tr>
      <w:tr w:rsidR="002D49D9" w:rsidRPr="001F29E3" w:rsidTr="001F3AE1">
        <w:trPr>
          <w:trHeight w:val="225"/>
        </w:trPr>
        <w:tc>
          <w:tcPr>
            <w:tcW w:w="2612" w:type="pct"/>
            <w:tcBorders>
              <w:top w:val="nil"/>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Arts and Recreation Services</w:t>
            </w:r>
          </w:p>
        </w:tc>
        <w:tc>
          <w:tcPr>
            <w:tcW w:w="597"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w:t>
            </w:r>
          </w:p>
        </w:tc>
        <w:tc>
          <w:tcPr>
            <w:tcW w:w="59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w:t>
            </w:r>
          </w:p>
        </w:tc>
        <w:tc>
          <w:tcPr>
            <w:tcW w:w="597"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w:t>
            </w:r>
          </w:p>
        </w:tc>
        <w:tc>
          <w:tcPr>
            <w:tcW w:w="59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19%</w:t>
            </w:r>
          </w:p>
        </w:tc>
      </w:tr>
      <w:tr w:rsidR="002D49D9" w:rsidRPr="001F29E3" w:rsidTr="001F3AE1">
        <w:trPr>
          <w:trHeight w:val="225"/>
        </w:trPr>
        <w:tc>
          <w:tcPr>
            <w:tcW w:w="2612" w:type="pct"/>
            <w:tcBorders>
              <w:top w:val="nil"/>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Construction</w:t>
            </w:r>
          </w:p>
        </w:tc>
        <w:tc>
          <w:tcPr>
            <w:tcW w:w="597"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9%</w:t>
            </w:r>
          </w:p>
        </w:tc>
        <w:tc>
          <w:tcPr>
            <w:tcW w:w="59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12%</w:t>
            </w:r>
          </w:p>
        </w:tc>
        <w:tc>
          <w:tcPr>
            <w:tcW w:w="597"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8%</w:t>
            </w:r>
          </w:p>
        </w:tc>
        <w:tc>
          <w:tcPr>
            <w:tcW w:w="59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16%</w:t>
            </w:r>
          </w:p>
        </w:tc>
      </w:tr>
      <w:tr w:rsidR="002D49D9" w:rsidRPr="001F29E3" w:rsidTr="001F3AE1">
        <w:trPr>
          <w:trHeight w:val="225"/>
        </w:trPr>
        <w:tc>
          <w:tcPr>
            <w:tcW w:w="2612" w:type="pct"/>
            <w:tcBorders>
              <w:top w:val="nil"/>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Education and Training</w:t>
            </w:r>
          </w:p>
        </w:tc>
        <w:tc>
          <w:tcPr>
            <w:tcW w:w="597"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8%</w:t>
            </w:r>
          </w:p>
        </w:tc>
        <w:tc>
          <w:tcPr>
            <w:tcW w:w="59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9%</w:t>
            </w:r>
          </w:p>
        </w:tc>
        <w:tc>
          <w:tcPr>
            <w:tcW w:w="597"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6%</w:t>
            </w:r>
          </w:p>
        </w:tc>
        <w:tc>
          <w:tcPr>
            <w:tcW w:w="59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10%</w:t>
            </w:r>
          </w:p>
        </w:tc>
      </w:tr>
      <w:tr w:rsidR="002D49D9" w:rsidRPr="001F29E3" w:rsidTr="001F3AE1">
        <w:trPr>
          <w:trHeight w:val="225"/>
        </w:trPr>
        <w:tc>
          <w:tcPr>
            <w:tcW w:w="2612" w:type="pct"/>
            <w:tcBorders>
              <w:top w:val="nil"/>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Electricity, Gas, Water and Waste Services</w:t>
            </w:r>
          </w:p>
        </w:tc>
        <w:tc>
          <w:tcPr>
            <w:tcW w:w="597"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w:t>
            </w:r>
          </w:p>
        </w:tc>
        <w:tc>
          <w:tcPr>
            <w:tcW w:w="59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w:t>
            </w:r>
          </w:p>
        </w:tc>
        <w:tc>
          <w:tcPr>
            <w:tcW w:w="597"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w:t>
            </w:r>
          </w:p>
        </w:tc>
        <w:tc>
          <w:tcPr>
            <w:tcW w:w="59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40%</w:t>
            </w:r>
          </w:p>
        </w:tc>
      </w:tr>
      <w:tr w:rsidR="002D49D9" w:rsidRPr="001F29E3" w:rsidTr="001F3AE1">
        <w:trPr>
          <w:trHeight w:val="225"/>
        </w:trPr>
        <w:tc>
          <w:tcPr>
            <w:tcW w:w="2612" w:type="pct"/>
            <w:tcBorders>
              <w:top w:val="nil"/>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Financial and Insurance Services</w:t>
            </w:r>
          </w:p>
        </w:tc>
        <w:tc>
          <w:tcPr>
            <w:tcW w:w="597"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w:t>
            </w:r>
          </w:p>
        </w:tc>
        <w:tc>
          <w:tcPr>
            <w:tcW w:w="59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w:t>
            </w:r>
          </w:p>
        </w:tc>
        <w:tc>
          <w:tcPr>
            <w:tcW w:w="597"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14%</w:t>
            </w:r>
          </w:p>
        </w:tc>
        <w:tc>
          <w:tcPr>
            <w:tcW w:w="59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10%</w:t>
            </w:r>
          </w:p>
        </w:tc>
      </w:tr>
      <w:tr w:rsidR="002D49D9" w:rsidRPr="001F29E3" w:rsidTr="001F3AE1">
        <w:trPr>
          <w:trHeight w:val="225"/>
        </w:trPr>
        <w:tc>
          <w:tcPr>
            <w:tcW w:w="2612" w:type="pct"/>
            <w:tcBorders>
              <w:top w:val="nil"/>
              <w:left w:val="single" w:sz="4" w:space="0" w:color="76933C"/>
              <w:bottom w:val="nil"/>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Health Care and Social Assistance</w:t>
            </w:r>
          </w:p>
        </w:tc>
        <w:tc>
          <w:tcPr>
            <w:tcW w:w="597" w:type="pct"/>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12%</w:t>
            </w:r>
          </w:p>
        </w:tc>
        <w:tc>
          <w:tcPr>
            <w:tcW w:w="597" w:type="pct"/>
            <w:tcBorders>
              <w:top w:val="nil"/>
              <w:left w:val="nil"/>
              <w:bottom w:val="nil"/>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w:t>
            </w:r>
          </w:p>
        </w:tc>
        <w:tc>
          <w:tcPr>
            <w:tcW w:w="597" w:type="pct"/>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7%</w:t>
            </w:r>
          </w:p>
        </w:tc>
        <w:tc>
          <w:tcPr>
            <w:tcW w:w="597" w:type="pct"/>
            <w:tcBorders>
              <w:top w:val="nil"/>
              <w:left w:val="nil"/>
              <w:bottom w:val="nil"/>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14%</w:t>
            </w:r>
          </w:p>
        </w:tc>
      </w:tr>
      <w:tr w:rsidR="002D49D9" w:rsidRPr="001F29E3" w:rsidTr="001F3AE1">
        <w:trPr>
          <w:trHeight w:val="225"/>
        </w:trPr>
        <w:tc>
          <w:tcPr>
            <w:tcW w:w="2612" w:type="pct"/>
            <w:tcBorders>
              <w:top w:val="single" w:sz="4" w:space="0" w:color="76933C"/>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Information Media and Telecommunications</w:t>
            </w:r>
          </w:p>
        </w:tc>
        <w:tc>
          <w:tcPr>
            <w:tcW w:w="597" w:type="pct"/>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w:t>
            </w:r>
          </w:p>
        </w:tc>
        <w:tc>
          <w:tcPr>
            <w:tcW w:w="597" w:type="pct"/>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w:t>
            </w:r>
          </w:p>
        </w:tc>
        <w:tc>
          <w:tcPr>
            <w:tcW w:w="597" w:type="pct"/>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w:t>
            </w:r>
          </w:p>
        </w:tc>
        <w:tc>
          <w:tcPr>
            <w:tcW w:w="597" w:type="pct"/>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18%</w:t>
            </w:r>
          </w:p>
        </w:tc>
      </w:tr>
      <w:tr w:rsidR="002D49D9" w:rsidRPr="001F29E3" w:rsidTr="001F3AE1">
        <w:trPr>
          <w:trHeight w:val="225"/>
        </w:trPr>
        <w:tc>
          <w:tcPr>
            <w:tcW w:w="2612" w:type="pct"/>
            <w:tcBorders>
              <w:top w:val="nil"/>
              <w:left w:val="single" w:sz="4" w:space="0" w:color="76933C"/>
              <w:bottom w:val="nil"/>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Manufacturing</w:t>
            </w:r>
          </w:p>
        </w:tc>
        <w:tc>
          <w:tcPr>
            <w:tcW w:w="597" w:type="pct"/>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11%</w:t>
            </w:r>
          </w:p>
        </w:tc>
        <w:tc>
          <w:tcPr>
            <w:tcW w:w="597" w:type="pct"/>
            <w:tcBorders>
              <w:top w:val="nil"/>
              <w:left w:val="nil"/>
              <w:bottom w:val="nil"/>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w:t>
            </w:r>
          </w:p>
        </w:tc>
        <w:tc>
          <w:tcPr>
            <w:tcW w:w="597" w:type="pct"/>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10%</w:t>
            </w:r>
          </w:p>
        </w:tc>
        <w:tc>
          <w:tcPr>
            <w:tcW w:w="597" w:type="pct"/>
            <w:tcBorders>
              <w:top w:val="nil"/>
              <w:left w:val="nil"/>
              <w:bottom w:val="nil"/>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7%</w:t>
            </w:r>
          </w:p>
        </w:tc>
      </w:tr>
      <w:tr w:rsidR="002D49D9" w:rsidRPr="001F29E3" w:rsidTr="001F3AE1">
        <w:trPr>
          <w:trHeight w:val="225"/>
        </w:trPr>
        <w:tc>
          <w:tcPr>
            <w:tcW w:w="2612" w:type="pct"/>
            <w:tcBorders>
              <w:top w:val="single" w:sz="4" w:space="0" w:color="76933C"/>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Mining</w:t>
            </w:r>
          </w:p>
        </w:tc>
        <w:tc>
          <w:tcPr>
            <w:tcW w:w="597" w:type="pct"/>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0.4%</w:t>
            </w:r>
          </w:p>
        </w:tc>
        <w:tc>
          <w:tcPr>
            <w:tcW w:w="597" w:type="pct"/>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28%</w:t>
            </w:r>
          </w:p>
        </w:tc>
        <w:tc>
          <w:tcPr>
            <w:tcW w:w="597" w:type="pct"/>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w:t>
            </w:r>
          </w:p>
        </w:tc>
        <w:tc>
          <w:tcPr>
            <w:tcW w:w="597" w:type="pct"/>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36%</w:t>
            </w:r>
          </w:p>
        </w:tc>
      </w:tr>
      <w:tr w:rsidR="002D49D9" w:rsidRPr="001F29E3" w:rsidTr="001F3AE1">
        <w:trPr>
          <w:trHeight w:val="225"/>
        </w:trPr>
        <w:tc>
          <w:tcPr>
            <w:tcW w:w="2612" w:type="pct"/>
            <w:tcBorders>
              <w:top w:val="nil"/>
              <w:left w:val="single" w:sz="4" w:space="0" w:color="76933C"/>
              <w:bottom w:val="nil"/>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Other Services</w:t>
            </w:r>
          </w:p>
        </w:tc>
        <w:tc>
          <w:tcPr>
            <w:tcW w:w="597" w:type="pct"/>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w:t>
            </w:r>
          </w:p>
        </w:tc>
        <w:tc>
          <w:tcPr>
            <w:tcW w:w="597" w:type="pct"/>
            <w:tcBorders>
              <w:top w:val="nil"/>
              <w:left w:val="nil"/>
              <w:bottom w:val="nil"/>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w:t>
            </w:r>
          </w:p>
        </w:tc>
        <w:tc>
          <w:tcPr>
            <w:tcW w:w="597" w:type="pct"/>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w:t>
            </w:r>
          </w:p>
        </w:tc>
        <w:tc>
          <w:tcPr>
            <w:tcW w:w="597" w:type="pct"/>
            <w:tcBorders>
              <w:top w:val="nil"/>
              <w:left w:val="nil"/>
              <w:bottom w:val="nil"/>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16%</w:t>
            </w:r>
          </w:p>
        </w:tc>
      </w:tr>
      <w:tr w:rsidR="002D49D9" w:rsidRPr="001F29E3" w:rsidTr="001F3AE1">
        <w:trPr>
          <w:trHeight w:val="225"/>
        </w:trPr>
        <w:tc>
          <w:tcPr>
            <w:tcW w:w="2612" w:type="pct"/>
            <w:tcBorders>
              <w:top w:val="single" w:sz="4" w:space="0" w:color="76933C"/>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Professional, Scientific and Technical Services</w:t>
            </w:r>
          </w:p>
        </w:tc>
        <w:tc>
          <w:tcPr>
            <w:tcW w:w="597" w:type="pct"/>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8%</w:t>
            </w:r>
          </w:p>
        </w:tc>
        <w:tc>
          <w:tcPr>
            <w:tcW w:w="597" w:type="pct"/>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6%</w:t>
            </w:r>
          </w:p>
        </w:tc>
        <w:tc>
          <w:tcPr>
            <w:tcW w:w="597" w:type="pct"/>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8%</w:t>
            </w:r>
          </w:p>
        </w:tc>
        <w:tc>
          <w:tcPr>
            <w:tcW w:w="597" w:type="pct"/>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20%</w:t>
            </w:r>
          </w:p>
        </w:tc>
      </w:tr>
      <w:tr w:rsidR="002D49D9" w:rsidRPr="001F29E3" w:rsidTr="001F3AE1">
        <w:trPr>
          <w:trHeight w:val="225"/>
        </w:trPr>
        <w:tc>
          <w:tcPr>
            <w:tcW w:w="2612" w:type="pct"/>
            <w:tcBorders>
              <w:top w:val="nil"/>
              <w:left w:val="single" w:sz="4" w:space="0" w:color="76933C"/>
              <w:bottom w:val="nil"/>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Public Administration and Safety</w:t>
            </w:r>
          </w:p>
        </w:tc>
        <w:tc>
          <w:tcPr>
            <w:tcW w:w="597" w:type="pct"/>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w:t>
            </w:r>
          </w:p>
        </w:tc>
        <w:tc>
          <w:tcPr>
            <w:tcW w:w="597" w:type="pct"/>
            <w:tcBorders>
              <w:top w:val="nil"/>
              <w:left w:val="nil"/>
              <w:bottom w:val="nil"/>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w:t>
            </w:r>
          </w:p>
        </w:tc>
        <w:tc>
          <w:tcPr>
            <w:tcW w:w="597" w:type="pct"/>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w:t>
            </w:r>
          </w:p>
        </w:tc>
        <w:tc>
          <w:tcPr>
            <w:tcW w:w="597" w:type="pct"/>
            <w:tcBorders>
              <w:top w:val="nil"/>
              <w:left w:val="nil"/>
              <w:bottom w:val="nil"/>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11%</w:t>
            </w:r>
          </w:p>
        </w:tc>
      </w:tr>
      <w:tr w:rsidR="002D49D9" w:rsidRPr="001F29E3" w:rsidTr="001F3AE1">
        <w:trPr>
          <w:trHeight w:val="225"/>
        </w:trPr>
        <w:tc>
          <w:tcPr>
            <w:tcW w:w="2612" w:type="pct"/>
            <w:tcBorders>
              <w:top w:val="single" w:sz="4" w:space="0" w:color="76933C"/>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Rental, Hiring and Real Estate Services</w:t>
            </w:r>
          </w:p>
        </w:tc>
        <w:tc>
          <w:tcPr>
            <w:tcW w:w="597" w:type="pct"/>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w:t>
            </w:r>
          </w:p>
        </w:tc>
        <w:tc>
          <w:tcPr>
            <w:tcW w:w="597" w:type="pct"/>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w:t>
            </w:r>
          </w:p>
        </w:tc>
        <w:tc>
          <w:tcPr>
            <w:tcW w:w="597" w:type="pct"/>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8%</w:t>
            </w:r>
          </w:p>
        </w:tc>
        <w:tc>
          <w:tcPr>
            <w:tcW w:w="597" w:type="pct"/>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12%</w:t>
            </w:r>
          </w:p>
        </w:tc>
      </w:tr>
      <w:tr w:rsidR="002D49D9" w:rsidRPr="001F29E3" w:rsidTr="001F3AE1">
        <w:trPr>
          <w:trHeight w:val="225"/>
        </w:trPr>
        <w:tc>
          <w:tcPr>
            <w:tcW w:w="2612" w:type="pct"/>
            <w:tcBorders>
              <w:top w:val="nil"/>
              <w:left w:val="single" w:sz="4" w:space="0" w:color="76933C"/>
              <w:bottom w:val="nil"/>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Retail Trade</w:t>
            </w:r>
          </w:p>
        </w:tc>
        <w:tc>
          <w:tcPr>
            <w:tcW w:w="597" w:type="pct"/>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11%</w:t>
            </w:r>
          </w:p>
        </w:tc>
        <w:tc>
          <w:tcPr>
            <w:tcW w:w="597" w:type="pct"/>
            <w:tcBorders>
              <w:top w:val="nil"/>
              <w:left w:val="nil"/>
              <w:bottom w:val="nil"/>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6%</w:t>
            </w:r>
          </w:p>
        </w:tc>
        <w:tc>
          <w:tcPr>
            <w:tcW w:w="597" w:type="pct"/>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6%</w:t>
            </w:r>
          </w:p>
        </w:tc>
        <w:tc>
          <w:tcPr>
            <w:tcW w:w="597" w:type="pct"/>
            <w:tcBorders>
              <w:top w:val="nil"/>
              <w:left w:val="nil"/>
              <w:bottom w:val="nil"/>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6%</w:t>
            </w:r>
          </w:p>
        </w:tc>
      </w:tr>
      <w:tr w:rsidR="002D49D9" w:rsidRPr="001F29E3" w:rsidTr="001F3AE1">
        <w:trPr>
          <w:trHeight w:val="225"/>
        </w:trPr>
        <w:tc>
          <w:tcPr>
            <w:tcW w:w="2612" w:type="pct"/>
            <w:tcBorders>
              <w:top w:val="single" w:sz="4" w:space="0" w:color="76933C"/>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Transport, Postal and Warehousing</w:t>
            </w:r>
          </w:p>
        </w:tc>
        <w:tc>
          <w:tcPr>
            <w:tcW w:w="597" w:type="pct"/>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w:t>
            </w:r>
          </w:p>
        </w:tc>
        <w:tc>
          <w:tcPr>
            <w:tcW w:w="597" w:type="pct"/>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w:t>
            </w:r>
          </w:p>
        </w:tc>
        <w:tc>
          <w:tcPr>
            <w:tcW w:w="597" w:type="pct"/>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6%</w:t>
            </w:r>
          </w:p>
        </w:tc>
        <w:tc>
          <w:tcPr>
            <w:tcW w:w="597" w:type="pct"/>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8%</w:t>
            </w:r>
          </w:p>
        </w:tc>
      </w:tr>
      <w:tr w:rsidR="002D49D9" w:rsidRPr="001F29E3" w:rsidTr="001F3AE1">
        <w:trPr>
          <w:trHeight w:val="225"/>
        </w:trPr>
        <w:tc>
          <w:tcPr>
            <w:tcW w:w="2612" w:type="pct"/>
            <w:tcBorders>
              <w:top w:val="nil"/>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Wholesale Trade</w:t>
            </w:r>
          </w:p>
        </w:tc>
        <w:tc>
          <w:tcPr>
            <w:tcW w:w="597"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w:t>
            </w:r>
          </w:p>
        </w:tc>
        <w:tc>
          <w:tcPr>
            <w:tcW w:w="59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13%</w:t>
            </w:r>
          </w:p>
        </w:tc>
        <w:tc>
          <w:tcPr>
            <w:tcW w:w="597"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w:t>
            </w:r>
          </w:p>
        </w:tc>
        <w:tc>
          <w:tcPr>
            <w:tcW w:w="59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26%</w:t>
            </w:r>
          </w:p>
        </w:tc>
      </w:tr>
    </w:tbl>
    <w:p w:rsidR="002D49D9" w:rsidRPr="001F29E3" w:rsidRDefault="002D49D9" w:rsidP="002D49D9">
      <w:pPr>
        <w:pStyle w:val="Caption"/>
        <w:jc w:val="left"/>
        <w:rPr>
          <w:rFonts w:eastAsiaTheme="minorHAnsi" w:cs="Arial"/>
          <w:b w:val="0"/>
          <w:bCs w:val="0"/>
          <w:color w:val="auto"/>
          <w:sz w:val="22"/>
          <w:szCs w:val="22"/>
        </w:rPr>
      </w:pPr>
    </w:p>
    <w:p w:rsidR="002D49D9" w:rsidRDefault="002D49D9" w:rsidP="002D49D9">
      <w:pPr>
        <w:spacing w:after="0" w:line="240" w:lineRule="auto"/>
        <w:jc w:val="left"/>
        <w:rPr>
          <w:rFonts w:cs="Arial"/>
          <w:b/>
          <w:bCs/>
          <w:color w:val="76923C" w:themeColor="accent3" w:themeShade="BF"/>
          <w:sz w:val="16"/>
          <w:szCs w:val="16"/>
        </w:rPr>
      </w:pPr>
      <w:r>
        <w:rPr>
          <w:rFonts w:cs="Arial"/>
        </w:rPr>
        <w:br w:type="page"/>
      </w:r>
    </w:p>
    <w:p w:rsidR="002D49D9" w:rsidRPr="001F29E3" w:rsidRDefault="002D49D9" w:rsidP="002D49D9">
      <w:pPr>
        <w:pStyle w:val="Caption"/>
        <w:jc w:val="left"/>
        <w:rPr>
          <w:rFonts w:cs="Arial"/>
        </w:rPr>
      </w:pPr>
      <w:r w:rsidRPr="001F29E3">
        <w:rPr>
          <w:rFonts w:cs="Arial"/>
        </w:rPr>
        <w:lastRenderedPageBreak/>
        <w:t xml:space="preserve">Table </w:t>
      </w:r>
      <w:r w:rsidR="003427AB">
        <w:rPr>
          <w:rFonts w:cs="Arial"/>
        </w:rPr>
        <w:t>2</w:t>
      </w:r>
      <w:r>
        <w:rPr>
          <w:rFonts w:cs="Arial"/>
        </w:rPr>
        <w:t>.3</w:t>
      </w:r>
      <w:r w:rsidRPr="001F29E3">
        <w:rPr>
          <w:rFonts w:cs="Arial"/>
        </w:rPr>
        <w:t>: Industry enrolments in qualifications related to either specialised or in shortage occupations</w:t>
      </w:r>
    </w:p>
    <w:tbl>
      <w:tblPr>
        <w:tblW w:w="5301" w:type="pct"/>
        <w:tblLook w:val="04A0" w:firstRow="1" w:lastRow="0" w:firstColumn="1" w:lastColumn="0" w:noHBand="0" w:noVBand="1"/>
      </w:tblPr>
      <w:tblGrid>
        <w:gridCol w:w="3525"/>
        <w:gridCol w:w="661"/>
        <w:gridCol w:w="795"/>
        <w:gridCol w:w="795"/>
        <w:gridCol w:w="999"/>
        <w:gridCol w:w="661"/>
        <w:gridCol w:w="706"/>
        <w:gridCol w:w="706"/>
        <w:gridCol w:w="999"/>
      </w:tblGrid>
      <w:tr w:rsidR="002D49D9" w:rsidRPr="001F29E3" w:rsidTr="001F3AE1">
        <w:trPr>
          <w:trHeight w:val="300"/>
        </w:trPr>
        <w:tc>
          <w:tcPr>
            <w:tcW w:w="1790" w:type="pct"/>
            <w:vMerge w:val="restart"/>
            <w:shd w:val="clear" w:color="auto" w:fill="76933C"/>
            <w:noWrap/>
            <w:vAlign w:val="center"/>
            <w:hideMark/>
          </w:tcPr>
          <w:p w:rsidR="002D49D9" w:rsidRPr="001F29E3" w:rsidRDefault="002D49D9" w:rsidP="001F3AE1">
            <w:pPr>
              <w:spacing w:after="0" w:line="240" w:lineRule="auto"/>
              <w:jc w:val="center"/>
              <w:rPr>
                <w:rFonts w:cs="Arial"/>
                <w:b/>
                <w:bCs/>
                <w:color w:val="FFFFFF"/>
                <w:sz w:val="16"/>
                <w:szCs w:val="16"/>
                <w:lang w:eastAsia="en-AU"/>
              </w:rPr>
            </w:pPr>
            <w:r w:rsidRPr="001F29E3">
              <w:rPr>
                <w:rFonts w:cs="Arial"/>
                <w:b/>
                <w:bCs/>
                <w:color w:val="FFFFFF"/>
                <w:sz w:val="16"/>
                <w:szCs w:val="16"/>
                <w:lang w:eastAsia="en-AU"/>
              </w:rPr>
              <w:t>Industry</w:t>
            </w:r>
          </w:p>
        </w:tc>
        <w:tc>
          <w:tcPr>
            <w:tcW w:w="1650" w:type="pct"/>
            <w:gridSpan w:val="4"/>
            <w:tcBorders>
              <w:top w:val="nil"/>
              <w:left w:val="nil"/>
              <w:bottom w:val="nil"/>
              <w:right w:val="single" w:sz="4" w:space="0" w:color="76933C"/>
            </w:tcBorders>
            <w:shd w:val="clear" w:color="auto" w:fill="4F6228"/>
            <w:vAlign w:val="bottom"/>
            <w:hideMark/>
          </w:tcPr>
          <w:p w:rsidR="002D49D9" w:rsidRPr="001F29E3" w:rsidRDefault="002D49D9" w:rsidP="001F3AE1">
            <w:pPr>
              <w:spacing w:after="0" w:line="240" w:lineRule="auto"/>
              <w:jc w:val="center"/>
              <w:rPr>
                <w:rFonts w:cs="Arial"/>
                <w:b/>
                <w:bCs/>
                <w:color w:val="FFFFFF"/>
                <w:sz w:val="16"/>
                <w:szCs w:val="16"/>
                <w:lang w:eastAsia="en-AU"/>
              </w:rPr>
            </w:pPr>
            <w:r w:rsidRPr="001F29E3">
              <w:rPr>
                <w:rFonts w:cs="Arial"/>
                <w:b/>
                <w:bCs/>
                <w:color w:val="FFFFFF"/>
                <w:sz w:val="16"/>
                <w:szCs w:val="16"/>
                <w:lang w:eastAsia="en-AU"/>
              </w:rPr>
              <w:t>Enrolments (All industry specific qualifications)</w:t>
            </w:r>
          </w:p>
        </w:tc>
        <w:tc>
          <w:tcPr>
            <w:tcW w:w="1560" w:type="pct"/>
            <w:gridSpan w:val="4"/>
            <w:tcBorders>
              <w:top w:val="single" w:sz="4" w:space="0" w:color="76933C"/>
              <w:left w:val="nil"/>
              <w:bottom w:val="nil"/>
              <w:right w:val="single" w:sz="4" w:space="0" w:color="76933C"/>
            </w:tcBorders>
            <w:shd w:val="clear" w:color="auto" w:fill="76933C"/>
            <w:vAlign w:val="bottom"/>
            <w:hideMark/>
          </w:tcPr>
          <w:p w:rsidR="002D49D9" w:rsidRPr="001F29E3" w:rsidRDefault="002D49D9" w:rsidP="001F3AE1">
            <w:pPr>
              <w:spacing w:after="0" w:line="240" w:lineRule="auto"/>
              <w:jc w:val="center"/>
              <w:rPr>
                <w:rFonts w:cs="Arial"/>
                <w:b/>
                <w:bCs/>
                <w:color w:val="FFFFFF"/>
                <w:sz w:val="16"/>
                <w:szCs w:val="16"/>
                <w:lang w:eastAsia="en-AU"/>
              </w:rPr>
            </w:pPr>
            <w:r w:rsidRPr="001F29E3">
              <w:rPr>
                <w:rFonts w:cs="Arial"/>
                <w:b/>
                <w:bCs/>
                <w:color w:val="FFFFFF"/>
                <w:sz w:val="16"/>
                <w:szCs w:val="16"/>
                <w:lang w:eastAsia="en-AU"/>
              </w:rPr>
              <w:t>Enrolments (Specialised OR In Shortage)</w:t>
            </w:r>
          </w:p>
        </w:tc>
      </w:tr>
      <w:tr w:rsidR="002D49D9" w:rsidRPr="001F29E3" w:rsidTr="001F3AE1">
        <w:trPr>
          <w:trHeight w:val="675"/>
        </w:trPr>
        <w:tc>
          <w:tcPr>
            <w:tcW w:w="0" w:type="auto"/>
            <w:vMerge/>
            <w:vAlign w:val="center"/>
            <w:hideMark/>
          </w:tcPr>
          <w:p w:rsidR="002D49D9" w:rsidRPr="001F29E3" w:rsidRDefault="002D49D9" w:rsidP="001F3AE1">
            <w:pPr>
              <w:spacing w:after="0" w:line="240" w:lineRule="auto"/>
              <w:rPr>
                <w:rFonts w:cs="Arial"/>
                <w:b/>
                <w:bCs/>
                <w:color w:val="FFFFFF"/>
                <w:sz w:val="16"/>
                <w:szCs w:val="16"/>
                <w:lang w:eastAsia="en-AU"/>
              </w:rPr>
            </w:pPr>
          </w:p>
        </w:tc>
        <w:tc>
          <w:tcPr>
            <w:tcW w:w="336" w:type="pct"/>
            <w:shd w:val="clear" w:color="auto" w:fill="4F6228"/>
            <w:vAlign w:val="center"/>
            <w:hideMark/>
          </w:tcPr>
          <w:p w:rsidR="002D49D9" w:rsidRPr="001F29E3" w:rsidRDefault="002D49D9" w:rsidP="001F3AE1">
            <w:pPr>
              <w:spacing w:after="0" w:line="240" w:lineRule="auto"/>
              <w:jc w:val="center"/>
              <w:rPr>
                <w:rFonts w:cs="Arial"/>
                <w:b/>
                <w:bCs/>
                <w:color w:val="FFFFFF"/>
                <w:sz w:val="16"/>
                <w:szCs w:val="16"/>
                <w:lang w:eastAsia="en-AU"/>
              </w:rPr>
            </w:pPr>
            <w:r w:rsidRPr="001F29E3">
              <w:rPr>
                <w:rFonts w:cs="Arial"/>
                <w:b/>
                <w:bCs/>
                <w:color w:val="FFFFFF"/>
                <w:sz w:val="16"/>
                <w:szCs w:val="16"/>
                <w:lang w:eastAsia="en-AU"/>
              </w:rPr>
              <w:t>Share Q1 2013</w:t>
            </w:r>
          </w:p>
        </w:tc>
        <w:tc>
          <w:tcPr>
            <w:tcW w:w="404" w:type="pct"/>
            <w:shd w:val="clear" w:color="auto" w:fill="4F6228"/>
            <w:vAlign w:val="center"/>
            <w:hideMark/>
          </w:tcPr>
          <w:p w:rsidR="002D49D9" w:rsidRPr="001F29E3" w:rsidRDefault="002D49D9" w:rsidP="001F3AE1">
            <w:pPr>
              <w:spacing w:after="0" w:line="240" w:lineRule="auto"/>
              <w:jc w:val="center"/>
              <w:rPr>
                <w:rFonts w:cs="Arial"/>
                <w:b/>
                <w:bCs/>
                <w:color w:val="FFFFFF"/>
                <w:sz w:val="16"/>
                <w:szCs w:val="16"/>
                <w:lang w:eastAsia="en-AU"/>
              </w:rPr>
            </w:pPr>
            <w:r w:rsidRPr="001F29E3">
              <w:rPr>
                <w:rFonts w:cs="Arial"/>
                <w:b/>
                <w:bCs/>
                <w:color w:val="FFFFFF"/>
                <w:sz w:val="16"/>
                <w:szCs w:val="16"/>
                <w:lang w:eastAsia="en-AU"/>
              </w:rPr>
              <w:t>Q1 2012</w:t>
            </w:r>
          </w:p>
        </w:tc>
        <w:tc>
          <w:tcPr>
            <w:tcW w:w="404" w:type="pct"/>
            <w:shd w:val="clear" w:color="auto" w:fill="4F6228"/>
            <w:vAlign w:val="center"/>
            <w:hideMark/>
          </w:tcPr>
          <w:p w:rsidR="002D49D9" w:rsidRPr="001F29E3" w:rsidRDefault="002D49D9" w:rsidP="001F3AE1">
            <w:pPr>
              <w:spacing w:after="0" w:line="240" w:lineRule="auto"/>
              <w:jc w:val="center"/>
              <w:rPr>
                <w:rFonts w:cs="Arial"/>
                <w:b/>
                <w:bCs/>
                <w:color w:val="FFFFFF"/>
                <w:sz w:val="16"/>
                <w:szCs w:val="16"/>
                <w:lang w:eastAsia="en-AU"/>
              </w:rPr>
            </w:pPr>
            <w:r w:rsidRPr="001F29E3">
              <w:rPr>
                <w:rFonts w:cs="Arial"/>
                <w:b/>
                <w:bCs/>
                <w:color w:val="FFFFFF"/>
                <w:sz w:val="16"/>
                <w:szCs w:val="16"/>
                <w:lang w:eastAsia="en-AU"/>
              </w:rPr>
              <w:t>Q1 2013</w:t>
            </w:r>
          </w:p>
        </w:tc>
        <w:tc>
          <w:tcPr>
            <w:tcW w:w="507" w:type="pct"/>
            <w:tcBorders>
              <w:top w:val="nil"/>
              <w:left w:val="nil"/>
              <w:bottom w:val="nil"/>
              <w:right w:val="single" w:sz="4" w:space="0" w:color="76933C"/>
            </w:tcBorders>
            <w:shd w:val="clear" w:color="auto" w:fill="4F6228"/>
            <w:vAlign w:val="center"/>
            <w:hideMark/>
          </w:tcPr>
          <w:p w:rsidR="002D49D9" w:rsidRPr="001F29E3" w:rsidRDefault="002D49D9" w:rsidP="001F3AE1">
            <w:pPr>
              <w:spacing w:after="0" w:line="240" w:lineRule="auto"/>
              <w:jc w:val="center"/>
              <w:rPr>
                <w:rFonts w:cs="Arial"/>
                <w:b/>
                <w:bCs/>
                <w:color w:val="FFFFFF"/>
                <w:sz w:val="16"/>
                <w:szCs w:val="16"/>
                <w:lang w:eastAsia="en-AU"/>
              </w:rPr>
            </w:pPr>
            <w:r w:rsidRPr="001F29E3">
              <w:rPr>
                <w:rFonts w:cs="Arial"/>
                <w:b/>
                <w:bCs/>
                <w:color w:val="FFFFFF"/>
                <w:sz w:val="16"/>
                <w:szCs w:val="16"/>
                <w:lang w:eastAsia="en-AU"/>
              </w:rPr>
              <w:t>Difference Q1 2012 - Q1 2013</w:t>
            </w:r>
          </w:p>
        </w:tc>
        <w:tc>
          <w:tcPr>
            <w:tcW w:w="336" w:type="pct"/>
            <w:shd w:val="clear" w:color="auto" w:fill="76933C"/>
            <w:vAlign w:val="center"/>
            <w:hideMark/>
          </w:tcPr>
          <w:p w:rsidR="002D49D9" w:rsidRPr="001F29E3" w:rsidRDefault="002D49D9" w:rsidP="001F3AE1">
            <w:pPr>
              <w:spacing w:after="0" w:line="240" w:lineRule="auto"/>
              <w:jc w:val="center"/>
              <w:rPr>
                <w:rFonts w:cs="Arial"/>
                <w:b/>
                <w:bCs/>
                <w:color w:val="FFFFFF"/>
                <w:sz w:val="16"/>
                <w:szCs w:val="16"/>
                <w:lang w:eastAsia="en-AU"/>
              </w:rPr>
            </w:pPr>
            <w:r w:rsidRPr="001F29E3">
              <w:rPr>
                <w:rFonts w:cs="Arial"/>
                <w:b/>
                <w:bCs/>
                <w:color w:val="FFFFFF"/>
                <w:sz w:val="16"/>
                <w:szCs w:val="16"/>
                <w:lang w:eastAsia="en-AU"/>
              </w:rPr>
              <w:t>Share Q1 2013</w:t>
            </w:r>
          </w:p>
        </w:tc>
        <w:tc>
          <w:tcPr>
            <w:tcW w:w="358" w:type="pct"/>
            <w:shd w:val="clear" w:color="auto" w:fill="76933C"/>
            <w:vAlign w:val="center"/>
            <w:hideMark/>
          </w:tcPr>
          <w:p w:rsidR="002D49D9" w:rsidRPr="001F29E3" w:rsidRDefault="002D49D9" w:rsidP="001F3AE1">
            <w:pPr>
              <w:spacing w:after="0" w:line="240" w:lineRule="auto"/>
              <w:jc w:val="center"/>
              <w:rPr>
                <w:rFonts w:cs="Arial"/>
                <w:b/>
                <w:bCs/>
                <w:color w:val="FFFFFF"/>
                <w:sz w:val="16"/>
                <w:szCs w:val="16"/>
                <w:lang w:eastAsia="en-AU"/>
              </w:rPr>
            </w:pPr>
            <w:r w:rsidRPr="001F29E3">
              <w:rPr>
                <w:rFonts w:cs="Arial"/>
                <w:b/>
                <w:bCs/>
                <w:color w:val="FFFFFF"/>
                <w:sz w:val="16"/>
                <w:szCs w:val="16"/>
                <w:lang w:eastAsia="en-AU"/>
              </w:rPr>
              <w:t>Q1 2012</w:t>
            </w:r>
          </w:p>
        </w:tc>
        <w:tc>
          <w:tcPr>
            <w:tcW w:w="358" w:type="pct"/>
            <w:shd w:val="clear" w:color="auto" w:fill="76933C"/>
            <w:vAlign w:val="center"/>
            <w:hideMark/>
          </w:tcPr>
          <w:p w:rsidR="002D49D9" w:rsidRPr="001F29E3" w:rsidRDefault="002D49D9" w:rsidP="001F3AE1">
            <w:pPr>
              <w:spacing w:after="0" w:line="240" w:lineRule="auto"/>
              <w:jc w:val="center"/>
              <w:rPr>
                <w:rFonts w:cs="Arial"/>
                <w:b/>
                <w:bCs/>
                <w:color w:val="FFFFFF"/>
                <w:sz w:val="16"/>
                <w:szCs w:val="16"/>
                <w:lang w:eastAsia="en-AU"/>
              </w:rPr>
            </w:pPr>
            <w:r w:rsidRPr="001F29E3">
              <w:rPr>
                <w:rFonts w:cs="Arial"/>
                <w:b/>
                <w:bCs/>
                <w:color w:val="FFFFFF"/>
                <w:sz w:val="16"/>
                <w:szCs w:val="16"/>
                <w:lang w:eastAsia="en-AU"/>
              </w:rPr>
              <w:t>Q1 2013</w:t>
            </w:r>
          </w:p>
        </w:tc>
        <w:tc>
          <w:tcPr>
            <w:tcW w:w="507" w:type="pct"/>
            <w:tcBorders>
              <w:top w:val="nil"/>
              <w:left w:val="nil"/>
              <w:bottom w:val="nil"/>
              <w:right w:val="single" w:sz="4" w:space="0" w:color="76933C"/>
            </w:tcBorders>
            <w:shd w:val="clear" w:color="auto" w:fill="76933C"/>
            <w:vAlign w:val="center"/>
            <w:hideMark/>
          </w:tcPr>
          <w:p w:rsidR="002D49D9" w:rsidRPr="001F29E3" w:rsidRDefault="002D49D9" w:rsidP="001F3AE1">
            <w:pPr>
              <w:spacing w:after="0" w:line="240" w:lineRule="auto"/>
              <w:jc w:val="center"/>
              <w:rPr>
                <w:rFonts w:cs="Arial"/>
                <w:b/>
                <w:bCs/>
                <w:color w:val="FFFFFF"/>
                <w:sz w:val="16"/>
                <w:szCs w:val="16"/>
                <w:lang w:eastAsia="en-AU"/>
              </w:rPr>
            </w:pPr>
            <w:r w:rsidRPr="001F29E3">
              <w:rPr>
                <w:rFonts w:cs="Arial"/>
                <w:b/>
                <w:bCs/>
                <w:color w:val="FFFFFF"/>
                <w:sz w:val="16"/>
                <w:szCs w:val="16"/>
                <w:lang w:eastAsia="en-AU"/>
              </w:rPr>
              <w:t>Difference Q1 2012 - Q1 2013</w:t>
            </w:r>
          </w:p>
        </w:tc>
      </w:tr>
      <w:tr w:rsidR="002D49D9" w:rsidRPr="001F29E3" w:rsidTr="001F3AE1">
        <w:trPr>
          <w:trHeight w:val="225"/>
        </w:trPr>
        <w:tc>
          <w:tcPr>
            <w:tcW w:w="1790" w:type="pct"/>
            <w:tcBorders>
              <w:top w:val="single" w:sz="4" w:space="0" w:color="76933C"/>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Accommodation and Food Services</w:t>
            </w:r>
          </w:p>
        </w:tc>
        <w:tc>
          <w:tcPr>
            <w:tcW w:w="336" w:type="pct"/>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6%</w:t>
            </w:r>
          </w:p>
        </w:tc>
        <w:tc>
          <w:tcPr>
            <w:tcW w:w="404" w:type="pct"/>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16,600</w:t>
            </w:r>
          </w:p>
        </w:tc>
        <w:tc>
          <w:tcPr>
            <w:tcW w:w="404" w:type="pct"/>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12,100</w:t>
            </w:r>
          </w:p>
        </w:tc>
        <w:tc>
          <w:tcPr>
            <w:tcW w:w="507" w:type="pct"/>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-4,500</w:t>
            </w:r>
          </w:p>
        </w:tc>
        <w:tc>
          <w:tcPr>
            <w:tcW w:w="336" w:type="pct"/>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w:t>
            </w:r>
          </w:p>
        </w:tc>
        <w:tc>
          <w:tcPr>
            <w:tcW w:w="358" w:type="pct"/>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3,500</w:t>
            </w:r>
          </w:p>
        </w:tc>
        <w:tc>
          <w:tcPr>
            <w:tcW w:w="358" w:type="pct"/>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3,100</w:t>
            </w:r>
          </w:p>
        </w:tc>
        <w:tc>
          <w:tcPr>
            <w:tcW w:w="507" w:type="pct"/>
            <w:tcBorders>
              <w:top w:val="single" w:sz="4" w:space="0" w:color="76933C"/>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-400</w:t>
            </w:r>
          </w:p>
        </w:tc>
      </w:tr>
      <w:tr w:rsidR="002D49D9" w:rsidRPr="001F29E3" w:rsidTr="001F3AE1">
        <w:trPr>
          <w:trHeight w:val="225"/>
        </w:trPr>
        <w:tc>
          <w:tcPr>
            <w:tcW w:w="1790" w:type="pct"/>
            <w:tcBorders>
              <w:top w:val="nil"/>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Administrative Services</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11,400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8,200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-3,200</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r>
      <w:tr w:rsidR="002D49D9" w:rsidRPr="001F29E3" w:rsidTr="001F3AE1">
        <w:trPr>
          <w:trHeight w:val="225"/>
        </w:trPr>
        <w:tc>
          <w:tcPr>
            <w:tcW w:w="1790" w:type="pct"/>
            <w:tcBorders>
              <w:top w:val="nil"/>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Agriculture, Forestry and Fishing</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3,000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2,600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-400</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400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r>
      <w:tr w:rsidR="002D49D9" w:rsidRPr="001F29E3" w:rsidTr="001F3AE1">
        <w:trPr>
          <w:trHeight w:val="225"/>
        </w:trPr>
        <w:tc>
          <w:tcPr>
            <w:tcW w:w="1790" w:type="pct"/>
            <w:tcBorders>
              <w:top w:val="nil"/>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Arts and Recreation Services</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15,300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9,400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-5,900</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400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900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500</w:t>
            </w:r>
          </w:p>
        </w:tc>
      </w:tr>
      <w:tr w:rsidR="002D49D9" w:rsidRPr="001F29E3" w:rsidTr="001F3AE1">
        <w:trPr>
          <w:trHeight w:val="225"/>
        </w:trPr>
        <w:tc>
          <w:tcPr>
            <w:tcW w:w="1790" w:type="pct"/>
            <w:tcBorders>
              <w:top w:val="nil"/>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Construction</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13%</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27,400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27,400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25%</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21,500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21,500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r>
      <w:tr w:rsidR="002D49D9" w:rsidRPr="001F29E3" w:rsidTr="001F3AE1">
        <w:trPr>
          <w:trHeight w:val="225"/>
        </w:trPr>
        <w:tc>
          <w:tcPr>
            <w:tcW w:w="1790" w:type="pct"/>
            <w:tcBorders>
              <w:top w:val="nil"/>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Education and Training</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5,000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5,300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300</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2,800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2,000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-800</w:t>
            </w:r>
          </w:p>
        </w:tc>
      </w:tr>
      <w:tr w:rsidR="002D49D9" w:rsidRPr="001F29E3" w:rsidTr="001F3AE1">
        <w:trPr>
          <w:trHeight w:val="225"/>
        </w:trPr>
        <w:tc>
          <w:tcPr>
            <w:tcW w:w="1790" w:type="pct"/>
            <w:tcBorders>
              <w:top w:val="nil"/>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Electricity, Gas, Water and Waste Services</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600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-300</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500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-300</w:t>
            </w:r>
          </w:p>
        </w:tc>
      </w:tr>
      <w:tr w:rsidR="002D49D9" w:rsidRPr="001F29E3" w:rsidTr="001F3AE1">
        <w:trPr>
          <w:trHeight w:val="225"/>
        </w:trPr>
        <w:tc>
          <w:tcPr>
            <w:tcW w:w="1790" w:type="pct"/>
            <w:tcBorders>
              <w:top w:val="nil"/>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Financial and Insurance Services</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4,400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1,700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-2,700</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700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-600</w:t>
            </w:r>
          </w:p>
        </w:tc>
      </w:tr>
      <w:tr w:rsidR="002D49D9" w:rsidRPr="001F29E3" w:rsidTr="001F3AE1">
        <w:trPr>
          <w:trHeight w:val="225"/>
        </w:trPr>
        <w:tc>
          <w:tcPr>
            <w:tcW w:w="1790" w:type="pct"/>
            <w:tcBorders>
              <w:top w:val="nil"/>
              <w:left w:val="single" w:sz="4" w:space="0" w:color="76933C"/>
              <w:bottom w:val="nil"/>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Health Care and Social Assistance</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21%</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39,400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44,500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5,100</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48%</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35,400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40,200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4,800</w:t>
            </w:r>
          </w:p>
        </w:tc>
      </w:tr>
      <w:tr w:rsidR="002D49D9" w:rsidRPr="001F29E3" w:rsidTr="001F3AE1">
        <w:trPr>
          <w:trHeight w:val="225"/>
        </w:trPr>
        <w:tc>
          <w:tcPr>
            <w:tcW w:w="1790" w:type="pct"/>
            <w:tcBorders>
              <w:top w:val="single" w:sz="4" w:space="0" w:color="76933C"/>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Information Media and Telecommunications</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2,800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2,200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-600</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300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-100</w:t>
            </w:r>
          </w:p>
        </w:tc>
      </w:tr>
      <w:tr w:rsidR="002D49D9" w:rsidRPr="001F29E3" w:rsidTr="001F3AE1">
        <w:trPr>
          <w:trHeight w:val="225"/>
        </w:trPr>
        <w:tc>
          <w:tcPr>
            <w:tcW w:w="1790" w:type="pct"/>
            <w:tcBorders>
              <w:top w:val="nil"/>
              <w:left w:val="single" w:sz="4" w:space="0" w:color="76933C"/>
              <w:bottom w:val="nil"/>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Manufacturing</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19,400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20,800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1,400</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6%</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5,100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5,200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100</w:t>
            </w:r>
          </w:p>
        </w:tc>
      </w:tr>
      <w:tr w:rsidR="002D49D9" w:rsidRPr="001F29E3" w:rsidTr="001F3AE1">
        <w:trPr>
          <w:trHeight w:val="225"/>
        </w:trPr>
        <w:tc>
          <w:tcPr>
            <w:tcW w:w="1790" w:type="pct"/>
            <w:tcBorders>
              <w:top w:val="single" w:sz="4" w:space="0" w:color="76933C"/>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Mining</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200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-100</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r>
      <w:tr w:rsidR="002D49D9" w:rsidRPr="001F29E3" w:rsidTr="001F3AE1">
        <w:trPr>
          <w:trHeight w:val="225"/>
        </w:trPr>
        <w:tc>
          <w:tcPr>
            <w:tcW w:w="1790" w:type="pct"/>
            <w:tcBorders>
              <w:top w:val="nil"/>
              <w:left w:val="single" w:sz="4" w:space="0" w:color="76933C"/>
              <w:bottom w:val="nil"/>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Other Services</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11,200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10,800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-400</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2,900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3,200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300</w:t>
            </w:r>
          </w:p>
        </w:tc>
      </w:tr>
      <w:tr w:rsidR="002D49D9" w:rsidRPr="001F29E3" w:rsidTr="001F3AE1">
        <w:trPr>
          <w:trHeight w:val="225"/>
        </w:trPr>
        <w:tc>
          <w:tcPr>
            <w:tcW w:w="1790" w:type="pct"/>
            <w:tcBorders>
              <w:top w:val="single" w:sz="4" w:space="0" w:color="76933C"/>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Professional, Scientific and Technical Services</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9,100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7,700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-1,400</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1,900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1,800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-100</w:t>
            </w:r>
          </w:p>
        </w:tc>
      </w:tr>
      <w:tr w:rsidR="002D49D9" w:rsidRPr="001F29E3" w:rsidTr="001F3AE1">
        <w:trPr>
          <w:trHeight w:val="225"/>
        </w:trPr>
        <w:tc>
          <w:tcPr>
            <w:tcW w:w="1790" w:type="pct"/>
            <w:tcBorders>
              <w:top w:val="nil"/>
              <w:left w:val="single" w:sz="4" w:space="0" w:color="76933C"/>
              <w:bottom w:val="nil"/>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Public Administration and Safety</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2,900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3,000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100</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200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-100</w:t>
            </w:r>
          </w:p>
        </w:tc>
      </w:tr>
      <w:tr w:rsidR="002D49D9" w:rsidRPr="001F29E3" w:rsidTr="001F3AE1">
        <w:trPr>
          <w:trHeight w:val="225"/>
        </w:trPr>
        <w:tc>
          <w:tcPr>
            <w:tcW w:w="1790" w:type="pct"/>
            <w:tcBorders>
              <w:top w:val="single" w:sz="4" w:space="0" w:color="76933C"/>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Rental, Hiring and Real Estate Services</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1,100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900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-200</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r>
      <w:tr w:rsidR="002D49D9" w:rsidRPr="001F29E3" w:rsidTr="001F3AE1">
        <w:trPr>
          <w:trHeight w:val="225"/>
        </w:trPr>
        <w:tc>
          <w:tcPr>
            <w:tcW w:w="1790" w:type="pct"/>
            <w:tcBorders>
              <w:top w:val="nil"/>
              <w:left w:val="single" w:sz="4" w:space="0" w:color="76933C"/>
              <w:bottom w:val="nil"/>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Retail Trade</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15,400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8,900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-6,500</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800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1,100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300</w:t>
            </w:r>
          </w:p>
        </w:tc>
      </w:tr>
      <w:tr w:rsidR="002D49D9" w:rsidRPr="001F29E3" w:rsidTr="001F3AE1">
        <w:trPr>
          <w:trHeight w:val="225"/>
        </w:trPr>
        <w:tc>
          <w:tcPr>
            <w:tcW w:w="1790" w:type="pct"/>
            <w:tcBorders>
              <w:top w:val="single" w:sz="4" w:space="0" w:color="76933C"/>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Transport, Postal and Warehousing</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11,000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11,700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700</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2,700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3,200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500</w:t>
            </w:r>
          </w:p>
        </w:tc>
      </w:tr>
      <w:tr w:rsidR="002D49D9" w:rsidRPr="001F29E3" w:rsidTr="001F3AE1">
        <w:trPr>
          <w:trHeight w:val="225"/>
        </w:trPr>
        <w:tc>
          <w:tcPr>
            <w:tcW w:w="1790" w:type="pct"/>
            <w:tcBorders>
              <w:top w:val="nil"/>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color w:val="000000"/>
                <w:sz w:val="16"/>
                <w:szCs w:val="16"/>
                <w:lang w:eastAsia="en-AU"/>
              </w:rPr>
            </w:pPr>
            <w:r w:rsidRPr="001F29E3">
              <w:rPr>
                <w:rFonts w:cs="Arial"/>
                <w:color w:val="000000"/>
                <w:sz w:val="16"/>
                <w:szCs w:val="16"/>
                <w:lang w:eastAsia="en-AU"/>
              </w:rPr>
              <w:t>Wholesale Trade</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600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-200</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c>
          <w:tcPr>
            <w:tcW w:w="358"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0</w:t>
            </w:r>
          </w:p>
        </w:tc>
      </w:tr>
      <w:tr w:rsidR="002D49D9" w:rsidRPr="001F29E3" w:rsidTr="001F3AE1">
        <w:trPr>
          <w:trHeight w:val="225"/>
        </w:trPr>
        <w:tc>
          <w:tcPr>
            <w:tcW w:w="1790" w:type="pct"/>
            <w:tcBorders>
              <w:top w:val="nil"/>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i/>
                <w:iCs/>
                <w:color w:val="000000"/>
                <w:sz w:val="16"/>
                <w:szCs w:val="16"/>
                <w:lang w:eastAsia="en-AU"/>
              </w:rPr>
            </w:pPr>
            <w:r w:rsidRPr="001F29E3">
              <w:rPr>
                <w:rFonts w:cs="Arial"/>
                <w:i/>
                <w:iCs/>
                <w:color w:val="000000"/>
                <w:sz w:val="16"/>
                <w:szCs w:val="16"/>
                <w:lang w:eastAsia="en-AU"/>
              </w:rPr>
              <w:t>Cross Industry e.g</w:t>
            </w:r>
            <w:r w:rsidRPr="00D33931">
              <w:rPr>
                <w:rFonts w:cs="Arial"/>
                <w:i/>
                <w:iCs/>
                <w:sz w:val="16"/>
                <w:szCs w:val="16"/>
                <w:lang w:eastAsia="en-AU"/>
              </w:rPr>
              <w:t>. project manager</w:t>
            </w:r>
            <w:r w:rsidRPr="00D33931">
              <w:rPr>
                <w:rStyle w:val="FootnoteReference"/>
                <w:rFonts w:cs="Arial"/>
                <w:i/>
                <w:iCs/>
                <w:sz w:val="16"/>
                <w:szCs w:val="16"/>
                <w:lang w:eastAsia="en-AU"/>
              </w:rPr>
              <w:footnoteReference w:id="12"/>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16%</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49,800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33,800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-16,000</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w:t>
            </w:r>
          </w:p>
        </w:tc>
        <w:tc>
          <w:tcPr>
            <w:tcW w:w="358" w:type="pct"/>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2,100</w:t>
            </w:r>
          </w:p>
        </w:tc>
        <w:tc>
          <w:tcPr>
            <w:tcW w:w="358" w:type="pct"/>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1,300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color w:val="000000"/>
                <w:sz w:val="16"/>
                <w:szCs w:val="16"/>
                <w:lang w:eastAsia="en-AU"/>
              </w:rPr>
            </w:pPr>
            <w:r w:rsidRPr="001F29E3">
              <w:rPr>
                <w:rFonts w:cs="Arial"/>
                <w:color w:val="000000"/>
                <w:sz w:val="16"/>
                <w:szCs w:val="16"/>
                <w:lang w:eastAsia="en-AU"/>
              </w:rPr>
              <w:t>-800</w:t>
            </w:r>
          </w:p>
        </w:tc>
      </w:tr>
      <w:tr w:rsidR="002D49D9" w:rsidRPr="001F29E3" w:rsidTr="001F3AE1">
        <w:trPr>
          <w:trHeight w:val="225"/>
        </w:trPr>
        <w:tc>
          <w:tcPr>
            <w:tcW w:w="1790" w:type="pct"/>
            <w:tcBorders>
              <w:top w:val="nil"/>
              <w:left w:val="single" w:sz="4" w:space="0" w:color="76933C"/>
              <w:bottom w:val="single" w:sz="4" w:space="0" w:color="76933C"/>
              <w:right w:val="single" w:sz="4" w:space="0" w:color="76933C"/>
            </w:tcBorders>
            <w:noWrap/>
            <w:vAlign w:val="bottom"/>
            <w:hideMark/>
          </w:tcPr>
          <w:p w:rsidR="002D49D9" w:rsidRPr="001F29E3" w:rsidRDefault="002D49D9" w:rsidP="001F3AE1">
            <w:pPr>
              <w:spacing w:after="0" w:line="240" w:lineRule="auto"/>
              <w:rPr>
                <w:rFonts w:cs="Arial"/>
                <w:b/>
                <w:bCs/>
                <w:color w:val="000000"/>
                <w:sz w:val="16"/>
                <w:szCs w:val="16"/>
                <w:lang w:eastAsia="en-AU"/>
              </w:rPr>
            </w:pPr>
            <w:r w:rsidRPr="001F29E3">
              <w:rPr>
                <w:rFonts w:cs="Arial"/>
                <w:b/>
                <w:bCs/>
                <w:color w:val="000000"/>
                <w:sz w:val="16"/>
                <w:szCs w:val="16"/>
                <w:lang w:eastAsia="en-AU"/>
              </w:rPr>
              <w:t>Total</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b/>
                <w:bCs/>
                <w:color w:val="000000"/>
                <w:sz w:val="16"/>
                <w:szCs w:val="16"/>
                <w:lang w:eastAsia="en-AU"/>
              </w:rPr>
            </w:pPr>
            <w:r w:rsidRPr="001F29E3">
              <w:rPr>
                <w:rFonts w:cs="Arial"/>
                <w:b/>
                <w:bCs/>
                <w:color w:val="000000"/>
                <w:sz w:val="16"/>
                <w:szCs w:val="16"/>
                <w:lang w:eastAsia="en-AU"/>
              </w:rPr>
              <w:t>100%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b/>
                <w:bCs/>
                <w:color w:val="000000"/>
                <w:sz w:val="16"/>
                <w:szCs w:val="16"/>
                <w:lang w:eastAsia="en-AU"/>
              </w:rPr>
            </w:pPr>
            <w:r w:rsidRPr="001F29E3">
              <w:rPr>
                <w:rFonts w:cs="Arial"/>
                <w:b/>
                <w:bCs/>
                <w:color w:val="000000"/>
                <w:sz w:val="16"/>
                <w:szCs w:val="16"/>
                <w:lang w:eastAsia="en-AU"/>
              </w:rPr>
              <w:t>246,500</w:t>
            </w:r>
          </w:p>
        </w:tc>
        <w:tc>
          <w:tcPr>
            <w:tcW w:w="404"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b/>
                <w:bCs/>
                <w:color w:val="000000"/>
                <w:sz w:val="16"/>
                <w:szCs w:val="16"/>
                <w:lang w:eastAsia="en-AU"/>
              </w:rPr>
            </w:pPr>
            <w:r w:rsidRPr="001F29E3">
              <w:rPr>
                <w:rFonts w:cs="Arial"/>
                <w:b/>
                <w:bCs/>
                <w:color w:val="000000"/>
                <w:sz w:val="16"/>
                <w:szCs w:val="16"/>
                <w:lang w:eastAsia="en-AU"/>
              </w:rPr>
              <w:t>212,000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b/>
                <w:bCs/>
                <w:color w:val="000000"/>
                <w:sz w:val="16"/>
                <w:szCs w:val="16"/>
                <w:lang w:eastAsia="en-AU"/>
              </w:rPr>
            </w:pPr>
            <w:r w:rsidRPr="001F29E3">
              <w:rPr>
                <w:rFonts w:cs="Arial"/>
                <w:b/>
                <w:bCs/>
                <w:color w:val="000000"/>
                <w:sz w:val="16"/>
                <w:szCs w:val="16"/>
                <w:lang w:eastAsia="en-AU"/>
              </w:rPr>
              <w:t>-34,500</w:t>
            </w:r>
          </w:p>
        </w:tc>
        <w:tc>
          <w:tcPr>
            <w:tcW w:w="336" w:type="pct"/>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b/>
                <w:bCs/>
                <w:color w:val="000000"/>
                <w:sz w:val="16"/>
                <w:szCs w:val="16"/>
                <w:lang w:eastAsia="en-AU"/>
              </w:rPr>
            </w:pPr>
            <w:r w:rsidRPr="001F29E3">
              <w:rPr>
                <w:rFonts w:cs="Arial"/>
                <w:b/>
                <w:bCs/>
                <w:color w:val="000000"/>
                <w:sz w:val="16"/>
                <w:szCs w:val="16"/>
                <w:lang w:eastAsia="en-AU"/>
              </w:rPr>
              <w:t>100%</w:t>
            </w:r>
          </w:p>
        </w:tc>
        <w:tc>
          <w:tcPr>
            <w:tcW w:w="358" w:type="pct"/>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b/>
                <w:bCs/>
                <w:color w:val="000000"/>
                <w:sz w:val="16"/>
                <w:szCs w:val="16"/>
                <w:lang w:eastAsia="en-AU"/>
              </w:rPr>
            </w:pPr>
            <w:r w:rsidRPr="001F29E3">
              <w:rPr>
                <w:rFonts w:cs="Arial"/>
                <w:b/>
                <w:bCs/>
                <w:color w:val="000000"/>
                <w:sz w:val="16"/>
                <w:szCs w:val="16"/>
                <w:lang w:eastAsia="en-AU"/>
              </w:rPr>
              <w:t>79,000</w:t>
            </w:r>
          </w:p>
        </w:tc>
        <w:tc>
          <w:tcPr>
            <w:tcW w:w="358" w:type="pct"/>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b/>
                <w:bCs/>
                <w:color w:val="000000"/>
                <w:sz w:val="16"/>
                <w:szCs w:val="16"/>
                <w:lang w:eastAsia="en-AU"/>
              </w:rPr>
            </w:pPr>
            <w:r w:rsidRPr="001F29E3">
              <w:rPr>
                <w:rFonts w:cs="Arial"/>
                <w:b/>
                <w:bCs/>
                <w:color w:val="000000"/>
                <w:sz w:val="16"/>
                <w:szCs w:val="16"/>
                <w:lang w:eastAsia="en-AU"/>
              </w:rPr>
              <w:t>83,200</w:t>
            </w:r>
          </w:p>
        </w:tc>
        <w:tc>
          <w:tcPr>
            <w:tcW w:w="507" w:type="pct"/>
            <w:tcBorders>
              <w:top w:val="nil"/>
              <w:left w:val="nil"/>
              <w:bottom w:val="single" w:sz="4" w:space="0" w:color="76933C"/>
              <w:right w:val="single" w:sz="4" w:space="0" w:color="76933C"/>
            </w:tcBorders>
            <w:noWrap/>
            <w:vAlign w:val="bottom"/>
            <w:hideMark/>
          </w:tcPr>
          <w:p w:rsidR="002D49D9" w:rsidRPr="001F29E3" w:rsidRDefault="002D49D9" w:rsidP="001F3AE1">
            <w:pPr>
              <w:spacing w:after="0" w:line="240" w:lineRule="auto"/>
              <w:jc w:val="right"/>
              <w:rPr>
                <w:rFonts w:cs="Arial"/>
                <w:b/>
                <w:bCs/>
                <w:color w:val="000000"/>
                <w:sz w:val="16"/>
                <w:szCs w:val="16"/>
                <w:lang w:eastAsia="en-AU"/>
              </w:rPr>
            </w:pPr>
            <w:r w:rsidRPr="001F29E3">
              <w:rPr>
                <w:rFonts w:cs="Arial"/>
                <w:b/>
                <w:bCs/>
                <w:color w:val="000000"/>
                <w:sz w:val="16"/>
                <w:szCs w:val="16"/>
                <w:lang w:eastAsia="en-AU"/>
              </w:rPr>
              <w:t>4,200</w:t>
            </w:r>
          </w:p>
        </w:tc>
      </w:tr>
    </w:tbl>
    <w:p w:rsidR="002D49D9" w:rsidRDefault="002D49D9" w:rsidP="002D49D9"/>
    <w:p w:rsidR="002D49D9" w:rsidRDefault="002D49D9" w:rsidP="002D49D9">
      <w:pPr>
        <w:rPr>
          <w:rFonts w:cs="Arial"/>
          <w:color w:val="000000" w:themeColor="text1"/>
          <w:szCs w:val="19"/>
        </w:rPr>
      </w:pPr>
      <w:r w:rsidRPr="005D22D7">
        <w:rPr>
          <w:color w:val="000000" w:themeColor="text1"/>
        </w:rPr>
        <w:t>N</w:t>
      </w:r>
      <w:r w:rsidRPr="005D22D7">
        <w:rPr>
          <w:rFonts w:cs="Arial"/>
          <w:color w:val="000000" w:themeColor="text1"/>
          <w:szCs w:val="19"/>
        </w:rPr>
        <w:t>ote the growth in Arts and Recreation Services enrolments is mainly due to an increase in Welfare Worker</w:t>
      </w:r>
      <w:r>
        <w:rPr>
          <w:rFonts w:cs="Arial"/>
          <w:color w:val="000000" w:themeColor="text1"/>
          <w:szCs w:val="19"/>
        </w:rPr>
        <w:t xml:space="preserve"> occupation</w:t>
      </w:r>
      <w:r w:rsidRPr="005D22D7">
        <w:rPr>
          <w:rFonts w:cs="Arial"/>
          <w:color w:val="000000" w:themeColor="text1"/>
          <w:szCs w:val="19"/>
        </w:rPr>
        <w:t xml:space="preserve">s. Welfare </w:t>
      </w:r>
      <w:r>
        <w:rPr>
          <w:rFonts w:cs="Arial"/>
          <w:color w:val="000000" w:themeColor="text1"/>
          <w:szCs w:val="19"/>
        </w:rPr>
        <w:t>W</w:t>
      </w:r>
      <w:r w:rsidRPr="005D22D7">
        <w:rPr>
          <w:rFonts w:cs="Arial"/>
          <w:color w:val="000000" w:themeColor="text1"/>
          <w:szCs w:val="19"/>
        </w:rPr>
        <w:t xml:space="preserve">orkers generally sit within </w:t>
      </w:r>
      <w:r>
        <w:rPr>
          <w:rFonts w:cs="Arial"/>
          <w:color w:val="000000" w:themeColor="text1"/>
          <w:szCs w:val="19"/>
        </w:rPr>
        <w:t xml:space="preserve">the </w:t>
      </w:r>
      <w:r w:rsidRPr="005D22D7">
        <w:rPr>
          <w:rFonts w:cs="Arial"/>
          <w:color w:val="000000" w:themeColor="text1"/>
          <w:szCs w:val="19"/>
        </w:rPr>
        <w:t>Health and Social Assistance industry</w:t>
      </w:r>
      <w:r>
        <w:rPr>
          <w:rFonts w:cs="Arial"/>
          <w:color w:val="000000" w:themeColor="text1"/>
          <w:szCs w:val="19"/>
        </w:rPr>
        <w:t>;</w:t>
      </w:r>
      <w:r w:rsidRPr="005D22D7">
        <w:rPr>
          <w:rFonts w:cs="Arial"/>
          <w:color w:val="000000" w:themeColor="text1"/>
          <w:szCs w:val="19"/>
        </w:rPr>
        <w:t xml:space="preserve"> however </w:t>
      </w:r>
      <w:r>
        <w:rPr>
          <w:rFonts w:cs="Arial"/>
          <w:color w:val="000000" w:themeColor="text1"/>
          <w:szCs w:val="19"/>
        </w:rPr>
        <w:t xml:space="preserve">there are </w:t>
      </w:r>
      <w:r w:rsidRPr="005D22D7">
        <w:rPr>
          <w:rFonts w:cs="Arial"/>
          <w:color w:val="000000" w:themeColor="text1"/>
          <w:szCs w:val="19"/>
        </w:rPr>
        <w:t xml:space="preserve">a small number of </w:t>
      </w:r>
      <w:r>
        <w:rPr>
          <w:rFonts w:cs="Arial"/>
          <w:color w:val="000000" w:themeColor="text1"/>
          <w:szCs w:val="19"/>
        </w:rPr>
        <w:t>W</w:t>
      </w:r>
      <w:r w:rsidRPr="005D22D7">
        <w:rPr>
          <w:rFonts w:cs="Arial"/>
          <w:color w:val="000000" w:themeColor="text1"/>
          <w:szCs w:val="19"/>
        </w:rPr>
        <w:t xml:space="preserve">elfare </w:t>
      </w:r>
      <w:r>
        <w:rPr>
          <w:rFonts w:cs="Arial"/>
          <w:color w:val="000000" w:themeColor="text1"/>
          <w:szCs w:val="19"/>
        </w:rPr>
        <w:t>W</w:t>
      </w:r>
      <w:r w:rsidRPr="005D22D7">
        <w:rPr>
          <w:rFonts w:cs="Arial"/>
          <w:color w:val="000000" w:themeColor="text1"/>
          <w:szCs w:val="19"/>
        </w:rPr>
        <w:t>orkers included in the Arts and Recreation Services industry</w:t>
      </w:r>
      <w:r>
        <w:rPr>
          <w:rFonts w:cs="Arial"/>
          <w:color w:val="000000" w:themeColor="text1"/>
          <w:szCs w:val="19"/>
        </w:rPr>
        <w:t xml:space="preserve"> and this occupation </w:t>
      </w:r>
      <w:proofErr w:type="gramStart"/>
      <w:r>
        <w:rPr>
          <w:rFonts w:cs="Arial"/>
          <w:color w:val="000000" w:themeColor="text1"/>
          <w:szCs w:val="19"/>
        </w:rPr>
        <w:t>has</w:t>
      </w:r>
      <w:proofErr w:type="gramEnd"/>
      <w:r>
        <w:rPr>
          <w:rFonts w:cs="Arial"/>
          <w:color w:val="000000" w:themeColor="text1"/>
          <w:szCs w:val="19"/>
        </w:rPr>
        <w:t xml:space="preserve"> seen growth in enrolments in recent years</w:t>
      </w:r>
      <w:r w:rsidRPr="005D22D7">
        <w:rPr>
          <w:rFonts w:cs="Arial"/>
          <w:color w:val="000000" w:themeColor="text1"/>
          <w:szCs w:val="19"/>
        </w:rPr>
        <w:t>.</w:t>
      </w:r>
    </w:p>
    <w:p w:rsidR="002D49D9" w:rsidRPr="005D22D7" w:rsidRDefault="002D49D9" w:rsidP="002D49D9">
      <w:pPr>
        <w:rPr>
          <w:color w:val="000000" w:themeColor="text1"/>
        </w:rPr>
      </w:pPr>
      <w:r w:rsidRPr="001F29E3">
        <w:t xml:space="preserve">The top six industries with the largest number of enrolments related to </w:t>
      </w:r>
      <w:proofErr w:type="gramStart"/>
      <w:r w:rsidRPr="001F29E3">
        <w:t>specialised</w:t>
      </w:r>
      <w:proofErr w:type="gramEnd"/>
      <w:r w:rsidRPr="001F29E3">
        <w:t xml:space="preserve"> or in shortage occupations account for 9</w:t>
      </w:r>
      <w:r>
        <w:t>2</w:t>
      </w:r>
      <w:r w:rsidRPr="001F29E3">
        <w:t xml:space="preserve"> per cent of either specialised or in shortage enrolments. The following table outlines these</w:t>
      </w:r>
      <w:r>
        <w:t xml:space="preserve"> industries. </w:t>
      </w:r>
    </w:p>
    <w:p w:rsidR="002D49D9" w:rsidRDefault="002D49D9" w:rsidP="002D49D9">
      <w:pPr>
        <w:pStyle w:val="Caption"/>
        <w:jc w:val="left"/>
        <w:rPr>
          <w:rFonts w:cs="Arial"/>
        </w:rPr>
      </w:pPr>
    </w:p>
    <w:p w:rsidR="002D49D9" w:rsidRPr="002E5AA7" w:rsidRDefault="003427AB" w:rsidP="002D49D9">
      <w:pPr>
        <w:pStyle w:val="Caption"/>
        <w:jc w:val="left"/>
        <w:rPr>
          <w:rFonts w:cs="Arial"/>
        </w:rPr>
      </w:pPr>
      <w:r>
        <w:rPr>
          <w:rFonts w:cs="Arial"/>
        </w:rPr>
        <w:t>Table 2</w:t>
      </w:r>
      <w:r w:rsidR="002D49D9" w:rsidRPr="001F29E3">
        <w:rPr>
          <w:rFonts w:cs="Arial"/>
        </w:rPr>
        <w:t>.</w:t>
      </w:r>
      <w:r w:rsidR="002D49D9">
        <w:rPr>
          <w:rFonts w:cs="Arial"/>
        </w:rPr>
        <w:t>4</w:t>
      </w:r>
      <w:r w:rsidR="002D49D9" w:rsidRPr="001F29E3">
        <w:rPr>
          <w:rFonts w:cs="Arial"/>
        </w:rPr>
        <w:t xml:space="preserve">: Top </w:t>
      </w:r>
      <w:r w:rsidR="002D49D9" w:rsidRPr="005D22D7">
        <w:rPr>
          <w:rFonts w:cs="Arial"/>
        </w:rPr>
        <w:t>six</w:t>
      </w:r>
      <w:r w:rsidR="002D49D9" w:rsidRPr="001F29E3">
        <w:rPr>
          <w:rFonts w:cs="Arial"/>
        </w:rPr>
        <w:t xml:space="preserve"> industries with enrolments in either specialised or in shortage occupations</w:t>
      </w:r>
    </w:p>
    <w:tbl>
      <w:tblPr>
        <w:tblW w:w="5000" w:type="pct"/>
        <w:tblLook w:val="04A0" w:firstRow="1" w:lastRow="0" w:firstColumn="1" w:lastColumn="0" w:noHBand="0" w:noVBand="1"/>
      </w:tblPr>
      <w:tblGrid>
        <w:gridCol w:w="5721"/>
        <w:gridCol w:w="907"/>
        <w:gridCol w:w="851"/>
        <w:gridCol w:w="1809"/>
      </w:tblGrid>
      <w:tr w:rsidR="002D49D9" w:rsidRPr="00537E45" w:rsidTr="001F3AE1">
        <w:trPr>
          <w:trHeight w:val="465"/>
        </w:trPr>
        <w:tc>
          <w:tcPr>
            <w:tcW w:w="3080" w:type="pct"/>
            <w:tcBorders>
              <w:top w:val="single" w:sz="8" w:space="0" w:color="76933C"/>
              <w:left w:val="single" w:sz="8" w:space="0" w:color="76933C"/>
              <w:bottom w:val="single" w:sz="8" w:space="0" w:color="76933C"/>
              <w:right w:val="nil"/>
            </w:tcBorders>
            <w:shd w:val="clear" w:color="000000" w:fill="76933C"/>
            <w:vAlign w:val="center"/>
            <w:hideMark/>
          </w:tcPr>
          <w:p w:rsidR="002D49D9" w:rsidRPr="00537E45" w:rsidRDefault="002D49D9" w:rsidP="001F3AE1">
            <w:pPr>
              <w:spacing w:after="0" w:line="240" w:lineRule="auto"/>
              <w:jc w:val="center"/>
              <w:rPr>
                <w:rFonts w:ascii="Calibri" w:hAnsi="Calibri"/>
                <w:b/>
                <w:bCs/>
                <w:color w:val="FFFFFF"/>
                <w:sz w:val="18"/>
                <w:szCs w:val="18"/>
                <w:lang w:eastAsia="en-AU"/>
              </w:rPr>
            </w:pPr>
            <w:r w:rsidRPr="003564AE">
              <w:rPr>
                <w:rFonts w:ascii="Calibri" w:hAnsi="Calibri"/>
                <w:b/>
                <w:bCs/>
                <w:color w:val="FFFFFF"/>
                <w:sz w:val="18"/>
                <w:szCs w:val="18"/>
                <w:lang w:eastAsia="en-AU"/>
              </w:rPr>
              <w:t>Key Industries</w:t>
            </w:r>
          </w:p>
        </w:tc>
        <w:tc>
          <w:tcPr>
            <w:tcW w:w="488" w:type="pct"/>
            <w:tcBorders>
              <w:top w:val="single" w:sz="8" w:space="0" w:color="76933C"/>
              <w:left w:val="nil"/>
              <w:bottom w:val="single" w:sz="8" w:space="0" w:color="76933C"/>
              <w:right w:val="nil"/>
            </w:tcBorders>
            <w:shd w:val="clear" w:color="000000" w:fill="76933C"/>
            <w:vAlign w:val="center"/>
            <w:hideMark/>
          </w:tcPr>
          <w:p w:rsidR="002D49D9" w:rsidRPr="00537E45" w:rsidRDefault="002D49D9" w:rsidP="001F3AE1">
            <w:pPr>
              <w:spacing w:after="0" w:line="240" w:lineRule="auto"/>
              <w:jc w:val="center"/>
              <w:rPr>
                <w:rFonts w:ascii="Calibri" w:hAnsi="Calibri"/>
                <w:b/>
                <w:bCs/>
                <w:color w:val="FFFFFF"/>
                <w:sz w:val="18"/>
                <w:szCs w:val="18"/>
                <w:lang w:eastAsia="en-AU"/>
              </w:rPr>
            </w:pPr>
            <w:r w:rsidRPr="00537E45">
              <w:rPr>
                <w:rFonts w:ascii="Calibri" w:hAnsi="Calibri"/>
                <w:b/>
                <w:bCs/>
                <w:color w:val="FFFFFF"/>
                <w:sz w:val="18"/>
                <w:szCs w:val="18"/>
                <w:lang w:eastAsia="en-AU"/>
              </w:rPr>
              <w:t>Q1 2012</w:t>
            </w:r>
          </w:p>
        </w:tc>
        <w:tc>
          <w:tcPr>
            <w:tcW w:w="458" w:type="pct"/>
            <w:tcBorders>
              <w:top w:val="single" w:sz="8" w:space="0" w:color="76933C"/>
              <w:left w:val="nil"/>
              <w:bottom w:val="single" w:sz="8" w:space="0" w:color="76933C"/>
              <w:right w:val="nil"/>
            </w:tcBorders>
            <w:shd w:val="clear" w:color="000000" w:fill="76933C"/>
            <w:vAlign w:val="center"/>
            <w:hideMark/>
          </w:tcPr>
          <w:p w:rsidR="002D49D9" w:rsidRPr="00537E45" w:rsidRDefault="002D49D9" w:rsidP="001F3AE1">
            <w:pPr>
              <w:spacing w:after="0" w:line="240" w:lineRule="auto"/>
              <w:jc w:val="center"/>
              <w:rPr>
                <w:rFonts w:ascii="Calibri" w:hAnsi="Calibri"/>
                <w:b/>
                <w:bCs/>
                <w:color w:val="FFFFFF"/>
                <w:sz w:val="18"/>
                <w:szCs w:val="18"/>
                <w:lang w:eastAsia="en-AU"/>
              </w:rPr>
            </w:pPr>
            <w:r w:rsidRPr="00537E45">
              <w:rPr>
                <w:rFonts w:ascii="Calibri" w:hAnsi="Calibri"/>
                <w:b/>
                <w:bCs/>
                <w:color w:val="FFFFFF"/>
                <w:sz w:val="18"/>
                <w:szCs w:val="18"/>
                <w:lang w:eastAsia="en-AU"/>
              </w:rPr>
              <w:t>Q1 2013</w:t>
            </w:r>
          </w:p>
        </w:tc>
        <w:tc>
          <w:tcPr>
            <w:tcW w:w="974" w:type="pct"/>
            <w:tcBorders>
              <w:top w:val="single" w:sz="8" w:space="0" w:color="76933C"/>
              <w:left w:val="nil"/>
              <w:bottom w:val="single" w:sz="8" w:space="0" w:color="76933C"/>
              <w:right w:val="single" w:sz="8" w:space="0" w:color="76933C"/>
            </w:tcBorders>
            <w:shd w:val="clear" w:color="000000" w:fill="76933C"/>
            <w:vAlign w:val="center"/>
            <w:hideMark/>
          </w:tcPr>
          <w:p w:rsidR="002D49D9" w:rsidRPr="00537E45" w:rsidRDefault="002D49D9" w:rsidP="001F3AE1">
            <w:pPr>
              <w:spacing w:after="0" w:line="240" w:lineRule="auto"/>
              <w:jc w:val="center"/>
              <w:rPr>
                <w:rFonts w:ascii="Calibri" w:hAnsi="Calibri"/>
                <w:b/>
                <w:bCs/>
                <w:color w:val="FFFFFF"/>
                <w:sz w:val="18"/>
                <w:szCs w:val="18"/>
                <w:lang w:eastAsia="en-AU"/>
              </w:rPr>
            </w:pPr>
            <w:r w:rsidRPr="00537E45">
              <w:rPr>
                <w:rFonts w:ascii="Calibri" w:hAnsi="Calibri"/>
                <w:b/>
                <w:bCs/>
                <w:color w:val="FFFFFF"/>
                <w:sz w:val="18"/>
                <w:szCs w:val="18"/>
                <w:lang w:eastAsia="en-AU"/>
              </w:rPr>
              <w:t xml:space="preserve">% Q1 2012 – Q1 2013 </w:t>
            </w:r>
          </w:p>
        </w:tc>
      </w:tr>
      <w:tr w:rsidR="002D49D9" w:rsidRPr="00537E45" w:rsidTr="001F3AE1">
        <w:trPr>
          <w:trHeight w:val="738"/>
        </w:trPr>
        <w:tc>
          <w:tcPr>
            <w:tcW w:w="3080" w:type="pct"/>
            <w:tcBorders>
              <w:top w:val="nil"/>
              <w:left w:val="single" w:sz="8" w:space="0" w:color="76933C"/>
              <w:bottom w:val="single" w:sz="8" w:space="0" w:color="76933C"/>
              <w:right w:val="nil"/>
            </w:tcBorders>
            <w:shd w:val="clear" w:color="auto" w:fill="auto"/>
            <w:vAlign w:val="center"/>
            <w:hideMark/>
          </w:tcPr>
          <w:p w:rsidR="002D49D9" w:rsidRPr="006E745A" w:rsidRDefault="002D49D9" w:rsidP="001F3AE1">
            <w:pPr>
              <w:spacing w:after="0" w:line="240" w:lineRule="auto"/>
              <w:jc w:val="left"/>
              <w:rPr>
                <w:rFonts w:cs="Arial"/>
                <w:i/>
                <w:iCs/>
                <w:color w:val="76933C"/>
                <w:sz w:val="16"/>
                <w:szCs w:val="16"/>
                <w:lang w:eastAsia="en-AU"/>
              </w:rPr>
            </w:pPr>
            <w:r w:rsidRPr="006E745A">
              <w:rPr>
                <w:rFonts w:cs="Arial"/>
                <w:i/>
                <w:iCs/>
                <w:color w:val="76933C"/>
                <w:sz w:val="16"/>
                <w:szCs w:val="16"/>
                <w:lang w:eastAsia="en-AU"/>
              </w:rPr>
              <w:t>Health Care and Social Assistance</w:t>
            </w:r>
            <w:r w:rsidRPr="006E745A">
              <w:rPr>
                <w:rFonts w:cs="Arial"/>
                <w:i/>
                <w:iCs/>
                <w:color w:val="000000"/>
                <w:sz w:val="16"/>
                <w:szCs w:val="16"/>
                <w:lang w:eastAsia="en-AU"/>
              </w:rPr>
              <w:t xml:space="preserve"> </w:t>
            </w:r>
            <w:r w:rsidRPr="006E745A">
              <w:rPr>
                <w:rFonts w:cs="Arial"/>
                <w:color w:val="000000"/>
                <w:sz w:val="16"/>
                <w:szCs w:val="16"/>
                <w:lang w:eastAsia="en-AU"/>
              </w:rPr>
              <w:t>accounted for 48% of enrolments in specialised/in shortage occupations in Q1 2013. Primary occupations include Child Carers, Aged and Disabled Carers, Enrolled and Mothercraft Nurses.</w:t>
            </w:r>
          </w:p>
        </w:tc>
        <w:tc>
          <w:tcPr>
            <w:tcW w:w="488" w:type="pct"/>
            <w:tcBorders>
              <w:top w:val="nil"/>
              <w:left w:val="nil"/>
              <w:bottom w:val="single" w:sz="8" w:space="0" w:color="76933C"/>
              <w:right w:val="nil"/>
            </w:tcBorders>
            <w:shd w:val="clear" w:color="auto" w:fill="auto"/>
            <w:vAlign w:val="center"/>
            <w:hideMark/>
          </w:tcPr>
          <w:p w:rsidR="002D49D9" w:rsidRPr="006E745A" w:rsidRDefault="002D49D9" w:rsidP="001F3AE1">
            <w:pPr>
              <w:spacing w:after="0" w:line="240" w:lineRule="auto"/>
              <w:jc w:val="right"/>
              <w:rPr>
                <w:rFonts w:cs="Arial"/>
                <w:color w:val="000000"/>
                <w:sz w:val="16"/>
                <w:szCs w:val="16"/>
                <w:lang w:eastAsia="en-AU"/>
              </w:rPr>
            </w:pPr>
            <w:r w:rsidRPr="006E745A">
              <w:rPr>
                <w:rFonts w:cs="Arial"/>
                <w:color w:val="000000"/>
                <w:sz w:val="16"/>
                <w:szCs w:val="16"/>
                <w:lang w:eastAsia="en-AU"/>
              </w:rPr>
              <w:t>35,400</w:t>
            </w:r>
          </w:p>
        </w:tc>
        <w:tc>
          <w:tcPr>
            <w:tcW w:w="458" w:type="pct"/>
            <w:tcBorders>
              <w:top w:val="nil"/>
              <w:left w:val="nil"/>
              <w:bottom w:val="single" w:sz="8" w:space="0" w:color="76933C"/>
              <w:right w:val="nil"/>
            </w:tcBorders>
            <w:shd w:val="clear" w:color="auto" w:fill="auto"/>
            <w:vAlign w:val="center"/>
            <w:hideMark/>
          </w:tcPr>
          <w:p w:rsidR="002D49D9" w:rsidRPr="006E745A" w:rsidRDefault="002D49D9" w:rsidP="001F3AE1">
            <w:pPr>
              <w:spacing w:after="0" w:line="240" w:lineRule="auto"/>
              <w:jc w:val="right"/>
              <w:rPr>
                <w:rFonts w:cs="Arial"/>
                <w:color w:val="000000"/>
                <w:sz w:val="16"/>
                <w:szCs w:val="16"/>
                <w:lang w:eastAsia="en-AU"/>
              </w:rPr>
            </w:pPr>
            <w:r w:rsidRPr="006E745A">
              <w:rPr>
                <w:rFonts w:cs="Arial"/>
                <w:color w:val="000000"/>
                <w:sz w:val="16"/>
                <w:szCs w:val="16"/>
                <w:lang w:eastAsia="en-AU"/>
              </w:rPr>
              <w:t>40,200</w:t>
            </w:r>
          </w:p>
        </w:tc>
        <w:tc>
          <w:tcPr>
            <w:tcW w:w="974" w:type="pct"/>
            <w:tcBorders>
              <w:top w:val="nil"/>
              <w:left w:val="nil"/>
              <w:bottom w:val="single" w:sz="8" w:space="0" w:color="76933C"/>
              <w:right w:val="single" w:sz="8" w:space="0" w:color="76933C"/>
            </w:tcBorders>
            <w:shd w:val="clear" w:color="auto" w:fill="auto"/>
            <w:vAlign w:val="center"/>
            <w:hideMark/>
          </w:tcPr>
          <w:p w:rsidR="002D49D9" w:rsidRPr="006E745A" w:rsidRDefault="002D49D9" w:rsidP="001F3AE1">
            <w:pPr>
              <w:spacing w:after="0" w:line="240" w:lineRule="auto"/>
              <w:jc w:val="right"/>
              <w:rPr>
                <w:rFonts w:cs="Arial"/>
                <w:color w:val="000000"/>
                <w:sz w:val="16"/>
                <w:szCs w:val="16"/>
                <w:lang w:eastAsia="en-AU"/>
              </w:rPr>
            </w:pPr>
            <w:r w:rsidRPr="006E745A">
              <w:rPr>
                <w:rFonts w:cs="Arial"/>
                <w:color w:val="000000"/>
                <w:sz w:val="16"/>
                <w:szCs w:val="16"/>
                <w:lang w:eastAsia="en-AU"/>
              </w:rPr>
              <w:t>14%</w:t>
            </w:r>
          </w:p>
        </w:tc>
      </w:tr>
      <w:tr w:rsidR="002D49D9" w:rsidRPr="00537E45" w:rsidTr="001F3AE1">
        <w:trPr>
          <w:trHeight w:val="550"/>
        </w:trPr>
        <w:tc>
          <w:tcPr>
            <w:tcW w:w="3080" w:type="pct"/>
            <w:tcBorders>
              <w:top w:val="nil"/>
              <w:left w:val="single" w:sz="8" w:space="0" w:color="76933C"/>
              <w:bottom w:val="nil"/>
              <w:right w:val="nil"/>
            </w:tcBorders>
            <w:shd w:val="clear" w:color="auto" w:fill="auto"/>
            <w:vAlign w:val="center"/>
            <w:hideMark/>
          </w:tcPr>
          <w:p w:rsidR="002D49D9" w:rsidRPr="006E745A" w:rsidRDefault="002D49D9" w:rsidP="001F3AE1">
            <w:pPr>
              <w:spacing w:after="0" w:line="240" w:lineRule="auto"/>
              <w:jc w:val="left"/>
              <w:rPr>
                <w:rFonts w:cs="Arial"/>
                <w:i/>
                <w:iCs/>
                <w:color w:val="76933C"/>
                <w:sz w:val="16"/>
                <w:szCs w:val="16"/>
                <w:lang w:eastAsia="en-AU"/>
              </w:rPr>
            </w:pPr>
            <w:r w:rsidRPr="006E745A">
              <w:rPr>
                <w:rFonts w:cs="Arial"/>
                <w:i/>
                <w:iCs/>
                <w:color w:val="76933C"/>
                <w:sz w:val="16"/>
                <w:szCs w:val="16"/>
                <w:lang w:eastAsia="en-AU"/>
              </w:rPr>
              <w:t>Construction</w:t>
            </w:r>
            <w:r w:rsidRPr="006E745A">
              <w:rPr>
                <w:rFonts w:cs="Arial"/>
                <w:i/>
                <w:iCs/>
                <w:color w:val="000000"/>
                <w:sz w:val="16"/>
                <w:szCs w:val="16"/>
                <w:lang w:eastAsia="en-AU"/>
              </w:rPr>
              <w:t xml:space="preserve"> </w:t>
            </w:r>
            <w:r w:rsidRPr="006E745A">
              <w:rPr>
                <w:rFonts w:cs="Arial"/>
                <w:color w:val="000000"/>
                <w:sz w:val="16"/>
                <w:szCs w:val="16"/>
                <w:lang w:eastAsia="en-AU"/>
              </w:rPr>
              <w:t>accounted for 25% of enrolments in specialised/in shortage occupations in Q1 2013. Primary occupations include Electricians, Plumbers, Carpenters and Joiners.</w:t>
            </w:r>
          </w:p>
        </w:tc>
        <w:tc>
          <w:tcPr>
            <w:tcW w:w="488" w:type="pct"/>
            <w:tcBorders>
              <w:top w:val="nil"/>
              <w:left w:val="nil"/>
              <w:bottom w:val="single" w:sz="8" w:space="0" w:color="76933C"/>
              <w:right w:val="nil"/>
            </w:tcBorders>
            <w:shd w:val="clear" w:color="auto" w:fill="auto"/>
            <w:vAlign w:val="center"/>
            <w:hideMark/>
          </w:tcPr>
          <w:p w:rsidR="002D49D9" w:rsidRPr="006E745A" w:rsidRDefault="002D49D9" w:rsidP="001F3AE1">
            <w:pPr>
              <w:spacing w:after="0" w:line="240" w:lineRule="auto"/>
              <w:jc w:val="right"/>
              <w:rPr>
                <w:rFonts w:cs="Arial"/>
                <w:color w:val="000000"/>
                <w:sz w:val="16"/>
                <w:szCs w:val="16"/>
                <w:lang w:eastAsia="en-AU"/>
              </w:rPr>
            </w:pPr>
            <w:r w:rsidRPr="006E745A">
              <w:rPr>
                <w:rFonts w:cs="Arial"/>
                <w:color w:val="000000"/>
                <w:sz w:val="16"/>
                <w:szCs w:val="16"/>
                <w:lang w:eastAsia="en-AU"/>
              </w:rPr>
              <w:t>21,500</w:t>
            </w:r>
          </w:p>
        </w:tc>
        <w:tc>
          <w:tcPr>
            <w:tcW w:w="458" w:type="pct"/>
            <w:tcBorders>
              <w:top w:val="nil"/>
              <w:left w:val="nil"/>
              <w:bottom w:val="single" w:sz="8" w:space="0" w:color="76933C"/>
              <w:right w:val="nil"/>
            </w:tcBorders>
            <w:shd w:val="clear" w:color="auto" w:fill="auto"/>
            <w:vAlign w:val="center"/>
            <w:hideMark/>
          </w:tcPr>
          <w:p w:rsidR="002D49D9" w:rsidRPr="006E745A" w:rsidRDefault="002D49D9" w:rsidP="001F3AE1">
            <w:pPr>
              <w:spacing w:after="0" w:line="240" w:lineRule="auto"/>
              <w:jc w:val="right"/>
              <w:rPr>
                <w:rFonts w:cs="Arial"/>
                <w:color w:val="000000"/>
                <w:sz w:val="16"/>
                <w:szCs w:val="16"/>
                <w:lang w:eastAsia="en-AU"/>
              </w:rPr>
            </w:pPr>
            <w:r w:rsidRPr="006E745A">
              <w:rPr>
                <w:rFonts w:cs="Arial"/>
                <w:color w:val="000000"/>
                <w:sz w:val="16"/>
                <w:szCs w:val="16"/>
                <w:lang w:eastAsia="en-AU"/>
              </w:rPr>
              <w:t>21,500</w:t>
            </w:r>
          </w:p>
        </w:tc>
        <w:tc>
          <w:tcPr>
            <w:tcW w:w="974" w:type="pct"/>
            <w:tcBorders>
              <w:top w:val="nil"/>
              <w:left w:val="nil"/>
              <w:bottom w:val="single" w:sz="8" w:space="0" w:color="76933C"/>
              <w:right w:val="single" w:sz="8" w:space="0" w:color="76933C"/>
            </w:tcBorders>
            <w:shd w:val="clear" w:color="auto" w:fill="auto"/>
            <w:vAlign w:val="center"/>
            <w:hideMark/>
          </w:tcPr>
          <w:p w:rsidR="002D49D9" w:rsidRPr="006E745A" w:rsidRDefault="002D49D9" w:rsidP="001F3AE1">
            <w:pPr>
              <w:spacing w:after="0" w:line="240" w:lineRule="auto"/>
              <w:jc w:val="right"/>
              <w:rPr>
                <w:rFonts w:cs="Arial"/>
                <w:color w:val="000000"/>
                <w:sz w:val="16"/>
                <w:szCs w:val="16"/>
                <w:lang w:eastAsia="en-AU"/>
              </w:rPr>
            </w:pPr>
            <w:r w:rsidRPr="006E745A">
              <w:rPr>
                <w:rFonts w:cs="Arial"/>
                <w:color w:val="000000"/>
                <w:sz w:val="16"/>
                <w:szCs w:val="16"/>
                <w:lang w:eastAsia="en-AU"/>
              </w:rPr>
              <w:t>0%</w:t>
            </w:r>
          </w:p>
        </w:tc>
      </w:tr>
      <w:tr w:rsidR="002D49D9" w:rsidRPr="00537E45" w:rsidTr="001F3AE1">
        <w:trPr>
          <w:trHeight w:val="700"/>
        </w:trPr>
        <w:tc>
          <w:tcPr>
            <w:tcW w:w="3080" w:type="pct"/>
            <w:tcBorders>
              <w:top w:val="single" w:sz="8" w:space="0" w:color="76933C"/>
              <w:left w:val="single" w:sz="8" w:space="0" w:color="76933C"/>
              <w:bottom w:val="single" w:sz="8" w:space="0" w:color="76933C"/>
              <w:right w:val="nil"/>
            </w:tcBorders>
            <w:shd w:val="clear" w:color="auto" w:fill="auto"/>
            <w:vAlign w:val="center"/>
            <w:hideMark/>
          </w:tcPr>
          <w:p w:rsidR="002D49D9" w:rsidRPr="006E745A" w:rsidRDefault="002D49D9" w:rsidP="001F3AE1">
            <w:pPr>
              <w:spacing w:after="0" w:line="240" w:lineRule="auto"/>
              <w:jc w:val="left"/>
              <w:rPr>
                <w:rFonts w:cs="Arial"/>
                <w:i/>
                <w:iCs/>
                <w:color w:val="76933C"/>
                <w:sz w:val="16"/>
                <w:szCs w:val="16"/>
                <w:lang w:eastAsia="en-AU"/>
              </w:rPr>
            </w:pPr>
            <w:r w:rsidRPr="006E745A">
              <w:rPr>
                <w:rFonts w:cs="Arial"/>
                <w:i/>
                <w:iCs/>
                <w:color w:val="76933C"/>
                <w:sz w:val="16"/>
                <w:szCs w:val="16"/>
                <w:lang w:eastAsia="en-AU"/>
              </w:rPr>
              <w:t>Manufacturing</w:t>
            </w:r>
            <w:r w:rsidRPr="006E745A">
              <w:rPr>
                <w:rFonts w:cs="Arial"/>
                <w:i/>
                <w:iCs/>
                <w:color w:val="000000"/>
                <w:sz w:val="16"/>
                <w:szCs w:val="16"/>
                <w:lang w:eastAsia="en-AU"/>
              </w:rPr>
              <w:t xml:space="preserve"> </w:t>
            </w:r>
            <w:r w:rsidRPr="006E745A">
              <w:rPr>
                <w:rFonts w:cs="Arial"/>
                <w:color w:val="000000"/>
                <w:sz w:val="16"/>
                <w:szCs w:val="16"/>
                <w:lang w:eastAsia="en-AU"/>
              </w:rPr>
              <w:t xml:space="preserve">accounted for 6% of enrolments in specialised/in shortage occupations in Q1 2013. Primary occupations include </w:t>
            </w:r>
            <w:proofErr w:type="spellStart"/>
            <w:r w:rsidRPr="006E745A">
              <w:rPr>
                <w:rFonts w:cs="Arial"/>
                <w:color w:val="000000"/>
                <w:sz w:val="16"/>
                <w:szCs w:val="16"/>
                <w:lang w:eastAsia="en-AU"/>
              </w:rPr>
              <w:t>Sheetmetal</w:t>
            </w:r>
            <w:proofErr w:type="spellEnd"/>
            <w:r w:rsidRPr="006E745A">
              <w:rPr>
                <w:rFonts w:cs="Arial"/>
                <w:color w:val="000000"/>
                <w:sz w:val="16"/>
                <w:szCs w:val="16"/>
                <w:lang w:eastAsia="en-AU"/>
              </w:rPr>
              <w:t xml:space="preserve"> Trades Workers, Mechanical Engineering Draftspersons and Technicians.</w:t>
            </w:r>
          </w:p>
        </w:tc>
        <w:tc>
          <w:tcPr>
            <w:tcW w:w="488" w:type="pct"/>
            <w:tcBorders>
              <w:top w:val="nil"/>
              <w:left w:val="nil"/>
              <w:bottom w:val="single" w:sz="8" w:space="0" w:color="76933C"/>
              <w:right w:val="nil"/>
            </w:tcBorders>
            <w:shd w:val="clear" w:color="auto" w:fill="auto"/>
            <w:vAlign w:val="center"/>
            <w:hideMark/>
          </w:tcPr>
          <w:p w:rsidR="002D49D9" w:rsidRPr="006E745A" w:rsidRDefault="002D49D9" w:rsidP="001F3AE1">
            <w:pPr>
              <w:spacing w:after="0" w:line="240" w:lineRule="auto"/>
              <w:jc w:val="right"/>
              <w:rPr>
                <w:rFonts w:cs="Arial"/>
                <w:color w:val="000000"/>
                <w:sz w:val="16"/>
                <w:szCs w:val="16"/>
                <w:lang w:eastAsia="en-AU"/>
              </w:rPr>
            </w:pPr>
            <w:r w:rsidRPr="006E745A">
              <w:rPr>
                <w:rFonts w:cs="Arial"/>
                <w:color w:val="000000"/>
                <w:sz w:val="16"/>
                <w:szCs w:val="16"/>
                <w:lang w:eastAsia="en-AU"/>
              </w:rPr>
              <w:t>5,100</w:t>
            </w:r>
          </w:p>
        </w:tc>
        <w:tc>
          <w:tcPr>
            <w:tcW w:w="458" w:type="pct"/>
            <w:tcBorders>
              <w:top w:val="nil"/>
              <w:left w:val="nil"/>
              <w:bottom w:val="single" w:sz="8" w:space="0" w:color="76933C"/>
              <w:right w:val="nil"/>
            </w:tcBorders>
            <w:shd w:val="clear" w:color="auto" w:fill="auto"/>
            <w:vAlign w:val="center"/>
            <w:hideMark/>
          </w:tcPr>
          <w:p w:rsidR="002D49D9" w:rsidRPr="006E745A" w:rsidRDefault="002D49D9" w:rsidP="001F3AE1">
            <w:pPr>
              <w:spacing w:after="0" w:line="240" w:lineRule="auto"/>
              <w:jc w:val="right"/>
              <w:rPr>
                <w:rFonts w:cs="Arial"/>
                <w:color w:val="000000"/>
                <w:sz w:val="16"/>
                <w:szCs w:val="16"/>
                <w:lang w:eastAsia="en-AU"/>
              </w:rPr>
            </w:pPr>
            <w:r w:rsidRPr="006E745A">
              <w:rPr>
                <w:rFonts w:cs="Arial"/>
                <w:color w:val="000000"/>
                <w:sz w:val="16"/>
                <w:szCs w:val="16"/>
                <w:lang w:eastAsia="en-AU"/>
              </w:rPr>
              <w:t>5,200</w:t>
            </w:r>
          </w:p>
        </w:tc>
        <w:tc>
          <w:tcPr>
            <w:tcW w:w="974" w:type="pct"/>
            <w:tcBorders>
              <w:top w:val="nil"/>
              <w:left w:val="nil"/>
              <w:bottom w:val="single" w:sz="8" w:space="0" w:color="76933C"/>
              <w:right w:val="single" w:sz="8" w:space="0" w:color="76933C"/>
            </w:tcBorders>
            <w:shd w:val="clear" w:color="auto" w:fill="auto"/>
            <w:vAlign w:val="center"/>
            <w:hideMark/>
          </w:tcPr>
          <w:p w:rsidR="002D49D9" w:rsidRPr="006E745A" w:rsidRDefault="002D49D9" w:rsidP="001F3AE1">
            <w:pPr>
              <w:spacing w:after="0" w:line="240" w:lineRule="auto"/>
              <w:jc w:val="right"/>
              <w:rPr>
                <w:rFonts w:cs="Arial"/>
                <w:color w:val="000000"/>
                <w:sz w:val="16"/>
                <w:szCs w:val="16"/>
                <w:lang w:eastAsia="en-AU"/>
              </w:rPr>
            </w:pPr>
            <w:r w:rsidRPr="006E745A">
              <w:rPr>
                <w:rFonts w:cs="Arial"/>
                <w:color w:val="000000"/>
                <w:sz w:val="16"/>
                <w:szCs w:val="16"/>
                <w:lang w:eastAsia="en-AU"/>
              </w:rPr>
              <w:t>2%</w:t>
            </w:r>
          </w:p>
        </w:tc>
      </w:tr>
      <w:tr w:rsidR="002D49D9" w:rsidRPr="00537E45" w:rsidTr="001F3AE1">
        <w:trPr>
          <w:trHeight w:val="682"/>
        </w:trPr>
        <w:tc>
          <w:tcPr>
            <w:tcW w:w="3080" w:type="pct"/>
            <w:tcBorders>
              <w:top w:val="nil"/>
              <w:left w:val="single" w:sz="8" w:space="0" w:color="76933C"/>
              <w:bottom w:val="nil"/>
              <w:right w:val="nil"/>
            </w:tcBorders>
            <w:shd w:val="clear" w:color="auto" w:fill="auto"/>
            <w:vAlign w:val="center"/>
            <w:hideMark/>
          </w:tcPr>
          <w:p w:rsidR="002D49D9" w:rsidRPr="006E745A" w:rsidRDefault="002D49D9" w:rsidP="001F3AE1">
            <w:pPr>
              <w:spacing w:after="0" w:line="240" w:lineRule="auto"/>
              <w:jc w:val="left"/>
              <w:rPr>
                <w:rFonts w:cs="Arial"/>
                <w:i/>
                <w:iCs/>
                <w:color w:val="76933C"/>
                <w:sz w:val="16"/>
                <w:szCs w:val="16"/>
                <w:lang w:eastAsia="en-AU"/>
              </w:rPr>
            </w:pPr>
            <w:r w:rsidRPr="006E745A">
              <w:rPr>
                <w:rFonts w:cs="Arial"/>
                <w:i/>
                <w:iCs/>
                <w:color w:val="76933C"/>
                <w:sz w:val="16"/>
                <w:szCs w:val="16"/>
                <w:lang w:eastAsia="en-AU"/>
              </w:rPr>
              <w:t xml:space="preserve">Other Services </w:t>
            </w:r>
            <w:r w:rsidRPr="006E745A">
              <w:rPr>
                <w:rFonts w:cs="Arial"/>
                <w:i/>
                <w:iCs/>
                <w:sz w:val="16"/>
                <w:szCs w:val="16"/>
                <w:lang w:eastAsia="en-AU"/>
              </w:rPr>
              <w:t xml:space="preserve">accounted for 4% of enrolments in specialised/in shortage occupations in Q1 2013. Primary occupations include Motor Mechanics, </w:t>
            </w:r>
            <w:proofErr w:type="spellStart"/>
            <w:r w:rsidRPr="006E745A">
              <w:rPr>
                <w:rFonts w:cs="Arial"/>
                <w:i/>
                <w:iCs/>
                <w:sz w:val="16"/>
                <w:szCs w:val="16"/>
                <w:lang w:eastAsia="en-AU"/>
              </w:rPr>
              <w:t>Panelbeaters</w:t>
            </w:r>
            <w:proofErr w:type="spellEnd"/>
            <w:r w:rsidRPr="006E745A">
              <w:rPr>
                <w:rFonts w:cs="Arial"/>
                <w:i/>
                <w:iCs/>
                <w:sz w:val="16"/>
                <w:szCs w:val="16"/>
                <w:lang w:eastAsia="en-AU"/>
              </w:rPr>
              <w:t>, Vehicle Painters and Automotive Electricians.</w:t>
            </w:r>
          </w:p>
        </w:tc>
        <w:tc>
          <w:tcPr>
            <w:tcW w:w="488" w:type="pct"/>
            <w:tcBorders>
              <w:top w:val="nil"/>
              <w:left w:val="nil"/>
              <w:bottom w:val="single" w:sz="8" w:space="0" w:color="76933C"/>
              <w:right w:val="nil"/>
            </w:tcBorders>
            <w:shd w:val="clear" w:color="auto" w:fill="auto"/>
            <w:vAlign w:val="center"/>
            <w:hideMark/>
          </w:tcPr>
          <w:p w:rsidR="002D49D9" w:rsidRPr="006E745A" w:rsidRDefault="002D49D9" w:rsidP="001F3AE1">
            <w:pPr>
              <w:spacing w:after="0" w:line="240" w:lineRule="auto"/>
              <w:jc w:val="right"/>
              <w:rPr>
                <w:rFonts w:cs="Arial"/>
                <w:color w:val="000000"/>
                <w:sz w:val="16"/>
                <w:szCs w:val="16"/>
                <w:lang w:eastAsia="en-AU"/>
              </w:rPr>
            </w:pPr>
            <w:r w:rsidRPr="006E745A">
              <w:rPr>
                <w:rFonts w:cs="Arial"/>
                <w:color w:val="000000"/>
                <w:sz w:val="16"/>
                <w:szCs w:val="16"/>
                <w:lang w:eastAsia="en-AU"/>
              </w:rPr>
              <w:t>2,900</w:t>
            </w:r>
          </w:p>
        </w:tc>
        <w:tc>
          <w:tcPr>
            <w:tcW w:w="458" w:type="pct"/>
            <w:tcBorders>
              <w:top w:val="nil"/>
              <w:left w:val="nil"/>
              <w:bottom w:val="single" w:sz="8" w:space="0" w:color="76933C"/>
              <w:right w:val="nil"/>
            </w:tcBorders>
            <w:shd w:val="clear" w:color="auto" w:fill="auto"/>
            <w:vAlign w:val="center"/>
            <w:hideMark/>
          </w:tcPr>
          <w:p w:rsidR="002D49D9" w:rsidRPr="006E745A" w:rsidRDefault="002D49D9" w:rsidP="001F3AE1">
            <w:pPr>
              <w:spacing w:after="0" w:line="240" w:lineRule="auto"/>
              <w:jc w:val="right"/>
              <w:rPr>
                <w:rFonts w:cs="Arial"/>
                <w:color w:val="000000"/>
                <w:sz w:val="16"/>
                <w:szCs w:val="16"/>
                <w:lang w:eastAsia="en-AU"/>
              </w:rPr>
            </w:pPr>
            <w:r w:rsidRPr="006E745A">
              <w:rPr>
                <w:rFonts w:cs="Arial"/>
                <w:color w:val="000000"/>
                <w:sz w:val="16"/>
                <w:szCs w:val="16"/>
                <w:lang w:eastAsia="en-AU"/>
              </w:rPr>
              <w:t>3,200</w:t>
            </w:r>
          </w:p>
        </w:tc>
        <w:tc>
          <w:tcPr>
            <w:tcW w:w="974" w:type="pct"/>
            <w:tcBorders>
              <w:top w:val="nil"/>
              <w:left w:val="nil"/>
              <w:bottom w:val="single" w:sz="8" w:space="0" w:color="76933C"/>
              <w:right w:val="single" w:sz="8" w:space="0" w:color="76933C"/>
            </w:tcBorders>
            <w:shd w:val="clear" w:color="auto" w:fill="auto"/>
            <w:vAlign w:val="center"/>
            <w:hideMark/>
          </w:tcPr>
          <w:p w:rsidR="002D49D9" w:rsidRPr="006E745A" w:rsidRDefault="002D49D9" w:rsidP="001F3AE1">
            <w:pPr>
              <w:spacing w:after="0" w:line="240" w:lineRule="auto"/>
              <w:jc w:val="right"/>
              <w:rPr>
                <w:rFonts w:cs="Arial"/>
                <w:color w:val="000000"/>
                <w:sz w:val="16"/>
                <w:szCs w:val="16"/>
                <w:lang w:eastAsia="en-AU"/>
              </w:rPr>
            </w:pPr>
            <w:r w:rsidRPr="006E745A">
              <w:rPr>
                <w:rFonts w:cs="Arial"/>
                <w:color w:val="000000"/>
                <w:sz w:val="16"/>
                <w:szCs w:val="16"/>
                <w:lang w:eastAsia="en-AU"/>
              </w:rPr>
              <w:t>10%</w:t>
            </w:r>
          </w:p>
        </w:tc>
      </w:tr>
      <w:tr w:rsidR="002D49D9" w:rsidRPr="00537E45" w:rsidTr="001F3AE1">
        <w:trPr>
          <w:trHeight w:val="264"/>
        </w:trPr>
        <w:tc>
          <w:tcPr>
            <w:tcW w:w="3080" w:type="pct"/>
            <w:tcBorders>
              <w:top w:val="single" w:sz="8" w:space="0" w:color="76933C"/>
              <w:left w:val="single" w:sz="8" w:space="0" w:color="76933C"/>
              <w:bottom w:val="single" w:sz="8" w:space="0" w:color="76933C"/>
              <w:right w:val="nil"/>
            </w:tcBorders>
            <w:shd w:val="clear" w:color="auto" w:fill="auto"/>
            <w:vAlign w:val="center"/>
            <w:hideMark/>
          </w:tcPr>
          <w:p w:rsidR="002D49D9" w:rsidRPr="006E745A" w:rsidRDefault="002D49D9" w:rsidP="001F3AE1">
            <w:pPr>
              <w:spacing w:after="0" w:line="240" w:lineRule="auto"/>
              <w:jc w:val="left"/>
              <w:rPr>
                <w:rFonts w:cs="Arial"/>
                <w:i/>
                <w:iCs/>
                <w:color w:val="76933C"/>
                <w:sz w:val="16"/>
                <w:szCs w:val="16"/>
                <w:lang w:eastAsia="en-AU"/>
              </w:rPr>
            </w:pPr>
            <w:r w:rsidRPr="006E745A">
              <w:rPr>
                <w:rFonts w:cs="Arial"/>
                <w:i/>
                <w:iCs/>
                <w:color w:val="76933C"/>
                <w:sz w:val="16"/>
                <w:szCs w:val="16"/>
                <w:lang w:eastAsia="en-AU"/>
              </w:rPr>
              <w:t xml:space="preserve">Transport, Postal and Warehousing </w:t>
            </w:r>
            <w:r w:rsidRPr="006E745A">
              <w:rPr>
                <w:rFonts w:cs="Arial"/>
                <w:color w:val="000000"/>
                <w:sz w:val="16"/>
                <w:szCs w:val="16"/>
                <w:lang w:eastAsia="en-AU"/>
              </w:rPr>
              <w:t>accounted for 4% of enrolments in specialised/in shortage occupations in Q1 2013. Primary occupations include Truck Drivers, Train and Tram Drivers.</w:t>
            </w:r>
          </w:p>
        </w:tc>
        <w:tc>
          <w:tcPr>
            <w:tcW w:w="488" w:type="pct"/>
            <w:tcBorders>
              <w:top w:val="nil"/>
              <w:left w:val="nil"/>
              <w:bottom w:val="single" w:sz="8" w:space="0" w:color="76933C"/>
              <w:right w:val="nil"/>
            </w:tcBorders>
            <w:shd w:val="clear" w:color="auto" w:fill="auto"/>
            <w:vAlign w:val="center"/>
            <w:hideMark/>
          </w:tcPr>
          <w:p w:rsidR="002D49D9" w:rsidRPr="006E745A" w:rsidRDefault="002D49D9" w:rsidP="001F3AE1">
            <w:pPr>
              <w:spacing w:after="0" w:line="240" w:lineRule="auto"/>
              <w:jc w:val="right"/>
              <w:rPr>
                <w:rFonts w:cs="Arial"/>
                <w:color w:val="000000"/>
                <w:sz w:val="16"/>
                <w:szCs w:val="16"/>
                <w:lang w:eastAsia="en-AU"/>
              </w:rPr>
            </w:pPr>
            <w:r w:rsidRPr="006E745A">
              <w:rPr>
                <w:rFonts w:cs="Arial"/>
                <w:color w:val="000000"/>
                <w:sz w:val="16"/>
                <w:szCs w:val="16"/>
                <w:lang w:eastAsia="en-AU"/>
              </w:rPr>
              <w:t>2,700</w:t>
            </w:r>
          </w:p>
        </w:tc>
        <w:tc>
          <w:tcPr>
            <w:tcW w:w="458" w:type="pct"/>
            <w:tcBorders>
              <w:top w:val="nil"/>
              <w:left w:val="nil"/>
              <w:bottom w:val="single" w:sz="8" w:space="0" w:color="76933C"/>
              <w:right w:val="nil"/>
            </w:tcBorders>
            <w:shd w:val="clear" w:color="auto" w:fill="auto"/>
            <w:vAlign w:val="center"/>
            <w:hideMark/>
          </w:tcPr>
          <w:p w:rsidR="002D49D9" w:rsidRPr="006E745A" w:rsidRDefault="002D49D9" w:rsidP="001F3AE1">
            <w:pPr>
              <w:spacing w:after="0" w:line="240" w:lineRule="auto"/>
              <w:jc w:val="right"/>
              <w:rPr>
                <w:rFonts w:cs="Arial"/>
                <w:color w:val="000000"/>
                <w:sz w:val="16"/>
                <w:szCs w:val="16"/>
                <w:lang w:eastAsia="en-AU"/>
              </w:rPr>
            </w:pPr>
            <w:r w:rsidRPr="006E745A">
              <w:rPr>
                <w:rFonts w:cs="Arial"/>
                <w:color w:val="000000"/>
                <w:sz w:val="16"/>
                <w:szCs w:val="16"/>
                <w:lang w:eastAsia="en-AU"/>
              </w:rPr>
              <w:t>3,200</w:t>
            </w:r>
          </w:p>
        </w:tc>
        <w:tc>
          <w:tcPr>
            <w:tcW w:w="974" w:type="pct"/>
            <w:tcBorders>
              <w:top w:val="nil"/>
              <w:left w:val="nil"/>
              <w:bottom w:val="single" w:sz="8" w:space="0" w:color="76933C"/>
              <w:right w:val="single" w:sz="8" w:space="0" w:color="76933C"/>
            </w:tcBorders>
            <w:shd w:val="clear" w:color="auto" w:fill="auto"/>
            <w:vAlign w:val="center"/>
            <w:hideMark/>
          </w:tcPr>
          <w:p w:rsidR="002D49D9" w:rsidRPr="006E745A" w:rsidRDefault="002D49D9" w:rsidP="001F3AE1">
            <w:pPr>
              <w:spacing w:after="0" w:line="240" w:lineRule="auto"/>
              <w:jc w:val="right"/>
              <w:rPr>
                <w:rFonts w:cs="Arial"/>
                <w:color w:val="000000"/>
                <w:sz w:val="16"/>
                <w:szCs w:val="16"/>
                <w:lang w:eastAsia="en-AU"/>
              </w:rPr>
            </w:pPr>
            <w:r w:rsidRPr="006E745A">
              <w:rPr>
                <w:rFonts w:cs="Arial"/>
                <w:color w:val="000000"/>
                <w:sz w:val="16"/>
                <w:szCs w:val="16"/>
                <w:lang w:eastAsia="en-AU"/>
              </w:rPr>
              <w:t>19%</w:t>
            </w:r>
          </w:p>
        </w:tc>
      </w:tr>
      <w:tr w:rsidR="002D49D9" w:rsidRPr="00537E45" w:rsidTr="001F3AE1">
        <w:trPr>
          <w:trHeight w:val="693"/>
        </w:trPr>
        <w:tc>
          <w:tcPr>
            <w:tcW w:w="3080" w:type="pct"/>
            <w:tcBorders>
              <w:top w:val="nil"/>
              <w:left w:val="single" w:sz="8" w:space="0" w:color="76933C"/>
              <w:bottom w:val="single" w:sz="8" w:space="0" w:color="76933C"/>
              <w:right w:val="nil"/>
            </w:tcBorders>
            <w:shd w:val="clear" w:color="auto" w:fill="auto"/>
            <w:vAlign w:val="center"/>
            <w:hideMark/>
          </w:tcPr>
          <w:p w:rsidR="002D49D9" w:rsidRPr="006E745A" w:rsidRDefault="002D49D9" w:rsidP="001F3AE1">
            <w:pPr>
              <w:spacing w:after="0" w:line="240" w:lineRule="auto"/>
              <w:jc w:val="left"/>
              <w:rPr>
                <w:rFonts w:cs="Arial"/>
                <w:i/>
                <w:iCs/>
                <w:color w:val="76933C"/>
                <w:sz w:val="16"/>
                <w:szCs w:val="16"/>
                <w:lang w:eastAsia="en-AU"/>
              </w:rPr>
            </w:pPr>
            <w:r w:rsidRPr="006E745A">
              <w:rPr>
                <w:rFonts w:cs="Arial"/>
                <w:i/>
                <w:iCs/>
                <w:color w:val="76933C"/>
                <w:sz w:val="16"/>
                <w:szCs w:val="16"/>
                <w:lang w:eastAsia="en-AU"/>
              </w:rPr>
              <w:t xml:space="preserve">Accommodation and Food Services </w:t>
            </w:r>
            <w:r w:rsidRPr="006E745A">
              <w:rPr>
                <w:rFonts w:cs="Arial"/>
                <w:color w:val="000000"/>
                <w:sz w:val="16"/>
                <w:szCs w:val="16"/>
                <w:lang w:eastAsia="en-AU"/>
              </w:rPr>
              <w:t xml:space="preserve">accounted for 4% of enrolments in specialised/in shortage occupations in Q1 2013. Primary occupations include Café and Restaurant Managers, Bakers and </w:t>
            </w:r>
            <w:proofErr w:type="spellStart"/>
            <w:r w:rsidRPr="006E745A">
              <w:rPr>
                <w:rFonts w:cs="Arial"/>
                <w:color w:val="000000"/>
                <w:sz w:val="16"/>
                <w:szCs w:val="16"/>
                <w:lang w:eastAsia="en-AU"/>
              </w:rPr>
              <w:t>Pastrycooks</w:t>
            </w:r>
            <w:proofErr w:type="spellEnd"/>
            <w:r w:rsidRPr="006E745A">
              <w:rPr>
                <w:rFonts w:cs="Arial"/>
                <w:color w:val="000000"/>
                <w:sz w:val="16"/>
                <w:szCs w:val="16"/>
                <w:lang w:eastAsia="en-AU"/>
              </w:rPr>
              <w:t>.</w:t>
            </w:r>
          </w:p>
        </w:tc>
        <w:tc>
          <w:tcPr>
            <w:tcW w:w="488" w:type="pct"/>
            <w:tcBorders>
              <w:top w:val="nil"/>
              <w:left w:val="nil"/>
              <w:bottom w:val="single" w:sz="8" w:space="0" w:color="76933C"/>
              <w:right w:val="nil"/>
            </w:tcBorders>
            <w:shd w:val="clear" w:color="auto" w:fill="auto"/>
            <w:vAlign w:val="center"/>
            <w:hideMark/>
          </w:tcPr>
          <w:p w:rsidR="002D49D9" w:rsidRPr="002E5AA7" w:rsidRDefault="002D49D9" w:rsidP="001F3AE1">
            <w:pPr>
              <w:spacing w:after="0" w:line="240" w:lineRule="auto"/>
              <w:jc w:val="right"/>
              <w:rPr>
                <w:rFonts w:cs="Arial"/>
                <w:color w:val="000000"/>
                <w:sz w:val="18"/>
                <w:szCs w:val="18"/>
                <w:lang w:eastAsia="en-AU"/>
              </w:rPr>
            </w:pPr>
            <w:r w:rsidRPr="002E5AA7">
              <w:rPr>
                <w:rFonts w:cs="Arial"/>
                <w:color w:val="000000"/>
                <w:sz w:val="18"/>
                <w:szCs w:val="18"/>
                <w:lang w:eastAsia="en-AU"/>
              </w:rPr>
              <w:t>3,500</w:t>
            </w:r>
          </w:p>
        </w:tc>
        <w:tc>
          <w:tcPr>
            <w:tcW w:w="458" w:type="pct"/>
            <w:tcBorders>
              <w:top w:val="nil"/>
              <w:left w:val="nil"/>
              <w:bottom w:val="single" w:sz="8" w:space="0" w:color="76933C"/>
              <w:right w:val="nil"/>
            </w:tcBorders>
            <w:shd w:val="clear" w:color="auto" w:fill="auto"/>
            <w:vAlign w:val="center"/>
            <w:hideMark/>
          </w:tcPr>
          <w:p w:rsidR="002D49D9" w:rsidRPr="002E5AA7" w:rsidRDefault="002D49D9" w:rsidP="001F3AE1">
            <w:pPr>
              <w:spacing w:after="0" w:line="240" w:lineRule="auto"/>
              <w:jc w:val="right"/>
              <w:rPr>
                <w:rFonts w:cs="Arial"/>
                <w:color w:val="000000"/>
                <w:sz w:val="18"/>
                <w:szCs w:val="18"/>
                <w:lang w:eastAsia="en-AU"/>
              </w:rPr>
            </w:pPr>
            <w:r w:rsidRPr="002E5AA7">
              <w:rPr>
                <w:rFonts w:cs="Arial"/>
                <w:color w:val="000000"/>
                <w:sz w:val="18"/>
                <w:szCs w:val="18"/>
                <w:lang w:eastAsia="en-AU"/>
              </w:rPr>
              <w:t>3,100</w:t>
            </w:r>
          </w:p>
        </w:tc>
        <w:tc>
          <w:tcPr>
            <w:tcW w:w="974" w:type="pct"/>
            <w:tcBorders>
              <w:top w:val="nil"/>
              <w:left w:val="nil"/>
              <w:bottom w:val="single" w:sz="8" w:space="0" w:color="76933C"/>
              <w:right w:val="single" w:sz="8" w:space="0" w:color="76933C"/>
            </w:tcBorders>
            <w:shd w:val="clear" w:color="auto" w:fill="auto"/>
            <w:vAlign w:val="center"/>
            <w:hideMark/>
          </w:tcPr>
          <w:p w:rsidR="002D49D9" w:rsidRPr="002E5AA7" w:rsidRDefault="002D49D9" w:rsidP="001F3AE1">
            <w:pPr>
              <w:spacing w:after="0" w:line="240" w:lineRule="auto"/>
              <w:jc w:val="right"/>
              <w:rPr>
                <w:rFonts w:cs="Arial"/>
                <w:color w:val="000000"/>
                <w:sz w:val="18"/>
                <w:szCs w:val="18"/>
                <w:lang w:eastAsia="en-AU"/>
              </w:rPr>
            </w:pPr>
            <w:r w:rsidRPr="002E5AA7">
              <w:rPr>
                <w:rFonts w:cs="Arial"/>
                <w:color w:val="000000"/>
                <w:sz w:val="18"/>
                <w:szCs w:val="18"/>
                <w:lang w:eastAsia="en-AU"/>
              </w:rPr>
              <w:t>-11%</w:t>
            </w:r>
          </w:p>
        </w:tc>
      </w:tr>
    </w:tbl>
    <w:p w:rsidR="002D49D9" w:rsidRDefault="002D49D9" w:rsidP="002D49D9">
      <w:pPr>
        <w:spacing w:after="0" w:line="240" w:lineRule="auto"/>
        <w:jc w:val="left"/>
        <w:rPr>
          <w:rFonts w:cs="Arial"/>
          <w:b/>
          <w:bCs/>
          <w:color w:val="76923C" w:themeColor="accent3" w:themeShade="BF"/>
          <w:sz w:val="16"/>
          <w:szCs w:val="16"/>
        </w:rPr>
      </w:pPr>
    </w:p>
    <w:p w:rsidR="002D49D9" w:rsidRPr="001F29E3" w:rsidRDefault="003427AB" w:rsidP="002D49D9">
      <w:pPr>
        <w:pStyle w:val="Caption"/>
        <w:rPr>
          <w:rFonts w:cs="Arial"/>
        </w:rPr>
      </w:pPr>
      <w:r>
        <w:rPr>
          <w:rFonts w:cs="Arial"/>
        </w:rPr>
        <w:t>Figure 2</w:t>
      </w:r>
      <w:r w:rsidR="002D49D9" w:rsidRPr="001F29E3">
        <w:rPr>
          <w:rFonts w:cs="Arial"/>
        </w:rPr>
        <w:t xml:space="preserve">.2: Top enrolling industries </w:t>
      </w:r>
    </w:p>
    <w:p w:rsidR="002D49D9" w:rsidRPr="001F29E3" w:rsidRDefault="002D49D9" w:rsidP="002D49D9">
      <w:pPr>
        <w:rPr>
          <w:rFonts w:cs="Arial"/>
        </w:rPr>
      </w:pPr>
      <w:r w:rsidRPr="001F29E3">
        <w:rPr>
          <w:rFonts w:cs="Arial"/>
          <w:noProof/>
          <w:lang w:eastAsia="en-AU"/>
        </w:rPr>
        <w:drawing>
          <wp:inline distT="0" distB="0" distL="0" distR="0" wp14:anchorId="23BD9160" wp14:editId="3A7ECC6B">
            <wp:extent cx="5762625" cy="2514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2514600"/>
                    </a:xfrm>
                    <a:prstGeom prst="rect">
                      <a:avLst/>
                    </a:prstGeom>
                    <a:noFill/>
                    <a:ln>
                      <a:noFill/>
                    </a:ln>
                  </pic:spPr>
                </pic:pic>
              </a:graphicData>
            </a:graphic>
          </wp:inline>
        </w:drawing>
      </w:r>
    </w:p>
    <w:p w:rsidR="002D49D9" w:rsidRDefault="002D49D9" w:rsidP="002D49D9">
      <w:pPr>
        <w:rPr>
          <w:rFonts w:cs="Arial"/>
          <w:szCs w:val="19"/>
        </w:rPr>
      </w:pPr>
    </w:p>
    <w:p w:rsidR="002D49D9" w:rsidRPr="001F29E3" w:rsidRDefault="002D49D9" w:rsidP="002D49D9">
      <w:pPr>
        <w:rPr>
          <w:rFonts w:cs="Arial"/>
          <w:szCs w:val="19"/>
        </w:rPr>
      </w:pPr>
      <w:r w:rsidRPr="001F29E3">
        <w:rPr>
          <w:rFonts w:cs="Arial"/>
          <w:szCs w:val="19"/>
        </w:rPr>
        <w:t>As seen in figure 3.2, Healthcare and Social Services, Construction, Manufacturing, Transport, Postal and Warehousing consistently feature as the highest enrolling industries for specialised or in shortage occupations. The first quarter of 2013 reported Other Services as one of the highest enrolling industries. This may be attributed to the large increase in enrolments for qualifications related to the occupation of Motor Mechanics who are generally employed within this industry. Detailed analysis at occupational level is available in the next section.</w:t>
      </w:r>
    </w:p>
    <w:p w:rsidR="002D49D9" w:rsidRPr="001F29E3" w:rsidRDefault="002D49D9" w:rsidP="002D49D9">
      <w:pPr>
        <w:pStyle w:val="Heading2"/>
        <w:jc w:val="left"/>
        <w:rPr>
          <w:sz w:val="26"/>
          <w:szCs w:val="26"/>
        </w:rPr>
      </w:pPr>
      <w:bookmarkStart w:id="99" w:name="_Toc349899154"/>
      <w:bookmarkStart w:id="100" w:name="_Toc349184538"/>
      <w:bookmarkStart w:id="101" w:name="_Toc349184348"/>
      <w:bookmarkStart w:id="102" w:name="_Toc359501567"/>
      <w:r w:rsidRPr="001F29E3">
        <w:t xml:space="preserve">Analysis of Specialised and In Shortage Related Courses by </w:t>
      </w:r>
      <w:r>
        <w:t>o</w:t>
      </w:r>
      <w:r w:rsidRPr="001F29E3">
        <w:t>ccupations</w:t>
      </w:r>
      <w:bookmarkEnd w:id="99"/>
      <w:bookmarkEnd w:id="100"/>
      <w:bookmarkEnd w:id="101"/>
      <w:bookmarkEnd w:id="102"/>
    </w:p>
    <w:p w:rsidR="002D49D9" w:rsidRDefault="002D49D9" w:rsidP="002D49D9">
      <w:pPr>
        <w:rPr>
          <w:rFonts w:cs="Arial"/>
          <w:szCs w:val="19"/>
        </w:rPr>
      </w:pPr>
    </w:p>
    <w:p w:rsidR="002D49D9" w:rsidRPr="001F29E3" w:rsidRDefault="002D49D9" w:rsidP="002D49D9">
      <w:pPr>
        <w:rPr>
          <w:rFonts w:cs="Arial"/>
          <w:szCs w:val="19"/>
        </w:rPr>
      </w:pPr>
      <w:r w:rsidRPr="001F29E3">
        <w:rPr>
          <w:rFonts w:cs="Arial"/>
          <w:szCs w:val="19"/>
        </w:rPr>
        <w:t>In order to study the responsiveness of the training market in more detail, this analysis focuses on a granular level of occupational groupings</w:t>
      </w:r>
      <w:r w:rsidRPr="001F29E3">
        <w:rPr>
          <w:rStyle w:val="FootnoteReference"/>
          <w:rFonts w:cs="Arial"/>
          <w:szCs w:val="19"/>
        </w:rPr>
        <w:footnoteReference w:id="13"/>
      </w:r>
      <w:r w:rsidRPr="001F29E3">
        <w:rPr>
          <w:rFonts w:cs="Arial"/>
          <w:szCs w:val="19"/>
        </w:rPr>
        <w:t xml:space="preserve">. There has been an overall rise (4 per cent) in enrolments related to either </w:t>
      </w:r>
      <w:proofErr w:type="gramStart"/>
      <w:r w:rsidRPr="001F29E3">
        <w:rPr>
          <w:rFonts w:cs="Arial"/>
          <w:szCs w:val="19"/>
        </w:rPr>
        <w:t>specialised</w:t>
      </w:r>
      <w:proofErr w:type="gramEnd"/>
      <w:r w:rsidRPr="001F29E3">
        <w:rPr>
          <w:rFonts w:cs="Arial"/>
          <w:szCs w:val="19"/>
        </w:rPr>
        <w:t xml:space="preserve"> or in shortage occupations in the first quarter of 2013 compared to the first quarter of 2012. The largest shares of enrolments were in courses related to the occupations of Child Carers and Aged and Disabled Carers.</w:t>
      </w:r>
    </w:p>
    <w:p w:rsidR="002D49D9" w:rsidRDefault="002D49D9" w:rsidP="002D49D9">
      <w:pPr>
        <w:pStyle w:val="Caption"/>
        <w:rPr>
          <w:rFonts w:cs="Arial"/>
        </w:rPr>
      </w:pPr>
    </w:p>
    <w:p w:rsidR="002D49D9" w:rsidRPr="001F29E3" w:rsidRDefault="003427AB" w:rsidP="002D49D9">
      <w:pPr>
        <w:pStyle w:val="Caption"/>
        <w:rPr>
          <w:rFonts w:cs="Arial"/>
        </w:rPr>
      </w:pPr>
      <w:r>
        <w:rPr>
          <w:rFonts w:cs="Arial"/>
        </w:rPr>
        <w:t>Table 2</w:t>
      </w:r>
      <w:r w:rsidR="002D49D9" w:rsidRPr="001F29E3">
        <w:rPr>
          <w:rFonts w:cs="Arial"/>
        </w:rPr>
        <w:t>.</w:t>
      </w:r>
      <w:r w:rsidR="002D49D9">
        <w:rPr>
          <w:rFonts w:cs="Arial"/>
        </w:rPr>
        <w:t>5</w:t>
      </w:r>
      <w:r w:rsidR="002D49D9" w:rsidRPr="001F29E3">
        <w:rPr>
          <w:rFonts w:cs="Arial"/>
        </w:rPr>
        <w:t>: Top 10 enrolling specialised or in shortage occupations</w:t>
      </w:r>
    </w:p>
    <w:tbl>
      <w:tblPr>
        <w:tblW w:w="5000" w:type="pct"/>
        <w:tblLayout w:type="fixed"/>
        <w:tblCellMar>
          <w:left w:w="0" w:type="dxa"/>
          <w:right w:w="0" w:type="dxa"/>
        </w:tblCellMar>
        <w:tblLook w:val="01E0" w:firstRow="1" w:lastRow="1" w:firstColumn="1" w:lastColumn="1" w:noHBand="0" w:noVBand="0"/>
      </w:tblPr>
      <w:tblGrid>
        <w:gridCol w:w="9072"/>
      </w:tblGrid>
      <w:tr w:rsidR="002D49D9" w:rsidRPr="001F29E3" w:rsidTr="001F3AE1">
        <w:tc>
          <w:tcPr>
            <w:tcW w:w="9073" w:type="dxa"/>
            <w:hideMark/>
          </w:tcPr>
          <w:tbl>
            <w:tblPr>
              <w:tblW w:w="9075" w:type="dxa"/>
              <w:tblLayout w:type="fixed"/>
              <w:tblLook w:val="04A0" w:firstRow="1" w:lastRow="0" w:firstColumn="1" w:lastColumn="0" w:noHBand="0" w:noVBand="1"/>
            </w:tblPr>
            <w:tblGrid>
              <w:gridCol w:w="4397"/>
              <w:gridCol w:w="992"/>
              <w:gridCol w:w="992"/>
              <w:gridCol w:w="2694"/>
            </w:tblGrid>
            <w:tr w:rsidR="002D49D9" w:rsidRPr="001F29E3" w:rsidTr="001F3AE1">
              <w:trPr>
                <w:trHeight w:val="450"/>
              </w:trPr>
              <w:tc>
                <w:tcPr>
                  <w:tcW w:w="4395" w:type="dxa"/>
                  <w:tcBorders>
                    <w:top w:val="nil"/>
                    <w:left w:val="nil"/>
                    <w:bottom w:val="single" w:sz="4" w:space="0" w:color="95B3D7"/>
                    <w:right w:val="nil"/>
                  </w:tcBorders>
                  <w:shd w:val="clear" w:color="auto" w:fill="76933C"/>
                  <w:noWrap/>
                  <w:vAlign w:val="center"/>
                  <w:hideMark/>
                </w:tcPr>
                <w:p w:rsidR="002D49D9" w:rsidRPr="001F29E3" w:rsidRDefault="002D49D9" w:rsidP="001F3AE1">
                  <w:pPr>
                    <w:spacing w:after="0" w:line="240" w:lineRule="auto"/>
                    <w:jc w:val="center"/>
                    <w:rPr>
                      <w:rFonts w:cs="Arial"/>
                      <w:b/>
                      <w:bCs/>
                      <w:color w:val="FFFFFF"/>
                      <w:sz w:val="18"/>
                      <w:szCs w:val="18"/>
                      <w:lang w:eastAsia="en-AU"/>
                    </w:rPr>
                  </w:pPr>
                  <w:r w:rsidRPr="001F29E3">
                    <w:rPr>
                      <w:rFonts w:cs="Arial"/>
                      <w:b/>
                      <w:bCs/>
                      <w:color w:val="FFFFFF"/>
                      <w:sz w:val="18"/>
                      <w:szCs w:val="18"/>
                      <w:lang w:eastAsia="en-AU"/>
                    </w:rPr>
                    <w:t xml:space="preserve">Occupation </w:t>
                  </w:r>
                </w:p>
              </w:tc>
              <w:tc>
                <w:tcPr>
                  <w:tcW w:w="992" w:type="dxa"/>
                  <w:tcBorders>
                    <w:top w:val="nil"/>
                    <w:left w:val="nil"/>
                    <w:bottom w:val="single" w:sz="4" w:space="0" w:color="95B3D7"/>
                    <w:right w:val="nil"/>
                  </w:tcBorders>
                  <w:shd w:val="clear" w:color="auto" w:fill="76933C"/>
                  <w:noWrap/>
                  <w:vAlign w:val="center"/>
                  <w:hideMark/>
                </w:tcPr>
                <w:p w:rsidR="002D49D9" w:rsidRPr="001F29E3" w:rsidRDefault="002D49D9" w:rsidP="001F3AE1">
                  <w:pPr>
                    <w:spacing w:after="0" w:line="240" w:lineRule="auto"/>
                    <w:jc w:val="center"/>
                    <w:rPr>
                      <w:rFonts w:cs="Arial"/>
                      <w:b/>
                      <w:bCs/>
                      <w:color w:val="FFFFFF"/>
                      <w:sz w:val="18"/>
                      <w:szCs w:val="18"/>
                      <w:lang w:eastAsia="en-AU"/>
                    </w:rPr>
                  </w:pPr>
                  <w:r w:rsidRPr="001F29E3">
                    <w:rPr>
                      <w:rFonts w:cs="Arial"/>
                      <w:b/>
                      <w:bCs/>
                      <w:color w:val="FFFFFF"/>
                      <w:sz w:val="18"/>
                      <w:szCs w:val="18"/>
                      <w:lang w:eastAsia="en-AU"/>
                    </w:rPr>
                    <w:t>Q1 2012</w:t>
                  </w:r>
                </w:p>
              </w:tc>
              <w:tc>
                <w:tcPr>
                  <w:tcW w:w="992" w:type="dxa"/>
                  <w:tcBorders>
                    <w:top w:val="nil"/>
                    <w:left w:val="nil"/>
                    <w:bottom w:val="single" w:sz="4" w:space="0" w:color="95B3D7"/>
                    <w:right w:val="nil"/>
                  </w:tcBorders>
                  <w:shd w:val="clear" w:color="auto" w:fill="76933C"/>
                  <w:noWrap/>
                  <w:vAlign w:val="center"/>
                  <w:hideMark/>
                </w:tcPr>
                <w:p w:rsidR="002D49D9" w:rsidRPr="001F29E3" w:rsidRDefault="002D49D9" w:rsidP="001F3AE1">
                  <w:pPr>
                    <w:spacing w:after="0" w:line="240" w:lineRule="auto"/>
                    <w:jc w:val="center"/>
                    <w:rPr>
                      <w:rFonts w:cs="Arial"/>
                      <w:b/>
                      <w:bCs/>
                      <w:color w:val="FFFFFF"/>
                      <w:sz w:val="18"/>
                      <w:szCs w:val="18"/>
                      <w:lang w:eastAsia="en-AU"/>
                    </w:rPr>
                  </w:pPr>
                  <w:r w:rsidRPr="001F29E3">
                    <w:rPr>
                      <w:rFonts w:cs="Arial"/>
                      <w:b/>
                      <w:bCs/>
                      <w:color w:val="FFFFFF"/>
                      <w:sz w:val="18"/>
                      <w:szCs w:val="18"/>
                      <w:lang w:eastAsia="en-AU"/>
                    </w:rPr>
                    <w:t>Q1 2013</w:t>
                  </w:r>
                </w:p>
              </w:tc>
              <w:tc>
                <w:tcPr>
                  <w:tcW w:w="2693" w:type="dxa"/>
                  <w:shd w:val="clear" w:color="auto" w:fill="76933C"/>
                  <w:vAlign w:val="center"/>
                  <w:hideMark/>
                </w:tcPr>
                <w:p w:rsidR="002D49D9" w:rsidRPr="001F29E3" w:rsidRDefault="002D49D9" w:rsidP="001F3AE1">
                  <w:pPr>
                    <w:spacing w:after="0" w:line="240" w:lineRule="auto"/>
                    <w:jc w:val="center"/>
                    <w:rPr>
                      <w:rFonts w:cs="Arial"/>
                      <w:b/>
                      <w:bCs/>
                      <w:color w:val="FFFFFF"/>
                      <w:sz w:val="18"/>
                      <w:szCs w:val="18"/>
                      <w:lang w:eastAsia="en-AU"/>
                    </w:rPr>
                  </w:pPr>
                  <w:r w:rsidRPr="001F29E3">
                    <w:rPr>
                      <w:rFonts w:cs="Arial"/>
                      <w:b/>
                      <w:bCs/>
                      <w:color w:val="FFFFFF"/>
                      <w:sz w:val="18"/>
                      <w:szCs w:val="18"/>
                      <w:lang w:eastAsia="en-AU"/>
                    </w:rPr>
                    <w:t>% change Q1 2012 - Q1 2013</w:t>
                  </w:r>
                </w:p>
              </w:tc>
            </w:tr>
            <w:tr w:rsidR="002D49D9" w:rsidRPr="001F29E3" w:rsidTr="001F3AE1">
              <w:trPr>
                <w:trHeight w:val="300"/>
              </w:trPr>
              <w:tc>
                <w:tcPr>
                  <w:tcW w:w="4395"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rPr>
                      <w:rFonts w:cs="Arial"/>
                      <w:color w:val="000000"/>
                      <w:sz w:val="18"/>
                      <w:szCs w:val="18"/>
                      <w:lang w:eastAsia="en-AU"/>
                    </w:rPr>
                  </w:pPr>
                  <w:r w:rsidRPr="001F29E3">
                    <w:rPr>
                      <w:rFonts w:cs="Arial"/>
                      <w:color w:val="000000"/>
                      <w:sz w:val="18"/>
                      <w:szCs w:val="18"/>
                      <w:lang w:eastAsia="en-AU"/>
                    </w:rPr>
                    <w:t xml:space="preserve">Child Carers </w:t>
                  </w:r>
                </w:p>
              </w:tc>
              <w:tc>
                <w:tcPr>
                  <w:tcW w:w="992"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13,200</w:t>
                  </w:r>
                </w:p>
              </w:tc>
              <w:tc>
                <w:tcPr>
                  <w:tcW w:w="992"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15,000</w:t>
                  </w:r>
                </w:p>
              </w:tc>
              <w:tc>
                <w:tcPr>
                  <w:tcW w:w="2693" w:type="dxa"/>
                  <w:tcBorders>
                    <w:top w:val="nil"/>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14%</w:t>
                  </w:r>
                </w:p>
              </w:tc>
            </w:tr>
            <w:tr w:rsidR="002D49D9" w:rsidRPr="001F29E3" w:rsidTr="001F3AE1">
              <w:trPr>
                <w:trHeight w:val="300"/>
              </w:trPr>
              <w:tc>
                <w:tcPr>
                  <w:tcW w:w="43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rPr>
                      <w:rFonts w:cs="Arial"/>
                      <w:color w:val="000000"/>
                      <w:sz w:val="18"/>
                      <w:szCs w:val="18"/>
                      <w:lang w:eastAsia="en-AU"/>
                    </w:rPr>
                  </w:pPr>
                  <w:r w:rsidRPr="001F29E3">
                    <w:rPr>
                      <w:rFonts w:cs="Arial"/>
                      <w:color w:val="000000"/>
                      <w:sz w:val="18"/>
                      <w:szCs w:val="18"/>
                      <w:lang w:eastAsia="en-AU"/>
                    </w:rPr>
                    <w:t>Aged and Disabled Carers</w:t>
                  </w:r>
                </w:p>
              </w:tc>
              <w:tc>
                <w:tcPr>
                  <w:tcW w:w="992"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7,200</w:t>
                  </w:r>
                </w:p>
              </w:tc>
              <w:tc>
                <w:tcPr>
                  <w:tcW w:w="992"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8,700</w:t>
                  </w:r>
                </w:p>
              </w:tc>
              <w:tc>
                <w:tcPr>
                  <w:tcW w:w="2693"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21%</w:t>
                  </w:r>
                </w:p>
              </w:tc>
            </w:tr>
            <w:tr w:rsidR="002D49D9" w:rsidRPr="001F29E3" w:rsidTr="001F3AE1">
              <w:trPr>
                <w:trHeight w:val="300"/>
              </w:trPr>
              <w:tc>
                <w:tcPr>
                  <w:tcW w:w="4395" w:type="dxa"/>
                  <w:tcBorders>
                    <w:top w:val="single" w:sz="4" w:space="0" w:color="76933C"/>
                    <w:bottom w:val="single" w:sz="4" w:space="0" w:color="76933C"/>
                    <w:right w:val="nil"/>
                  </w:tcBorders>
                  <w:noWrap/>
                  <w:vAlign w:val="bottom"/>
                  <w:hideMark/>
                </w:tcPr>
                <w:p w:rsidR="002D49D9" w:rsidRPr="001F29E3" w:rsidRDefault="002D49D9" w:rsidP="001F3AE1">
                  <w:pPr>
                    <w:spacing w:after="0" w:line="240" w:lineRule="auto"/>
                    <w:rPr>
                      <w:rFonts w:cs="Arial"/>
                      <w:color w:val="000000"/>
                      <w:sz w:val="18"/>
                      <w:szCs w:val="18"/>
                      <w:lang w:eastAsia="en-AU"/>
                    </w:rPr>
                  </w:pPr>
                  <w:r w:rsidRPr="001F29E3">
                    <w:rPr>
                      <w:rFonts w:cs="Arial"/>
                      <w:color w:val="000000"/>
                      <w:sz w:val="18"/>
                      <w:szCs w:val="18"/>
                      <w:lang w:eastAsia="en-AU"/>
                    </w:rPr>
                    <w:t xml:space="preserve">Welfare Support Workers </w:t>
                  </w:r>
                </w:p>
              </w:tc>
              <w:tc>
                <w:tcPr>
                  <w:tcW w:w="992"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5,200</w:t>
                  </w:r>
                </w:p>
              </w:tc>
              <w:tc>
                <w:tcPr>
                  <w:tcW w:w="992"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6,400</w:t>
                  </w:r>
                </w:p>
              </w:tc>
              <w:tc>
                <w:tcPr>
                  <w:tcW w:w="2693" w:type="dxa"/>
                  <w:tcBorders>
                    <w:top w:val="single" w:sz="4" w:space="0" w:color="76933C"/>
                    <w:left w:val="nil"/>
                    <w:bottom w:val="single" w:sz="4" w:space="0" w:color="76933C"/>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23%</w:t>
                  </w:r>
                </w:p>
              </w:tc>
            </w:tr>
            <w:tr w:rsidR="002D49D9" w:rsidRPr="001F29E3" w:rsidTr="001F3AE1">
              <w:trPr>
                <w:trHeight w:val="300"/>
              </w:trPr>
              <w:tc>
                <w:tcPr>
                  <w:tcW w:w="43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rPr>
                      <w:rFonts w:cs="Arial"/>
                      <w:color w:val="000000"/>
                      <w:sz w:val="18"/>
                      <w:szCs w:val="18"/>
                      <w:lang w:eastAsia="en-AU"/>
                    </w:rPr>
                  </w:pPr>
                  <w:r w:rsidRPr="001F29E3">
                    <w:rPr>
                      <w:rFonts w:cs="Arial"/>
                      <w:color w:val="000000"/>
                      <w:sz w:val="18"/>
                      <w:szCs w:val="18"/>
                      <w:lang w:eastAsia="en-AU"/>
                    </w:rPr>
                    <w:t xml:space="preserve">Electricians </w:t>
                  </w:r>
                </w:p>
              </w:tc>
              <w:tc>
                <w:tcPr>
                  <w:tcW w:w="992"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5,300</w:t>
                  </w:r>
                </w:p>
              </w:tc>
              <w:tc>
                <w:tcPr>
                  <w:tcW w:w="992"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5,400</w:t>
                  </w:r>
                </w:p>
              </w:tc>
              <w:tc>
                <w:tcPr>
                  <w:tcW w:w="2693"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2%</w:t>
                  </w:r>
                </w:p>
              </w:tc>
            </w:tr>
            <w:tr w:rsidR="002D49D9" w:rsidRPr="001F29E3" w:rsidTr="001F3AE1">
              <w:trPr>
                <w:trHeight w:val="300"/>
              </w:trPr>
              <w:tc>
                <w:tcPr>
                  <w:tcW w:w="43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rPr>
                      <w:rFonts w:cs="Arial"/>
                      <w:color w:val="000000"/>
                      <w:sz w:val="18"/>
                      <w:szCs w:val="18"/>
                      <w:lang w:eastAsia="en-AU"/>
                    </w:rPr>
                  </w:pPr>
                  <w:r w:rsidRPr="001F29E3">
                    <w:rPr>
                      <w:rFonts w:cs="Arial"/>
                      <w:color w:val="000000"/>
                      <w:sz w:val="18"/>
                      <w:szCs w:val="18"/>
                      <w:lang w:eastAsia="en-AU"/>
                    </w:rPr>
                    <w:t xml:space="preserve">Enrolled and Mothercraft Nurses </w:t>
                  </w:r>
                </w:p>
              </w:tc>
              <w:tc>
                <w:tcPr>
                  <w:tcW w:w="992"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4,800</w:t>
                  </w:r>
                </w:p>
              </w:tc>
              <w:tc>
                <w:tcPr>
                  <w:tcW w:w="992"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5,300</w:t>
                  </w:r>
                </w:p>
              </w:tc>
              <w:tc>
                <w:tcPr>
                  <w:tcW w:w="2693"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10%</w:t>
                  </w:r>
                </w:p>
              </w:tc>
            </w:tr>
            <w:tr w:rsidR="002D49D9" w:rsidRPr="001F29E3" w:rsidTr="001F3AE1">
              <w:trPr>
                <w:trHeight w:val="300"/>
              </w:trPr>
              <w:tc>
                <w:tcPr>
                  <w:tcW w:w="43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rPr>
                      <w:rFonts w:cs="Arial"/>
                      <w:color w:val="000000"/>
                      <w:sz w:val="18"/>
                      <w:szCs w:val="18"/>
                      <w:lang w:eastAsia="en-AU"/>
                    </w:rPr>
                  </w:pPr>
                  <w:r w:rsidRPr="001F29E3">
                    <w:rPr>
                      <w:rFonts w:cs="Arial"/>
                      <w:color w:val="000000"/>
                      <w:sz w:val="18"/>
                      <w:szCs w:val="18"/>
                      <w:lang w:eastAsia="en-AU"/>
                    </w:rPr>
                    <w:t>Carpenters and Joiners</w:t>
                  </w:r>
                </w:p>
              </w:tc>
              <w:tc>
                <w:tcPr>
                  <w:tcW w:w="992"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5,300</w:t>
                  </w:r>
                </w:p>
              </w:tc>
              <w:tc>
                <w:tcPr>
                  <w:tcW w:w="992"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4,600</w:t>
                  </w:r>
                </w:p>
              </w:tc>
              <w:tc>
                <w:tcPr>
                  <w:tcW w:w="2693"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-13%</w:t>
                  </w:r>
                </w:p>
              </w:tc>
            </w:tr>
            <w:tr w:rsidR="002D49D9" w:rsidRPr="001F29E3" w:rsidTr="001F3AE1">
              <w:trPr>
                <w:trHeight w:val="300"/>
              </w:trPr>
              <w:tc>
                <w:tcPr>
                  <w:tcW w:w="43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rPr>
                      <w:rFonts w:cs="Arial"/>
                      <w:color w:val="000000"/>
                      <w:sz w:val="18"/>
                      <w:szCs w:val="18"/>
                      <w:lang w:eastAsia="en-AU"/>
                    </w:rPr>
                  </w:pPr>
                  <w:r w:rsidRPr="001F29E3">
                    <w:rPr>
                      <w:rFonts w:cs="Arial"/>
                      <w:color w:val="000000"/>
                      <w:sz w:val="18"/>
                      <w:szCs w:val="18"/>
                      <w:lang w:eastAsia="en-AU"/>
                    </w:rPr>
                    <w:t xml:space="preserve">Plumbers </w:t>
                  </w:r>
                </w:p>
              </w:tc>
              <w:tc>
                <w:tcPr>
                  <w:tcW w:w="992"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4,900</w:t>
                  </w:r>
                </w:p>
              </w:tc>
              <w:tc>
                <w:tcPr>
                  <w:tcW w:w="992"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4,400</w:t>
                  </w:r>
                </w:p>
              </w:tc>
              <w:tc>
                <w:tcPr>
                  <w:tcW w:w="2693"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-10%</w:t>
                  </w:r>
                </w:p>
              </w:tc>
            </w:tr>
            <w:tr w:rsidR="002D49D9" w:rsidRPr="001F29E3" w:rsidTr="001F3AE1">
              <w:trPr>
                <w:trHeight w:val="300"/>
              </w:trPr>
              <w:tc>
                <w:tcPr>
                  <w:tcW w:w="43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rPr>
                      <w:rFonts w:cs="Arial"/>
                      <w:color w:val="000000"/>
                      <w:sz w:val="18"/>
                      <w:szCs w:val="18"/>
                      <w:lang w:eastAsia="en-AU"/>
                    </w:rPr>
                  </w:pPr>
                  <w:r w:rsidRPr="001F29E3">
                    <w:rPr>
                      <w:rFonts w:cs="Arial"/>
                      <w:color w:val="000000"/>
                      <w:sz w:val="18"/>
                      <w:szCs w:val="18"/>
                      <w:lang w:eastAsia="en-AU"/>
                    </w:rPr>
                    <w:t xml:space="preserve">Motor Mechanics </w:t>
                  </w:r>
                </w:p>
              </w:tc>
              <w:tc>
                <w:tcPr>
                  <w:tcW w:w="992"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3,200</w:t>
                  </w:r>
                </w:p>
              </w:tc>
              <w:tc>
                <w:tcPr>
                  <w:tcW w:w="992"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3,600</w:t>
                  </w:r>
                </w:p>
              </w:tc>
              <w:tc>
                <w:tcPr>
                  <w:tcW w:w="2693"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13%</w:t>
                  </w:r>
                </w:p>
              </w:tc>
            </w:tr>
            <w:tr w:rsidR="002D49D9" w:rsidRPr="001F29E3" w:rsidTr="001F3AE1">
              <w:trPr>
                <w:trHeight w:val="300"/>
              </w:trPr>
              <w:tc>
                <w:tcPr>
                  <w:tcW w:w="43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rPr>
                      <w:rFonts w:cs="Arial"/>
                      <w:color w:val="000000"/>
                      <w:sz w:val="18"/>
                      <w:szCs w:val="18"/>
                      <w:lang w:eastAsia="en-AU"/>
                    </w:rPr>
                  </w:pPr>
                  <w:r w:rsidRPr="001F29E3">
                    <w:rPr>
                      <w:rFonts w:cs="Arial"/>
                      <w:color w:val="000000"/>
                      <w:sz w:val="18"/>
                      <w:szCs w:val="18"/>
                      <w:lang w:eastAsia="en-AU"/>
                    </w:rPr>
                    <w:t xml:space="preserve">Architectural, Building and Surveying Technicians </w:t>
                  </w:r>
                </w:p>
              </w:tc>
              <w:tc>
                <w:tcPr>
                  <w:tcW w:w="992"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2,400</w:t>
                  </w:r>
                </w:p>
              </w:tc>
              <w:tc>
                <w:tcPr>
                  <w:tcW w:w="992"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3,600</w:t>
                  </w:r>
                </w:p>
              </w:tc>
              <w:tc>
                <w:tcPr>
                  <w:tcW w:w="2693"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50%</w:t>
                  </w:r>
                </w:p>
              </w:tc>
            </w:tr>
            <w:tr w:rsidR="002D49D9" w:rsidRPr="001F29E3" w:rsidTr="001F3AE1">
              <w:trPr>
                <w:trHeight w:val="300"/>
              </w:trPr>
              <w:tc>
                <w:tcPr>
                  <w:tcW w:w="4395"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rPr>
                      <w:rFonts w:cs="Arial"/>
                      <w:color w:val="000000"/>
                      <w:sz w:val="18"/>
                      <w:szCs w:val="18"/>
                      <w:lang w:eastAsia="en-AU"/>
                    </w:rPr>
                  </w:pPr>
                  <w:r w:rsidRPr="001F29E3">
                    <w:rPr>
                      <w:rFonts w:cs="Arial"/>
                      <w:color w:val="000000"/>
                      <w:sz w:val="18"/>
                      <w:szCs w:val="18"/>
                      <w:lang w:eastAsia="en-AU"/>
                    </w:rPr>
                    <w:t xml:space="preserve">Truck Drivers </w:t>
                  </w:r>
                </w:p>
              </w:tc>
              <w:tc>
                <w:tcPr>
                  <w:tcW w:w="992"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2,400</w:t>
                  </w:r>
                </w:p>
              </w:tc>
              <w:tc>
                <w:tcPr>
                  <w:tcW w:w="992"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2,800</w:t>
                  </w:r>
                </w:p>
              </w:tc>
              <w:tc>
                <w:tcPr>
                  <w:tcW w:w="2693"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color w:val="000000"/>
                      <w:sz w:val="18"/>
                      <w:szCs w:val="18"/>
                      <w:lang w:eastAsia="en-AU"/>
                    </w:rPr>
                  </w:pPr>
                  <w:r w:rsidRPr="001F29E3">
                    <w:rPr>
                      <w:rFonts w:cs="Arial"/>
                      <w:color w:val="000000"/>
                      <w:sz w:val="18"/>
                      <w:szCs w:val="18"/>
                      <w:lang w:eastAsia="en-AU"/>
                    </w:rPr>
                    <w:t>17%</w:t>
                  </w:r>
                </w:p>
              </w:tc>
            </w:tr>
            <w:tr w:rsidR="002D49D9" w:rsidRPr="001F29E3" w:rsidTr="001F3AE1">
              <w:trPr>
                <w:trHeight w:val="300"/>
              </w:trPr>
              <w:tc>
                <w:tcPr>
                  <w:tcW w:w="4395" w:type="dxa"/>
                  <w:tcBorders>
                    <w:top w:val="single" w:sz="4" w:space="0" w:color="76933C"/>
                    <w:bottom w:val="single" w:sz="4" w:space="0" w:color="76933C"/>
                    <w:right w:val="nil"/>
                  </w:tcBorders>
                  <w:noWrap/>
                  <w:vAlign w:val="bottom"/>
                  <w:hideMark/>
                </w:tcPr>
                <w:p w:rsidR="002D49D9" w:rsidRPr="001F29E3" w:rsidRDefault="002D49D9" w:rsidP="001F3AE1">
                  <w:pPr>
                    <w:spacing w:after="0" w:line="240" w:lineRule="auto"/>
                    <w:rPr>
                      <w:rFonts w:cs="Arial"/>
                      <w:i/>
                      <w:color w:val="000000"/>
                      <w:sz w:val="18"/>
                      <w:szCs w:val="18"/>
                      <w:lang w:eastAsia="en-AU"/>
                    </w:rPr>
                  </w:pPr>
                  <w:r w:rsidRPr="001F29E3">
                    <w:rPr>
                      <w:rFonts w:cs="Arial"/>
                      <w:i/>
                      <w:color w:val="000000"/>
                      <w:sz w:val="18"/>
                      <w:szCs w:val="18"/>
                      <w:lang w:eastAsia="en-AU"/>
                    </w:rPr>
                    <w:t>All other occupations</w:t>
                  </w:r>
                </w:p>
              </w:tc>
              <w:tc>
                <w:tcPr>
                  <w:tcW w:w="992"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i/>
                      <w:color w:val="000000"/>
                      <w:sz w:val="18"/>
                      <w:szCs w:val="18"/>
                      <w:lang w:eastAsia="en-AU"/>
                    </w:rPr>
                  </w:pPr>
                  <w:r w:rsidRPr="001F29E3">
                    <w:rPr>
                      <w:rFonts w:cs="Arial"/>
                      <w:i/>
                      <w:color w:val="000000"/>
                      <w:sz w:val="18"/>
                      <w:szCs w:val="18"/>
                      <w:lang w:eastAsia="en-AU"/>
                    </w:rPr>
                    <w:t>27,300</w:t>
                  </w:r>
                </w:p>
              </w:tc>
              <w:tc>
                <w:tcPr>
                  <w:tcW w:w="992" w:type="dxa"/>
                  <w:tcBorders>
                    <w:top w:val="single" w:sz="4" w:space="0" w:color="76933C"/>
                    <w:left w:val="nil"/>
                    <w:bottom w:val="single" w:sz="4" w:space="0" w:color="76933C"/>
                    <w:right w:val="nil"/>
                  </w:tcBorders>
                  <w:noWrap/>
                  <w:vAlign w:val="bottom"/>
                  <w:hideMark/>
                </w:tcPr>
                <w:p w:rsidR="002D49D9" w:rsidRPr="001F29E3" w:rsidRDefault="002D49D9" w:rsidP="001F3AE1">
                  <w:pPr>
                    <w:spacing w:after="0" w:line="240" w:lineRule="auto"/>
                    <w:jc w:val="right"/>
                    <w:rPr>
                      <w:rFonts w:cs="Arial"/>
                      <w:i/>
                      <w:color w:val="000000"/>
                      <w:sz w:val="18"/>
                      <w:szCs w:val="18"/>
                      <w:lang w:eastAsia="en-AU"/>
                    </w:rPr>
                  </w:pPr>
                  <w:r w:rsidRPr="001F29E3">
                    <w:rPr>
                      <w:rFonts w:cs="Arial"/>
                      <w:i/>
                      <w:color w:val="000000"/>
                      <w:sz w:val="18"/>
                      <w:szCs w:val="18"/>
                      <w:lang w:eastAsia="en-AU"/>
                    </w:rPr>
                    <w:t>24,800</w:t>
                  </w:r>
                </w:p>
              </w:tc>
              <w:tc>
                <w:tcPr>
                  <w:tcW w:w="2693" w:type="dxa"/>
                  <w:tcBorders>
                    <w:top w:val="single" w:sz="4" w:space="0" w:color="76933C"/>
                    <w:left w:val="nil"/>
                    <w:bottom w:val="single" w:sz="4" w:space="0" w:color="76933C"/>
                  </w:tcBorders>
                  <w:noWrap/>
                  <w:vAlign w:val="bottom"/>
                  <w:hideMark/>
                </w:tcPr>
                <w:p w:rsidR="002D49D9" w:rsidRPr="001F29E3" w:rsidRDefault="002D49D9" w:rsidP="001F3AE1">
                  <w:pPr>
                    <w:spacing w:after="0" w:line="240" w:lineRule="auto"/>
                    <w:jc w:val="right"/>
                    <w:rPr>
                      <w:rFonts w:cs="Arial"/>
                      <w:i/>
                      <w:color w:val="000000"/>
                      <w:sz w:val="18"/>
                      <w:szCs w:val="18"/>
                      <w:lang w:eastAsia="en-AU"/>
                    </w:rPr>
                  </w:pPr>
                  <w:r w:rsidRPr="001F29E3">
                    <w:rPr>
                      <w:rFonts w:cs="Arial"/>
                      <w:i/>
                      <w:color w:val="000000"/>
                      <w:sz w:val="18"/>
                      <w:szCs w:val="18"/>
                      <w:lang w:eastAsia="en-AU"/>
                    </w:rPr>
                    <w:t>-9%</w:t>
                  </w:r>
                </w:p>
              </w:tc>
            </w:tr>
          </w:tbl>
          <w:p w:rsidR="002D49D9" w:rsidRPr="001F29E3" w:rsidRDefault="002D49D9" w:rsidP="001F3AE1">
            <w:pPr>
              <w:spacing w:after="0" w:line="240" w:lineRule="auto"/>
              <w:jc w:val="center"/>
              <w:rPr>
                <w:rFonts w:cs="Arial"/>
                <w:b/>
                <w:bCs/>
                <w:color w:val="FFFFFF"/>
                <w:sz w:val="18"/>
                <w:szCs w:val="18"/>
                <w:lang w:eastAsia="en-AU"/>
              </w:rPr>
            </w:pPr>
          </w:p>
        </w:tc>
      </w:tr>
      <w:tr w:rsidR="002D49D9" w:rsidRPr="001F29E3" w:rsidTr="001F3AE1">
        <w:trPr>
          <w:trHeight w:val="7655"/>
        </w:trPr>
        <w:tc>
          <w:tcPr>
            <w:tcW w:w="9073" w:type="dxa"/>
            <w:hideMark/>
          </w:tcPr>
          <w:p w:rsidR="002D49D9" w:rsidRPr="001F29E3" w:rsidRDefault="003427AB" w:rsidP="001F3AE1">
            <w:pPr>
              <w:pStyle w:val="Caption"/>
              <w:rPr>
                <w:rFonts w:cs="Arial"/>
              </w:rPr>
            </w:pPr>
            <w:r>
              <w:rPr>
                <w:rFonts w:cs="Arial"/>
              </w:rPr>
              <w:lastRenderedPageBreak/>
              <w:t>Figure 2</w:t>
            </w:r>
            <w:r w:rsidR="002D49D9" w:rsidRPr="001F29E3">
              <w:rPr>
                <w:rFonts w:cs="Arial"/>
              </w:rPr>
              <w:t xml:space="preserve">.3: Top 10 enrolling specialised or in shortage occupations </w:t>
            </w:r>
          </w:p>
          <w:p w:rsidR="002D49D9" w:rsidRPr="001F29E3" w:rsidRDefault="002D49D9" w:rsidP="001F3AE1">
            <w:pPr>
              <w:spacing w:after="200" w:line="276" w:lineRule="auto"/>
              <w:rPr>
                <w:rFonts w:cs="Arial"/>
                <w:noProof/>
                <w:sz w:val="22"/>
                <w:szCs w:val="22"/>
                <w:lang w:eastAsia="en-AU"/>
              </w:rPr>
            </w:pPr>
            <w:r w:rsidRPr="001F29E3">
              <w:rPr>
                <w:rFonts w:cs="Arial"/>
                <w:noProof/>
                <w:lang w:eastAsia="en-AU"/>
              </w:rPr>
              <w:drawing>
                <wp:inline distT="0" distB="0" distL="0" distR="0" wp14:anchorId="2D74F5B8" wp14:editId="7B036D4E">
                  <wp:extent cx="5686425" cy="4543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86425" cy="4543425"/>
                          </a:xfrm>
                          <a:prstGeom prst="rect">
                            <a:avLst/>
                          </a:prstGeom>
                          <a:noFill/>
                          <a:ln>
                            <a:noFill/>
                          </a:ln>
                        </pic:spPr>
                      </pic:pic>
                    </a:graphicData>
                  </a:graphic>
                </wp:inline>
              </w:drawing>
            </w:r>
          </w:p>
        </w:tc>
      </w:tr>
      <w:tr w:rsidR="002D49D9" w:rsidRPr="001F29E3" w:rsidTr="001F3AE1">
        <w:tc>
          <w:tcPr>
            <w:tcW w:w="9073" w:type="dxa"/>
            <w:hideMark/>
          </w:tcPr>
          <w:p w:rsidR="002D49D9" w:rsidRPr="001F29E3" w:rsidRDefault="003427AB" w:rsidP="001F3AE1">
            <w:pPr>
              <w:pStyle w:val="Caption"/>
              <w:rPr>
                <w:rFonts w:cs="Arial"/>
              </w:rPr>
            </w:pPr>
            <w:r>
              <w:rPr>
                <w:rFonts w:cs="Arial"/>
              </w:rPr>
              <w:t>Figure 2</w:t>
            </w:r>
            <w:r w:rsidR="002D49D9" w:rsidRPr="001F29E3">
              <w:rPr>
                <w:rFonts w:cs="Arial"/>
              </w:rPr>
              <w:t xml:space="preserve">.4: Top enrolling occupations </w:t>
            </w:r>
          </w:p>
        </w:tc>
      </w:tr>
      <w:tr w:rsidR="002D49D9" w:rsidRPr="001F29E3" w:rsidTr="001F3AE1">
        <w:tc>
          <w:tcPr>
            <w:tcW w:w="9073" w:type="dxa"/>
            <w:hideMark/>
          </w:tcPr>
          <w:p w:rsidR="002D49D9" w:rsidRPr="001F29E3" w:rsidRDefault="002D49D9" w:rsidP="001F3AE1">
            <w:pPr>
              <w:pStyle w:val="Caption"/>
              <w:rPr>
                <w:rFonts w:cs="Arial"/>
              </w:rPr>
            </w:pPr>
            <w:r w:rsidRPr="001F29E3">
              <w:rPr>
                <w:rFonts w:cs="Arial"/>
                <w:noProof/>
                <w:lang w:eastAsia="en-AU"/>
              </w:rPr>
              <w:drawing>
                <wp:inline distT="0" distB="0" distL="0" distR="0" wp14:anchorId="4D8544E4" wp14:editId="0CB0CCE7">
                  <wp:extent cx="5695950" cy="1933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95950" cy="1933575"/>
                          </a:xfrm>
                          <a:prstGeom prst="rect">
                            <a:avLst/>
                          </a:prstGeom>
                          <a:noFill/>
                          <a:ln>
                            <a:noFill/>
                          </a:ln>
                        </pic:spPr>
                      </pic:pic>
                    </a:graphicData>
                  </a:graphic>
                </wp:inline>
              </w:drawing>
            </w:r>
          </w:p>
        </w:tc>
      </w:tr>
      <w:tr w:rsidR="002D49D9" w:rsidRPr="001F29E3" w:rsidTr="001F3AE1">
        <w:tc>
          <w:tcPr>
            <w:tcW w:w="9073" w:type="dxa"/>
            <w:hideMark/>
          </w:tcPr>
          <w:p w:rsidR="002D49D9" w:rsidRPr="001F29E3" w:rsidRDefault="002D49D9" w:rsidP="001F3AE1">
            <w:pPr>
              <w:rPr>
                <w:rFonts w:cs="Arial"/>
                <w:szCs w:val="19"/>
              </w:rPr>
            </w:pPr>
            <w:r w:rsidRPr="001F29E3">
              <w:rPr>
                <w:rFonts w:cs="Arial"/>
                <w:szCs w:val="19"/>
              </w:rPr>
              <w:t xml:space="preserve">As seen in figure 3.2, Child Carers, Aged and Disabled Carers, Welfare Support Workers, Motor Mechanics, Plumbers, Electricians, Carpenters and Joiners consistently feature as the highest enrolling occupations for specialised or in shortage occupations. Many of these occupations fall within the Construction and the Health and Social Assistance industries, which are also some of the highest enrolling industries for qualifications related to </w:t>
            </w:r>
            <w:proofErr w:type="gramStart"/>
            <w:r w:rsidRPr="001F29E3">
              <w:rPr>
                <w:rFonts w:cs="Arial"/>
                <w:szCs w:val="19"/>
              </w:rPr>
              <w:t>specialised</w:t>
            </w:r>
            <w:proofErr w:type="gramEnd"/>
            <w:r w:rsidRPr="001F29E3">
              <w:rPr>
                <w:rFonts w:cs="Arial"/>
                <w:szCs w:val="19"/>
              </w:rPr>
              <w:t xml:space="preserve"> or in shortage occupations. </w:t>
            </w:r>
          </w:p>
          <w:p w:rsidR="002D49D9" w:rsidRPr="001F29E3" w:rsidRDefault="002D49D9" w:rsidP="001F3AE1">
            <w:pPr>
              <w:spacing w:after="200" w:line="276" w:lineRule="auto"/>
              <w:rPr>
                <w:rFonts w:cs="Arial"/>
                <w:szCs w:val="19"/>
              </w:rPr>
            </w:pPr>
            <w:r w:rsidRPr="001F29E3">
              <w:rPr>
                <w:rFonts w:cs="Arial"/>
                <w:szCs w:val="19"/>
              </w:rPr>
              <w:t>The first quarter of 2013 reported Architectural, Building and Surveying Technicians as one of the highest enrolling occupations. This may be attributed to the large increase in enrolments for Certificate IV and Diploma level qualifications in Building and Construction.</w:t>
            </w:r>
          </w:p>
        </w:tc>
      </w:tr>
      <w:tr w:rsidR="002D49D9" w:rsidRPr="001F29E3" w:rsidTr="001F3AE1">
        <w:trPr>
          <w:trHeight w:val="1686"/>
        </w:trPr>
        <w:tc>
          <w:tcPr>
            <w:tcW w:w="9073" w:type="dxa"/>
            <w:tcBorders>
              <w:top w:val="single" w:sz="6" w:space="0" w:color="76923C"/>
              <w:left w:val="single" w:sz="6" w:space="0" w:color="76923C"/>
              <w:bottom w:val="single" w:sz="6" w:space="0" w:color="76923C"/>
              <w:right w:val="single" w:sz="6" w:space="0" w:color="76923C"/>
            </w:tcBorders>
            <w:hideMark/>
          </w:tcPr>
          <w:p w:rsidR="002D49D9" w:rsidRDefault="002D49D9" w:rsidP="001F3AE1">
            <w:pPr>
              <w:pStyle w:val="ListBullet"/>
              <w:numPr>
                <w:ilvl w:val="0"/>
                <w:numId w:val="0"/>
              </w:numPr>
              <w:tabs>
                <w:tab w:val="left" w:pos="720"/>
              </w:tabs>
              <w:ind w:left="360" w:hanging="360"/>
              <w:rPr>
                <w:rFonts w:cs="Arial"/>
                <w:b/>
                <w:color w:val="76923C"/>
              </w:rPr>
            </w:pPr>
            <w:r w:rsidRPr="001F29E3">
              <w:rPr>
                <w:rFonts w:cs="Arial"/>
                <w:b/>
                <w:color w:val="76923C"/>
              </w:rPr>
              <w:lastRenderedPageBreak/>
              <w:t xml:space="preserve"> </w:t>
            </w:r>
          </w:p>
          <w:p w:rsidR="002D49D9" w:rsidRPr="001F29E3" w:rsidRDefault="002D49D9" w:rsidP="001F3AE1">
            <w:pPr>
              <w:pStyle w:val="ListBullet"/>
              <w:numPr>
                <w:ilvl w:val="0"/>
                <w:numId w:val="0"/>
              </w:numPr>
              <w:tabs>
                <w:tab w:val="left" w:pos="720"/>
              </w:tabs>
              <w:ind w:left="360" w:hanging="360"/>
              <w:rPr>
                <w:rFonts w:cs="Arial"/>
                <w:b/>
                <w:color w:val="76923C"/>
                <w:sz w:val="18"/>
                <w:szCs w:val="18"/>
              </w:rPr>
            </w:pPr>
            <w:r w:rsidRPr="001F29E3">
              <w:rPr>
                <w:rFonts w:cs="Arial"/>
                <w:b/>
                <w:color w:val="76923C"/>
                <w:sz w:val="18"/>
                <w:szCs w:val="18"/>
              </w:rPr>
              <w:t>Key Points</w:t>
            </w:r>
          </w:p>
          <w:p w:rsidR="002D49D9" w:rsidRPr="001F29E3" w:rsidRDefault="002D49D9" w:rsidP="001F3AE1">
            <w:pPr>
              <w:pStyle w:val="ListBullet"/>
              <w:numPr>
                <w:ilvl w:val="0"/>
                <w:numId w:val="19"/>
              </w:numPr>
              <w:tabs>
                <w:tab w:val="left" w:pos="720"/>
              </w:tabs>
              <w:ind w:right="113"/>
              <w:rPr>
                <w:rFonts w:cs="Arial"/>
              </w:rPr>
            </w:pPr>
            <w:r w:rsidRPr="001F29E3">
              <w:rPr>
                <w:rFonts w:cs="Arial"/>
              </w:rPr>
              <w:t xml:space="preserve">In the first quarter of 2013, the top ten highest enrolments in courses related to specialised or in shortage occupations, accounted for 71 per cent of all enrolments in courses related to either </w:t>
            </w:r>
            <w:proofErr w:type="gramStart"/>
            <w:r w:rsidRPr="001F29E3">
              <w:rPr>
                <w:rFonts w:cs="Arial"/>
              </w:rPr>
              <w:t>specialised</w:t>
            </w:r>
            <w:proofErr w:type="gramEnd"/>
            <w:r w:rsidRPr="001F29E3">
              <w:rPr>
                <w:rFonts w:cs="Arial"/>
              </w:rPr>
              <w:t xml:space="preserve"> or in shortage occupations.</w:t>
            </w:r>
          </w:p>
          <w:p w:rsidR="002D49D9" w:rsidRPr="001F29E3" w:rsidRDefault="002D49D9" w:rsidP="001F3AE1">
            <w:pPr>
              <w:pStyle w:val="ListBullet"/>
              <w:numPr>
                <w:ilvl w:val="0"/>
                <w:numId w:val="19"/>
              </w:numPr>
              <w:tabs>
                <w:tab w:val="left" w:pos="720"/>
              </w:tabs>
              <w:ind w:right="113"/>
              <w:rPr>
                <w:rFonts w:cs="Arial"/>
              </w:rPr>
            </w:pPr>
            <w:r w:rsidRPr="001F29E3">
              <w:rPr>
                <w:rFonts w:cs="Arial"/>
              </w:rPr>
              <w:t>18 per cent of enrolments (15,000 enrolments) in either specialised or in shortage occupations were in courses related to Child Carers. This was followed by 10 per cent (8,700 enrolments) in Aged and Disabled Carers and 8 per cent (nearly 6,400 enrolments) in Welfare Support Workers.</w:t>
            </w:r>
          </w:p>
          <w:p w:rsidR="002D49D9" w:rsidRPr="001F29E3" w:rsidRDefault="002D49D9" w:rsidP="001F3AE1">
            <w:pPr>
              <w:pStyle w:val="ListBullet"/>
              <w:numPr>
                <w:ilvl w:val="0"/>
                <w:numId w:val="19"/>
              </w:numPr>
              <w:tabs>
                <w:tab w:val="left" w:pos="720"/>
              </w:tabs>
              <w:ind w:right="113"/>
              <w:rPr>
                <w:rFonts w:cs="Arial"/>
              </w:rPr>
            </w:pPr>
            <w:r w:rsidRPr="001F29E3">
              <w:rPr>
                <w:rFonts w:cs="Arial"/>
              </w:rPr>
              <w:t>Other top enrolling courses related to the specialised / in shortage occupations were for Electricians, Enrolled and Mothercraft Nurses, Carpenters and Joiners, Plumbers, Motor Mechanics, Architectural, Building and Surveying Technicians and Truck Drivers.</w:t>
            </w:r>
          </w:p>
          <w:p w:rsidR="002D49D9" w:rsidRPr="00AB3D95" w:rsidRDefault="002D49D9" w:rsidP="001F3AE1">
            <w:pPr>
              <w:pStyle w:val="ListBullet"/>
              <w:numPr>
                <w:ilvl w:val="0"/>
                <w:numId w:val="19"/>
              </w:numPr>
              <w:tabs>
                <w:tab w:val="left" w:pos="720"/>
              </w:tabs>
              <w:ind w:right="113"/>
              <w:rPr>
                <w:rFonts w:cs="Arial"/>
              </w:rPr>
            </w:pPr>
            <w:r w:rsidRPr="001F29E3">
              <w:rPr>
                <w:rFonts w:cs="Arial"/>
                <w:szCs w:val="19"/>
              </w:rPr>
              <w:t>The largest growth in enrolments in the first quarter of 2013 compa</w:t>
            </w:r>
            <w:r w:rsidR="00C471B7">
              <w:rPr>
                <w:rFonts w:cs="Arial"/>
                <w:szCs w:val="19"/>
              </w:rPr>
              <w:t>red to the first quarter of 2012</w:t>
            </w:r>
            <w:r w:rsidRPr="001F29E3">
              <w:rPr>
                <w:rFonts w:cs="Arial"/>
                <w:szCs w:val="19"/>
              </w:rPr>
              <w:t>, were in courses related to the occupations of Dental Hygienists, Technicians and Therapists, Train and Tram Drivers, Dieticians, Structural Steel and Welding Trades Workers, Child Care Centre Managers and Architectural, Building and Surveying Technicians. In contrast, there has been a decline in the uptake of qualifications related to Retail Managers, Counsellors, Fire and Emergency Workers, Electrical Distribution Trades Workers and Financial Brokers.</w:t>
            </w:r>
          </w:p>
          <w:p w:rsidR="002D49D9" w:rsidRPr="001F29E3" w:rsidRDefault="002D49D9" w:rsidP="001F3AE1">
            <w:pPr>
              <w:pStyle w:val="ListBullet"/>
              <w:numPr>
                <w:ilvl w:val="0"/>
                <w:numId w:val="0"/>
              </w:numPr>
              <w:tabs>
                <w:tab w:val="left" w:pos="720"/>
              </w:tabs>
              <w:ind w:left="473" w:right="113"/>
              <w:rPr>
                <w:rFonts w:cs="Arial"/>
              </w:rPr>
            </w:pPr>
          </w:p>
        </w:tc>
      </w:tr>
    </w:tbl>
    <w:p w:rsidR="002D49D9" w:rsidRDefault="002D49D9">
      <w:pPr>
        <w:spacing w:after="0" w:line="240" w:lineRule="auto"/>
        <w:jc w:val="left"/>
        <w:rPr>
          <w:rFonts w:cs="Arial"/>
          <w:color w:val="76923C" w:themeColor="accent3" w:themeShade="BF"/>
          <w:spacing w:val="-12"/>
          <w:sz w:val="46"/>
          <w:szCs w:val="46"/>
        </w:rPr>
      </w:pPr>
      <w:r>
        <w:rPr>
          <w:rFonts w:cs="Arial"/>
        </w:rPr>
        <w:br w:type="page"/>
      </w:r>
    </w:p>
    <w:p w:rsidR="005722AB" w:rsidRPr="001F29E3" w:rsidRDefault="0089640E" w:rsidP="00A9260A">
      <w:pPr>
        <w:pStyle w:val="Heading1"/>
        <w:rPr>
          <w:rFonts w:cs="Arial"/>
        </w:rPr>
      </w:pPr>
      <w:bookmarkStart w:id="103" w:name="_Toc359501568"/>
      <w:r>
        <w:rPr>
          <w:rFonts w:cs="Arial"/>
        </w:rPr>
        <w:lastRenderedPageBreak/>
        <w:t>Learner Cohorts</w:t>
      </w:r>
      <w:r w:rsidR="005722AB" w:rsidRPr="001F29E3">
        <w:rPr>
          <w:rFonts w:cs="Arial"/>
        </w:rPr>
        <w:t xml:space="preserve"> </w:t>
      </w:r>
      <w:r w:rsidR="00182A95" w:rsidRPr="001F29E3">
        <w:rPr>
          <w:rFonts w:cs="Arial"/>
        </w:rPr>
        <w:t>and</w:t>
      </w:r>
      <w:r w:rsidR="005722AB" w:rsidRPr="001F29E3">
        <w:rPr>
          <w:rFonts w:cs="Arial"/>
        </w:rPr>
        <w:t xml:space="preserve"> Foundation </w:t>
      </w:r>
      <w:r>
        <w:rPr>
          <w:rFonts w:cs="Arial"/>
        </w:rPr>
        <w:t>Level Training</w:t>
      </w:r>
      <w:bookmarkEnd w:id="75"/>
      <w:bookmarkEnd w:id="76"/>
      <w:bookmarkEnd w:id="77"/>
      <w:bookmarkEnd w:id="78"/>
      <w:bookmarkEnd w:id="79"/>
      <w:bookmarkEnd w:id="80"/>
      <w:bookmarkEnd w:id="81"/>
      <w:bookmarkEnd w:id="103"/>
    </w:p>
    <w:p w:rsidR="005722AB" w:rsidRPr="001F29E3" w:rsidRDefault="0055106F" w:rsidP="00A9260A">
      <w:pPr>
        <w:pStyle w:val="Heading2"/>
      </w:pPr>
      <w:bookmarkStart w:id="104" w:name="_Toc359501569"/>
      <w:r w:rsidRPr="001F29E3">
        <w:t>Vocational Training</w:t>
      </w:r>
      <w:r w:rsidR="005722AB" w:rsidRPr="001F29E3">
        <w:t xml:space="preserve"> Delivery </w:t>
      </w:r>
      <w:r w:rsidR="0089640E">
        <w:t xml:space="preserve">to Specific </w:t>
      </w:r>
      <w:r w:rsidR="005722AB" w:rsidRPr="001F29E3">
        <w:t>Learner</w:t>
      </w:r>
      <w:r w:rsidR="0089640E">
        <w:t xml:space="preserve"> Cohorts</w:t>
      </w:r>
      <w:bookmarkEnd w:id="104"/>
    </w:p>
    <w:p w:rsidR="005722AB" w:rsidRPr="001F29E3" w:rsidRDefault="0089640E" w:rsidP="005722AB">
      <w:pPr>
        <w:rPr>
          <w:rFonts w:cs="Arial"/>
        </w:rPr>
      </w:pPr>
      <w:r>
        <w:rPr>
          <w:rFonts w:cs="Arial"/>
        </w:rPr>
        <w:t xml:space="preserve">Young people </w:t>
      </w:r>
      <w:r w:rsidR="005722AB" w:rsidRPr="001F29E3">
        <w:rPr>
          <w:rFonts w:cs="Arial"/>
        </w:rPr>
        <w:t xml:space="preserve">and adult learners </w:t>
      </w:r>
      <w:r>
        <w:rPr>
          <w:rFonts w:cs="Arial"/>
        </w:rPr>
        <w:t xml:space="preserve">who may be </w:t>
      </w:r>
      <w:r w:rsidR="005722AB" w:rsidRPr="001F29E3">
        <w:rPr>
          <w:rFonts w:cs="Arial"/>
        </w:rPr>
        <w:t xml:space="preserve">members of more than one equity group, can have complex and multiple learning needs, and </w:t>
      </w:r>
      <w:r>
        <w:rPr>
          <w:rFonts w:cs="Arial"/>
        </w:rPr>
        <w:t xml:space="preserve">may </w:t>
      </w:r>
      <w:r w:rsidR="005722AB" w:rsidRPr="001F29E3">
        <w:rPr>
          <w:rFonts w:cs="Arial"/>
        </w:rPr>
        <w:t xml:space="preserve">have contact with a suite of </w:t>
      </w:r>
      <w:r>
        <w:rPr>
          <w:rFonts w:cs="Arial"/>
        </w:rPr>
        <w:t xml:space="preserve">government </w:t>
      </w:r>
      <w:r w:rsidR="005722AB" w:rsidRPr="001F29E3">
        <w:rPr>
          <w:rFonts w:cs="Arial"/>
        </w:rPr>
        <w:t xml:space="preserve">services and programs. There is a significant evidence base that demonstrates the value and importance of education and training to these population cohorts. However, higher needs learners may face a combination of barriers to effective engagement in education and training including low levels of previous educational achievement, low aspirations, and poor access to training and broader barriers such as poverty, homelessness and poor health. </w:t>
      </w:r>
    </w:p>
    <w:p w:rsidR="005722AB" w:rsidRPr="001F29E3" w:rsidRDefault="0089640E" w:rsidP="005722AB">
      <w:pPr>
        <w:rPr>
          <w:rFonts w:cs="Arial"/>
        </w:rPr>
      </w:pPr>
      <w:r>
        <w:rPr>
          <w:rFonts w:cs="Arial"/>
        </w:rPr>
        <w:t>V</w:t>
      </w:r>
      <w:r w:rsidR="0055106F" w:rsidRPr="001F29E3">
        <w:rPr>
          <w:rFonts w:cs="Arial"/>
          <w:color w:val="000000"/>
        </w:rPr>
        <w:t xml:space="preserve">ocational </w:t>
      </w:r>
      <w:r w:rsidR="00221A72" w:rsidRPr="001F29E3">
        <w:rPr>
          <w:rFonts w:cs="Arial"/>
          <w:color w:val="000000"/>
        </w:rPr>
        <w:t>t</w:t>
      </w:r>
      <w:r w:rsidR="0055106F" w:rsidRPr="001F29E3">
        <w:rPr>
          <w:rFonts w:cs="Arial"/>
          <w:color w:val="000000"/>
        </w:rPr>
        <w:t>raining</w:t>
      </w:r>
      <w:r w:rsidR="005722AB" w:rsidRPr="001F29E3">
        <w:rPr>
          <w:rFonts w:cs="Arial"/>
        </w:rPr>
        <w:t xml:space="preserve"> has continued to be a critical enabler in opening</w:t>
      </w:r>
      <w:r w:rsidR="005722AB" w:rsidRPr="001F29E3">
        <w:rPr>
          <w:rFonts w:cs="Arial"/>
          <w:color w:val="FF0000"/>
        </w:rPr>
        <w:t xml:space="preserve"> </w:t>
      </w:r>
      <w:r w:rsidR="005722AB" w:rsidRPr="001F29E3">
        <w:rPr>
          <w:rFonts w:cs="Arial"/>
        </w:rPr>
        <w:t>up</w:t>
      </w:r>
      <w:r w:rsidR="005722AB" w:rsidRPr="001F29E3">
        <w:rPr>
          <w:rFonts w:cs="Arial"/>
          <w:color w:val="FF0000"/>
        </w:rPr>
        <w:t xml:space="preserve"> </w:t>
      </w:r>
      <w:r w:rsidR="005722AB" w:rsidRPr="001F29E3">
        <w:rPr>
          <w:rFonts w:cs="Arial"/>
        </w:rPr>
        <w:t xml:space="preserve">pathways for higher needs and disadvantaged learners through the provision of tailored, individualised services, often in partnership with other service providers. </w:t>
      </w:r>
    </w:p>
    <w:p w:rsidR="005722AB" w:rsidRPr="001F29E3" w:rsidRDefault="005722AB" w:rsidP="00A9260A">
      <w:pPr>
        <w:pStyle w:val="Caption"/>
        <w:rPr>
          <w:rFonts w:cs="Arial"/>
        </w:rPr>
      </w:pPr>
    </w:p>
    <w:p w:rsidR="005722AB" w:rsidRPr="001F29E3" w:rsidRDefault="003427AB" w:rsidP="00BB6AF0">
      <w:pPr>
        <w:pStyle w:val="Caption"/>
        <w:jc w:val="left"/>
        <w:rPr>
          <w:rFonts w:cs="Arial"/>
        </w:rPr>
      </w:pPr>
      <w:r>
        <w:rPr>
          <w:rFonts w:cs="Arial"/>
        </w:rPr>
        <w:t>Table 3</w:t>
      </w:r>
      <w:r w:rsidR="005722AB" w:rsidRPr="001F29E3">
        <w:rPr>
          <w:rFonts w:cs="Arial"/>
        </w:rPr>
        <w:t>.1</w:t>
      </w:r>
      <w:r w:rsidR="00182A95" w:rsidRPr="001F29E3">
        <w:rPr>
          <w:rFonts w:cs="Arial"/>
        </w:rPr>
        <w:t>:</w:t>
      </w:r>
      <w:r w:rsidR="005722AB" w:rsidRPr="001F29E3">
        <w:rPr>
          <w:rFonts w:cs="Arial"/>
        </w:rPr>
        <w:t xml:space="preserve"> Number of government subsid</w:t>
      </w:r>
      <w:r w:rsidR="00D93474" w:rsidRPr="001F29E3">
        <w:rPr>
          <w:rFonts w:cs="Arial"/>
        </w:rPr>
        <w:t>is</w:t>
      </w:r>
      <w:r w:rsidR="005722AB" w:rsidRPr="001F29E3">
        <w:rPr>
          <w:rFonts w:cs="Arial"/>
        </w:rPr>
        <w:t>ed students by higher needs group</w:t>
      </w:r>
      <w:r w:rsidR="00CF5D1C" w:rsidRPr="001F29E3">
        <w:rPr>
          <w:rFonts w:cs="Arial"/>
        </w:rPr>
        <w:t>*</w:t>
      </w:r>
      <w:r w:rsidR="00880DE5" w:rsidRPr="001F29E3">
        <w:rPr>
          <w:rFonts w:cs="Arial"/>
        </w:rPr>
        <w:t>, 2008 – 2012, Q1 2012 and Q1 2013</w:t>
      </w:r>
    </w:p>
    <w:p w:rsidR="005722AB" w:rsidRPr="001F29E3" w:rsidRDefault="00CF5D1C" w:rsidP="00A9260A">
      <w:pPr>
        <w:pStyle w:val="Caption"/>
        <w:rPr>
          <w:rFonts w:cs="Arial"/>
        </w:rPr>
      </w:pPr>
      <w:r w:rsidRPr="001F29E3">
        <w:rPr>
          <w:rFonts w:cs="Arial"/>
          <w:noProof/>
          <w:lang w:eastAsia="en-AU"/>
        </w:rPr>
        <w:drawing>
          <wp:inline distT="0" distB="0" distL="0" distR="0" wp14:anchorId="6911A074" wp14:editId="6445784D">
            <wp:extent cx="5760720" cy="2004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2004070"/>
                    </a:xfrm>
                    <a:prstGeom prst="rect">
                      <a:avLst/>
                    </a:prstGeom>
                    <a:noFill/>
                    <a:ln>
                      <a:noFill/>
                    </a:ln>
                  </pic:spPr>
                </pic:pic>
              </a:graphicData>
            </a:graphic>
          </wp:inline>
        </w:drawing>
      </w:r>
    </w:p>
    <w:p w:rsidR="005722AB" w:rsidRPr="001F29E3" w:rsidRDefault="00CF5D1C" w:rsidP="00CF5D1C">
      <w:pPr>
        <w:rPr>
          <w:rFonts w:cs="Arial"/>
          <w:sz w:val="16"/>
          <w:szCs w:val="16"/>
        </w:rPr>
      </w:pPr>
      <w:r w:rsidRPr="001F29E3">
        <w:rPr>
          <w:rFonts w:cs="Arial"/>
          <w:sz w:val="16"/>
          <w:szCs w:val="16"/>
        </w:rPr>
        <w:t>*The</w:t>
      </w:r>
      <w:r w:rsidR="005722AB" w:rsidRPr="001F29E3">
        <w:rPr>
          <w:rFonts w:cs="Arial"/>
          <w:sz w:val="16"/>
          <w:szCs w:val="16"/>
        </w:rPr>
        <w:t xml:space="preserve"> above cohorts of students are not mutually exclusive</w:t>
      </w:r>
      <w:r w:rsidR="006717E7" w:rsidRPr="001F29E3">
        <w:rPr>
          <w:rFonts w:cs="Arial"/>
          <w:sz w:val="16"/>
          <w:szCs w:val="16"/>
        </w:rPr>
        <w:t>.</w:t>
      </w:r>
      <w:r w:rsidR="002C240D" w:rsidRPr="001F29E3">
        <w:rPr>
          <w:rFonts w:cs="Arial"/>
          <w:sz w:val="16"/>
          <w:szCs w:val="16"/>
        </w:rPr>
        <w:t xml:space="preserve"> </w:t>
      </w:r>
    </w:p>
    <w:p w:rsidR="000F39A1" w:rsidRPr="001F29E3" w:rsidRDefault="000F39A1" w:rsidP="000F39A1">
      <w:pPr>
        <w:pStyle w:val="Heading3"/>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426650" w:rsidRPr="001F29E3" w:rsidTr="009432C5">
        <w:trPr>
          <w:trHeight w:val="495"/>
        </w:trPr>
        <w:tc>
          <w:tcPr>
            <w:tcW w:w="9088" w:type="dxa"/>
          </w:tcPr>
          <w:p w:rsidR="00426650" w:rsidRPr="001F29E3" w:rsidRDefault="00426650" w:rsidP="009432C5">
            <w:pPr>
              <w:pStyle w:val="Heading3"/>
            </w:pPr>
          </w:p>
          <w:p w:rsidR="00426650" w:rsidRPr="001F29E3" w:rsidRDefault="00426650" w:rsidP="009432C5">
            <w:pPr>
              <w:pStyle w:val="Heading3"/>
            </w:pPr>
            <w:r w:rsidRPr="001F29E3">
              <w:t>Key Points</w:t>
            </w:r>
          </w:p>
          <w:p w:rsidR="00426650" w:rsidRPr="001F29E3" w:rsidRDefault="00426650" w:rsidP="00426650">
            <w:pPr>
              <w:pStyle w:val="ListBullet"/>
              <w:numPr>
                <w:ilvl w:val="0"/>
                <w:numId w:val="9"/>
              </w:numPr>
              <w:ind w:right="113"/>
              <w:rPr>
                <w:rFonts w:cs="Arial"/>
              </w:rPr>
            </w:pPr>
            <w:r w:rsidRPr="001F29E3">
              <w:rPr>
                <w:rFonts w:cs="Arial"/>
              </w:rPr>
              <w:t xml:space="preserve">Against a 9 per cent drop in overall government subsidised student numbers in Q1 2013 when comparing with Q1 2012, Indigenous students, students with a disability, Culturally and Linguistically Diverse (CALD) students and unemployed students are still actively engaged in vocational education and training. </w:t>
            </w:r>
          </w:p>
          <w:p w:rsidR="00426650" w:rsidRPr="001F29E3" w:rsidRDefault="00426650" w:rsidP="00426650">
            <w:pPr>
              <w:pStyle w:val="ListBullet"/>
              <w:numPr>
                <w:ilvl w:val="0"/>
                <w:numId w:val="9"/>
              </w:numPr>
              <w:ind w:right="113"/>
              <w:rPr>
                <w:rFonts w:cs="Arial"/>
              </w:rPr>
            </w:pPr>
            <w:r w:rsidRPr="001F29E3">
              <w:rPr>
                <w:rFonts w:cs="Arial"/>
              </w:rPr>
              <w:t>In Q1 2013, there were small increases in the numbers of Indigenous students and unemployed students undertaking government subsidised training courses compared to Q1 2012.</w:t>
            </w:r>
          </w:p>
          <w:p w:rsidR="00426650" w:rsidRPr="001F29E3" w:rsidRDefault="00426650" w:rsidP="00426650">
            <w:pPr>
              <w:pStyle w:val="ListBullet"/>
              <w:numPr>
                <w:ilvl w:val="0"/>
                <w:numId w:val="9"/>
              </w:numPr>
              <w:ind w:right="113"/>
              <w:rPr>
                <w:rFonts w:cs="Arial"/>
              </w:rPr>
            </w:pPr>
            <w:r w:rsidRPr="001F29E3">
              <w:rPr>
                <w:rFonts w:cs="Arial"/>
              </w:rPr>
              <w:t>The number of students who were aged 15-19, not in school and without a year 12 or equivalent undertaking a Certificate II or higher declined by 17 per cent, from 15,000 in Q1 2012 to 12,400 in Q1 2013.</w:t>
            </w:r>
          </w:p>
          <w:p w:rsidR="00426650" w:rsidRPr="001F29E3" w:rsidRDefault="00426650" w:rsidP="00426650">
            <w:pPr>
              <w:pStyle w:val="ListBullet"/>
              <w:numPr>
                <w:ilvl w:val="0"/>
                <w:numId w:val="9"/>
              </w:numPr>
              <w:ind w:right="113"/>
              <w:rPr>
                <w:rFonts w:cs="Arial"/>
              </w:rPr>
            </w:pPr>
            <w:r w:rsidRPr="001F29E3">
              <w:rPr>
                <w:rFonts w:cs="Arial"/>
              </w:rPr>
              <w:t>Older students aged 20-64 years without a Certificate II</w:t>
            </w:r>
            <w:r w:rsidR="0089640E">
              <w:rPr>
                <w:rFonts w:cs="Arial"/>
              </w:rPr>
              <w:t>I</w:t>
            </w:r>
            <w:r w:rsidRPr="001F29E3">
              <w:rPr>
                <w:rFonts w:cs="Arial"/>
              </w:rPr>
              <w:t xml:space="preserve"> or higher </w:t>
            </w:r>
            <w:r w:rsidR="0089640E">
              <w:rPr>
                <w:rFonts w:cs="Arial"/>
              </w:rPr>
              <w:t xml:space="preserve">qualification </w:t>
            </w:r>
            <w:r w:rsidRPr="001F29E3">
              <w:rPr>
                <w:rFonts w:cs="Arial"/>
              </w:rPr>
              <w:t>also declined by 5 per cent over the same period.</w:t>
            </w:r>
          </w:p>
          <w:p w:rsidR="00910C9A" w:rsidRPr="001F29E3" w:rsidRDefault="00910C9A" w:rsidP="00910C9A">
            <w:pPr>
              <w:pStyle w:val="ListBullet"/>
              <w:numPr>
                <w:ilvl w:val="0"/>
                <w:numId w:val="0"/>
              </w:numPr>
              <w:ind w:left="473" w:right="113"/>
              <w:rPr>
                <w:rFonts w:cs="Arial"/>
              </w:rPr>
            </w:pPr>
          </w:p>
        </w:tc>
      </w:tr>
    </w:tbl>
    <w:p w:rsidR="00426650" w:rsidRPr="001F29E3" w:rsidRDefault="00426650" w:rsidP="00426650">
      <w:pPr>
        <w:rPr>
          <w:rFonts w:cs="Arial"/>
        </w:rPr>
      </w:pPr>
    </w:p>
    <w:p w:rsidR="00426650" w:rsidRPr="001F29E3" w:rsidRDefault="00426650" w:rsidP="00426650">
      <w:pPr>
        <w:spacing w:after="0" w:line="240" w:lineRule="auto"/>
        <w:jc w:val="left"/>
        <w:rPr>
          <w:rFonts w:cs="Arial"/>
          <w:b/>
          <w:bCs/>
        </w:rPr>
      </w:pPr>
    </w:p>
    <w:p w:rsidR="005722AB" w:rsidRPr="001F29E3" w:rsidRDefault="005722AB" w:rsidP="00A9260A">
      <w:pPr>
        <w:pStyle w:val="Heading2"/>
      </w:pPr>
      <w:r w:rsidRPr="001F29E3">
        <w:br w:type="page"/>
      </w:r>
      <w:bookmarkStart w:id="105" w:name="_Toc359501570"/>
      <w:r w:rsidR="00362E51" w:rsidRPr="001F29E3">
        <w:lastRenderedPageBreak/>
        <w:t>Indigenous</w:t>
      </w:r>
      <w:r w:rsidRPr="001F29E3">
        <w:t xml:space="preserve"> </w:t>
      </w:r>
      <w:r w:rsidR="00182A95" w:rsidRPr="001F29E3">
        <w:t>S</w:t>
      </w:r>
      <w:r w:rsidRPr="001F29E3">
        <w:t>tudents</w:t>
      </w:r>
      <w:bookmarkEnd w:id="105"/>
    </w:p>
    <w:p w:rsidR="005722AB" w:rsidRDefault="005722AB" w:rsidP="005722AB">
      <w:pPr>
        <w:rPr>
          <w:rFonts w:cs="Arial"/>
        </w:rPr>
      </w:pPr>
    </w:p>
    <w:p w:rsidR="007F0A64" w:rsidRDefault="007F0A64" w:rsidP="006D30F7">
      <w:pPr>
        <w:pStyle w:val="Heading3"/>
      </w:pPr>
      <w:r>
        <w:t>Enrolments</w:t>
      </w:r>
    </w:p>
    <w:p w:rsidR="007F0A64" w:rsidRPr="007F0A64" w:rsidRDefault="007F0A64"/>
    <w:p w:rsidR="005722AB" w:rsidRPr="001F29E3" w:rsidRDefault="003427AB" w:rsidP="00BB6AF0">
      <w:pPr>
        <w:pStyle w:val="Caption"/>
        <w:jc w:val="left"/>
        <w:rPr>
          <w:rFonts w:cs="Arial"/>
        </w:rPr>
      </w:pPr>
      <w:r>
        <w:rPr>
          <w:rFonts w:cs="Arial"/>
        </w:rPr>
        <w:t>Table 3</w:t>
      </w:r>
      <w:r w:rsidR="005722AB" w:rsidRPr="001F29E3">
        <w:rPr>
          <w:rFonts w:cs="Arial"/>
        </w:rPr>
        <w:t>.2</w:t>
      </w:r>
      <w:r w:rsidR="00182A95" w:rsidRPr="001F29E3">
        <w:rPr>
          <w:rFonts w:cs="Arial"/>
        </w:rPr>
        <w:t>:</w:t>
      </w:r>
      <w:r w:rsidR="005722AB" w:rsidRPr="001F29E3">
        <w:rPr>
          <w:rFonts w:cs="Arial"/>
        </w:rPr>
        <w:t xml:space="preserve"> </w:t>
      </w:r>
      <w:r w:rsidR="002E4EF9" w:rsidRPr="001F29E3">
        <w:rPr>
          <w:rFonts w:cs="Arial"/>
        </w:rPr>
        <w:t>Indigenous students: G</w:t>
      </w:r>
      <w:r w:rsidR="005722AB" w:rsidRPr="001F29E3">
        <w:rPr>
          <w:rFonts w:cs="Arial"/>
        </w:rPr>
        <w:t>overnment subsid</w:t>
      </w:r>
      <w:r w:rsidR="00D93474" w:rsidRPr="001F29E3">
        <w:rPr>
          <w:rFonts w:cs="Arial"/>
        </w:rPr>
        <w:t>is</w:t>
      </w:r>
      <w:r w:rsidR="005722AB" w:rsidRPr="001F29E3">
        <w:rPr>
          <w:rFonts w:cs="Arial"/>
        </w:rPr>
        <w:t xml:space="preserve">ed enrolments by </w:t>
      </w:r>
      <w:r w:rsidR="002E4EF9" w:rsidRPr="001F29E3">
        <w:rPr>
          <w:rFonts w:cs="Arial"/>
        </w:rPr>
        <w:t xml:space="preserve">qualification level, 2008 – 2012, Q1 2012 and </w:t>
      </w:r>
      <w:r w:rsidR="00F97131">
        <w:rPr>
          <w:rFonts w:cs="Arial"/>
        </w:rPr>
        <w:br/>
      </w:r>
      <w:r w:rsidR="002E4EF9" w:rsidRPr="001F29E3">
        <w:rPr>
          <w:rFonts w:cs="Arial"/>
        </w:rPr>
        <w:t>Q1 2013</w:t>
      </w:r>
    </w:p>
    <w:p w:rsidR="005722AB" w:rsidRPr="001F29E3" w:rsidRDefault="00F97131" w:rsidP="005722AB">
      <w:pPr>
        <w:rPr>
          <w:rFonts w:cs="Arial"/>
        </w:rPr>
      </w:pPr>
      <w:r w:rsidRPr="00F97131">
        <w:rPr>
          <w:noProof/>
          <w:lang w:eastAsia="en-AU"/>
        </w:rPr>
        <w:drawing>
          <wp:inline distT="0" distB="0" distL="0" distR="0" wp14:anchorId="58250CF8" wp14:editId="206F6E9F">
            <wp:extent cx="5760720" cy="14137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1413720"/>
                    </a:xfrm>
                    <a:prstGeom prst="rect">
                      <a:avLst/>
                    </a:prstGeom>
                    <a:noFill/>
                    <a:ln>
                      <a:noFill/>
                    </a:ln>
                  </pic:spPr>
                </pic:pic>
              </a:graphicData>
            </a:graphic>
          </wp:inline>
        </w:drawing>
      </w:r>
    </w:p>
    <w:p w:rsidR="00594702" w:rsidRPr="001F29E3" w:rsidRDefault="00594702" w:rsidP="00A9260A">
      <w:pPr>
        <w:pStyle w:val="Caption"/>
        <w:rPr>
          <w:rFonts w:cs="Arial"/>
        </w:rPr>
      </w:pPr>
    </w:p>
    <w:p w:rsidR="005722AB" w:rsidRPr="001F29E3" w:rsidRDefault="008F06D9" w:rsidP="00F97131">
      <w:pPr>
        <w:pStyle w:val="Caption"/>
        <w:jc w:val="left"/>
        <w:rPr>
          <w:rFonts w:cs="Arial"/>
        </w:rPr>
      </w:pPr>
      <w:r>
        <w:rPr>
          <w:rFonts w:cs="Arial"/>
        </w:rPr>
        <w:t>Figure 3</w:t>
      </w:r>
      <w:r w:rsidR="005722AB" w:rsidRPr="001F29E3">
        <w:rPr>
          <w:rFonts w:cs="Arial"/>
        </w:rPr>
        <w:t>.1</w:t>
      </w:r>
      <w:r w:rsidR="00182A95" w:rsidRPr="001F29E3">
        <w:rPr>
          <w:rFonts w:cs="Arial"/>
        </w:rPr>
        <w:t>:</w:t>
      </w:r>
      <w:r w:rsidR="005722AB" w:rsidRPr="001F29E3">
        <w:rPr>
          <w:rFonts w:cs="Arial"/>
        </w:rPr>
        <w:t xml:space="preserve"> </w:t>
      </w:r>
      <w:r w:rsidR="002E4EF9" w:rsidRPr="001F29E3">
        <w:rPr>
          <w:rFonts w:cs="Arial"/>
        </w:rPr>
        <w:t>AQF qualifications</w:t>
      </w:r>
      <w:r w:rsidR="005722AB" w:rsidRPr="001F29E3">
        <w:rPr>
          <w:rFonts w:cs="Arial"/>
        </w:rPr>
        <w:t xml:space="preserve"> by </w:t>
      </w:r>
      <w:r w:rsidR="00362E51" w:rsidRPr="001F29E3">
        <w:rPr>
          <w:rFonts w:cs="Arial"/>
        </w:rPr>
        <w:t>Indigenous</w:t>
      </w:r>
      <w:r w:rsidR="005722AB" w:rsidRPr="001F29E3">
        <w:rPr>
          <w:rFonts w:cs="Arial"/>
        </w:rPr>
        <w:t xml:space="preserve"> students</w:t>
      </w:r>
      <w:r w:rsidR="002E4EF9" w:rsidRPr="001F29E3">
        <w:rPr>
          <w:rFonts w:cs="Arial"/>
        </w:rPr>
        <w:t>, Q1 2012 and Q1 2013</w:t>
      </w:r>
      <w:r w:rsidR="005722AB" w:rsidRPr="001F29E3">
        <w:rPr>
          <w:rFonts w:cs="Arial"/>
        </w:rPr>
        <w:t xml:space="preserve"> </w:t>
      </w:r>
    </w:p>
    <w:p w:rsidR="005722AB" w:rsidRPr="001F29E3" w:rsidRDefault="00F97131" w:rsidP="00F97131">
      <w:pPr>
        <w:pStyle w:val="Caption"/>
        <w:jc w:val="center"/>
        <w:rPr>
          <w:rFonts w:cs="Arial"/>
        </w:rPr>
      </w:pPr>
      <w:r w:rsidRPr="00F97131">
        <w:rPr>
          <w:noProof/>
          <w:lang w:eastAsia="en-AU"/>
        </w:rPr>
        <w:drawing>
          <wp:inline distT="0" distB="0" distL="0" distR="0" wp14:anchorId="6DF38C25" wp14:editId="33546519">
            <wp:extent cx="5229225" cy="24860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29225" cy="2486025"/>
                    </a:xfrm>
                    <a:prstGeom prst="rect">
                      <a:avLst/>
                    </a:prstGeom>
                    <a:noFill/>
                    <a:ln>
                      <a:noFill/>
                    </a:ln>
                  </pic:spPr>
                </pic:pic>
              </a:graphicData>
            </a:graphic>
          </wp:inline>
        </w:drawing>
      </w:r>
    </w:p>
    <w:p w:rsidR="005722AB" w:rsidRPr="001F29E3" w:rsidRDefault="005722AB" w:rsidP="00A9260A">
      <w:pPr>
        <w:pStyle w:val="Caption"/>
        <w:rPr>
          <w:rFonts w:cs="Arial"/>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9432C5" w:rsidRPr="001F29E3" w:rsidTr="009432C5">
        <w:trPr>
          <w:trHeight w:val="495"/>
        </w:trPr>
        <w:tc>
          <w:tcPr>
            <w:tcW w:w="9088" w:type="dxa"/>
          </w:tcPr>
          <w:p w:rsidR="009432C5" w:rsidRPr="001F29E3" w:rsidRDefault="009432C5" w:rsidP="009432C5">
            <w:pPr>
              <w:pStyle w:val="Heading3"/>
            </w:pPr>
          </w:p>
          <w:p w:rsidR="009432C5" w:rsidRPr="001F29E3" w:rsidRDefault="009432C5" w:rsidP="009432C5">
            <w:pPr>
              <w:pStyle w:val="Heading3"/>
            </w:pPr>
            <w:r w:rsidRPr="001F29E3">
              <w:t>Key Points</w:t>
            </w:r>
          </w:p>
          <w:p w:rsidR="009432C5" w:rsidRPr="001F29E3" w:rsidRDefault="007F0A64" w:rsidP="009432C5">
            <w:pPr>
              <w:pStyle w:val="ListBullet"/>
              <w:numPr>
                <w:ilvl w:val="0"/>
                <w:numId w:val="9"/>
              </w:numPr>
              <w:ind w:right="113"/>
              <w:rPr>
                <w:rFonts w:cs="Arial"/>
              </w:rPr>
            </w:pPr>
            <w:r>
              <w:rPr>
                <w:rFonts w:cs="Arial"/>
              </w:rPr>
              <w:t>Consistent with the increase in Indigenous student</w:t>
            </w:r>
            <w:r w:rsidR="00ED4E7D">
              <w:rPr>
                <w:rFonts w:cs="Arial"/>
              </w:rPr>
              <w:t xml:space="preserve"> number</w:t>
            </w:r>
            <w:r>
              <w:rPr>
                <w:rFonts w:cs="Arial"/>
              </w:rPr>
              <w:t>s undertaking government subsidised training courses in Q1 2013 compared to Q1 2012, t</w:t>
            </w:r>
            <w:r w:rsidR="009432C5" w:rsidRPr="001F29E3">
              <w:rPr>
                <w:rFonts w:cs="Arial"/>
              </w:rPr>
              <w:t>he number of government sub</w:t>
            </w:r>
            <w:r w:rsidR="0081522F" w:rsidRPr="001F29E3">
              <w:rPr>
                <w:rFonts w:cs="Arial"/>
              </w:rPr>
              <w:t>sidised course enrolments under</w:t>
            </w:r>
            <w:r w:rsidR="009432C5" w:rsidRPr="001F29E3">
              <w:rPr>
                <w:rFonts w:cs="Arial"/>
              </w:rPr>
              <w:t xml:space="preserve">taken by Indigenous students has </w:t>
            </w:r>
            <w:r w:rsidR="00ED4E7D">
              <w:rPr>
                <w:rFonts w:cs="Arial"/>
              </w:rPr>
              <w:t xml:space="preserve">also </w:t>
            </w:r>
            <w:r w:rsidR="009432C5" w:rsidRPr="001F29E3">
              <w:rPr>
                <w:rFonts w:cs="Arial"/>
              </w:rPr>
              <w:t xml:space="preserve">increased by 3 per cent </w:t>
            </w:r>
            <w:r w:rsidR="00ED4E7D">
              <w:rPr>
                <w:rFonts w:cs="Arial"/>
              </w:rPr>
              <w:t>over the same period</w:t>
            </w:r>
            <w:r w:rsidR="009432C5" w:rsidRPr="001F29E3">
              <w:rPr>
                <w:rFonts w:cs="Arial"/>
              </w:rPr>
              <w:t>.</w:t>
            </w:r>
            <w:r w:rsidR="002C240D" w:rsidRPr="001F29E3">
              <w:rPr>
                <w:rFonts w:cs="Arial"/>
              </w:rPr>
              <w:t xml:space="preserve"> </w:t>
            </w:r>
          </w:p>
          <w:p w:rsidR="009432C5" w:rsidRPr="001F29E3" w:rsidRDefault="009432C5" w:rsidP="009432C5">
            <w:pPr>
              <w:pStyle w:val="ListBullet"/>
              <w:numPr>
                <w:ilvl w:val="0"/>
                <w:numId w:val="9"/>
              </w:numPr>
              <w:ind w:right="113"/>
              <w:rPr>
                <w:rFonts w:cs="Arial"/>
              </w:rPr>
            </w:pPr>
            <w:r w:rsidRPr="001F29E3">
              <w:rPr>
                <w:rFonts w:cs="Arial"/>
              </w:rPr>
              <w:t>Of those enrolments in industry-specific qualifications (2,200 enrolments) which exclude foundation skills and short courses in Q1 2013, 40 per cent were in courses related to specialised or in shortage occupations. It was 35 per cent in Q1 2012.</w:t>
            </w:r>
          </w:p>
          <w:p w:rsidR="009432C5" w:rsidRPr="001F29E3" w:rsidRDefault="009432C5" w:rsidP="009432C5">
            <w:pPr>
              <w:pStyle w:val="ListBullet"/>
              <w:numPr>
                <w:ilvl w:val="0"/>
                <w:numId w:val="9"/>
              </w:numPr>
              <w:ind w:right="113"/>
              <w:rPr>
                <w:rFonts w:cs="Arial"/>
              </w:rPr>
            </w:pPr>
            <w:r w:rsidRPr="001F29E3">
              <w:rPr>
                <w:rFonts w:cs="Arial"/>
              </w:rPr>
              <w:t xml:space="preserve">Proportionally, more than half of </w:t>
            </w:r>
            <w:r w:rsidR="001F7A52" w:rsidRPr="001F29E3">
              <w:rPr>
                <w:rFonts w:cs="Arial"/>
              </w:rPr>
              <w:t xml:space="preserve">Australian Qualification Framework </w:t>
            </w:r>
            <w:r w:rsidRPr="001F29E3">
              <w:rPr>
                <w:rFonts w:cs="Arial"/>
              </w:rPr>
              <w:t xml:space="preserve">course </w:t>
            </w:r>
            <w:r w:rsidR="001F7A52" w:rsidRPr="001F29E3">
              <w:rPr>
                <w:rFonts w:cs="Arial"/>
              </w:rPr>
              <w:t>enrolments undertaken by Indigenous students in Q1 2013 were in Certificate III to IV levels.</w:t>
            </w:r>
          </w:p>
          <w:p w:rsidR="00910C9A" w:rsidRPr="001F29E3" w:rsidRDefault="00910C9A" w:rsidP="00910C9A">
            <w:pPr>
              <w:pStyle w:val="ListBullet"/>
              <w:numPr>
                <w:ilvl w:val="0"/>
                <w:numId w:val="0"/>
              </w:numPr>
              <w:ind w:left="473" w:right="113"/>
              <w:rPr>
                <w:rFonts w:cs="Arial"/>
              </w:rPr>
            </w:pPr>
          </w:p>
        </w:tc>
      </w:tr>
    </w:tbl>
    <w:p w:rsidR="00030839" w:rsidRDefault="00030839" w:rsidP="00A9260A">
      <w:pPr>
        <w:pStyle w:val="Heading2"/>
      </w:pPr>
      <w:bookmarkStart w:id="106" w:name="_Toc359501571"/>
    </w:p>
    <w:p w:rsidR="00030839" w:rsidRDefault="00030839">
      <w:pPr>
        <w:spacing w:after="0" w:line="240" w:lineRule="auto"/>
        <w:jc w:val="left"/>
        <w:rPr>
          <w:rFonts w:cs="Arial"/>
          <w:bCs/>
          <w:iCs/>
          <w:color w:val="76923C" w:themeColor="accent3" w:themeShade="BF"/>
          <w:sz w:val="28"/>
          <w:szCs w:val="28"/>
        </w:rPr>
      </w:pPr>
      <w:r>
        <w:br w:type="page"/>
      </w:r>
    </w:p>
    <w:p w:rsidR="005722AB" w:rsidRPr="001F29E3" w:rsidRDefault="005722AB" w:rsidP="00A9260A">
      <w:pPr>
        <w:pStyle w:val="Heading2"/>
      </w:pPr>
      <w:r w:rsidRPr="001F29E3">
        <w:lastRenderedPageBreak/>
        <w:t>Students with a Disability</w:t>
      </w:r>
      <w:bookmarkEnd w:id="106"/>
    </w:p>
    <w:p w:rsidR="00ED4E7D" w:rsidRDefault="00ED4E7D" w:rsidP="00ED4E7D">
      <w:pPr>
        <w:pStyle w:val="Heading3"/>
      </w:pPr>
    </w:p>
    <w:p w:rsidR="00ED4E7D" w:rsidRDefault="00ED4E7D" w:rsidP="00ED4E7D">
      <w:pPr>
        <w:pStyle w:val="Heading3"/>
      </w:pPr>
      <w:r>
        <w:t>Enrolments</w:t>
      </w:r>
    </w:p>
    <w:p w:rsidR="005722AB" w:rsidRPr="001F29E3" w:rsidRDefault="005722AB" w:rsidP="005722AB">
      <w:pPr>
        <w:rPr>
          <w:rFonts w:cs="Arial"/>
        </w:rPr>
      </w:pPr>
    </w:p>
    <w:p w:rsidR="005722AB" w:rsidRPr="001F29E3" w:rsidRDefault="003427AB" w:rsidP="00BB6AF0">
      <w:pPr>
        <w:pStyle w:val="Caption"/>
        <w:jc w:val="left"/>
        <w:rPr>
          <w:rFonts w:cs="Arial"/>
        </w:rPr>
      </w:pPr>
      <w:r>
        <w:rPr>
          <w:rFonts w:cs="Arial"/>
        </w:rPr>
        <w:t>Table 3</w:t>
      </w:r>
      <w:r w:rsidR="005722AB" w:rsidRPr="001F29E3">
        <w:rPr>
          <w:rFonts w:cs="Arial"/>
        </w:rPr>
        <w:t>.</w:t>
      </w:r>
      <w:r w:rsidR="00F97131">
        <w:rPr>
          <w:rFonts w:cs="Arial"/>
        </w:rPr>
        <w:t>3</w:t>
      </w:r>
      <w:r w:rsidR="005722AB" w:rsidRPr="001F29E3">
        <w:rPr>
          <w:rFonts w:cs="Arial"/>
        </w:rPr>
        <w:t xml:space="preserve"> </w:t>
      </w:r>
      <w:r w:rsidR="00AC1061" w:rsidRPr="001F29E3">
        <w:rPr>
          <w:rFonts w:cs="Arial"/>
        </w:rPr>
        <w:t xml:space="preserve">Students with a disability: </w:t>
      </w:r>
      <w:r w:rsidR="00182A95" w:rsidRPr="001F29E3">
        <w:rPr>
          <w:rFonts w:cs="Arial"/>
        </w:rPr>
        <w:t>g</w:t>
      </w:r>
      <w:r w:rsidR="005722AB" w:rsidRPr="001F29E3">
        <w:rPr>
          <w:rFonts w:cs="Arial"/>
        </w:rPr>
        <w:t>overnment subsid</w:t>
      </w:r>
      <w:r w:rsidR="00D93474" w:rsidRPr="001F29E3">
        <w:rPr>
          <w:rFonts w:cs="Arial"/>
        </w:rPr>
        <w:t>is</w:t>
      </w:r>
      <w:r w:rsidR="005722AB" w:rsidRPr="001F29E3">
        <w:rPr>
          <w:rFonts w:cs="Arial"/>
        </w:rPr>
        <w:t xml:space="preserve">ed enrolments by </w:t>
      </w:r>
      <w:r w:rsidR="00AC1061" w:rsidRPr="001F29E3">
        <w:rPr>
          <w:rFonts w:cs="Arial"/>
        </w:rPr>
        <w:t>qualification level, 2008 – 2012, Q1 2012 and Q1 2013</w:t>
      </w:r>
    </w:p>
    <w:p w:rsidR="005722AB" w:rsidRPr="001F29E3" w:rsidRDefault="00F97131" w:rsidP="005722AB">
      <w:pPr>
        <w:rPr>
          <w:rFonts w:cs="Arial"/>
        </w:rPr>
      </w:pPr>
      <w:r w:rsidRPr="00F97131">
        <w:rPr>
          <w:noProof/>
          <w:lang w:eastAsia="en-AU"/>
        </w:rPr>
        <w:drawing>
          <wp:inline distT="0" distB="0" distL="0" distR="0" wp14:anchorId="47B73B16" wp14:editId="5B628E03">
            <wp:extent cx="5760720" cy="14137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1413720"/>
                    </a:xfrm>
                    <a:prstGeom prst="rect">
                      <a:avLst/>
                    </a:prstGeom>
                    <a:noFill/>
                    <a:ln>
                      <a:noFill/>
                    </a:ln>
                  </pic:spPr>
                </pic:pic>
              </a:graphicData>
            </a:graphic>
          </wp:inline>
        </w:drawing>
      </w:r>
    </w:p>
    <w:p w:rsidR="00FF4BB3" w:rsidRPr="001F29E3" w:rsidRDefault="00FF4BB3" w:rsidP="00A9260A">
      <w:pPr>
        <w:pStyle w:val="Caption"/>
        <w:rPr>
          <w:rFonts w:cs="Arial"/>
        </w:rPr>
      </w:pPr>
    </w:p>
    <w:p w:rsidR="00594702" w:rsidRPr="001F29E3" w:rsidRDefault="008F06D9" w:rsidP="00594702">
      <w:pPr>
        <w:pStyle w:val="Caption"/>
        <w:rPr>
          <w:rFonts w:cs="Arial"/>
        </w:rPr>
      </w:pPr>
      <w:r>
        <w:rPr>
          <w:rFonts w:cs="Arial"/>
        </w:rPr>
        <w:t>Figure 3</w:t>
      </w:r>
      <w:r w:rsidR="00AC1061" w:rsidRPr="001F29E3">
        <w:rPr>
          <w:rFonts w:cs="Arial"/>
        </w:rPr>
        <w:t>.2</w:t>
      </w:r>
      <w:r w:rsidR="00594702" w:rsidRPr="001F29E3">
        <w:rPr>
          <w:rFonts w:cs="Arial"/>
        </w:rPr>
        <w:t xml:space="preserve">: AQF qualifications by students with disability, Q1 2012 and Q1 2013 </w:t>
      </w:r>
    </w:p>
    <w:p w:rsidR="005722AB" w:rsidRPr="001F29E3" w:rsidRDefault="00F97131" w:rsidP="00F97131">
      <w:pPr>
        <w:jc w:val="center"/>
        <w:rPr>
          <w:rFonts w:cs="Arial"/>
        </w:rPr>
      </w:pPr>
      <w:r w:rsidRPr="00F97131">
        <w:rPr>
          <w:noProof/>
          <w:lang w:eastAsia="en-AU"/>
        </w:rPr>
        <w:drawing>
          <wp:inline distT="0" distB="0" distL="0" distR="0" wp14:anchorId="6EEEECD1" wp14:editId="5F00050F">
            <wp:extent cx="5229225" cy="27051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29225" cy="2705100"/>
                    </a:xfrm>
                    <a:prstGeom prst="rect">
                      <a:avLst/>
                    </a:prstGeom>
                    <a:noFill/>
                    <a:ln>
                      <a:noFill/>
                    </a:ln>
                  </pic:spPr>
                </pic:pic>
              </a:graphicData>
            </a:graphic>
          </wp:inline>
        </w:drawing>
      </w:r>
    </w:p>
    <w:p w:rsidR="005722AB" w:rsidRPr="001F29E3" w:rsidRDefault="005722AB" w:rsidP="00A9260A">
      <w:pPr>
        <w:pStyle w:val="Caption"/>
        <w:rPr>
          <w:rFonts w:cs="Arial"/>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31016D" w:rsidRPr="001F29E3" w:rsidTr="00375EFF">
        <w:trPr>
          <w:trHeight w:val="1449"/>
        </w:trPr>
        <w:tc>
          <w:tcPr>
            <w:tcW w:w="9088" w:type="dxa"/>
          </w:tcPr>
          <w:p w:rsidR="0031016D" w:rsidRPr="001F29E3" w:rsidRDefault="0031016D" w:rsidP="00DF16BE">
            <w:pPr>
              <w:rPr>
                <w:rFonts w:cs="Arial"/>
              </w:rPr>
            </w:pPr>
          </w:p>
          <w:p w:rsidR="0031016D" w:rsidRPr="001F29E3" w:rsidRDefault="0031016D" w:rsidP="00A9260A">
            <w:pPr>
              <w:pStyle w:val="Heading3"/>
            </w:pPr>
            <w:r w:rsidRPr="001F29E3">
              <w:t>Key Points</w:t>
            </w:r>
          </w:p>
          <w:p w:rsidR="00AC1061" w:rsidRPr="001F29E3" w:rsidRDefault="00AC1061" w:rsidP="00AC1061">
            <w:pPr>
              <w:pStyle w:val="ListBullet"/>
              <w:numPr>
                <w:ilvl w:val="0"/>
                <w:numId w:val="9"/>
              </w:numPr>
              <w:ind w:right="113"/>
              <w:rPr>
                <w:rFonts w:cs="Arial"/>
              </w:rPr>
            </w:pPr>
            <w:r w:rsidRPr="001F29E3">
              <w:rPr>
                <w:rFonts w:cs="Arial"/>
              </w:rPr>
              <w:t xml:space="preserve">Against a </w:t>
            </w:r>
            <w:r w:rsidR="0089640E">
              <w:rPr>
                <w:rFonts w:cs="Arial"/>
              </w:rPr>
              <w:t>4</w:t>
            </w:r>
            <w:r w:rsidRPr="001F29E3">
              <w:rPr>
                <w:rFonts w:cs="Arial"/>
              </w:rPr>
              <w:t xml:space="preserve"> per cent drop in </w:t>
            </w:r>
            <w:r w:rsidR="0089640E">
              <w:rPr>
                <w:rFonts w:cs="Arial"/>
              </w:rPr>
              <w:t xml:space="preserve">students with a disability undertaking </w:t>
            </w:r>
            <w:r w:rsidRPr="001F29E3">
              <w:rPr>
                <w:rFonts w:cs="Arial"/>
              </w:rPr>
              <w:t>governm</w:t>
            </w:r>
            <w:r w:rsidR="0089640E">
              <w:rPr>
                <w:rFonts w:cs="Arial"/>
              </w:rPr>
              <w:t>ent subsidised courses</w:t>
            </w:r>
            <w:r w:rsidRPr="001F29E3">
              <w:rPr>
                <w:rFonts w:cs="Arial"/>
              </w:rPr>
              <w:t xml:space="preserve"> in Q1 2013 compared to Q1 2012, </w:t>
            </w:r>
            <w:r w:rsidR="0089640E">
              <w:rPr>
                <w:rFonts w:cs="Arial"/>
              </w:rPr>
              <w:t>course enrolment</w:t>
            </w:r>
            <w:r w:rsidR="00443529">
              <w:rPr>
                <w:rFonts w:cs="Arial"/>
              </w:rPr>
              <w:t xml:space="preserve"> numbers</w:t>
            </w:r>
            <w:r w:rsidR="0089640E">
              <w:rPr>
                <w:rFonts w:cs="Arial"/>
              </w:rPr>
              <w:t xml:space="preserve"> undertaken by this student cohort </w:t>
            </w:r>
            <w:r w:rsidRPr="001F29E3">
              <w:rPr>
                <w:rFonts w:cs="Arial"/>
              </w:rPr>
              <w:t>remained relatively stable over the same period.</w:t>
            </w:r>
          </w:p>
          <w:p w:rsidR="00AC1061" w:rsidRPr="001F29E3" w:rsidRDefault="00AC1061" w:rsidP="00AC1061">
            <w:pPr>
              <w:pStyle w:val="ListBullet"/>
              <w:numPr>
                <w:ilvl w:val="0"/>
                <w:numId w:val="9"/>
              </w:numPr>
              <w:ind w:right="113"/>
              <w:rPr>
                <w:rFonts w:cs="Arial"/>
              </w:rPr>
            </w:pPr>
            <w:r w:rsidRPr="001F29E3">
              <w:rPr>
                <w:rFonts w:cs="Arial"/>
              </w:rPr>
              <w:t>Of those enrolments in industry-specific qualifications (13,700 enrolments) which exclude foundation skills and short courses in Q1 2013, 37 per cent were in courses related to specialised or in shortage occupations. It has increased from 33 per cent in Q1 2012.</w:t>
            </w:r>
          </w:p>
          <w:p w:rsidR="0031016D" w:rsidRPr="001F29E3" w:rsidRDefault="00375EFF" w:rsidP="00375EFF">
            <w:pPr>
              <w:pStyle w:val="ListBullet"/>
              <w:numPr>
                <w:ilvl w:val="0"/>
                <w:numId w:val="9"/>
              </w:numPr>
              <w:ind w:right="113"/>
              <w:rPr>
                <w:rFonts w:cs="Arial"/>
              </w:rPr>
            </w:pPr>
            <w:r w:rsidRPr="001F29E3">
              <w:rPr>
                <w:rFonts w:cs="Arial"/>
              </w:rPr>
              <w:t>In terms of the proportional share of AQF enrolments, there has been an increase in the percentage of enrolments at Certificate I to II levels in Q1 2013 (40 per cent) compared to Q1 2012 (37 per cent).</w:t>
            </w:r>
            <w:r w:rsidR="002C240D" w:rsidRPr="001F29E3">
              <w:rPr>
                <w:rFonts w:cs="Arial"/>
              </w:rPr>
              <w:t xml:space="preserve"> </w:t>
            </w:r>
            <w:r w:rsidRPr="001F29E3">
              <w:rPr>
                <w:rFonts w:cs="Arial"/>
              </w:rPr>
              <w:t>The proportional decline was in enrolments in Diploma &amp; Above levels over the same period.</w:t>
            </w:r>
          </w:p>
          <w:p w:rsidR="00F916BB" w:rsidRPr="001F29E3" w:rsidRDefault="00F916BB" w:rsidP="00F916BB">
            <w:pPr>
              <w:pStyle w:val="ListBullet"/>
              <w:numPr>
                <w:ilvl w:val="0"/>
                <w:numId w:val="0"/>
              </w:numPr>
              <w:ind w:left="473" w:right="113"/>
              <w:rPr>
                <w:rFonts w:cs="Arial"/>
              </w:rPr>
            </w:pPr>
          </w:p>
        </w:tc>
      </w:tr>
    </w:tbl>
    <w:p w:rsidR="00375EFF" w:rsidRPr="001F29E3" w:rsidRDefault="00375EFF" w:rsidP="00A9260A">
      <w:pPr>
        <w:pStyle w:val="Heading2"/>
      </w:pPr>
    </w:p>
    <w:p w:rsidR="00375EFF" w:rsidRPr="001F29E3" w:rsidRDefault="00375EFF" w:rsidP="00375EFF">
      <w:pPr>
        <w:rPr>
          <w:rFonts w:cs="Arial"/>
          <w:color w:val="76923C" w:themeColor="accent3" w:themeShade="BF"/>
          <w:sz w:val="28"/>
          <w:szCs w:val="28"/>
        </w:rPr>
      </w:pPr>
      <w:r w:rsidRPr="001F29E3">
        <w:rPr>
          <w:rFonts w:cs="Arial"/>
        </w:rPr>
        <w:br w:type="page"/>
      </w:r>
    </w:p>
    <w:p w:rsidR="005722AB" w:rsidRPr="001F29E3" w:rsidRDefault="005722AB" w:rsidP="00A9260A">
      <w:pPr>
        <w:pStyle w:val="Heading2"/>
      </w:pPr>
      <w:bookmarkStart w:id="107" w:name="_Toc359501572"/>
      <w:r w:rsidRPr="001F29E3">
        <w:lastRenderedPageBreak/>
        <w:t xml:space="preserve">Students with a Culturally and Linguistically Diverse (CALD) </w:t>
      </w:r>
      <w:r w:rsidR="00B65940" w:rsidRPr="001F29E3">
        <w:t>B</w:t>
      </w:r>
      <w:r w:rsidRPr="001F29E3">
        <w:t>ackground</w:t>
      </w:r>
      <w:bookmarkEnd w:id="107"/>
      <w:r w:rsidRPr="001F29E3">
        <w:t xml:space="preserve"> </w:t>
      </w:r>
    </w:p>
    <w:p w:rsidR="003D356E" w:rsidRDefault="003D356E" w:rsidP="005722AB">
      <w:pPr>
        <w:rPr>
          <w:rFonts w:cs="Arial"/>
        </w:rPr>
      </w:pPr>
    </w:p>
    <w:p w:rsidR="00ED4E7D" w:rsidRDefault="00ED4E7D" w:rsidP="00ED4E7D">
      <w:pPr>
        <w:pStyle w:val="Heading3"/>
      </w:pPr>
      <w:r>
        <w:t>Enrolments</w:t>
      </w:r>
    </w:p>
    <w:p w:rsidR="00ED4E7D" w:rsidRPr="001F29E3" w:rsidRDefault="00ED4E7D" w:rsidP="005722AB">
      <w:pPr>
        <w:rPr>
          <w:rFonts w:cs="Arial"/>
        </w:rPr>
      </w:pPr>
    </w:p>
    <w:p w:rsidR="005722AB" w:rsidRPr="001F29E3" w:rsidRDefault="003427AB" w:rsidP="00BB6AF0">
      <w:pPr>
        <w:pStyle w:val="Caption"/>
        <w:jc w:val="left"/>
        <w:rPr>
          <w:rFonts w:cs="Arial"/>
        </w:rPr>
      </w:pPr>
      <w:r>
        <w:rPr>
          <w:rFonts w:cs="Arial"/>
        </w:rPr>
        <w:t>Table 3</w:t>
      </w:r>
      <w:r w:rsidR="005722AB" w:rsidRPr="001F29E3">
        <w:rPr>
          <w:rFonts w:cs="Arial"/>
        </w:rPr>
        <w:t>.</w:t>
      </w:r>
      <w:r w:rsidR="00F97131">
        <w:rPr>
          <w:rFonts w:cs="Arial"/>
        </w:rPr>
        <w:t>4</w:t>
      </w:r>
      <w:r w:rsidR="005722AB" w:rsidRPr="001F29E3">
        <w:rPr>
          <w:rFonts w:cs="Arial"/>
        </w:rPr>
        <w:t xml:space="preserve"> </w:t>
      </w:r>
      <w:r w:rsidR="00F916BB" w:rsidRPr="001F29E3">
        <w:rPr>
          <w:rFonts w:cs="Arial"/>
        </w:rPr>
        <w:t xml:space="preserve">Students </w:t>
      </w:r>
      <w:r w:rsidR="005722AB" w:rsidRPr="001F29E3">
        <w:rPr>
          <w:rFonts w:cs="Arial"/>
        </w:rPr>
        <w:t>from a CALD background</w:t>
      </w:r>
      <w:r w:rsidR="00F916BB" w:rsidRPr="001F29E3">
        <w:rPr>
          <w:rFonts w:cs="Arial"/>
        </w:rPr>
        <w:t xml:space="preserve">: government subsidised enrolments by qualification level, 2008 – 2012, </w:t>
      </w:r>
      <w:r w:rsidR="00F916BB" w:rsidRPr="001F29E3">
        <w:rPr>
          <w:rFonts w:cs="Arial"/>
        </w:rPr>
        <w:br/>
        <w:t>Q1 2012 and Q1 2013</w:t>
      </w:r>
    </w:p>
    <w:p w:rsidR="005722AB" w:rsidRPr="001F29E3" w:rsidRDefault="00F97131" w:rsidP="005722AB">
      <w:pPr>
        <w:jc w:val="left"/>
        <w:rPr>
          <w:rFonts w:cs="Arial"/>
        </w:rPr>
      </w:pPr>
      <w:r w:rsidRPr="00F97131">
        <w:rPr>
          <w:noProof/>
          <w:lang w:eastAsia="en-AU"/>
        </w:rPr>
        <w:drawing>
          <wp:inline distT="0" distB="0" distL="0" distR="0" wp14:anchorId="1ECF0976" wp14:editId="07AAB4C2">
            <wp:extent cx="5760720" cy="136836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1368360"/>
                    </a:xfrm>
                    <a:prstGeom prst="rect">
                      <a:avLst/>
                    </a:prstGeom>
                    <a:noFill/>
                    <a:ln>
                      <a:noFill/>
                    </a:ln>
                  </pic:spPr>
                </pic:pic>
              </a:graphicData>
            </a:graphic>
          </wp:inline>
        </w:drawing>
      </w:r>
    </w:p>
    <w:p w:rsidR="005722AB" w:rsidRPr="001F29E3" w:rsidRDefault="005722AB" w:rsidP="005722AB">
      <w:pPr>
        <w:jc w:val="left"/>
        <w:rPr>
          <w:rFonts w:cs="Arial"/>
        </w:rPr>
      </w:pPr>
    </w:p>
    <w:p w:rsidR="00F916BB" w:rsidRPr="001F29E3" w:rsidRDefault="00F916BB" w:rsidP="00F916BB">
      <w:pPr>
        <w:pStyle w:val="Caption"/>
        <w:rPr>
          <w:rFonts w:cs="Arial"/>
        </w:rPr>
      </w:pPr>
      <w:r w:rsidRPr="001F29E3">
        <w:rPr>
          <w:rFonts w:cs="Arial"/>
        </w:rPr>
        <w:t xml:space="preserve">Figure </w:t>
      </w:r>
      <w:r w:rsidR="008F06D9">
        <w:rPr>
          <w:rFonts w:cs="Arial"/>
        </w:rPr>
        <w:t>3</w:t>
      </w:r>
      <w:r w:rsidRPr="001F29E3">
        <w:rPr>
          <w:rFonts w:cs="Arial"/>
        </w:rPr>
        <w:t xml:space="preserve">.3: AQF qualifications by students from a CALD background, Q1 2012 and Q1 2013 </w:t>
      </w:r>
    </w:p>
    <w:p w:rsidR="005722AB" w:rsidRPr="001F29E3" w:rsidRDefault="00F97131" w:rsidP="00F97131">
      <w:pPr>
        <w:jc w:val="center"/>
        <w:rPr>
          <w:rFonts w:cs="Arial"/>
        </w:rPr>
      </w:pPr>
      <w:r w:rsidRPr="00F97131">
        <w:rPr>
          <w:noProof/>
          <w:lang w:eastAsia="en-AU"/>
        </w:rPr>
        <w:drawing>
          <wp:inline distT="0" distB="0" distL="0" distR="0" wp14:anchorId="3AE5357E" wp14:editId="0641F366">
            <wp:extent cx="5229225" cy="26574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29225" cy="2657475"/>
                    </a:xfrm>
                    <a:prstGeom prst="rect">
                      <a:avLst/>
                    </a:prstGeom>
                    <a:noFill/>
                    <a:ln>
                      <a:noFill/>
                    </a:ln>
                  </pic:spPr>
                </pic:pic>
              </a:graphicData>
            </a:graphic>
          </wp:inline>
        </w:drawing>
      </w:r>
    </w:p>
    <w:p w:rsidR="005722AB" w:rsidRPr="001F29E3" w:rsidRDefault="005722AB" w:rsidP="00A9260A">
      <w:pPr>
        <w:pStyle w:val="Caption"/>
        <w:rPr>
          <w:rFonts w:cs="Arial"/>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31016D" w:rsidRPr="001F29E3" w:rsidTr="00F916BB">
        <w:trPr>
          <w:trHeight w:val="1449"/>
        </w:trPr>
        <w:tc>
          <w:tcPr>
            <w:tcW w:w="9088" w:type="dxa"/>
          </w:tcPr>
          <w:p w:rsidR="0031016D" w:rsidRPr="001F29E3" w:rsidRDefault="0031016D" w:rsidP="00DF16BE">
            <w:pPr>
              <w:rPr>
                <w:rFonts w:cs="Arial"/>
              </w:rPr>
            </w:pPr>
          </w:p>
          <w:p w:rsidR="0031016D" w:rsidRPr="001F29E3" w:rsidRDefault="0031016D" w:rsidP="00A9260A">
            <w:pPr>
              <w:pStyle w:val="Heading3"/>
            </w:pPr>
            <w:r w:rsidRPr="001F29E3">
              <w:t>Key Points</w:t>
            </w:r>
          </w:p>
          <w:p w:rsidR="00F916BB" w:rsidRPr="001F29E3" w:rsidRDefault="00F916BB" w:rsidP="00F916BB">
            <w:pPr>
              <w:pStyle w:val="ListBullet"/>
              <w:numPr>
                <w:ilvl w:val="0"/>
                <w:numId w:val="9"/>
              </w:numPr>
              <w:ind w:right="113"/>
              <w:rPr>
                <w:rFonts w:cs="Arial"/>
              </w:rPr>
            </w:pPr>
            <w:r w:rsidRPr="001F29E3">
              <w:rPr>
                <w:rFonts w:cs="Arial"/>
              </w:rPr>
              <w:t>The total number of government subsidised course enrolments undertaken by students from a CALD background declined by 2 per cent in Q1 2013 compared to Q1 2012.</w:t>
            </w:r>
            <w:r w:rsidR="002C240D" w:rsidRPr="001F29E3">
              <w:rPr>
                <w:rFonts w:cs="Arial"/>
              </w:rPr>
              <w:t xml:space="preserve"> </w:t>
            </w:r>
            <w:r w:rsidRPr="001F29E3">
              <w:rPr>
                <w:rFonts w:cs="Arial"/>
              </w:rPr>
              <w:t>However there were increases in enrolments at the Certificate I to II and Certificate III to IV levels over the same period.</w:t>
            </w:r>
          </w:p>
          <w:p w:rsidR="00F916BB" w:rsidRPr="001F29E3" w:rsidRDefault="00F916BB" w:rsidP="00F916BB">
            <w:pPr>
              <w:pStyle w:val="ListBullet"/>
              <w:numPr>
                <w:ilvl w:val="0"/>
                <w:numId w:val="9"/>
              </w:numPr>
              <w:ind w:right="113"/>
              <w:rPr>
                <w:rFonts w:cs="Arial"/>
              </w:rPr>
            </w:pPr>
            <w:r w:rsidRPr="001F29E3">
              <w:rPr>
                <w:rFonts w:cs="Arial"/>
              </w:rPr>
              <w:t>Of those enrolments in industry-specific qualifications (49,600 enrolments) which exclude foundation skills and short courses in Q1 2013, 44 per cent were in courses related to specialised or in shortage occupations. It was an increase of 11 percentage points from 33 per cent in Q1 2012.</w:t>
            </w:r>
          </w:p>
          <w:p w:rsidR="0031016D" w:rsidRPr="001F29E3" w:rsidRDefault="00F916BB" w:rsidP="008F6437">
            <w:pPr>
              <w:pStyle w:val="ListBullet"/>
              <w:numPr>
                <w:ilvl w:val="0"/>
                <w:numId w:val="9"/>
              </w:numPr>
              <w:ind w:right="113"/>
              <w:rPr>
                <w:rFonts w:cs="Arial"/>
              </w:rPr>
            </w:pPr>
            <w:r w:rsidRPr="001F29E3">
              <w:rPr>
                <w:rFonts w:cs="Arial"/>
              </w:rPr>
              <w:t xml:space="preserve">Proportionally, more than half of Australian Qualification Framework course enrolments undertaken by </w:t>
            </w:r>
            <w:r w:rsidR="008F6437" w:rsidRPr="001F29E3">
              <w:rPr>
                <w:rFonts w:cs="Arial"/>
              </w:rPr>
              <w:t xml:space="preserve">students from a CALD background </w:t>
            </w:r>
            <w:r w:rsidRPr="001F29E3">
              <w:rPr>
                <w:rFonts w:cs="Arial"/>
              </w:rPr>
              <w:t>in Q1 2013 were in Certificate III to IV levels.</w:t>
            </w:r>
          </w:p>
          <w:p w:rsidR="008F6437" w:rsidRPr="001F29E3" w:rsidRDefault="008F6437" w:rsidP="008F6437">
            <w:pPr>
              <w:pStyle w:val="ListBullet"/>
              <w:numPr>
                <w:ilvl w:val="0"/>
                <w:numId w:val="0"/>
              </w:numPr>
              <w:ind w:left="473" w:right="113"/>
              <w:rPr>
                <w:rFonts w:cs="Arial"/>
              </w:rPr>
            </w:pPr>
          </w:p>
        </w:tc>
      </w:tr>
    </w:tbl>
    <w:p w:rsidR="005722AB" w:rsidRPr="001F29E3" w:rsidRDefault="005722AB" w:rsidP="005722AB">
      <w:pPr>
        <w:jc w:val="left"/>
        <w:rPr>
          <w:rFonts w:cs="Arial"/>
        </w:rPr>
      </w:pPr>
    </w:p>
    <w:p w:rsidR="005722AB" w:rsidRPr="001F29E3" w:rsidRDefault="005722AB" w:rsidP="005722AB">
      <w:pPr>
        <w:rPr>
          <w:rFonts w:cs="Arial"/>
        </w:rPr>
      </w:pPr>
    </w:p>
    <w:p w:rsidR="005722AB" w:rsidRPr="001F29E3" w:rsidRDefault="005722AB" w:rsidP="00A9260A">
      <w:pPr>
        <w:pStyle w:val="Heading2"/>
      </w:pPr>
      <w:r w:rsidRPr="001F29E3">
        <w:br w:type="page"/>
      </w:r>
      <w:bookmarkStart w:id="108" w:name="_Toc359501573"/>
      <w:r w:rsidRPr="001F29E3">
        <w:lastRenderedPageBreak/>
        <w:t xml:space="preserve">Unemployed </w:t>
      </w:r>
      <w:r w:rsidR="00B65940" w:rsidRPr="001F29E3">
        <w:t>S</w:t>
      </w:r>
      <w:r w:rsidRPr="001F29E3">
        <w:t>tudents</w:t>
      </w:r>
      <w:bookmarkEnd w:id="108"/>
    </w:p>
    <w:p w:rsidR="00ED4E7D" w:rsidRDefault="00ED4E7D" w:rsidP="00ED4E7D">
      <w:pPr>
        <w:pStyle w:val="Heading3"/>
      </w:pPr>
    </w:p>
    <w:p w:rsidR="00ED4E7D" w:rsidRDefault="00ED4E7D" w:rsidP="00ED4E7D">
      <w:pPr>
        <w:pStyle w:val="Heading3"/>
      </w:pPr>
      <w:r>
        <w:t>Enrolments</w:t>
      </w:r>
    </w:p>
    <w:p w:rsidR="005722AB" w:rsidRPr="001F29E3" w:rsidRDefault="005722AB" w:rsidP="005722AB">
      <w:pPr>
        <w:jc w:val="left"/>
        <w:rPr>
          <w:rFonts w:cs="Arial"/>
          <w:b/>
          <w:bCs/>
          <w:color w:val="76923C"/>
          <w:szCs w:val="19"/>
        </w:rPr>
      </w:pPr>
    </w:p>
    <w:p w:rsidR="00BB6AF0" w:rsidRPr="001F29E3" w:rsidRDefault="003427AB" w:rsidP="00BB6AF0">
      <w:pPr>
        <w:pStyle w:val="Caption"/>
        <w:jc w:val="left"/>
        <w:rPr>
          <w:rFonts w:cs="Arial"/>
        </w:rPr>
      </w:pPr>
      <w:r>
        <w:rPr>
          <w:rFonts w:cs="Arial"/>
        </w:rPr>
        <w:t>Table 3</w:t>
      </w:r>
      <w:r w:rsidR="00BB6AF0" w:rsidRPr="001F29E3">
        <w:rPr>
          <w:rFonts w:cs="Arial"/>
        </w:rPr>
        <w:t>.</w:t>
      </w:r>
      <w:r w:rsidR="0090660F">
        <w:rPr>
          <w:rFonts w:cs="Arial"/>
        </w:rPr>
        <w:t>5</w:t>
      </w:r>
      <w:r w:rsidR="00BB6AF0" w:rsidRPr="001F29E3">
        <w:rPr>
          <w:rFonts w:cs="Arial"/>
        </w:rPr>
        <w:t>: Unemployed students: government subsidised enrolments by qualification level, 2008 – 2012, Q1 2012 and Q1 2013</w:t>
      </w:r>
    </w:p>
    <w:p w:rsidR="005722AB" w:rsidRPr="001F29E3" w:rsidRDefault="00BB6AF0" w:rsidP="005722AB">
      <w:pPr>
        <w:jc w:val="left"/>
        <w:rPr>
          <w:rFonts w:cs="Arial"/>
        </w:rPr>
      </w:pPr>
      <w:r w:rsidRPr="001F29E3">
        <w:rPr>
          <w:rFonts w:cs="Arial"/>
          <w:noProof/>
          <w:lang w:eastAsia="en-AU"/>
        </w:rPr>
        <w:drawing>
          <wp:inline distT="0" distB="0" distL="0" distR="0" wp14:anchorId="2B23549E" wp14:editId="0571EC98">
            <wp:extent cx="5760720" cy="1321661"/>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1321661"/>
                    </a:xfrm>
                    <a:prstGeom prst="rect">
                      <a:avLst/>
                    </a:prstGeom>
                    <a:noFill/>
                    <a:ln>
                      <a:noFill/>
                    </a:ln>
                  </pic:spPr>
                </pic:pic>
              </a:graphicData>
            </a:graphic>
          </wp:inline>
        </w:drawing>
      </w:r>
    </w:p>
    <w:p w:rsidR="005722AB" w:rsidRPr="001F29E3" w:rsidRDefault="005722AB" w:rsidP="005722AB">
      <w:pPr>
        <w:jc w:val="left"/>
        <w:rPr>
          <w:rFonts w:cs="Arial"/>
        </w:rPr>
      </w:pPr>
    </w:p>
    <w:p w:rsidR="00BB6AF0" w:rsidRPr="001F29E3" w:rsidRDefault="003427AB" w:rsidP="0090660F">
      <w:pPr>
        <w:pStyle w:val="Caption"/>
        <w:jc w:val="left"/>
        <w:rPr>
          <w:rFonts w:cs="Arial"/>
        </w:rPr>
      </w:pPr>
      <w:r>
        <w:rPr>
          <w:rFonts w:cs="Arial"/>
        </w:rPr>
        <w:t>Figure 3</w:t>
      </w:r>
      <w:r w:rsidR="00BB6AF0" w:rsidRPr="001F29E3">
        <w:rPr>
          <w:rFonts w:cs="Arial"/>
        </w:rPr>
        <w:t>.</w:t>
      </w:r>
      <w:r w:rsidR="000778DC" w:rsidRPr="001F29E3">
        <w:rPr>
          <w:rFonts w:cs="Arial"/>
        </w:rPr>
        <w:t>4</w:t>
      </w:r>
      <w:r w:rsidR="00BB6AF0" w:rsidRPr="001F29E3">
        <w:rPr>
          <w:rFonts w:cs="Arial"/>
        </w:rPr>
        <w:t xml:space="preserve">: AQF qualifications by </w:t>
      </w:r>
      <w:r w:rsidR="000778DC" w:rsidRPr="001F29E3">
        <w:rPr>
          <w:rFonts w:cs="Arial"/>
        </w:rPr>
        <w:t>unemployed st</w:t>
      </w:r>
      <w:r w:rsidR="00BB6AF0" w:rsidRPr="001F29E3">
        <w:rPr>
          <w:rFonts w:cs="Arial"/>
        </w:rPr>
        <w:t>udents, Q1 2012 and Q1 2013</w:t>
      </w:r>
    </w:p>
    <w:p w:rsidR="005722AB" w:rsidRPr="001F29E3" w:rsidRDefault="0090660F" w:rsidP="005722AB">
      <w:pPr>
        <w:rPr>
          <w:rFonts w:cs="Arial"/>
        </w:rPr>
      </w:pPr>
      <w:r w:rsidRPr="0090660F">
        <w:rPr>
          <w:noProof/>
          <w:lang w:eastAsia="en-AU"/>
        </w:rPr>
        <w:drawing>
          <wp:inline distT="0" distB="0" distL="0" distR="0" wp14:anchorId="7E8E49B9" wp14:editId="33AF3B7D">
            <wp:extent cx="5229225" cy="26574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29225" cy="2657475"/>
                    </a:xfrm>
                    <a:prstGeom prst="rect">
                      <a:avLst/>
                    </a:prstGeom>
                    <a:noFill/>
                    <a:ln>
                      <a:noFill/>
                    </a:ln>
                  </pic:spPr>
                </pic:pic>
              </a:graphicData>
            </a:graphic>
          </wp:inline>
        </w:drawing>
      </w: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31016D" w:rsidRPr="001F29E3" w:rsidTr="000778DC">
        <w:trPr>
          <w:trHeight w:val="1449"/>
        </w:trPr>
        <w:tc>
          <w:tcPr>
            <w:tcW w:w="9088" w:type="dxa"/>
          </w:tcPr>
          <w:p w:rsidR="0031016D" w:rsidRPr="001F29E3" w:rsidRDefault="0031016D" w:rsidP="00DF16BE">
            <w:pPr>
              <w:rPr>
                <w:rFonts w:cs="Arial"/>
              </w:rPr>
            </w:pPr>
          </w:p>
          <w:p w:rsidR="0031016D" w:rsidRPr="001F29E3" w:rsidRDefault="0031016D" w:rsidP="00A9260A">
            <w:pPr>
              <w:pStyle w:val="Heading3"/>
            </w:pPr>
            <w:r w:rsidRPr="001F29E3">
              <w:t>Key Points</w:t>
            </w:r>
          </w:p>
          <w:p w:rsidR="000778DC" w:rsidRPr="001F29E3" w:rsidRDefault="000778DC" w:rsidP="000778DC">
            <w:pPr>
              <w:pStyle w:val="ListBullet"/>
              <w:numPr>
                <w:ilvl w:val="0"/>
                <w:numId w:val="9"/>
              </w:numPr>
              <w:ind w:right="113"/>
              <w:rPr>
                <w:rFonts w:cs="Arial"/>
              </w:rPr>
            </w:pPr>
            <w:r w:rsidRPr="001F29E3">
              <w:rPr>
                <w:rFonts w:cs="Arial"/>
              </w:rPr>
              <w:t>The total number of government subsidised course enrolments undertaken by unemployed students in Q1 2013 was similar to that in Q1 2012.</w:t>
            </w:r>
            <w:r w:rsidR="002C240D" w:rsidRPr="001F29E3">
              <w:rPr>
                <w:rFonts w:cs="Arial"/>
              </w:rPr>
              <w:t xml:space="preserve"> </w:t>
            </w:r>
          </w:p>
          <w:p w:rsidR="000778DC" w:rsidRPr="001F29E3" w:rsidRDefault="000778DC" w:rsidP="000778DC">
            <w:pPr>
              <w:pStyle w:val="ListBullet"/>
              <w:numPr>
                <w:ilvl w:val="0"/>
                <w:numId w:val="9"/>
              </w:numPr>
              <w:ind w:right="113"/>
              <w:rPr>
                <w:rFonts w:cs="Arial"/>
              </w:rPr>
            </w:pPr>
            <w:r w:rsidRPr="001F29E3">
              <w:rPr>
                <w:rFonts w:cs="Arial"/>
              </w:rPr>
              <w:t>While the number of government subsidised enrolments undertaken by unemployed students at the Certificate I to II has increased by 18 per cent over the same period, enrolment numbers have declined in the Diploma &amp; Above levels, Module only training and senior secondary subjects.</w:t>
            </w:r>
          </w:p>
          <w:p w:rsidR="000778DC" w:rsidRPr="001F29E3" w:rsidRDefault="000778DC" w:rsidP="000778DC">
            <w:pPr>
              <w:pStyle w:val="ListBullet"/>
              <w:numPr>
                <w:ilvl w:val="0"/>
                <w:numId w:val="9"/>
              </w:numPr>
              <w:ind w:right="113"/>
              <w:rPr>
                <w:rFonts w:cs="Arial"/>
              </w:rPr>
            </w:pPr>
            <w:r w:rsidRPr="001F29E3">
              <w:rPr>
                <w:rFonts w:cs="Arial"/>
              </w:rPr>
              <w:t xml:space="preserve">Of those enrolments in industry-specific qualifications (45,700 enrolments) which exclude foundation skills and short courses in Q1 2013, 40 per cent were in courses related to specialised or in shortage occupations. It was at 29 per cent </w:t>
            </w:r>
            <w:r w:rsidR="00443529">
              <w:rPr>
                <w:rFonts w:cs="Arial"/>
              </w:rPr>
              <w:t>at the same time in 2012</w:t>
            </w:r>
            <w:r w:rsidR="007C4D71" w:rsidRPr="001F29E3">
              <w:rPr>
                <w:rFonts w:cs="Arial"/>
              </w:rPr>
              <w:t>.</w:t>
            </w:r>
          </w:p>
          <w:p w:rsidR="000778DC" w:rsidRPr="001F29E3" w:rsidRDefault="000778DC" w:rsidP="000778DC">
            <w:pPr>
              <w:pStyle w:val="ListBullet"/>
              <w:numPr>
                <w:ilvl w:val="0"/>
                <w:numId w:val="9"/>
              </w:numPr>
              <w:ind w:right="113"/>
              <w:rPr>
                <w:rFonts w:cs="Arial"/>
              </w:rPr>
            </w:pPr>
            <w:r w:rsidRPr="001F29E3">
              <w:rPr>
                <w:rFonts w:cs="Arial"/>
              </w:rPr>
              <w:t xml:space="preserve">Proportionally, more than half of Australian Qualification Framework course enrolments undertaken by </w:t>
            </w:r>
            <w:r w:rsidR="007C4D71" w:rsidRPr="001F29E3">
              <w:rPr>
                <w:rFonts w:cs="Arial"/>
              </w:rPr>
              <w:t xml:space="preserve">unemployed </w:t>
            </w:r>
            <w:r w:rsidRPr="001F29E3">
              <w:rPr>
                <w:rFonts w:cs="Arial"/>
              </w:rPr>
              <w:t>students</w:t>
            </w:r>
            <w:r w:rsidR="007C4D71" w:rsidRPr="001F29E3">
              <w:rPr>
                <w:rFonts w:cs="Arial"/>
              </w:rPr>
              <w:t xml:space="preserve"> </w:t>
            </w:r>
            <w:r w:rsidRPr="001F29E3">
              <w:rPr>
                <w:rFonts w:cs="Arial"/>
              </w:rPr>
              <w:t>in Q1 2013 were in Certificate III to IV levels.</w:t>
            </w:r>
          </w:p>
          <w:p w:rsidR="0031016D" w:rsidRPr="001F29E3" w:rsidRDefault="0031016D" w:rsidP="00DF16BE">
            <w:pPr>
              <w:pStyle w:val="ListBullet"/>
              <w:numPr>
                <w:ilvl w:val="0"/>
                <w:numId w:val="0"/>
              </w:numPr>
              <w:rPr>
                <w:rFonts w:cs="Arial"/>
              </w:rPr>
            </w:pPr>
          </w:p>
        </w:tc>
      </w:tr>
    </w:tbl>
    <w:p w:rsidR="00BB6AF0" w:rsidRPr="001F29E3" w:rsidRDefault="00BB6AF0" w:rsidP="00A9260A">
      <w:pPr>
        <w:pStyle w:val="Heading2"/>
      </w:pPr>
    </w:p>
    <w:p w:rsidR="005722AB" w:rsidRPr="001F29E3" w:rsidRDefault="005722AB" w:rsidP="0087156B">
      <w:pPr>
        <w:pStyle w:val="Heading2"/>
        <w:jc w:val="left"/>
      </w:pPr>
      <w:r w:rsidRPr="001F29E3">
        <w:br w:type="page"/>
      </w:r>
      <w:bookmarkStart w:id="109" w:name="_Toc359501574"/>
      <w:r w:rsidRPr="001F29E3">
        <w:lastRenderedPageBreak/>
        <w:t xml:space="preserve">Young </w:t>
      </w:r>
      <w:r w:rsidR="00B65940" w:rsidRPr="001F29E3">
        <w:t>P</w:t>
      </w:r>
      <w:r w:rsidRPr="001F29E3">
        <w:t>eople (</w:t>
      </w:r>
      <w:r w:rsidR="00B65940" w:rsidRPr="001F29E3">
        <w:t>A</w:t>
      </w:r>
      <w:r w:rsidR="001C1596">
        <w:t>ged 15 to 19) W</w:t>
      </w:r>
      <w:r w:rsidRPr="001F29E3">
        <w:t>ithout Year 12</w:t>
      </w:r>
      <w:r w:rsidR="003B04EA" w:rsidRPr="001F29E3">
        <w:t xml:space="preserve"> or </w:t>
      </w:r>
      <w:r w:rsidR="001C1596">
        <w:t>E</w:t>
      </w:r>
      <w:r w:rsidR="003B04EA" w:rsidRPr="001F29E3">
        <w:t>quivalent</w:t>
      </w:r>
      <w:r w:rsidR="00752D53" w:rsidRPr="001F29E3">
        <w:t xml:space="preserve"> and</w:t>
      </w:r>
      <w:r w:rsidR="00752D53" w:rsidRPr="001F29E3">
        <w:br/>
      </w:r>
      <w:r w:rsidR="00B65940" w:rsidRPr="001F29E3">
        <w:t>N</w:t>
      </w:r>
      <w:r w:rsidRPr="001F29E3">
        <w:t xml:space="preserve">ot at </w:t>
      </w:r>
      <w:r w:rsidR="00B65940" w:rsidRPr="001F29E3">
        <w:t>S</w:t>
      </w:r>
      <w:r w:rsidRPr="001F29E3">
        <w:t>chool</w:t>
      </w:r>
      <w:bookmarkEnd w:id="109"/>
    </w:p>
    <w:p w:rsidR="005722AB" w:rsidRDefault="005722AB" w:rsidP="005722AB">
      <w:pPr>
        <w:rPr>
          <w:rFonts w:cs="Arial"/>
        </w:rPr>
      </w:pPr>
    </w:p>
    <w:p w:rsidR="00ED4E7D" w:rsidRDefault="00ED4E7D" w:rsidP="00ED4E7D">
      <w:pPr>
        <w:pStyle w:val="Heading3"/>
      </w:pPr>
      <w:r>
        <w:t>Enrolments</w:t>
      </w:r>
    </w:p>
    <w:p w:rsidR="00ED4E7D" w:rsidRPr="001F29E3" w:rsidRDefault="00ED4E7D" w:rsidP="005722AB">
      <w:pPr>
        <w:rPr>
          <w:rFonts w:cs="Arial"/>
        </w:rPr>
      </w:pPr>
    </w:p>
    <w:p w:rsidR="0087156B" w:rsidRPr="001F29E3" w:rsidRDefault="003427AB" w:rsidP="0087156B">
      <w:pPr>
        <w:pStyle w:val="Caption"/>
        <w:jc w:val="left"/>
        <w:rPr>
          <w:rFonts w:cs="Arial"/>
        </w:rPr>
      </w:pPr>
      <w:r>
        <w:rPr>
          <w:rFonts w:cs="Arial"/>
        </w:rPr>
        <w:t>Table 3</w:t>
      </w:r>
      <w:r w:rsidR="005722AB" w:rsidRPr="001F29E3">
        <w:rPr>
          <w:rFonts w:cs="Arial"/>
        </w:rPr>
        <w:t>.</w:t>
      </w:r>
      <w:r w:rsidR="0090660F">
        <w:rPr>
          <w:rFonts w:cs="Arial"/>
        </w:rPr>
        <w:t>6</w:t>
      </w:r>
      <w:r w:rsidR="005722AB" w:rsidRPr="001F29E3">
        <w:rPr>
          <w:rFonts w:cs="Arial"/>
        </w:rPr>
        <w:t xml:space="preserve"> Youth transition: government subsidised enrolments Cert II and above by students aged 15 to 19 who did not complete Year 12</w:t>
      </w:r>
      <w:r w:rsidR="00755400" w:rsidRPr="001F29E3">
        <w:rPr>
          <w:rFonts w:cs="Arial"/>
        </w:rPr>
        <w:t xml:space="preserve"> or equivalent</w:t>
      </w:r>
      <w:r w:rsidR="005722AB" w:rsidRPr="001F29E3">
        <w:rPr>
          <w:rFonts w:cs="Arial"/>
        </w:rPr>
        <w:t xml:space="preserve"> and not at school</w:t>
      </w:r>
      <w:r w:rsidR="0087156B" w:rsidRPr="001F29E3">
        <w:rPr>
          <w:rFonts w:cs="Arial"/>
        </w:rPr>
        <w:t>, 2008 – 2012, Q1 2012 and Q1 2013</w:t>
      </w:r>
    </w:p>
    <w:p w:rsidR="005722AB" w:rsidRPr="001F29E3" w:rsidRDefault="0090660F" w:rsidP="005722AB">
      <w:pPr>
        <w:rPr>
          <w:rFonts w:cs="Arial"/>
        </w:rPr>
      </w:pPr>
      <w:r w:rsidRPr="0090660F">
        <w:rPr>
          <w:noProof/>
          <w:lang w:eastAsia="en-AU"/>
        </w:rPr>
        <w:drawing>
          <wp:inline distT="0" distB="0" distL="0" distR="0" wp14:anchorId="6489F8DC" wp14:editId="1C1CF095">
            <wp:extent cx="5760720" cy="10508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1050840"/>
                    </a:xfrm>
                    <a:prstGeom prst="rect">
                      <a:avLst/>
                    </a:prstGeom>
                    <a:noFill/>
                    <a:ln>
                      <a:noFill/>
                    </a:ln>
                  </pic:spPr>
                </pic:pic>
              </a:graphicData>
            </a:graphic>
          </wp:inline>
        </w:drawing>
      </w:r>
    </w:p>
    <w:p w:rsidR="0082018B" w:rsidRPr="001F29E3" w:rsidRDefault="0082018B" w:rsidP="007C4D71">
      <w:pPr>
        <w:rPr>
          <w:rFonts w:cs="Arial"/>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82018B" w:rsidRPr="001F29E3" w:rsidTr="0082018B">
        <w:trPr>
          <w:trHeight w:val="1449"/>
        </w:trPr>
        <w:tc>
          <w:tcPr>
            <w:tcW w:w="9088" w:type="dxa"/>
          </w:tcPr>
          <w:p w:rsidR="0082018B" w:rsidRPr="001F29E3" w:rsidRDefault="0082018B" w:rsidP="0082018B">
            <w:pPr>
              <w:rPr>
                <w:rFonts w:cs="Arial"/>
              </w:rPr>
            </w:pPr>
          </w:p>
          <w:p w:rsidR="0082018B" w:rsidRPr="001F29E3" w:rsidRDefault="0082018B" w:rsidP="0082018B">
            <w:pPr>
              <w:pStyle w:val="Heading3"/>
            </w:pPr>
            <w:r w:rsidRPr="001F29E3">
              <w:t>Key Points</w:t>
            </w:r>
          </w:p>
          <w:p w:rsidR="0082018B" w:rsidRPr="001F29E3" w:rsidRDefault="0082018B" w:rsidP="0082018B">
            <w:pPr>
              <w:pStyle w:val="ListBullet"/>
              <w:numPr>
                <w:ilvl w:val="0"/>
                <w:numId w:val="9"/>
              </w:numPr>
              <w:ind w:right="113"/>
              <w:rPr>
                <w:rFonts w:cs="Arial"/>
              </w:rPr>
            </w:pPr>
            <w:r w:rsidRPr="001F29E3">
              <w:rPr>
                <w:rFonts w:cs="Arial"/>
              </w:rPr>
              <w:t>The total number of government subsidised enrolments at Certificate II and above of young people without a Year 12 or equivalent and not in school has declined by 19 per cent in Q1 2013 compared to Q1 2012. The drop in enrolment numbers was across all certificate levels.</w:t>
            </w:r>
          </w:p>
          <w:p w:rsidR="0082018B" w:rsidRPr="001F29E3" w:rsidRDefault="0082018B" w:rsidP="0082018B">
            <w:pPr>
              <w:pStyle w:val="ListBullet"/>
              <w:numPr>
                <w:ilvl w:val="0"/>
                <w:numId w:val="9"/>
              </w:numPr>
              <w:ind w:right="113"/>
              <w:rPr>
                <w:rFonts w:cs="Arial"/>
              </w:rPr>
            </w:pPr>
            <w:r w:rsidRPr="001F29E3">
              <w:rPr>
                <w:rFonts w:cs="Arial"/>
              </w:rPr>
              <w:t xml:space="preserve">Of those enrolments </w:t>
            </w:r>
            <w:r w:rsidR="00D13FA9" w:rsidRPr="001F29E3">
              <w:rPr>
                <w:rFonts w:cs="Arial"/>
              </w:rPr>
              <w:t>in industry-specific qualifications</w:t>
            </w:r>
            <w:r w:rsidRPr="001F29E3">
              <w:rPr>
                <w:rFonts w:cs="Arial"/>
              </w:rPr>
              <w:t xml:space="preserve"> (</w:t>
            </w:r>
            <w:r w:rsidR="00D13FA9" w:rsidRPr="001F29E3">
              <w:rPr>
                <w:rFonts w:cs="Arial"/>
              </w:rPr>
              <w:t>12,000</w:t>
            </w:r>
            <w:r w:rsidRPr="001F29E3">
              <w:rPr>
                <w:rFonts w:cs="Arial"/>
              </w:rPr>
              <w:t xml:space="preserve"> enrolments) which exclude foundation skills courses in Q1 2013, 4</w:t>
            </w:r>
            <w:r w:rsidR="00D13FA9" w:rsidRPr="001F29E3">
              <w:rPr>
                <w:rFonts w:cs="Arial"/>
              </w:rPr>
              <w:t>5</w:t>
            </w:r>
            <w:r w:rsidRPr="001F29E3">
              <w:rPr>
                <w:rFonts w:cs="Arial"/>
              </w:rPr>
              <w:t xml:space="preserve"> per cent were in courses related to specialised or in shortage occupations. </w:t>
            </w:r>
            <w:r w:rsidR="00D13FA9" w:rsidRPr="001F29E3">
              <w:rPr>
                <w:rFonts w:cs="Arial"/>
              </w:rPr>
              <w:t xml:space="preserve">This is an increase from 41 </w:t>
            </w:r>
            <w:r w:rsidRPr="001F29E3">
              <w:rPr>
                <w:rFonts w:cs="Arial"/>
              </w:rPr>
              <w:t xml:space="preserve">per cent </w:t>
            </w:r>
            <w:r w:rsidR="00D13FA9" w:rsidRPr="001F29E3">
              <w:rPr>
                <w:rFonts w:cs="Arial"/>
              </w:rPr>
              <w:t>in Q1 2012</w:t>
            </w:r>
            <w:r w:rsidRPr="001F29E3">
              <w:rPr>
                <w:rFonts w:cs="Arial"/>
              </w:rPr>
              <w:t>.</w:t>
            </w:r>
          </w:p>
          <w:p w:rsidR="0082018B" w:rsidRPr="001F29E3" w:rsidRDefault="0082018B" w:rsidP="00D13FA9">
            <w:pPr>
              <w:pStyle w:val="ListBullet"/>
              <w:numPr>
                <w:ilvl w:val="0"/>
                <w:numId w:val="0"/>
              </w:numPr>
              <w:ind w:left="473" w:right="113"/>
              <w:rPr>
                <w:rFonts w:cs="Arial"/>
              </w:rPr>
            </w:pPr>
          </w:p>
        </w:tc>
      </w:tr>
    </w:tbl>
    <w:p w:rsidR="005722AB" w:rsidRPr="001F29E3" w:rsidRDefault="005722AB" w:rsidP="00A9260A">
      <w:pPr>
        <w:pStyle w:val="Heading2"/>
      </w:pPr>
      <w:bookmarkStart w:id="110" w:name="_Toc359501575"/>
      <w:r w:rsidRPr="001F29E3">
        <w:t xml:space="preserve">Older </w:t>
      </w:r>
      <w:r w:rsidR="004816EE" w:rsidRPr="001F29E3">
        <w:t>S</w:t>
      </w:r>
      <w:r w:rsidRPr="001F29E3">
        <w:t xml:space="preserve">tudents with </w:t>
      </w:r>
      <w:r w:rsidR="004816EE" w:rsidRPr="001F29E3">
        <w:t>L</w:t>
      </w:r>
      <w:r w:rsidRPr="001F29E3">
        <w:t xml:space="preserve">ow </w:t>
      </w:r>
      <w:r w:rsidR="004816EE" w:rsidRPr="001F29E3">
        <w:t>P</w:t>
      </w:r>
      <w:r w:rsidRPr="001F29E3">
        <w:t xml:space="preserve">rior </w:t>
      </w:r>
      <w:r w:rsidR="004816EE" w:rsidRPr="001F29E3">
        <w:t>Q</w:t>
      </w:r>
      <w:r w:rsidRPr="001F29E3">
        <w:t>ualifications</w:t>
      </w:r>
      <w:bookmarkEnd w:id="110"/>
    </w:p>
    <w:p w:rsidR="004C74E6" w:rsidRDefault="004C74E6" w:rsidP="005722AB">
      <w:pPr>
        <w:rPr>
          <w:rFonts w:cs="Arial"/>
        </w:rPr>
      </w:pPr>
    </w:p>
    <w:p w:rsidR="00ED4E7D" w:rsidRDefault="00ED4E7D" w:rsidP="00ED4E7D">
      <w:pPr>
        <w:pStyle w:val="Heading3"/>
      </w:pPr>
      <w:r>
        <w:t>Enrolments</w:t>
      </w:r>
    </w:p>
    <w:p w:rsidR="00ED4E7D" w:rsidRPr="001F29E3" w:rsidRDefault="00ED4E7D" w:rsidP="005722AB">
      <w:pPr>
        <w:rPr>
          <w:rFonts w:cs="Arial"/>
        </w:rPr>
      </w:pPr>
    </w:p>
    <w:p w:rsidR="0087156B" w:rsidRPr="001F29E3" w:rsidRDefault="003427AB" w:rsidP="0087156B">
      <w:pPr>
        <w:pStyle w:val="Caption"/>
        <w:jc w:val="left"/>
        <w:rPr>
          <w:rFonts w:cs="Arial"/>
        </w:rPr>
      </w:pPr>
      <w:r>
        <w:rPr>
          <w:rFonts w:cs="Arial"/>
        </w:rPr>
        <w:t>Table 3</w:t>
      </w:r>
      <w:r w:rsidR="005722AB" w:rsidRPr="001F29E3">
        <w:rPr>
          <w:rFonts w:cs="Arial"/>
        </w:rPr>
        <w:t>.</w:t>
      </w:r>
      <w:r w:rsidR="0090660F">
        <w:rPr>
          <w:rFonts w:cs="Arial"/>
        </w:rPr>
        <w:t>7</w:t>
      </w:r>
      <w:r w:rsidR="005722AB" w:rsidRPr="001F29E3">
        <w:rPr>
          <w:rFonts w:cs="Arial"/>
        </w:rPr>
        <w:t xml:space="preserve">: </w:t>
      </w:r>
      <w:r w:rsidR="0087156B" w:rsidRPr="001F29E3">
        <w:rPr>
          <w:rFonts w:cs="Arial"/>
        </w:rPr>
        <w:t>G</w:t>
      </w:r>
      <w:r w:rsidR="005722AB" w:rsidRPr="001F29E3">
        <w:rPr>
          <w:rFonts w:cs="Arial"/>
        </w:rPr>
        <w:t>overnment subsidised enrolments by students aged 20-64 not holding a Cert III or above</w:t>
      </w:r>
      <w:r w:rsidR="0087156B" w:rsidRPr="001F29E3">
        <w:rPr>
          <w:rFonts w:cs="Arial"/>
        </w:rPr>
        <w:t xml:space="preserve">, 2008 – 2012, </w:t>
      </w:r>
      <w:r w:rsidR="0087156B" w:rsidRPr="001F29E3">
        <w:rPr>
          <w:rFonts w:cs="Arial"/>
        </w:rPr>
        <w:br/>
        <w:t>Q1 2012 and Q1 2013</w:t>
      </w:r>
    </w:p>
    <w:p w:rsidR="005722AB" w:rsidRPr="001F29E3" w:rsidRDefault="0090660F" w:rsidP="005722AB">
      <w:pPr>
        <w:rPr>
          <w:rFonts w:cs="Arial"/>
        </w:rPr>
      </w:pPr>
      <w:r w:rsidRPr="0090660F">
        <w:rPr>
          <w:noProof/>
          <w:lang w:eastAsia="en-AU"/>
        </w:rPr>
        <w:drawing>
          <wp:inline distT="0" distB="0" distL="0" distR="0" wp14:anchorId="1D4643BF" wp14:editId="2BA1B208">
            <wp:extent cx="5760720" cy="832981"/>
            <wp:effectExtent l="0" t="0" r="0" b="571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832981"/>
                    </a:xfrm>
                    <a:prstGeom prst="rect">
                      <a:avLst/>
                    </a:prstGeom>
                    <a:noFill/>
                    <a:ln>
                      <a:noFill/>
                    </a:ln>
                  </pic:spPr>
                </pic:pic>
              </a:graphicData>
            </a:graphic>
          </wp:inline>
        </w:drawing>
      </w:r>
    </w:p>
    <w:p w:rsidR="005722AB" w:rsidRPr="001F29E3" w:rsidRDefault="005722AB" w:rsidP="0087156B">
      <w:pPr>
        <w:spacing w:after="0"/>
        <w:rPr>
          <w:rFonts w:cs="Arial"/>
          <w:sz w:val="16"/>
          <w:szCs w:val="16"/>
        </w:rPr>
      </w:pPr>
      <w:r w:rsidRPr="001F29E3">
        <w:rPr>
          <w:rFonts w:cs="Arial"/>
          <w:sz w:val="16"/>
          <w:szCs w:val="16"/>
        </w:rPr>
        <w:t>Up-skilling refers to studying at a higher level than their current qualification.</w:t>
      </w:r>
    </w:p>
    <w:p w:rsidR="005722AB" w:rsidRPr="001F29E3" w:rsidRDefault="005722AB" w:rsidP="005722AB">
      <w:pPr>
        <w:rPr>
          <w:rFonts w:cs="Arial"/>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87156B" w:rsidRPr="001F29E3" w:rsidTr="00D70112">
        <w:trPr>
          <w:trHeight w:val="1449"/>
        </w:trPr>
        <w:tc>
          <w:tcPr>
            <w:tcW w:w="9088" w:type="dxa"/>
          </w:tcPr>
          <w:p w:rsidR="0087156B" w:rsidRPr="001F29E3" w:rsidRDefault="0087156B" w:rsidP="00D70112">
            <w:pPr>
              <w:rPr>
                <w:rFonts w:cs="Arial"/>
              </w:rPr>
            </w:pPr>
          </w:p>
          <w:p w:rsidR="0087156B" w:rsidRPr="001F29E3" w:rsidRDefault="0087156B" w:rsidP="00D70112">
            <w:pPr>
              <w:pStyle w:val="Heading3"/>
            </w:pPr>
            <w:r w:rsidRPr="001F29E3">
              <w:t>Key Points</w:t>
            </w:r>
          </w:p>
          <w:p w:rsidR="0087156B" w:rsidRPr="001F29E3" w:rsidRDefault="0087156B" w:rsidP="00D70112">
            <w:pPr>
              <w:pStyle w:val="ListBullet"/>
              <w:numPr>
                <w:ilvl w:val="0"/>
                <w:numId w:val="9"/>
              </w:numPr>
              <w:ind w:right="113"/>
              <w:rPr>
                <w:rFonts w:cs="Arial"/>
              </w:rPr>
            </w:pPr>
            <w:r w:rsidRPr="001F29E3">
              <w:rPr>
                <w:rFonts w:cs="Arial"/>
              </w:rPr>
              <w:t>The enrolments of people with low prior qualifications in government subsidised training decreased by 4 per cent in Q1 2013 compared to Q1 2012.</w:t>
            </w:r>
            <w:r w:rsidR="002C240D" w:rsidRPr="001F29E3">
              <w:rPr>
                <w:rFonts w:cs="Arial"/>
              </w:rPr>
              <w:t xml:space="preserve"> </w:t>
            </w:r>
          </w:p>
          <w:p w:rsidR="0087156B" w:rsidRPr="001F29E3" w:rsidRDefault="0087156B" w:rsidP="00D70112">
            <w:pPr>
              <w:pStyle w:val="ListBullet"/>
              <w:numPr>
                <w:ilvl w:val="0"/>
                <w:numId w:val="9"/>
              </w:numPr>
              <w:ind w:right="113"/>
              <w:rPr>
                <w:rFonts w:cs="Arial"/>
              </w:rPr>
            </w:pPr>
            <w:r w:rsidRPr="001F29E3">
              <w:rPr>
                <w:rFonts w:cs="Arial"/>
              </w:rPr>
              <w:t>Of enrolments in industry-specific qualifications (118,000 enrolments) which exclude foundation skills and short courses in Q1 2013, 39 per cent were in courses related to specialised or in shortage occupations. It was 33 per cent in Q1 2012.</w:t>
            </w:r>
          </w:p>
          <w:p w:rsidR="0087156B" w:rsidRPr="001F29E3" w:rsidRDefault="0087156B" w:rsidP="00D70112">
            <w:pPr>
              <w:pStyle w:val="ListBullet"/>
              <w:numPr>
                <w:ilvl w:val="0"/>
                <w:numId w:val="0"/>
              </w:numPr>
              <w:ind w:left="473" w:right="113"/>
              <w:rPr>
                <w:rFonts w:cs="Arial"/>
              </w:rPr>
            </w:pPr>
          </w:p>
        </w:tc>
      </w:tr>
    </w:tbl>
    <w:p w:rsidR="005722AB" w:rsidRPr="001F29E3" w:rsidRDefault="005722AB" w:rsidP="00A9260A">
      <w:pPr>
        <w:pStyle w:val="Caption"/>
        <w:rPr>
          <w:rFonts w:cs="Arial"/>
        </w:rPr>
      </w:pPr>
    </w:p>
    <w:p w:rsidR="005722AB" w:rsidRPr="001F29E3" w:rsidRDefault="005722AB" w:rsidP="005722AB">
      <w:pPr>
        <w:jc w:val="left"/>
        <w:rPr>
          <w:rFonts w:cs="Arial"/>
          <w:b/>
          <w:bCs/>
          <w:color w:val="76923C"/>
          <w:szCs w:val="19"/>
        </w:rPr>
      </w:pPr>
    </w:p>
    <w:p w:rsidR="005722AB" w:rsidRPr="001F29E3" w:rsidRDefault="005722AB" w:rsidP="00A9260A">
      <w:pPr>
        <w:pStyle w:val="Heading2"/>
      </w:pPr>
      <w:r w:rsidRPr="001F29E3">
        <w:br w:type="page"/>
      </w:r>
      <w:bookmarkStart w:id="111" w:name="_Toc359501576"/>
      <w:r w:rsidRPr="001F29E3">
        <w:lastRenderedPageBreak/>
        <w:t>Foundation Level Training</w:t>
      </w:r>
      <w:bookmarkEnd w:id="111"/>
    </w:p>
    <w:p w:rsidR="005722AB" w:rsidRPr="001F29E3" w:rsidRDefault="005722AB" w:rsidP="005722AB">
      <w:pPr>
        <w:rPr>
          <w:rFonts w:cs="Arial"/>
        </w:rPr>
      </w:pPr>
      <w:r w:rsidRPr="001F29E3">
        <w:rPr>
          <w:rFonts w:cs="Arial"/>
        </w:rPr>
        <w:t>An efficient and effective training market plays a vital role in providing better outcomes for individuals and employers, as well as the wider Victorian community. Of particular importance is ensuring school leavers and adults without solid foundation skills in literacy and numeracy are given the opportunity to acquire them and thus greatly improve their chances of employment, further education opportunities and broader social participation.</w:t>
      </w:r>
    </w:p>
    <w:p w:rsidR="0090660F" w:rsidRDefault="0090660F" w:rsidP="0090660F">
      <w:pPr>
        <w:pStyle w:val="Caption"/>
        <w:jc w:val="left"/>
        <w:rPr>
          <w:rFonts w:cs="Arial"/>
        </w:rPr>
      </w:pPr>
    </w:p>
    <w:p w:rsidR="00D70112" w:rsidRPr="001F29E3" w:rsidRDefault="003427AB" w:rsidP="0090660F">
      <w:pPr>
        <w:pStyle w:val="Caption"/>
        <w:jc w:val="left"/>
        <w:rPr>
          <w:rFonts w:cs="Arial"/>
        </w:rPr>
      </w:pPr>
      <w:r>
        <w:rPr>
          <w:rFonts w:cs="Arial"/>
        </w:rPr>
        <w:t>Figure 3</w:t>
      </w:r>
      <w:r w:rsidR="00D70112" w:rsidRPr="001F29E3">
        <w:rPr>
          <w:rFonts w:cs="Arial"/>
        </w:rPr>
        <w:t>.5: Government subsidised enrolments in foundation skills courses, 2008 – 2012, Q1 2012 and Q1 2013</w:t>
      </w:r>
    </w:p>
    <w:p w:rsidR="00DF16BE" w:rsidRPr="001F29E3" w:rsidRDefault="0090660F" w:rsidP="0090660F">
      <w:pPr>
        <w:jc w:val="center"/>
        <w:rPr>
          <w:rFonts w:cs="Arial"/>
        </w:rPr>
      </w:pPr>
      <w:r w:rsidRPr="0090660F">
        <w:rPr>
          <w:noProof/>
          <w:lang w:eastAsia="en-AU"/>
        </w:rPr>
        <w:drawing>
          <wp:inline distT="0" distB="0" distL="0" distR="0" wp14:anchorId="7537A6DC" wp14:editId="73092A79">
            <wp:extent cx="5760720" cy="3071143"/>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720" cy="3071143"/>
                    </a:xfrm>
                    <a:prstGeom prst="rect">
                      <a:avLst/>
                    </a:prstGeom>
                    <a:noFill/>
                    <a:ln>
                      <a:noFill/>
                    </a:ln>
                  </pic:spPr>
                </pic:pic>
              </a:graphicData>
            </a:graphic>
          </wp:inline>
        </w:drawing>
      </w:r>
    </w:p>
    <w:p w:rsidR="00F71A26" w:rsidRDefault="00F71A26" w:rsidP="0090660F">
      <w:pPr>
        <w:pStyle w:val="Caption"/>
      </w:pPr>
    </w:p>
    <w:p w:rsidR="00F94933" w:rsidRPr="001F29E3" w:rsidRDefault="003427AB" w:rsidP="0090660F">
      <w:pPr>
        <w:pStyle w:val="Caption"/>
      </w:pPr>
      <w:r>
        <w:t>Table 3</w:t>
      </w:r>
      <w:r w:rsidR="00F94933" w:rsidRPr="001F29E3">
        <w:t>.</w:t>
      </w:r>
      <w:r w:rsidR="0090660F">
        <w:t>8</w:t>
      </w:r>
      <w:r w:rsidR="00F94933" w:rsidRPr="001F29E3">
        <w:t>: Top 10 government subsidised foundation skills course enrolments, Q1 2012 and Q1 2013</w:t>
      </w:r>
      <w:r w:rsidR="003B6005" w:rsidRPr="001F29E3">
        <w:t xml:space="preserve"> </w:t>
      </w:r>
    </w:p>
    <w:p w:rsidR="00C57DA6" w:rsidRPr="001F29E3" w:rsidRDefault="00F94933" w:rsidP="00F94933">
      <w:pPr>
        <w:pStyle w:val="Caption"/>
        <w:jc w:val="left"/>
        <w:rPr>
          <w:rFonts w:cs="Arial"/>
        </w:rPr>
      </w:pPr>
      <w:r w:rsidRPr="001F29E3">
        <w:rPr>
          <w:rFonts w:cs="Arial"/>
          <w:noProof/>
          <w:lang w:eastAsia="en-AU"/>
        </w:rPr>
        <w:drawing>
          <wp:inline distT="0" distB="0" distL="0" distR="0" wp14:anchorId="41AF5B2B" wp14:editId="7F495A28">
            <wp:extent cx="5760720" cy="2410452"/>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2410452"/>
                    </a:xfrm>
                    <a:prstGeom prst="rect">
                      <a:avLst/>
                    </a:prstGeom>
                    <a:noFill/>
                    <a:ln>
                      <a:noFill/>
                    </a:ln>
                  </pic:spPr>
                </pic:pic>
              </a:graphicData>
            </a:graphic>
          </wp:inline>
        </w:drawing>
      </w:r>
    </w:p>
    <w:p w:rsidR="00874F18" w:rsidRPr="001F29E3" w:rsidRDefault="00874F18" w:rsidP="00874F18">
      <w:pPr>
        <w:rPr>
          <w:rFonts w:cs="Arial"/>
        </w:rPr>
      </w:pPr>
    </w:p>
    <w:p w:rsidR="0090660F" w:rsidRDefault="0090660F">
      <w:pPr>
        <w:spacing w:after="0" w:line="240" w:lineRule="auto"/>
        <w:jc w:val="left"/>
        <w:rPr>
          <w:rFonts w:cs="Arial"/>
          <w:b/>
          <w:bCs/>
          <w:color w:val="76923C" w:themeColor="accent3" w:themeShade="BF"/>
          <w:sz w:val="16"/>
          <w:szCs w:val="16"/>
        </w:rPr>
      </w:pPr>
      <w:r>
        <w:rPr>
          <w:rFonts w:cs="Arial"/>
        </w:rPr>
        <w:br w:type="page"/>
      </w:r>
    </w:p>
    <w:p w:rsidR="00AD154B" w:rsidRPr="001F29E3" w:rsidRDefault="003427AB" w:rsidP="00AD154B">
      <w:pPr>
        <w:pStyle w:val="Caption"/>
        <w:jc w:val="left"/>
        <w:rPr>
          <w:rFonts w:cs="Arial"/>
        </w:rPr>
      </w:pPr>
      <w:r>
        <w:rPr>
          <w:rFonts w:cs="Arial"/>
        </w:rPr>
        <w:lastRenderedPageBreak/>
        <w:t>Table 3</w:t>
      </w:r>
      <w:r w:rsidR="00C55681" w:rsidRPr="001F29E3">
        <w:rPr>
          <w:rFonts w:cs="Arial"/>
        </w:rPr>
        <w:t>.</w:t>
      </w:r>
      <w:r w:rsidR="0090660F">
        <w:rPr>
          <w:rFonts w:cs="Arial"/>
        </w:rPr>
        <w:t>9</w:t>
      </w:r>
      <w:r w:rsidR="00C55681" w:rsidRPr="001F29E3">
        <w:rPr>
          <w:rFonts w:cs="Arial"/>
        </w:rPr>
        <w:t xml:space="preserve">: </w:t>
      </w:r>
      <w:r w:rsidR="00AD154B" w:rsidRPr="001F29E3">
        <w:rPr>
          <w:rFonts w:cs="Arial"/>
        </w:rPr>
        <w:t>Government subsidised students in foundation skills courses by age group, 2008-2012, Q1 2012 and Q1 2013</w:t>
      </w:r>
    </w:p>
    <w:p w:rsidR="00FF4BB3" w:rsidRPr="001F29E3" w:rsidRDefault="0090660F" w:rsidP="00A9260A">
      <w:pPr>
        <w:pStyle w:val="Caption"/>
        <w:rPr>
          <w:rFonts w:cs="Arial"/>
        </w:rPr>
      </w:pPr>
      <w:r w:rsidRPr="0090660F">
        <w:rPr>
          <w:noProof/>
          <w:lang w:eastAsia="en-AU"/>
        </w:rPr>
        <w:drawing>
          <wp:inline distT="0" distB="0" distL="0" distR="0" wp14:anchorId="3C14B30F" wp14:editId="01260A1D">
            <wp:extent cx="5760720" cy="1538935"/>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720" cy="1538935"/>
                    </a:xfrm>
                    <a:prstGeom prst="rect">
                      <a:avLst/>
                    </a:prstGeom>
                    <a:noFill/>
                    <a:ln>
                      <a:noFill/>
                    </a:ln>
                  </pic:spPr>
                </pic:pic>
              </a:graphicData>
            </a:graphic>
          </wp:inline>
        </w:drawing>
      </w:r>
    </w:p>
    <w:p w:rsidR="00C55681" w:rsidRPr="001F29E3" w:rsidRDefault="009B6A67" w:rsidP="00A9260A">
      <w:pPr>
        <w:pStyle w:val="Caption"/>
        <w:rPr>
          <w:rFonts w:cs="Arial"/>
        </w:rPr>
      </w:pPr>
      <w:r w:rsidRPr="001F29E3">
        <w:rPr>
          <w:rFonts w:cs="Arial"/>
        </w:rPr>
        <w:t xml:space="preserve"> </w:t>
      </w: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874F18" w:rsidRPr="001F29E3" w:rsidTr="00AD154B">
        <w:trPr>
          <w:trHeight w:val="1449"/>
        </w:trPr>
        <w:tc>
          <w:tcPr>
            <w:tcW w:w="9088" w:type="dxa"/>
          </w:tcPr>
          <w:p w:rsidR="00874F18" w:rsidRPr="001F29E3" w:rsidRDefault="00874F18" w:rsidP="005E4EE6">
            <w:pPr>
              <w:rPr>
                <w:rFonts w:cs="Arial"/>
              </w:rPr>
            </w:pPr>
          </w:p>
          <w:p w:rsidR="00874F18" w:rsidRPr="001F29E3" w:rsidRDefault="00874F18" w:rsidP="00A9260A">
            <w:pPr>
              <w:pStyle w:val="Heading3"/>
            </w:pPr>
            <w:r w:rsidRPr="001F29E3">
              <w:t>Key Points</w:t>
            </w:r>
          </w:p>
          <w:p w:rsidR="00AD154B" w:rsidRPr="001F29E3" w:rsidRDefault="00AD154B" w:rsidP="000B208D">
            <w:pPr>
              <w:pStyle w:val="ListBullet"/>
              <w:numPr>
                <w:ilvl w:val="0"/>
                <w:numId w:val="11"/>
              </w:numPr>
              <w:ind w:right="113"/>
              <w:rPr>
                <w:rFonts w:cs="Arial"/>
              </w:rPr>
            </w:pPr>
            <w:r w:rsidRPr="001F29E3">
              <w:rPr>
                <w:rFonts w:cs="Arial"/>
              </w:rPr>
              <w:t>Despite an overall 7 per cent drop in government subsidised enrolments in Q1 2013 compared to Q1 2012, the number of government subsidised foundation skills course enrolments has continued to increase by 42 per cent over the same period.</w:t>
            </w:r>
          </w:p>
          <w:p w:rsidR="00874F18" w:rsidRPr="001F29E3" w:rsidRDefault="00AD154B" w:rsidP="000B208D">
            <w:pPr>
              <w:pStyle w:val="ListBullet"/>
              <w:numPr>
                <w:ilvl w:val="0"/>
                <w:numId w:val="11"/>
              </w:numPr>
              <w:ind w:right="113"/>
              <w:rPr>
                <w:rFonts w:cs="Arial"/>
              </w:rPr>
            </w:pPr>
            <w:r w:rsidRPr="001F29E3">
              <w:rPr>
                <w:rFonts w:cs="Arial"/>
              </w:rPr>
              <w:t>The highest number of foundation skills course enrolments were within the Certificate I in Vocational Preparation, the Certificate II in General Education for Adults and the Certificate I in General Education for Adults.</w:t>
            </w:r>
          </w:p>
          <w:p w:rsidR="00AD154B" w:rsidRPr="001F29E3" w:rsidRDefault="001F2DCF" w:rsidP="000B208D">
            <w:pPr>
              <w:pStyle w:val="ListBullet"/>
              <w:numPr>
                <w:ilvl w:val="0"/>
                <w:numId w:val="11"/>
              </w:numPr>
              <w:ind w:right="113"/>
              <w:rPr>
                <w:rFonts w:cs="Arial"/>
              </w:rPr>
            </w:pPr>
            <w:r w:rsidRPr="001F29E3">
              <w:rPr>
                <w:rFonts w:cs="Arial"/>
              </w:rPr>
              <w:t>Of students enrolled in a government subsidised foundation skills course</w:t>
            </w:r>
            <w:r w:rsidR="00C96FDE">
              <w:rPr>
                <w:rFonts w:cs="Arial"/>
              </w:rPr>
              <w:t>s</w:t>
            </w:r>
            <w:r w:rsidRPr="001F29E3">
              <w:rPr>
                <w:rFonts w:cs="Arial"/>
              </w:rPr>
              <w:t xml:space="preserve"> i</w:t>
            </w:r>
            <w:r w:rsidR="00AD154B" w:rsidRPr="001F29E3">
              <w:rPr>
                <w:rFonts w:cs="Arial"/>
              </w:rPr>
              <w:t xml:space="preserve">n Q1 2013, </w:t>
            </w:r>
            <w:r w:rsidRPr="001F29E3">
              <w:rPr>
                <w:rFonts w:cs="Arial"/>
              </w:rPr>
              <w:t xml:space="preserve">50 per cent of them were aged between 15 </w:t>
            </w:r>
            <w:r w:rsidR="0090660F">
              <w:rPr>
                <w:rFonts w:cs="Arial"/>
              </w:rPr>
              <w:t>and</w:t>
            </w:r>
            <w:r w:rsidRPr="001F29E3">
              <w:rPr>
                <w:rFonts w:cs="Arial"/>
              </w:rPr>
              <w:t xml:space="preserve"> 24 years. </w:t>
            </w:r>
          </w:p>
          <w:p w:rsidR="001F2DCF" w:rsidRPr="001F29E3" w:rsidRDefault="001F2DCF" w:rsidP="000B208D">
            <w:pPr>
              <w:pStyle w:val="ListBullet"/>
              <w:numPr>
                <w:ilvl w:val="0"/>
                <w:numId w:val="11"/>
              </w:numPr>
              <w:ind w:right="113"/>
              <w:rPr>
                <w:rFonts w:cs="Arial"/>
              </w:rPr>
            </w:pPr>
            <w:r w:rsidRPr="001F29E3">
              <w:rPr>
                <w:rFonts w:cs="Arial"/>
              </w:rPr>
              <w:t>Government subsidised students studying foundation skills courses represented one fifth (21 per cent) of all government subsidised student populations in Q1 2013.</w:t>
            </w:r>
            <w:r w:rsidR="002C240D" w:rsidRPr="001F29E3">
              <w:rPr>
                <w:rFonts w:cs="Arial"/>
              </w:rPr>
              <w:t xml:space="preserve"> </w:t>
            </w:r>
            <w:r w:rsidRPr="001F29E3">
              <w:rPr>
                <w:rFonts w:cs="Arial"/>
              </w:rPr>
              <w:t>It was 13 per cent in Q1 2012.</w:t>
            </w:r>
          </w:p>
          <w:p w:rsidR="001F2DCF" w:rsidRPr="001F29E3" w:rsidRDefault="001F2DCF" w:rsidP="001F2DCF">
            <w:pPr>
              <w:pStyle w:val="ListBullet"/>
              <w:numPr>
                <w:ilvl w:val="0"/>
                <w:numId w:val="0"/>
              </w:numPr>
              <w:ind w:left="473" w:right="113"/>
              <w:rPr>
                <w:rFonts w:cs="Arial"/>
              </w:rPr>
            </w:pPr>
          </w:p>
        </w:tc>
      </w:tr>
    </w:tbl>
    <w:p w:rsidR="00874F18" w:rsidRPr="001F29E3" w:rsidRDefault="00874F18" w:rsidP="005722AB">
      <w:pPr>
        <w:rPr>
          <w:rFonts w:cs="Arial"/>
        </w:rPr>
      </w:pPr>
    </w:p>
    <w:p w:rsidR="00762ED4" w:rsidRPr="001F29E3" w:rsidRDefault="00762ED4" w:rsidP="005722AB">
      <w:pPr>
        <w:rPr>
          <w:rFonts w:cs="Arial"/>
        </w:rPr>
      </w:pPr>
    </w:p>
    <w:p w:rsidR="00566E42" w:rsidRPr="001F29E3" w:rsidRDefault="00566E42">
      <w:pPr>
        <w:spacing w:after="0" w:line="240" w:lineRule="auto"/>
        <w:jc w:val="left"/>
        <w:rPr>
          <w:rFonts w:cs="Arial"/>
        </w:rPr>
      </w:pPr>
      <w:r w:rsidRPr="001F29E3">
        <w:rPr>
          <w:rFonts w:cs="Arial"/>
        </w:rPr>
        <w:br w:type="page"/>
      </w:r>
      <w:bookmarkEnd w:id="57"/>
      <w:bookmarkEnd w:id="58"/>
      <w:bookmarkEnd w:id="82"/>
      <w:bookmarkEnd w:id="83"/>
      <w:bookmarkEnd w:id="84"/>
      <w:bookmarkEnd w:id="85"/>
    </w:p>
    <w:sectPr w:rsidR="00566E42" w:rsidRPr="001F29E3" w:rsidSect="004027ED">
      <w:headerReference w:type="even" r:id="rId75"/>
      <w:headerReference w:type="default" r:id="rId76"/>
      <w:footerReference w:type="even" r:id="rId77"/>
      <w:footerReference w:type="default" r:id="rId78"/>
      <w:headerReference w:type="first" r:id="rId79"/>
      <w:footerReference w:type="first" r:id="rId80"/>
      <w:pgSz w:w="11907" w:h="16840" w:code="9"/>
      <w:pgMar w:top="993" w:right="1134" w:bottom="1418"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8D6" w:rsidRDefault="005C28D6" w:rsidP="00DA3526">
      <w:r>
        <w:separator/>
      </w:r>
    </w:p>
  </w:endnote>
  <w:endnote w:type="continuationSeparator" w:id="0">
    <w:p w:rsidR="005C28D6" w:rsidRDefault="005C28D6" w:rsidP="00DA3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D4" w:rsidRDefault="004856D4" w:rsidP="00DA35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D4" w:rsidRDefault="004856D4" w:rsidP="00DA35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D4" w:rsidRDefault="004856D4" w:rsidP="00DA352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D4" w:rsidRDefault="004856D4" w:rsidP="00DA352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D4" w:rsidRDefault="004856D4" w:rsidP="00DA352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D4" w:rsidRPr="003860F6" w:rsidRDefault="004856D4" w:rsidP="003860F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D4" w:rsidRPr="003860F6" w:rsidRDefault="004856D4" w:rsidP="008E3E14">
    <w:pPr>
      <w:pStyle w:val="Footer"/>
      <w:tabs>
        <w:tab w:val="left" w:pos="0"/>
      </w:tabs>
      <w:jc w:val="both"/>
      <w:rPr>
        <w:b w:val="0"/>
      </w:rPr>
    </w:pPr>
    <w:r w:rsidRPr="003860F6">
      <w:rPr>
        <w:b w:val="0"/>
      </w:rPr>
      <w:fldChar w:fldCharType="begin"/>
    </w:r>
    <w:r w:rsidRPr="003860F6">
      <w:rPr>
        <w:b w:val="0"/>
      </w:rPr>
      <w:instrText xml:space="preserve"> PAGE   \* MERGEFORMAT </w:instrText>
    </w:r>
    <w:r w:rsidRPr="003860F6">
      <w:rPr>
        <w:b w:val="0"/>
      </w:rPr>
      <w:fldChar w:fldCharType="separate"/>
    </w:r>
    <w:r w:rsidR="00810C6E" w:rsidRPr="00810C6E">
      <w:rPr>
        <w:b w:val="0"/>
        <w:bCs/>
        <w:noProof/>
      </w:rPr>
      <w:t>40</w:t>
    </w:r>
    <w:r w:rsidRPr="003860F6">
      <w:rPr>
        <w:b w:val="0"/>
        <w:bCs/>
        <w:noProof/>
      </w:rPr>
      <w:fldChar w:fldCharType="end"/>
    </w:r>
    <w:r w:rsidRPr="003860F6">
      <w:rPr>
        <w:b w:val="0"/>
        <w:bCs/>
        <w:noProof/>
      </w:rPr>
      <w:tab/>
      <w:t xml:space="preserve">Victorian Training Market Quarterly Report </w:t>
    </w:r>
    <w:r>
      <w:rPr>
        <w:b w:val="0"/>
        <w:bCs/>
        <w:noProof/>
      </w:rPr>
      <w:t>Q1 2013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D4" w:rsidRPr="003860F6" w:rsidRDefault="004856D4" w:rsidP="00DA3526">
    <w:pPr>
      <w:pStyle w:val="Footer"/>
      <w:rPr>
        <w:b w:val="0"/>
      </w:rPr>
    </w:pPr>
    <w:r w:rsidRPr="003860F6">
      <w:rPr>
        <w:b w:val="0"/>
      </w:rPr>
      <w:tab/>
      <w:t xml:space="preserve">Victorian Training Market Quarterly Report </w:t>
    </w:r>
    <w:r>
      <w:rPr>
        <w:b w:val="0"/>
      </w:rPr>
      <w:t>Q1 2013</w:t>
    </w:r>
    <w:r w:rsidRPr="003860F6">
      <w:rPr>
        <w:b w:val="0"/>
      </w:rPr>
      <w:tab/>
    </w:r>
    <w:r w:rsidRPr="003860F6">
      <w:rPr>
        <w:b w:val="0"/>
      </w:rPr>
      <w:fldChar w:fldCharType="begin"/>
    </w:r>
    <w:r w:rsidRPr="003860F6">
      <w:rPr>
        <w:b w:val="0"/>
      </w:rPr>
      <w:instrText xml:space="preserve"> PAGE   \* MERGEFORMAT </w:instrText>
    </w:r>
    <w:r w:rsidRPr="003860F6">
      <w:rPr>
        <w:b w:val="0"/>
      </w:rPr>
      <w:fldChar w:fldCharType="separate"/>
    </w:r>
    <w:r w:rsidR="00810C6E" w:rsidRPr="00810C6E">
      <w:rPr>
        <w:b w:val="0"/>
        <w:bCs/>
        <w:noProof/>
      </w:rPr>
      <w:t>41</w:t>
    </w:r>
    <w:r w:rsidRPr="003860F6">
      <w:rPr>
        <w:b w:val="0"/>
        <w:bCs/>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D4" w:rsidRPr="003860F6" w:rsidRDefault="004856D4" w:rsidP="003860F6">
    <w:pPr>
      <w:pStyle w:val="Footer"/>
      <w:rPr>
        <w:b w:val="0"/>
      </w:rPr>
    </w:pPr>
    <w:r w:rsidRPr="003860F6">
      <w:rPr>
        <w:b w:val="0"/>
      </w:rPr>
      <w:tab/>
      <w:t>Victorian Training Market Quarterly Report Full Year 2012</w:t>
    </w:r>
    <w:r w:rsidRPr="003860F6">
      <w:rPr>
        <w:b w:val="0"/>
      </w:rPr>
      <w:tab/>
    </w:r>
    <w:r w:rsidRPr="003860F6">
      <w:rPr>
        <w:b w:val="0"/>
      </w:rPr>
      <w:fldChar w:fldCharType="begin"/>
    </w:r>
    <w:r w:rsidRPr="003860F6">
      <w:rPr>
        <w:b w:val="0"/>
      </w:rPr>
      <w:instrText xml:space="preserve"> PAGE   \* MERGEFORMAT </w:instrText>
    </w:r>
    <w:r w:rsidRPr="003860F6">
      <w:rPr>
        <w:b w:val="0"/>
      </w:rPr>
      <w:fldChar w:fldCharType="separate"/>
    </w:r>
    <w:r w:rsidRPr="004027ED">
      <w:rPr>
        <w:b w:val="0"/>
        <w:bCs/>
        <w:noProof/>
      </w:rPr>
      <w:t>41</w:t>
    </w:r>
    <w:r w:rsidRPr="003860F6">
      <w:rPr>
        <w:b w:val="0"/>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8D6" w:rsidRDefault="005C28D6" w:rsidP="00DA3526">
      <w:r>
        <w:separator/>
      </w:r>
    </w:p>
  </w:footnote>
  <w:footnote w:type="continuationSeparator" w:id="0">
    <w:p w:rsidR="005C28D6" w:rsidRDefault="005C28D6" w:rsidP="00DA3526">
      <w:r>
        <w:continuationSeparator/>
      </w:r>
    </w:p>
  </w:footnote>
  <w:footnote w:id="1">
    <w:p w:rsidR="004856D4" w:rsidRDefault="004856D4">
      <w:pPr>
        <w:pStyle w:val="FootnoteText"/>
      </w:pPr>
      <w:r>
        <w:rPr>
          <w:rStyle w:val="FootnoteReference"/>
        </w:rPr>
        <w:footnoteRef/>
      </w:r>
      <w:r>
        <w:t xml:space="preserve"> </w:t>
      </w:r>
      <w:r w:rsidRPr="00484A61">
        <w:rPr>
          <w:sz w:val="16"/>
          <w:szCs w:val="16"/>
        </w:rPr>
        <w:t xml:space="preserve">TAFE fee for service figures include domestic AQF Level 1 and above.  Refer to </w:t>
      </w:r>
      <w:r>
        <w:rPr>
          <w:sz w:val="16"/>
          <w:szCs w:val="16"/>
        </w:rPr>
        <w:t xml:space="preserve">section on </w:t>
      </w:r>
      <w:r w:rsidRPr="00484A61">
        <w:rPr>
          <w:sz w:val="16"/>
          <w:szCs w:val="16"/>
        </w:rPr>
        <w:t>Reporting scope for further detail.</w:t>
      </w:r>
    </w:p>
  </w:footnote>
  <w:footnote w:id="2">
    <w:p w:rsidR="004856D4" w:rsidRPr="00CF591B" w:rsidRDefault="004856D4">
      <w:pPr>
        <w:pStyle w:val="FootnoteText"/>
        <w:rPr>
          <w:i/>
        </w:rPr>
      </w:pPr>
      <w:r>
        <w:rPr>
          <w:rStyle w:val="FootnoteReference"/>
        </w:rPr>
        <w:footnoteRef/>
      </w:r>
      <w:r>
        <w:t xml:space="preserve"> </w:t>
      </w:r>
      <w:r w:rsidRPr="000C7B63">
        <w:rPr>
          <w:sz w:val="16"/>
          <w:szCs w:val="16"/>
        </w:rPr>
        <w:t xml:space="preserve">The NCVER in their publication </w:t>
      </w:r>
      <w:r w:rsidRPr="000E296F">
        <w:rPr>
          <w:i/>
          <w:sz w:val="16"/>
          <w:szCs w:val="16"/>
        </w:rPr>
        <w:t>APPRENTICES &amp; TRAINEES, Early trend estimates March Quarter 2013</w:t>
      </w:r>
      <w:r w:rsidRPr="000C7B63">
        <w:rPr>
          <w:sz w:val="16"/>
          <w:szCs w:val="16"/>
        </w:rPr>
        <w:t xml:space="preserve">, noted that at a national level </w:t>
      </w:r>
      <w:r>
        <w:rPr>
          <w:sz w:val="16"/>
          <w:szCs w:val="16"/>
        </w:rPr>
        <w:t>“</w:t>
      </w:r>
      <w:r w:rsidRPr="00CF591B">
        <w:rPr>
          <w:i/>
          <w:sz w:val="16"/>
          <w:szCs w:val="16"/>
        </w:rPr>
        <w:t>The substantial growth in non-trade commencements up to the June quarter 2012 and the subsequent decline in the September quarter is predominately due to changes to Commonwealth incentive payments for existing workers, namely the removal of the commencement incentive payment for those apprenticeships and traineeships not on the National Skills Needs List. Under the changes, training needed to have commenced prior to 1 July 2012 to attract the old subsidy rate.</w:t>
      </w:r>
      <w:r>
        <w:rPr>
          <w:i/>
          <w:sz w:val="16"/>
          <w:szCs w:val="16"/>
        </w:rPr>
        <w:t>”</w:t>
      </w:r>
    </w:p>
  </w:footnote>
  <w:footnote w:id="3">
    <w:p w:rsidR="004856D4" w:rsidRPr="00E31B4C" w:rsidRDefault="004856D4" w:rsidP="002E0440">
      <w:r>
        <w:rPr>
          <w:rStyle w:val="FootnoteReference"/>
        </w:rPr>
        <w:footnoteRef/>
      </w:r>
      <w:r>
        <w:t xml:space="preserve"> </w:t>
      </w:r>
      <w:r w:rsidRPr="00F6206A">
        <w:rPr>
          <w:sz w:val="16"/>
          <w:szCs w:val="16"/>
        </w:rPr>
        <w:t xml:space="preserve">Note that a course enrolment indicates an enrolment by a student in specified course at a registered training </w:t>
      </w:r>
      <w:r>
        <w:rPr>
          <w:sz w:val="16"/>
          <w:szCs w:val="16"/>
        </w:rPr>
        <w:t>organisation</w:t>
      </w:r>
      <w:r w:rsidRPr="00F6206A">
        <w:rPr>
          <w:sz w:val="16"/>
          <w:szCs w:val="16"/>
        </w:rPr>
        <w:t xml:space="preserve">. Training hours on the other hand measures the hours taken to deliver training. </w:t>
      </w:r>
      <w:proofErr w:type="gramStart"/>
      <w:r w:rsidRPr="00F6206A">
        <w:rPr>
          <w:sz w:val="16"/>
          <w:szCs w:val="16"/>
        </w:rPr>
        <w:t>Total student hours is</w:t>
      </w:r>
      <w:proofErr w:type="gramEnd"/>
      <w:r w:rsidRPr="00F6206A">
        <w:rPr>
          <w:sz w:val="16"/>
          <w:szCs w:val="16"/>
        </w:rPr>
        <w:t xml:space="preserve"> not </w:t>
      </w:r>
      <w:r>
        <w:rPr>
          <w:sz w:val="16"/>
          <w:szCs w:val="16"/>
        </w:rPr>
        <w:t>an indicator of training provider</w:t>
      </w:r>
      <w:r w:rsidRPr="00F6206A">
        <w:rPr>
          <w:sz w:val="16"/>
          <w:szCs w:val="16"/>
        </w:rPr>
        <w:t xml:space="preserve"> revenue. </w:t>
      </w:r>
    </w:p>
    <w:p w:rsidR="004856D4" w:rsidRDefault="004856D4" w:rsidP="002E0440">
      <w:pPr>
        <w:pStyle w:val="FootnoteText"/>
      </w:pPr>
    </w:p>
  </w:footnote>
  <w:footnote w:id="4">
    <w:p w:rsidR="004856D4" w:rsidRDefault="004856D4" w:rsidP="00BC2184">
      <w:pPr>
        <w:pStyle w:val="FootnoteText"/>
        <w:jc w:val="left"/>
      </w:pPr>
      <w:r>
        <w:rPr>
          <w:rStyle w:val="FootnoteReference"/>
        </w:rPr>
        <w:footnoteRef/>
      </w:r>
      <w:r>
        <w:t xml:space="preserve"> </w:t>
      </w:r>
      <w:r w:rsidRPr="00BC2184">
        <w:rPr>
          <w:sz w:val="16"/>
          <w:szCs w:val="16"/>
        </w:rPr>
        <w:t>Skil</w:t>
      </w:r>
      <w:r>
        <w:rPr>
          <w:sz w:val="16"/>
          <w:szCs w:val="16"/>
        </w:rPr>
        <w:t>l</w:t>
      </w:r>
      <w:r w:rsidRPr="00BC2184">
        <w:rPr>
          <w:sz w:val="16"/>
          <w:szCs w:val="16"/>
        </w:rPr>
        <w:t>s for Australians http://www.dpmc.gov.au/publications/skills_for_all_australians/chapter1_overview.html</w:t>
      </w:r>
    </w:p>
  </w:footnote>
  <w:footnote w:id="5">
    <w:p w:rsidR="004856D4" w:rsidRPr="009855FA" w:rsidRDefault="004856D4">
      <w:pPr>
        <w:pStyle w:val="FootnoteText"/>
        <w:rPr>
          <w:sz w:val="16"/>
          <w:szCs w:val="16"/>
        </w:rPr>
      </w:pPr>
      <w:r>
        <w:rPr>
          <w:rStyle w:val="FootnoteReference"/>
        </w:rPr>
        <w:footnoteRef/>
      </w:r>
      <w:r>
        <w:t xml:space="preserve"> </w:t>
      </w:r>
      <w:r w:rsidRPr="009855FA">
        <w:rPr>
          <w:sz w:val="16"/>
          <w:szCs w:val="16"/>
        </w:rPr>
        <w:t>TAFE domestic fee for service module only enrolments has declined from 12,600 in Q1 2012 to 10,400 in Q1 2013.</w:t>
      </w:r>
    </w:p>
  </w:footnote>
  <w:footnote w:id="6">
    <w:p w:rsidR="004856D4" w:rsidRPr="000C7B63" w:rsidRDefault="004856D4" w:rsidP="00534C20">
      <w:pPr>
        <w:pStyle w:val="FootnoteText"/>
        <w:jc w:val="left"/>
        <w:rPr>
          <w:sz w:val="16"/>
          <w:szCs w:val="16"/>
        </w:rPr>
      </w:pPr>
      <w:r>
        <w:rPr>
          <w:rStyle w:val="FootnoteReference"/>
        </w:rPr>
        <w:footnoteRef/>
      </w:r>
      <w:r>
        <w:t xml:space="preserve"> </w:t>
      </w:r>
      <w:proofErr w:type="spellStart"/>
      <w:proofErr w:type="gramStart"/>
      <w:r w:rsidRPr="000C7B63">
        <w:rPr>
          <w:sz w:val="16"/>
          <w:szCs w:val="16"/>
        </w:rPr>
        <w:t>Karmel</w:t>
      </w:r>
      <w:proofErr w:type="spellEnd"/>
      <w:r w:rsidRPr="000C7B63">
        <w:rPr>
          <w:sz w:val="16"/>
          <w:szCs w:val="16"/>
        </w:rPr>
        <w:t xml:space="preserve">, T. and </w:t>
      </w:r>
      <w:proofErr w:type="spellStart"/>
      <w:r w:rsidRPr="000C7B63">
        <w:rPr>
          <w:sz w:val="16"/>
          <w:szCs w:val="16"/>
        </w:rPr>
        <w:t>Misko</w:t>
      </w:r>
      <w:proofErr w:type="spellEnd"/>
      <w:r w:rsidRPr="000C7B63">
        <w:rPr>
          <w:sz w:val="16"/>
          <w:szCs w:val="16"/>
        </w:rPr>
        <w:t>, J. 2009, p. 3ff.</w:t>
      </w:r>
      <w:proofErr w:type="gramEnd"/>
    </w:p>
  </w:footnote>
  <w:footnote w:id="7">
    <w:p w:rsidR="004856D4" w:rsidRPr="000C7B63" w:rsidRDefault="004856D4" w:rsidP="00286148">
      <w:pPr>
        <w:pStyle w:val="FootnoteText"/>
        <w:rPr>
          <w:sz w:val="16"/>
          <w:szCs w:val="16"/>
        </w:rPr>
      </w:pPr>
      <w:r w:rsidRPr="000C7B63">
        <w:rPr>
          <w:rStyle w:val="FootnoteReference"/>
        </w:rPr>
        <w:footnoteRef/>
      </w:r>
      <w:r w:rsidRPr="000C7B63">
        <w:rPr>
          <w:sz w:val="16"/>
          <w:szCs w:val="16"/>
        </w:rPr>
        <w:t xml:space="preserve"> Commencements data is sourced from the DELTA system used to manage and monitor training contracts. This data was used for this purpose only as the Training Market Quarterly Report is based on VET training activity.</w:t>
      </w:r>
    </w:p>
  </w:footnote>
  <w:footnote w:id="8">
    <w:p w:rsidR="004856D4" w:rsidRPr="000C7B63" w:rsidRDefault="004856D4" w:rsidP="000C7B63">
      <w:pPr>
        <w:pStyle w:val="FootnoteText"/>
        <w:rPr>
          <w:sz w:val="16"/>
          <w:szCs w:val="16"/>
        </w:rPr>
      </w:pPr>
      <w:r w:rsidRPr="000C7B63">
        <w:rPr>
          <w:rStyle w:val="FootnoteReference"/>
        </w:rPr>
        <w:footnoteRef/>
      </w:r>
      <w:r w:rsidRPr="000C7B63">
        <w:rPr>
          <w:rStyle w:val="FootnoteReference"/>
        </w:rPr>
        <w:t xml:space="preserve"> </w:t>
      </w:r>
      <w:r w:rsidRPr="000C7B63">
        <w:rPr>
          <w:sz w:val="16"/>
          <w:szCs w:val="16"/>
        </w:rPr>
        <w:t>Australian Bureau of Statistics</w:t>
      </w:r>
      <w:r>
        <w:rPr>
          <w:sz w:val="16"/>
          <w:szCs w:val="16"/>
        </w:rPr>
        <w:t>,</w:t>
      </w:r>
      <w:r w:rsidRPr="000C7B63">
        <w:rPr>
          <w:sz w:val="16"/>
          <w:szCs w:val="16"/>
        </w:rPr>
        <w:t xml:space="preserve"> Building Activity, Australia, 8752.0 </w:t>
      </w:r>
      <w:proofErr w:type="gramStart"/>
      <w:r w:rsidRPr="000C7B63">
        <w:rPr>
          <w:sz w:val="16"/>
          <w:szCs w:val="16"/>
        </w:rPr>
        <w:t>Table</w:t>
      </w:r>
      <w:proofErr w:type="gramEnd"/>
      <w:r w:rsidRPr="000C7B63">
        <w:rPr>
          <w:sz w:val="16"/>
          <w:szCs w:val="16"/>
        </w:rPr>
        <w:t xml:space="preserve"> 34. Number of Dwelling Unit Commencements by Sector, States and Territories</w:t>
      </w:r>
      <w:r>
        <w:rPr>
          <w:sz w:val="16"/>
          <w:szCs w:val="16"/>
        </w:rPr>
        <w:t>.</w:t>
      </w:r>
    </w:p>
  </w:footnote>
  <w:footnote w:id="9">
    <w:p w:rsidR="004856D4" w:rsidRPr="000C7B63" w:rsidRDefault="004856D4" w:rsidP="00753F00">
      <w:pPr>
        <w:pStyle w:val="FootnoteText"/>
      </w:pPr>
      <w:r w:rsidRPr="000C7B63">
        <w:rPr>
          <w:rStyle w:val="FootnoteReference"/>
        </w:rPr>
        <w:footnoteRef/>
      </w:r>
      <w:r w:rsidRPr="000C7B63">
        <w:rPr>
          <w:sz w:val="16"/>
          <w:szCs w:val="16"/>
        </w:rPr>
        <w:t xml:space="preserve"> The NCVER in their publication APPRENTICES &amp; TRAINEES, Early trend estimates March Quarter 2013, noted that at a national level The substantial growth in non-trade commencements up to the June quarter 2012 and the subsequent decline in the September quarter is predominately due to changes to Commonwealth incentive payments for existing workers, namely the removal of the commencement incentive payment for those apprenticeships and traineeships not on the National Skills Needs List. Under the changes, training needed to have commenced prior to 1 July 2012 to attract the old subsidy rate.</w:t>
      </w:r>
    </w:p>
  </w:footnote>
  <w:footnote w:id="10">
    <w:p w:rsidR="004856D4" w:rsidRDefault="004856D4" w:rsidP="002D49D9">
      <w:pPr>
        <w:pStyle w:val="FootnoteText"/>
        <w:rPr>
          <w:sz w:val="16"/>
          <w:szCs w:val="16"/>
        </w:rPr>
      </w:pPr>
      <w:r>
        <w:rPr>
          <w:rStyle w:val="FootnoteReference"/>
          <w:sz w:val="16"/>
          <w:szCs w:val="16"/>
        </w:rPr>
        <w:footnoteRef/>
      </w:r>
      <w:r>
        <w:rPr>
          <w:sz w:val="16"/>
          <w:szCs w:val="16"/>
        </w:rPr>
        <w:t xml:space="preserve"> Employment and economic output forecasts are derived from Monash </w:t>
      </w:r>
      <w:proofErr w:type="spellStart"/>
      <w:r>
        <w:rPr>
          <w:sz w:val="16"/>
          <w:szCs w:val="16"/>
        </w:rPr>
        <w:t>CoPS</w:t>
      </w:r>
      <w:proofErr w:type="spellEnd"/>
      <w:r>
        <w:rPr>
          <w:sz w:val="16"/>
          <w:szCs w:val="16"/>
        </w:rPr>
        <w:t>, June 2012</w:t>
      </w:r>
    </w:p>
  </w:footnote>
  <w:footnote w:id="11">
    <w:p w:rsidR="004856D4" w:rsidRDefault="004856D4" w:rsidP="002D49D9">
      <w:pPr>
        <w:pStyle w:val="FootnoteText"/>
      </w:pPr>
      <w:r>
        <w:rPr>
          <w:rStyle w:val="FootnoteReference"/>
        </w:rPr>
        <w:footnoteRef/>
      </w:r>
      <w:r>
        <w:t xml:space="preserve"> </w:t>
      </w:r>
      <w:r>
        <w:rPr>
          <w:sz w:val="16"/>
          <w:szCs w:val="16"/>
        </w:rPr>
        <w:t>Economic output is measured as GDP in $ million</w:t>
      </w:r>
    </w:p>
  </w:footnote>
  <w:footnote w:id="12">
    <w:p w:rsidR="004856D4" w:rsidRPr="00D33931" w:rsidRDefault="004856D4" w:rsidP="002D49D9">
      <w:pPr>
        <w:pStyle w:val="FootnoteText"/>
        <w:rPr>
          <w:sz w:val="16"/>
          <w:szCs w:val="16"/>
        </w:rPr>
      </w:pPr>
      <w:r w:rsidRPr="00D33931">
        <w:rPr>
          <w:rStyle w:val="FootnoteReference"/>
          <w:sz w:val="16"/>
          <w:szCs w:val="16"/>
        </w:rPr>
        <w:footnoteRef/>
      </w:r>
      <w:r>
        <w:rPr>
          <w:sz w:val="16"/>
          <w:szCs w:val="16"/>
        </w:rPr>
        <w:t xml:space="preserve"> For analytical purposes, HESG has created a new industry sector that captures those occupations (e.g. project managers) whose skills are applicable across several industries. </w:t>
      </w:r>
      <w:r w:rsidRPr="00D33931">
        <w:rPr>
          <w:sz w:val="16"/>
          <w:szCs w:val="16"/>
        </w:rPr>
        <w:t xml:space="preserve"> </w:t>
      </w:r>
    </w:p>
  </w:footnote>
  <w:footnote w:id="13">
    <w:p w:rsidR="004856D4" w:rsidRDefault="004856D4" w:rsidP="002D49D9">
      <w:pPr>
        <w:pStyle w:val="FootnoteText"/>
      </w:pPr>
      <w:r>
        <w:rPr>
          <w:rStyle w:val="FootnoteReference"/>
        </w:rPr>
        <w:footnoteRef/>
      </w:r>
      <w:r>
        <w:t xml:space="preserve"> </w:t>
      </w:r>
      <w:r>
        <w:rPr>
          <w:sz w:val="16"/>
          <w:szCs w:val="16"/>
        </w:rPr>
        <w:t>Occupations by ABS ANZSCO 4 digit occupational groupings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D4" w:rsidRDefault="004856D4" w:rsidP="00DA35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D4" w:rsidRDefault="004856D4" w:rsidP="00DA35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D4" w:rsidRDefault="004856D4" w:rsidP="00DA352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D4" w:rsidRPr="000C300D" w:rsidRDefault="004856D4" w:rsidP="000C300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D4" w:rsidRPr="000C300D" w:rsidRDefault="004856D4" w:rsidP="000C300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D4" w:rsidRPr="001F29E3" w:rsidRDefault="004856D4" w:rsidP="001B33B8">
    <w:pPr>
      <w:pStyle w:val="TOCTitle"/>
      <w:rPr>
        <w:color w:val="76923C"/>
        <w:lang w:val="en-AU"/>
      </w:rPr>
    </w:pPr>
    <w:r w:rsidRPr="001F29E3">
      <w:rPr>
        <w:color w:val="76923C"/>
      </w:rPr>
      <w:t>Contents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D4" w:rsidRPr="00E60A8C" w:rsidRDefault="004856D4" w:rsidP="00E60A8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D4" w:rsidRPr="00E60A8C" w:rsidRDefault="004856D4" w:rsidP="00E60A8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6D4" w:rsidRPr="008D2D6D" w:rsidRDefault="004856D4" w:rsidP="008D2D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D0052BC"/>
    <w:lvl w:ilvl="0">
      <w:start w:val="1"/>
      <w:numFmt w:val="decimal"/>
      <w:pStyle w:val="ListNumber"/>
      <w:lvlText w:val="%1."/>
      <w:lvlJc w:val="left"/>
      <w:pPr>
        <w:tabs>
          <w:tab w:val="num" w:pos="360"/>
        </w:tabs>
        <w:ind w:left="360" w:hanging="360"/>
      </w:pPr>
      <w:rPr>
        <w:rFonts w:cs="Times New Roman"/>
      </w:rPr>
    </w:lvl>
  </w:abstractNum>
  <w:abstractNum w:abstractNumId="1">
    <w:nsid w:val="FFFFFF89"/>
    <w:multiLevelType w:val="singleLevel"/>
    <w:tmpl w:val="9D88E2C2"/>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5D2F10"/>
    <w:multiLevelType w:val="hybridMultilevel"/>
    <w:tmpl w:val="49165EB8"/>
    <w:lvl w:ilvl="0" w:tplc="20EEAA70">
      <w:start w:val="1"/>
      <w:numFmt w:val="bullet"/>
      <w:lvlText w:val=""/>
      <w:lvlJc w:val="left"/>
      <w:pPr>
        <w:ind w:left="473" w:hanging="360"/>
      </w:pPr>
      <w:rPr>
        <w:rFonts w:ascii="Symbol" w:hAnsi="Symbol" w:hint="default"/>
        <w:b w:val="0"/>
        <w:i w:val="0"/>
        <w:color w:val="76923C" w:themeColor="accent3" w:themeShade="BF"/>
        <w:position w:val="2"/>
        <w:sz w:val="14"/>
      </w:rPr>
    </w:lvl>
    <w:lvl w:ilvl="1" w:tplc="0C090003">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
    <w:nsid w:val="04A31F73"/>
    <w:multiLevelType w:val="hybridMultilevel"/>
    <w:tmpl w:val="6EA66BFC"/>
    <w:lvl w:ilvl="0" w:tplc="2CD08EFA">
      <w:start w:val="1"/>
      <w:numFmt w:val="bullet"/>
      <w:lvlText w:val="•"/>
      <w:lvlJc w:val="left"/>
      <w:pPr>
        <w:tabs>
          <w:tab w:val="num" w:pos="720"/>
        </w:tabs>
        <w:ind w:left="720" w:hanging="360"/>
      </w:pPr>
      <w:rPr>
        <w:rFonts w:ascii="Times New Roman" w:hAnsi="Times New Roman" w:hint="default"/>
      </w:rPr>
    </w:lvl>
    <w:lvl w:ilvl="1" w:tplc="7AFE0166" w:tentative="1">
      <w:start w:val="1"/>
      <w:numFmt w:val="bullet"/>
      <w:lvlText w:val="•"/>
      <w:lvlJc w:val="left"/>
      <w:pPr>
        <w:tabs>
          <w:tab w:val="num" w:pos="1440"/>
        </w:tabs>
        <w:ind w:left="1440" w:hanging="360"/>
      </w:pPr>
      <w:rPr>
        <w:rFonts w:ascii="Times New Roman" w:hAnsi="Times New Roman" w:hint="default"/>
      </w:rPr>
    </w:lvl>
    <w:lvl w:ilvl="2" w:tplc="21BA4BA6" w:tentative="1">
      <w:start w:val="1"/>
      <w:numFmt w:val="bullet"/>
      <w:lvlText w:val="•"/>
      <w:lvlJc w:val="left"/>
      <w:pPr>
        <w:tabs>
          <w:tab w:val="num" w:pos="2160"/>
        </w:tabs>
        <w:ind w:left="2160" w:hanging="360"/>
      </w:pPr>
      <w:rPr>
        <w:rFonts w:ascii="Times New Roman" w:hAnsi="Times New Roman" w:hint="default"/>
      </w:rPr>
    </w:lvl>
    <w:lvl w:ilvl="3" w:tplc="B2D4E808" w:tentative="1">
      <w:start w:val="1"/>
      <w:numFmt w:val="bullet"/>
      <w:lvlText w:val="•"/>
      <w:lvlJc w:val="left"/>
      <w:pPr>
        <w:tabs>
          <w:tab w:val="num" w:pos="2880"/>
        </w:tabs>
        <w:ind w:left="2880" w:hanging="360"/>
      </w:pPr>
      <w:rPr>
        <w:rFonts w:ascii="Times New Roman" w:hAnsi="Times New Roman" w:hint="default"/>
      </w:rPr>
    </w:lvl>
    <w:lvl w:ilvl="4" w:tplc="2B3861D4" w:tentative="1">
      <w:start w:val="1"/>
      <w:numFmt w:val="bullet"/>
      <w:lvlText w:val="•"/>
      <w:lvlJc w:val="left"/>
      <w:pPr>
        <w:tabs>
          <w:tab w:val="num" w:pos="3600"/>
        </w:tabs>
        <w:ind w:left="3600" w:hanging="360"/>
      </w:pPr>
      <w:rPr>
        <w:rFonts w:ascii="Times New Roman" w:hAnsi="Times New Roman" w:hint="default"/>
      </w:rPr>
    </w:lvl>
    <w:lvl w:ilvl="5" w:tplc="64F8E8AA" w:tentative="1">
      <w:start w:val="1"/>
      <w:numFmt w:val="bullet"/>
      <w:lvlText w:val="•"/>
      <w:lvlJc w:val="left"/>
      <w:pPr>
        <w:tabs>
          <w:tab w:val="num" w:pos="4320"/>
        </w:tabs>
        <w:ind w:left="4320" w:hanging="360"/>
      </w:pPr>
      <w:rPr>
        <w:rFonts w:ascii="Times New Roman" w:hAnsi="Times New Roman" w:hint="default"/>
      </w:rPr>
    </w:lvl>
    <w:lvl w:ilvl="6" w:tplc="8730C73A" w:tentative="1">
      <w:start w:val="1"/>
      <w:numFmt w:val="bullet"/>
      <w:lvlText w:val="•"/>
      <w:lvlJc w:val="left"/>
      <w:pPr>
        <w:tabs>
          <w:tab w:val="num" w:pos="5040"/>
        </w:tabs>
        <w:ind w:left="5040" w:hanging="360"/>
      </w:pPr>
      <w:rPr>
        <w:rFonts w:ascii="Times New Roman" w:hAnsi="Times New Roman" w:hint="default"/>
      </w:rPr>
    </w:lvl>
    <w:lvl w:ilvl="7" w:tplc="B652F256" w:tentative="1">
      <w:start w:val="1"/>
      <w:numFmt w:val="bullet"/>
      <w:lvlText w:val="•"/>
      <w:lvlJc w:val="left"/>
      <w:pPr>
        <w:tabs>
          <w:tab w:val="num" w:pos="5760"/>
        </w:tabs>
        <w:ind w:left="5760" w:hanging="360"/>
      </w:pPr>
      <w:rPr>
        <w:rFonts w:ascii="Times New Roman" w:hAnsi="Times New Roman" w:hint="default"/>
      </w:rPr>
    </w:lvl>
    <w:lvl w:ilvl="8" w:tplc="6D0264E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6BB724E"/>
    <w:multiLevelType w:val="singleLevel"/>
    <w:tmpl w:val="44C80BCE"/>
    <w:lvl w:ilvl="0">
      <w:start w:val="1"/>
      <w:numFmt w:val="decimal"/>
      <w:lvlRestart w:val="0"/>
      <w:pStyle w:val="BriefDocParagraph"/>
      <w:lvlText w:val="%1."/>
      <w:lvlJc w:val="left"/>
      <w:pPr>
        <w:tabs>
          <w:tab w:val="num" w:pos="357"/>
        </w:tabs>
        <w:ind w:left="357" w:hanging="357"/>
      </w:pPr>
      <w:rPr>
        <w:rFonts w:hint="default"/>
        <w:b w:val="0"/>
        <w:i w:val="0"/>
        <w:color w:val="auto"/>
        <w:sz w:val="24"/>
        <w:u w:val="none"/>
      </w:rPr>
    </w:lvl>
  </w:abstractNum>
  <w:abstractNum w:abstractNumId="5">
    <w:nsid w:val="120B71D5"/>
    <w:multiLevelType w:val="hybridMultilevel"/>
    <w:tmpl w:val="83306846"/>
    <w:lvl w:ilvl="0" w:tplc="20EEAA70">
      <w:start w:val="1"/>
      <w:numFmt w:val="bullet"/>
      <w:lvlText w:val=""/>
      <w:lvlJc w:val="left"/>
      <w:pPr>
        <w:tabs>
          <w:tab w:val="num" w:pos="113"/>
        </w:tabs>
        <w:ind w:left="227" w:hanging="114"/>
      </w:pPr>
      <w:rPr>
        <w:rFonts w:ascii="Symbol" w:hAnsi="Symbol" w:hint="default"/>
        <w:b w:val="0"/>
        <w:i w:val="0"/>
        <w:color w:val="76923C" w:themeColor="accent3" w:themeShade="BF"/>
        <w:position w:val="2"/>
        <w:sz w:val="1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71A7638"/>
    <w:multiLevelType w:val="hybridMultilevel"/>
    <w:tmpl w:val="45ECC746"/>
    <w:lvl w:ilvl="0" w:tplc="81E80EA0">
      <w:start w:val="1"/>
      <w:numFmt w:val="bullet"/>
      <w:lvlText w:val="•"/>
      <w:lvlJc w:val="left"/>
      <w:pPr>
        <w:tabs>
          <w:tab w:val="num" w:pos="720"/>
        </w:tabs>
        <w:ind w:left="720" w:hanging="360"/>
      </w:pPr>
      <w:rPr>
        <w:rFonts w:ascii="Times New Roman" w:hAnsi="Times New Roman" w:hint="default"/>
      </w:rPr>
    </w:lvl>
    <w:lvl w:ilvl="1" w:tplc="8BDE6F60" w:tentative="1">
      <w:start w:val="1"/>
      <w:numFmt w:val="bullet"/>
      <w:lvlText w:val="•"/>
      <w:lvlJc w:val="left"/>
      <w:pPr>
        <w:tabs>
          <w:tab w:val="num" w:pos="1440"/>
        </w:tabs>
        <w:ind w:left="1440" w:hanging="360"/>
      </w:pPr>
      <w:rPr>
        <w:rFonts w:ascii="Times New Roman" w:hAnsi="Times New Roman" w:hint="default"/>
      </w:rPr>
    </w:lvl>
    <w:lvl w:ilvl="2" w:tplc="3E06E9C0" w:tentative="1">
      <w:start w:val="1"/>
      <w:numFmt w:val="bullet"/>
      <w:lvlText w:val="•"/>
      <w:lvlJc w:val="left"/>
      <w:pPr>
        <w:tabs>
          <w:tab w:val="num" w:pos="2160"/>
        </w:tabs>
        <w:ind w:left="2160" w:hanging="360"/>
      </w:pPr>
      <w:rPr>
        <w:rFonts w:ascii="Times New Roman" w:hAnsi="Times New Roman" w:hint="default"/>
      </w:rPr>
    </w:lvl>
    <w:lvl w:ilvl="3" w:tplc="EBD25BBA" w:tentative="1">
      <w:start w:val="1"/>
      <w:numFmt w:val="bullet"/>
      <w:lvlText w:val="•"/>
      <w:lvlJc w:val="left"/>
      <w:pPr>
        <w:tabs>
          <w:tab w:val="num" w:pos="2880"/>
        </w:tabs>
        <w:ind w:left="2880" w:hanging="360"/>
      </w:pPr>
      <w:rPr>
        <w:rFonts w:ascii="Times New Roman" w:hAnsi="Times New Roman" w:hint="default"/>
      </w:rPr>
    </w:lvl>
    <w:lvl w:ilvl="4" w:tplc="8A4870AE" w:tentative="1">
      <w:start w:val="1"/>
      <w:numFmt w:val="bullet"/>
      <w:lvlText w:val="•"/>
      <w:lvlJc w:val="left"/>
      <w:pPr>
        <w:tabs>
          <w:tab w:val="num" w:pos="3600"/>
        </w:tabs>
        <w:ind w:left="3600" w:hanging="360"/>
      </w:pPr>
      <w:rPr>
        <w:rFonts w:ascii="Times New Roman" w:hAnsi="Times New Roman" w:hint="default"/>
      </w:rPr>
    </w:lvl>
    <w:lvl w:ilvl="5" w:tplc="5D505802" w:tentative="1">
      <w:start w:val="1"/>
      <w:numFmt w:val="bullet"/>
      <w:lvlText w:val="•"/>
      <w:lvlJc w:val="left"/>
      <w:pPr>
        <w:tabs>
          <w:tab w:val="num" w:pos="4320"/>
        </w:tabs>
        <w:ind w:left="4320" w:hanging="360"/>
      </w:pPr>
      <w:rPr>
        <w:rFonts w:ascii="Times New Roman" w:hAnsi="Times New Roman" w:hint="default"/>
      </w:rPr>
    </w:lvl>
    <w:lvl w:ilvl="6" w:tplc="DF101FF4" w:tentative="1">
      <w:start w:val="1"/>
      <w:numFmt w:val="bullet"/>
      <w:lvlText w:val="•"/>
      <w:lvlJc w:val="left"/>
      <w:pPr>
        <w:tabs>
          <w:tab w:val="num" w:pos="5040"/>
        </w:tabs>
        <w:ind w:left="5040" w:hanging="360"/>
      </w:pPr>
      <w:rPr>
        <w:rFonts w:ascii="Times New Roman" w:hAnsi="Times New Roman" w:hint="default"/>
      </w:rPr>
    </w:lvl>
    <w:lvl w:ilvl="7" w:tplc="2B8273E4" w:tentative="1">
      <w:start w:val="1"/>
      <w:numFmt w:val="bullet"/>
      <w:lvlText w:val="•"/>
      <w:lvlJc w:val="left"/>
      <w:pPr>
        <w:tabs>
          <w:tab w:val="num" w:pos="5760"/>
        </w:tabs>
        <w:ind w:left="5760" w:hanging="360"/>
      </w:pPr>
      <w:rPr>
        <w:rFonts w:ascii="Times New Roman" w:hAnsi="Times New Roman" w:hint="default"/>
      </w:rPr>
    </w:lvl>
    <w:lvl w:ilvl="8" w:tplc="7954F57A" w:tentative="1">
      <w:start w:val="1"/>
      <w:numFmt w:val="bullet"/>
      <w:lvlText w:val="•"/>
      <w:lvlJc w:val="left"/>
      <w:pPr>
        <w:tabs>
          <w:tab w:val="num" w:pos="6480"/>
        </w:tabs>
        <w:ind w:left="6480" w:hanging="360"/>
      </w:pPr>
      <w:rPr>
        <w:rFonts w:ascii="Times New Roman" w:hAnsi="Times New Roman" w:hint="default"/>
      </w:rPr>
    </w:lvl>
  </w:abstractNum>
  <w:abstractNum w:abstractNumId="7">
    <w:nsid w:val="21AE3E56"/>
    <w:multiLevelType w:val="hybridMultilevel"/>
    <w:tmpl w:val="673E0E06"/>
    <w:lvl w:ilvl="0" w:tplc="20EEAA70">
      <w:start w:val="1"/>
      <w:numFmt w:val="bullet"/>
      <w:lvlText w:val=""/>
      <w:lvlJc w:val="left"/>
      <w:pPr>
        <w:tabs>
          <w:tab w:val="num" w:pos="113"/>
        </w:tabs>
        <w:ind w:left="227" w:hanging="114"/>
      </w:pPr>
      <w:rPr>
        <w:rFonts w:ascii="Symbol" w:hAnsi="Symbol" w:hint="default"/>
        <w:b w:val="0"/>
        <w:i w:val="0"/>
        <w:color w:val="76923C" w:themeColor="accent3" w:themeShade="BF"/>
        <w:position w:val="2"/>
        <w:sz w:val="1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71F6908"/>
    <w:multiLevelType w:val="hybridMultilevel"/>
    <w:tmpl w:val="3536ADC6"/>
    <w:lvl w:ilvl="0" w:tplc="20EEAA70">
      <w:start w:val="1"/>
      <w:numFmt w:val="bullet"/>
      <w:lvlText w:val=""/>
      <w:lvlJc w:val="left"/>
      <w:pPr>
        <w:ind w:left="473" w:hanging="360"/>
      </w:pPr>
      <w:rPr>
        <w:rFonts w:ascii="Symbol" w:hAnsi="Symbol" w:hint="default"/>
        <w:b w:val="0"/>
        <w:i w:val="0"/>
        <w:color w:val="76923C" w:themeColor="accent3" w:themeShade="BF"/>
        <w:position w:val="2"/>
        <w:sz w:val="14"/>
      </w:rPr>
    </w:lvl>
    <w:lvl w:ilvl="1" w:tplc="20EEAA70">
      <w:start w:val="1"/>
      <w:numFmt w:val="bullet"/>
      <w:lvlText w:val=""/>
      <w:lvlJc w:val="left"/>
      <w:pPr>
        <w:ind w:left="1193" w:hanging="360"/>
      </w:pPr>
      <w:rPr>
        <w:rFonts w:ascii="Symbol" w:hAnsi="Symbol" w:hint="default"/>
        <w:b w:val="0"/>
        <w:i w:val="0"/>
        <w:color w:val="76923C" w:themeColor="accent3" w:themeShade="BF"/>
        <w:position w:val="2"/>
        <w:sz w:val="14"/>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9">
    <w:nsid w:val="45643F75"/>
    <w:multiLevelType w:val="hybridMultilevel"/>
    <w:tmpl w:val="546076AC"/>
    <w:lvl w:ilvl="0" w:tplc="20EEAA70">
      <w:start w:val="1"/>
      <w:numFmt w:val="bullet"/>
      <w:lvlText w:val=""/>
      <w:lvlJc w:val="left"/>
      <w:pPr>
        <w:ind w:left="473" w:hanging="360"/>
      </w:pPr>
      <w:rPr>
        <w:rFonts w:ascii="Symbol" w:hAnsi="Symbol" w:hint="default"/>
        <w:b w:val="0"/>
        <w:i w:val="0"/>
        <w:color w:val="76923C" w:themeColor="accent3" w:themeShade="BF"/>
        <w:position w:val="2"/>
        <w:sz w:val="14"/>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0">
    <w:nsid w:val="456A41E7"/>
    <w:multiLevelType w:val="hybridMultilevel"/>
    <w:tmpl w:val="6ED08D44"/>
    <w:lvl w:ilvl="0" w:tplc="20EEAA70">
      <w:start w:val="1"/>
      <w:numFmt w:val="bullet"/>
      <w:lvlText w:val=""/>
      <w:lvlJc w:val="left"/>
      <w:pPr>
        <w:ind w:left="473" w:hanging="360"/>
      </w:pPr>
      <w:rPr>
        <w:rFonts w:ascii="Symbol" w:hAnsi="Symbol" w:hint="default"/>
        <w:b w:val="0"/>
        <w:i w:val="0"/>
        <w:color w:val="76923C" w:themeColor="accent3" w:themeShade="BF"/>
        <w:position w:val="2"/>
        <w:sz w:val="14"/>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1">
    <w:nsid w:val="4FD14127"/>
    <w:multiLevelType w:val="hybridMultilevel"/>
    <w:tmpl w:val="86E0D002"/>
    <w:lvl w:ilvl="0" w:tplc="954AD51C">
      <w:start w:val="1"/>
      <w:numFmt w:val="bullet"/>
      <w:lvlText w:val="•"/>
      <w:lvlJc w:val="left"/>
      <w:pPr>
        <w:tabs>
          <w:tab w:val="num" w:pos="360"/>
        </w:tabs>
        <w:ind w:left="360" w:hanging="360"/>
      </w:pPr>
      <w:rPr>
        <w:rFonts w:ascii="Times New Roman" w:hAnsi="Times New Roman" w:hint="default"/>
      </w:rPr>
    </w:lvl>
    <w:lvl w:ilvl="1" w:tplc="17B03ABC" w:tentative="1">
      <w:start w:val="1"/>
      <w:numFmt w:val="bullet"/>
      <w:lvlText w:val="•"/>
      <w:lvlJc w:val="left"/>
      <w:pPr>
        <w:tabs>
          <w:tab w:val="num" w:pos="1080"/>
        </w:tabs>
        <w:ind w:left="1080" w:hanging="360"/>
      </w:pPr>
      <w:rPr>
        <w:rFonts w:ascii="Times New Roman" w:hAnsi="Times New Roman" w:hint="default"/>
      </w:rPr>
    </w:lvl>
    <w:lvl w:ilvl="2" w:tplc="C2420ACC" w:tentative="1">
      <w:start w:val="1"/>
      <w:numFmt w:val="bullet"/>
      <w:lvlText w:val="•"/>
      <w:lvlJc w:val="left"/>
      <w:pPr>
        <w:tabs>
          <w:tab w:val="num" w:pos="1800"/>
        </w:tabs>
        <w:ind w:left="1800" w:hanging="360"/>
      </w:pPr>
      <w:rPr>
        <w:rFonts w:ascii="Times New Roman" w:hAnsi="Times New Roman" w:hint="default"/>
      </w:rPr>
    </w:lvl>
    <w:lvl w:ilvl="3" w:tplc="8110A8C6" w:tentative="1">
      <w:start w:val="1"/>
      <w:numFmt w:val="bullet"/>
      <w:lvlText w:val="•"/>
      <w:lvlJc w:val="left"/>
      <w:pPr>
        <w:tabs>
          <w:tab w:val="num" w:pos="2520"/>
        </w:tabs>
        <w:ind w:left="2520" w:hanging="360"/>
      </w:pPr>
      <w:rPr>
        <w:rFonts w:ascii="Times New Roman" w:hAnsi="Times New Roman" w:hint="default"/>
      </w:rPr>
    </w:lvl>
    <w:lvl w:ilvl="4" w:tplc="5380EEC8" w:tentative="1">
      <w:start w:val="1"/>
      <w:numFmt w:val="bullet"/>
      <w:lvlText w:val="•"/>
      <w:lvlJc w:val="left"/>
      <w:pPr>
        <w:tabs>
          <w:tab w:val="num" w:pos="3240"/>
        </w:tabs>
        <w:ind w:left="3240" w:hanging="360"/>
      </w:pPr>
      <w:rPr>
        <w:rFonts w:ascii="Times New Roman" w:hAnsi="Times New Roman" w:hint="default"/>
      </w:rPr>
    </w:lvl>
    <w:lvl w:ilvl="5" w:tplc="1D326E98" w:tentative="1">
      <w:start w:val="1"/>
      <w:numFmt w:val="bullet"/>
      <w:lvlText w:val="•"/>
      <w:lvlJc w:val="left"/>
      <w:pPr>
        <w:tabs>
          <w:tab w:val="num" w:pos="3960"/>
        </w:tabs>
        <w:ind w:left="3960" w:hanging="360"/>
      </w:pPr>
      <w:rPr>
        <w:rFonts w:ascii="Times New Roman" w:hAnsi="Times New Roman" w:hint="default"/>
      </w:rPr>
    </w:lvl>
    <w:lvl w:ilvl="6" w:tplc="14A454EE" w:tentative="1">
      <w:start w:val="1"/>
      <w:numFmt w:val="bullet"/>
      <w:lvlText w:val="•"/>
      <w:lvlJc w:val="left"/>
      <w:pPr>
        <w:tabs>
          <w:tab w:val="num" w:pos="4680"/>
        </w:tabs>
        <w:ind w:left="4680" w:hanging="360"/>
      </w:pPr>
      <w:rPr>
        <w:rFonts w:ascii="Times New Roman" w:hAnsi="Times New Roman" w:hint="default"/>
      </w:rPr>
    </w:lvl>
    <w:lvl w:ilvl="7" w:tplc="C59A2FA2" w:tentative="1">
      <w:start w:val="1"/>
      <w:numFmt w:val="bullet"/>
      <w:lvlText w:val="•"/>
      <w:lvlJc w:val="left"/>
      <w:pPr>
        <w:tabs>
          <w:tab w:val="num" w:pos="5400"/>
        </w:tabs>
        <w:ind w:left="5400" w:hanging="360"/>
      </w:pPr>
      <w:rPr>
        <w:rFonts w:ascii="Times New Roman" w:hAnsi="Times New Roman" w:hint="default"/>
      </w:rPr>
    </w:lvl>
    <w:lvl w:ilvl="8" w:tplc="B6183222" w:tentative="1">
      <w:start w:val="1"/>
      <w:numFmt w:val="bullet"/>
      <w:lvlText w:val="•"/>
      <w:lvlJc w:val="left"/>
      <w:pPr>
        <w:tabs>
          <w:tab w:val="num" w:pos="6120"/>
        </w:tabs>
        <w:ind w:left="6120" w:hanging="360"/>
      </w:pPr>
      <w:rPr>
        <w:rFonts w:ascii="Times New Roman" w:hAnsi="Times New Roman" w:hint="default"/>
      </w:rPr>
    </w:lvl>
  </w:abstractNum>
  <w:abstractNum w:abstractNumId="12">
    <w:nsid w:val="4FEB32A5"/>
    <w:multiLevelType w:val="hybridMultilevel"/>
    <w:tmpl w:val="4E4C12E0"/>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08C2EDA"/>
    <w:multiLevelType w:val="hybridMultilevel"/>
    <w:tmpl w:val="455E876C"/>
    <w:lvl w:ilvl="0" w:tplc="20EEAA70">
      <w:start w:val="1"/>
      <w:numFmt w:val="bullet"/>
      <w:lvlText w:val=""/>
      <w:lvlJc w:val="left"/>
      <w:pPr>
        <w:ind w:left="473" w:hanging="360"/>
      </w:pPr>
      <w:rPr>
        <w:rFonts w:ascii="Symbol" w:hAnsi="Symbol" w:hint="default"/>
        <w:b w:val="0"/>
        <w:i w:val="0"/>
        <w:color w:val="76923C" w:themeColor="accent3" w:themeShade="BF"/>
        <w:position w:val="2"/>
        <w:sz w:val="14"/>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4">
    <w:nsid w:val="611237DD"/>
    <w:multiLevelType w:val="hybridMultilevel"/>
    <w:tmpl w:val="933CE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2143DFC"/>
    <w:multiLevelType w:val="hybridMultilevel"/>
    <w:tmpl w:val="ABA2D370"/>
    <w:lvl w:ilvl="0" w:tplc="FFFFFFFF">
      <w:start w:val="1"/>
      <w:numFmt w:val="bullet"/>
      <w:pStyle w:val="Bulletlist"/>
      <w:lvlText w:val=""/>
      <w:lvlJc w:val="left"/>
      <w:pPr>
        <w:ind w:left="357" w:hanging="357"/>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
    <w:nsid w:val="75627089"/>
    <w:multiLevelType w:val="hybridMultilevel"/>
    <w:tmpl w:val="EBAEF9F8"/>
    <w:lvl w:ilvl="0" w:tplc="20EEAA70">
      <w:start w:val="1"/>
      <w:numFmt w:val="bullet"/>
      <w:lvlText w:val=""/>
      <w:lvlJc w:val="left"/>
      <w:pPr>
        <w:ind w:left="473" w:hanging="360"/>
      </w:pPr>
      <w:rPr>
        <w:rFonts w:ascii="Symbol" w:hAnsi="Symbol" w:hint="default"/>
        <w:b w:val="0"/>
        <w:i w:val="0"/>
        <w:color w:val="76923C" w:themeColor="accent3" w:themeShade="BF"/>
        <w:position w:val="2"/>
        <w:sz w:val="14"/>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7">
    <w:nsid w:val="77543155"/>
    <w:multiLevelType w:val="hybridMultilevel"/>
    <w:tmpl w:val="9C7E3D4A"/>
    <w:lvl w:ilvl="0" w:tplc="20EEAA70">
      <w:start w:val="1"/>
      <w:numFmt w:val="bullet"/>
      <w:lvlText w:val=""/>
      <w:lvlJc w:val="left"/>
      <w:pPr>
        <w:tabs>
          <w:tab w:val="num" w:pos="113"/>
        </w:tabs>
        <w:ind w:left="227" w:hanging="114"/>
      </w:pPr>
      <w:rPr>
        <w:rFonts w:ascii="Symbol" w:hAnsi="Symbol" w:hint="default"/>
        <w:b w:val="0"/>
        <w:i w:val="0"/>
        <w:color w:val="76923C" w:themeColor="accent3" w:themeShade="BF"/>
        <w:position w:val="2"/>
        <w:sz w:val="1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867597F"/>
    <w:multiLevelType w:val="hybridMultilevel"/>
    <w:tmpl w:val="299E1C40"/>
    <w:lvl w:ilvl="0" w:tplc="20EEAA70">
      <w:start w:val="1"/>
      <w:numFmt w:val="bullet"/>
      <w:lvlText w:val=""/>
      <w:lvlJc w:val="left"/>
      <w:pPr>
        <w:ind w:left="473" w:hanging="360"/>
      </w:pPr>
      <w:rPr>
        <w:rFonts w:ascii="Symbol" w:hAnsi="Symbol" w:hint="default"/>
        <w:b w:val="0"/>
        <w:i w:val="0"/>
        <w:color w:val="76923C" w:themeColor="accent3" w:themeShade="BF"/>
        <w:position w:val="2"/>
        <w:sz w:val="14"/>
      </w:rPr>
    </w:lvl>
    <w:lvl w:ilvl="1" w:tplc="0C090003">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9">
    <w:nsid w:val="795B5D29"/>
    <w:multiLevelType w:val="hybridMultilevel"/>
    <w:tmpl w:val="540A892C"/>
    <w:lvl w:ilvl="0" w:tplc="BF14EB0C">
      <w:start w:val="1"/>
      <w:numFmt w:val="bullet"/>
      <w:lvlText w:val="•"/>
      <w:lvlJc w:val="left"/>
      <w:pPr>
        <w:tabs>
          <w:tab w:val="num" w:pos="720"/>
        </w:tabs>
        <w:ind w:left="720" w:hanging="360"/>
      </w:pPr>
      <w:rPr>
        <w:rFonts w:ascii="Times New Roman" w:hAnsi="Times New Roman" w:hint="default"/>
      </w:rPr>
    </w:lvl>
    <w:lvl w:ilvl="1" w:tplc="BB764768" w:tentative="1">
      <w:start w:val="1"/>
      <w:numFmt w:val="bullet"/>
      <w:lvlText w:val="•"/>
      <w:lvlJc w:val="left"/>
      <w:pPr>
        <w:tabs>
          <w:tab w:val="num" w:pos="1440"/>
        </w:tabs>
        <w:ind w:left="1440" w:hanging="360"/>
      </w:pPr>
      <w:rPr>
        <w:rFonts w:ascii="Times New Roman" w:hAnsi="Times New Roman" w:hint="default"/>
      </w:rPr>
    </w:lvl>
    <w:lvl w:ilvl="2" w:tplc="D444EB50" w:tentative="1">
      <w:start w:val="1"/>
      <w:numFmt w:val="bullet"/>
      <w:lvlText w:val="•"/>
      <w:lvlJc w:val="left"/>
      <w:pPr>
        <w:tabs>
          <w:tab w:val="num" w:pos="2160"/>
        </w:tabs>
        <w:ind w:left="2160" w:hanging="360"/>
      </w:pPr>
      <w:rPr>
        <w:rFonts w:ascii="Times New Roman" w:hAnsi="Times New Roman" w:hint="default"/>
      </w:rPr>
    </w:lvl>
    <w:lvl w:ilvl="3" w:tplc="DB2CD5CA" w:tentative="1">
      <w:start w:val="1"/>
      <w:numFmt w:val="bullet"/>
      <w:lvlText w:val="•"/>
      <w:lvlJc w:val="left"/>
      <w:pPr>
        <w:tabs>
          <w:tab w:val="num" w:pos="2880"/>
        </w:tabs>
        <w:ind w:left="2880" w:hanging="360"/>
      </w:pPr>
      <w:rPr>
        <w:rFonts w:ascii="Times New Roman" w:hAnsi="Times New Roman" w:hint="default"/>
      </w:rPr>
    </w:lvl>
    <w:lvl w:ilvl="4" w:tplc="56F2DCE2" w:tentative="1">
      <w:start w:val="1"/>
      <w:numFmt w:val="bullet"/>
      <w:lvlText w:val="•"/>
      <w:lvlJc w:val="left"/>
      <w:pPr>
        <w:tabs>
          <w:tab w:val="num" w:pos="3600"/>
        </w:tabs>
        <w:ind w:left="3600" w:hanging="360"/>
      </w:pPr>
      <w:rPr>
        <w:rFonts w:ascii="Times New Roman" w:hAnsi="Times New Roman" w:hint="default"/>
      </w:rPr>
    </w:lvl>
    <w:lvl w:ilvl="5" w:tplc="77A8FA78" w:tentative="1">
      <w:start w:val="1"/>
      <w:numFmt w:val="bullet"/>
      <w:lvlText w:val="•"/>
      <w:lvlJc w:val="left"/>
      <w:pPr>
        <w:tabs>
          <w:tab w:val="num" w:pos="4320"/>
        </w:tabs>
        <w:ind w:left="4320" w:hanging="360"/>
      </w:pPr>
      <w:rPr>
        <w:rFonts w:ascii="Times New Roman" w:hAnsi="Times New Roman" w:hint="default"/>
      </w:rPr>
    </w:lvl>
    <w:lvl w:ilvl="6" w:tplc="98B2522E" w:tentative="1">
      <w:start w:val="1"/>
      <w:numFmt w:val="bullet"/>
      <w:lvlText w:val="•"/>
      <w:lvlJc w:val="left"/>
      <w:pPr>
        <w:tabs>
          <w:tab w:val="num" w:pos="5040"/>
        </w:tabs>
        <w:ind w:left="5040" w:hanging="360"/>
      </w:pPr>
      <w:rPr>
        <w:rFonts w:ascii="Times New Roman" w:hAnsi="Times New Roman" w:hint="default"/>
      </w:rPr>
    </w:lvl>
    <w:lvl w:ilvl="7" w:tplc="22D81398" w:tentative="1">
      <w:start w:val="1"/>
      <w:numFmt w:val="bullet"/>
      <w:lvlText w:val="•"/>
      <w:lvlJc w:val="left"/>
      <w:pPr>
        <w:tabs>
          <w:tab w:val="num" w:pos="5760"/>
        </w:tabs>
        <w:ind w:left="5760" w:hanging="360"/>
      </w:pPr>
      <w:rPr>
        <w:rFonts w:ascii="Times New Roman" w:hAnsi="Times New Roman" w:hint="default"/>
      </w:rPr>
    </w:lvl>
    <w:lvl w:ilvl="8" w:tplc="1E061B0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A3D4339"/>
    <w:multiLevelType w:val="hybridMultilevel"/>
    <w:tmpl w:val="40543132"/>
    <w:lvl w:ilvl="0" w:tplc="20EEAA70">
      <w:start w:val="1"/>
      <w:numFmt w:val="bullet"/>
      <w:lvlText w:val=""/>
      <w:lvlJc w:val="left"/>
      <w:pPr>
        <w:ind w:left="473" w:hanging="360"/>
      </w:pPr>
      <w:rPr>
        <w:rFonts w:ascii="Symbol" w:hAnsi="Symbol" w:hint="default"/>
        <w:b w:val="0"/>
        <w:i w:val="0"/>
        <w:color w:val="76923C" w:themeColor="accent3" w:themeShade="BF"/>
        <w:position w:val="2"/>
        <w:sz w:val="14"/>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num w:numId="1">
    <w:abstractNumId w:val="0"/>
  </w:num>
  <w:num w:numId="2">
    <w:abstractNumId w:val="1"/>
  </w:num>
  <w:num w:numId="3">
    <w:abstractNumId w:val="15"/>
  </w:num>
  <w:num w:numId="4">
    <w:abstractNumId w:val="4"/>
  </w:num>
  <w:num w:numId="5">
    <w:abstractNumId w:val="13"/>
  </w:num>
  <w:num w:numId="6">
    <w:abstractNumId w:val="20"/>
  </w:num>
  <w:num w:numId="7">
    <w:abstractNumId w:val="16"/>
  </w:num>
  <w:num w:numId="8">
    <w:abstractNumId w:val="10"/>
  </w:num>
  <w:num w:numId="9">
    <w:abstractNumId w:val="18"/>
  </w:num>
  <w:num w:numId="10">
    <w:abstractNumId w:val="9"/>
  </w:num>
  <w:num w:numId="11">
    <w:abstractNumId w:val="2"/>
  </w:num>
  <w:num w:numId="12">
    <w:abstractNumId w:val="12"/>
  </w:num>
  <w:num w:numId="13">
    <w:abstractNumId w:val="17"/>
  </w:num>
  <w:num w:numId="14">
    <w:abstractNumId w:val="8"/>
  </w:num>
  <w:num w:numId="15">
    <w:abstractNumId w:val="11"/>
  </w:num>
  <w:num w:numId="16">
    <w:abstractNumId w:val="6"/>
  </w:num>
  <w:num w:numId="17">
    <w:abstractNumId w:val="3"/>
  </w:num>
  <w:num w:numId="18">
    <w:abstractNumId w:val="19"/>
  </w:num>
  <w:num w:numId="19">
    <w:abstractNumId w:val="9"/>
  </w:num>
  <w:num w:numId="20">
    <w:abstractNumId w:val="14"/>
  </w:num>
  <w:num w:numId="21">
    <w:abstractNumId w:val="5"/>
  </w:num>
  <w:num w:numId="22">
    <w:abstractNumId w:val="7"/>
  </w:num>
  <w:num w:numId="23">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evenAndOddHeaders/>
  <w:characterSpacingControl w:val="doNotCompress"/>
  <w:hdrShapeDefaults>
    <o:shapedefaults v:ext="edit" spidmax="14337">
      <o:colormru v:ext="edit" colors="#06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 w:name="OLE_LINK1" w:val="Empty"/>
    <w:docVar w:name="Start" w:val="Empty"/>
  </w:docVars>
  <w:rsids>
    <w:rsidRoot w:val="00E41976"/>
    <w:rsid w:val="0000098C"/>
    <w:rsid w:val="00000D0B"/>
    <w:rsid w:val="000013BE"/>
    <w:rsid w:val="000021B0"/>
    <w:rsid w:val="000031E0"/>
    <w:rsid w:val="0000359A"/>
    <w:rsid w:val="0000436D"/>
    <w:rsid w:val="00004483"/>
    <w:rsid w:val="0000472C"/>
    <w:rsid w:val="00004E42"/>
    <w:rsid w:val="0000518C"/>
    <w:rsid w:val="000051A6"/>
    <w:rsid w:val="00005927"/>
    <w:rsid w:val="00005DDA"/>
    <w:rsid w:val="00005FBF"/>
    <w:rsid w:val="000073D9"/>
    <w:rsid w:val="00007B81"/>
    <w:rsid w:val="00010F3E"/>
    <w:rsid w:val="000115DF"/>
    <w:rsid w:val="00011895"/>
    <w:rsid w:val="000118FF"/>
    <w:rsid w:val="00011BFC"/>
    <w:rsid w:val="0001237D"/>
    <w:rsid w:val="00012B40"/>
    <w:rsid w:val="00012FB0"/>
    <w:rsid w:val="00013468"/>
    <w:rsid w:val="00013743"/>
    <w:rsid w:val="00013E21"/>
    <w:rsid w:val="00013E95"/>
    <w:rsid w:val="0001470B"/>
    <w:rsid w:val="00014D81"/>
    <w:rsid w:val="00014EAE"/>
    <w:rsid w:val="0001546F"/>
    <w:rsid w:val="000164CE"/>
    <w:rsid w:val="0001663C"/>
    <w:rsid w:val="00016659"/>
    <w:rsid w:val="00016C10"/>
    <w:rsid w:val="00016E03"/>
    <w:rsid w:val="0001799B"/>
    <w:rsid w:val="00017A72"/>
    <w:rsid w:val="00020073"/>
    <w:rsid w:val="00020126"/>
    <w:rsid w:val="00020431"/>
    <w:rsid w:val="000205D5"/>
    <w:rsid w:val="0002073E"/>
    <w:rsid w:val="00021F8F"/>
    <w:rsid w:val="00022B50"/>
    <w:rsid w:val="00022DA7"/>
    <w:rsid w:val="000230B8"/>
    <w:rsid w:val="000230C3"/>
    <w:rsid w:val="00023385"/>
    <w:rsid w:val="000233EF"/>
    <w:rsid w:val="0002436A"/>
    <w:rsid w:val="00024645"/>
    <w:rsid w:val="00024755"/>
    <w:rsid w:val="00024CC6"/>
    <w:rsid w:val="000251FC"/>
    <w:rsid w:val="00025B97"/>
    <w:rsid w:val="0002637D"/>
    <w:rsid w:val="00026A86"/>
    <w:rsid w:val="00026B5B"/>
    <w:rsid w:val="00026DD0"/>
    <w:rsid w:val="00027D3F"/>
    <w:rsid w:val="000301A6"/>
    <w:rsid w:val="000306CE"/>
    <w:rsid w:val="00030839"/>
    <w:rsid w:val="00031A06"/>
    <w:rsid w:val="0003260C"/>
    <w:rsid w:val="00032693"/>
    <w:rsid w:val="00032D7D"/>
    <w:rsid w:val="000331E2"/>
    <w:rsid w:val="00033943"/>
    <w:rsid w:val="00033B5A"/>
    <w:rsid w:val="000344F2"/>
    <w:rsid w:val="000344F3"/>
    <w:rsid w:val="00035605"/>
    <w:rsid w:val="000359AF"/>
    <w:rsid w:val="00036B5A"/>
    <w:rsid w:val="00037113"/>
    <w:rsid w:val="00037144"/>
    <w:rsid w:val="00037779"/>
    <w:rsid w:val="00037C64"/>
    <w:rsid w:val="00037C6F"/>
    <w:rsid w:val="00037E8F"/>
    <w:rsid w:val="00040D76"/>
    <w:rsid w:val="00040DBD"/>
    <w:rsid w:val="000412CE"/>
    <w:rsid w:val="000427B9"/>
    <w:rsid w:val="00044069"/>
    <w:rsid w:val="000445B3"/>
    <w:rsid w:val="0004488C"/>
    <w:rsid w:val="000448F9"/>
    <w:rsid w:val="00044D34"/>
    <w:rsid w:val="00047964"/>
    <w:rsid w:val="00047DB1"/>
    <w:rsid w:val="00047E08"/>
    <w:rsid w:val="00050691"/>
    <w:rsid w:val="00050AA4"/>
    <w:rsid w:val="00050F2B"/>
    <w:rsid w:val="00051C70"/>
    <w:rsid w:val="000530F2"/>
    <w:rsid w:val="000533B6"/>
    <w:rsid w:val="00053D88"/>
    <w:rsid w:val="00053F25"/>
    <w:rsid w:val="000542B4"/>
    <w:rsid w:val="000542BE"/>
    <w:rsid w:val="000544B0"/>
    <w:rsid w:val="00054902"/>
    <w:rsid w:val="00054966"/>
    <w:rsid w:val="00055674"/>
    <w:rsid w:val="000558AC"/>
    <w:rsid w:val="00055924"/>
    <w:rsid w:val="000567FF"/>
    <w:rsid w:val="00056B6C"/>
    <w:rsid w:val="000570D2"/>
    <w:rsid w:val="00060FF1"/>
    <w:rsid w:val="0006144D"/>
    <w:rsid w:val="00062501"/>
    <w:rsid w:val="0006334B"/>
    <w:rsid w:val="00063DD4"/>
    <w:rsid w:val="000650E9"/>
    <w:rsid w:val="0006608D"/>
    <w:rsid w:val="00066151"/>
    <w:rsid w:val="00066191"/>
    <w:rsid w:val="000670AF"/>
    <w:rsid w:val="000674EA"/>
    <w:rsid w:val="00070701"/>
    <w:rsid w:val="0007086C"/>
    <w:rsid w:val="00070EAA"/>
    <w:rsid w:val="00070FBB"/>
    <w:rsid w:val="00071BF5"/>
    <w:rsid w:val="00071E33"/>
    <w:rsid w:val="000723D7"/>
    <w:rsid w:val="00072C85"/>
    <w:rsid w:val="00072E45"/>
    <w:rsid w:val="00073D30"/>
    <w:rsid w:val="0007417A"/>
    <w:rsid w:val="00074714"/>
    <w:rsid w:val="00075AE3"/>
    <w:rsid w:val="00076DD0"/>
    <w:rsid w:val="000778DC"/>
    <w:rsid w:val="0008040B"/>
    <w:rsid w:val="00080CBB"/>
    <w:rsid w:val="00081678"/>
    <w:rsid w:val="00082870"/>
    <w:rsid w:val="00082ACB"/>
    <w:rsid w:val="00082BDC"/>
    <w:rsid w:val="00082F7C"/>
    <w:rsid w:val="000834AF"/>
    <w:rsid w:val="00083B2E"/>
    <w:rsid w:val="00084502"/>
    <w:rsid w:val="000845E1"/>
    <w:rsid w:val="00085687"/>
    <w:rsid w:val="00085CA6"/>
    <w:rsid w:val="00085E8F"/>
    <w:rsid w:val="000866DB"/>
    <w:rsid w:val="00086B12"/>
    <w:rsid w:val="00086BD6"/>
    <w:rsid w:val="00086C04"/>
    <w:rsid w:val="00086DCD"/>
    <w:rsid w:val="000874CB"/>
    <w:rsid w:val="0008750F"/>
    <w:rsid w:val="00090411"/>
    <w:rsid w:val="000904E5"/>
    <w:rsid w:val="0009295E"/>
    <w:rsid w:val="00092C2D"/>
    <w:rsid w:val="00093CFF"/>
    <w:rsid w:val="00093E20"/>
    <w:rsid w:val="00094060"/>
    <w:rsid w:val="00094B73"/>
    <w:rsid w:val="00094C6E"/>
    <w:rsid w:val="0009522F"/>
    <w:rsid w:val="000952D6"/>
    <w:rsid w:val="000955C5"/>
    <w:rsid w:val="00095642"/>
    <w:rsid w:val="000957B5"/>
    <w:rsid w:val="00095D34"/>
    <w:rsid w:val="00095DBA"/>
    <w:rsid w:val="00096336"/>
    <w:rsid w:val="0009644C"/>
    <w:rsid w:val="00096914"/>
    <w:rsid w:val="000A01B4"/>
    <w:rsid w:val="000A0792"/>
    <w:rsid w:val="000A0CD0"/>
    <w:rsid w:val="000A12B3"/>
    <w:rsid w:val="000A1309"/>
    <w:rsid w:val="000A13A9"/>
    <w:rsid w:val="000A191D"/>
    <w:rsid w:val="000A3827"/>
    <w:rsid w:val="000A4428"/>
    <w:rsid w:val="000A4698"/>
    <w:rsid w:val="000A4E9B"/>
    <w:rsid w:val="000A4EAE"/>
    <w:rsid w:val="000A532A"/>
    <w:rsid w:val="000A5C0F"/>
    <w:rsid w:val="000B0008"/>
    <w:rsid w:val="000B07A1"/>
    <w:rsid w:val="000B14A5"/>
    <w:rsid w:val="000B1BA6"/>
    <w:rsid w:val="000B1CF3"/>
    <w:rsid w:val="000B208D"/>
    <w:rsid w:val="000B20BC"/>
    <w:rsid w:val="000B3520"/>
    <w:rsid w:val="000B4033"/>
    <w:rsid w:val="000B4E4D"/>
    <w:rsid w:val="000B5151"/>
    <w:rsid w:val="000B5179"/>
    <w:rsid w:val="000B5372"/>
    <w:rsid w:val="000B5A60"/>
    <w:rsid w:val="000B63C6"/>
    <w:rsid w:val="000B6438"/>
    <w:rsid w:val="000B7190"/>
    <w:rsid w:val="000B7B43"/>
    <w:rsid w:val="000B7EA5"/>
    <w:rsid w:val="000C0A2C"/>
    <w:rsid w:val="000C0A7E"/>
    <w:rsid w:val="000C0C5B"/>
    <w:rsid w:val="000C1100"/>
    <w:rsid w:val="000C1529"/>
    <w:rsid w:val="000C18FC"/>
    <w:rsid w:val="000C1BAF"/>
    <w:rsid w:val="000C1E17"/>
    <w:rsid w:val="000C1F9E"/>
    <w:rsid w:val="000C24B9"/>
    <w:rsid w:val="000C24FB"/>
    <w:rsid w:val="000C300D"/>
    <w:rsid w:val="000C304F"/>
    <w:rsid w:val="000C3C27"/>
    <w:rsid w:val="000C4238"/>
    <w:rsid w:val="000C5656"/>
    <w:rsid w:val="000C6A8B"/>
    <w:rsid w:val="000C6DE2"/>
    <w:rsid w:val="000C7B63"/>
    <w:rsid w:val="000D002C"/>
    <w:rsid w:val="000D0125"/>
    <w:rsid w:val="000D0131"/>
    <w:rsid w:val="000D0F9F"/>
    <w:rsid w:val="000D120A"/>
    <w:rsid w:val="000D1845"/>
    <w:rsid w:val="000D1C15"/>
    <w:rsid w:val="000D1D4F"/>
    <w:rsid w:val="000D26FA"/>
    <w:rsid w:val="000D2D76"/>
    <w:rsid w:val="000D2E28"/>
    <w:rsid w:val="000D3829"/>
    <w:rsid w:val="000D3D11"/>
    <w:rsid w:val="000D42D3"/>
    <w:rsid w:val="000D4602"/>
    <w:rsid w:val="000D4779"/>
    <w:rsid w:val="000D4AE8"/>
    <w:rsid w:val="000D4DEB"/>
    <w:rsid w:val="000D52DF"/>
    <w:rsid w:val="000D5764"/>
    <w:rsid w:val="000D5B80"/>
    <w:rsid w:val="000D61CA"/>
    <w:rsid w:val="000D64A6"/>
    <w:rsid w:val="000D650C"/>
    <w:rsid w:val="000D6B2B"/>
    <w:rsid w:val="000D715B"/>
    <w:rsid w:val="000D7B6E"/>
    <w:rsid w:val="000E03AA"/>
    <w:rsid w:val="000E0614"/>
    <w:rsid w:val="000E15F7"/>
    <w:rsid w:val="000E1C05"/>
    <w:rsid w:val="000E296F"/>
    <w:rsid w:val="000E3913"/>
    <w:rsid w:val="000E5201"/>
    <w:rsid w:val="000E6E19"/>
    <w:rsid w:val="000E6E8E"/>
    <w:rsid w:val="000E7B52"/>
    <w:rsid w:val="000F07BC"/>
    <w:rsid w:val="000F0ED1"/>
    <w:rsid w:val="000F178B"/>
    <w:rsid w:val="000F191C"/>
    <w:rsid w:val="000F2173"/>
    <w:rsid w:val="000F2294"/>
    <w:rsid w:val="000F22B6"/>
    <w:rsid w:val="000F2336"/>
    <w:rsid w:val="000F2530"/>
    <w:rsid w:val="000F39A1"/>
    <w:rsid w:val="000F3BC9"/>
    <w:rsid w:val="000F3E83"/>
    <w:rsid w:val="000F44E9"/>
    <w:rsid w:val="000F48FE"/>
    <w:rsid w:val="000F4DDF"/>
    <w:rsid w:val="000F5582"/>
    <w:rsid w:val="000F5F74"/>
    <w:rsid w:val="000F62B7"/>
    <w:rsid w:val="000F68F8"/>
    <w:rsid w:val="000F6D76"/>
    <w:rsid w:val="000F759A"/>
    <w:rsid w:val="000F7F86"/>
    <w:rsid w:val="00100278"/>
    <w:rsid w:val="0010054C"/>
    <w:rsid w:val="0010169A"/>
    <w:rsid w:val="0010227E"/>
    <w:rsid w:val="00102584"/>
    <w:rsid w:val="001026CE"/>
    <w:rsid w:val="001035B5"/>
    <w:rsid w:val="0010392D"/>
    <w:rsid w:val="00103B14"/>
    <w:rsid w:val="00104DDF"/>
    <w:rsid w:val="00105985"/>
    <w:rsid w:val="00105A2F"/>
    <w:rsid w:val="00105B25"/>
    <w:rsid w:val="00105BAB"/>
    <w:rsid w:val="0010680B"/>
    <w:rsid w:val="00106E8B"/>
    <w:rsid w:val="001070D0"/>
    <w:rsid w:val="001101DB"/>
    <w:rsid w:val="001105A0"/>
    <w:rsid w:val="001108B4"/>
    <w:rsid w:val="001110D9"/>
    <w:rsid w:val="001113D9"/>
    <w:rsid w:val="00111F04"/>
    <w:rsid w:val="00112881"/>
    <w:rsid w:val="00113117"/>
    <w:rsid w:val="001132E2"/>
    <w:rsid w:val="001134F7"/>
    <w:rsid w:val="00113C7D"/>
    <w:rsid w:val="00113E2F"/>
    <w:rsid w:val="001140B2"/>
    <w:rsid w:val="00115ACD"/>
    <w:rsid w:val="00116BB7"/>
    <w:rsid w:val="00116E31"/>
    <w:rsid w:val="0011770A"/>
    <w:rsid w:val="00117EA7"/>
    <w:rsid w:val="0012014F"/>
    <w:rsid w:val="001209A8"/>
    <w:rsid w:val="00120CAF"/>
    <w:rsid w:val="00121063"/>
    <w:rsid w:val="0012135F"/>
    <w:rsid w:val="001219D3"/>
    <w:rsid w:val="00121C7B"/>
    <w:rsid w:val="00121DD8"/>
    <w:rsid w:val="00122529"/>
    <w:rsid w:val="00122755"/>
    <w:rsid w:val="0012276C"/>
    <w:rsid w:val="00122E6C"/>
    <w:rsid w:val="001232DA"/>
    <w:rsid w:val="001238DA"/>
    <w:rsid w:val="0012396C"/>
    <w:rsid w:val="00124F05"/>
    <w:rsid w:val="00125103"/>
    <w:rsid w:val="00125604"/>
    <w:rsid w:val="001256D1"/>
    <w:rsid w:val="00125C24"/>
    <w:rsid w:val="00126689"/>
    <w:rsid w:val="00126CFD"/>
    <w:rsid w:val="00126DCF"/>
    <w:rsid w:val="001273F0"/>
    <w:rsid w:val="001305E3"/>
    <w:rsid w:val="00131DDA"/>
    <w:rsid w:val="0013272D"/>
    <w:rsid w:val="00132BAB"/>
    <w:rsid w:val="00132D85"/>
    <w:rsid w:val="001330E6"/>
    <w:rsid w:val="00133277"/>
    <w:rsid w:val="001333FA"/>
    <w:rsid w:val="001356A6"/>
    <w:rsid w:val="00136BFB"/>
    <w:rsid w:val="001375A4"/>
    <w:rsid w:val="00140050"/>
    <w:rsid w:val="001407BE"/>
    <w:rsid w:val="0014080E"/>
    <w:rsid w:val="00140AAF"/>
    <w:rsid w:val="0014153F"/>
    <w:rsid w:val="001416A5"/>
    <w:rsid w:val="00141912"/>
    <w:rsid w:val="00141A5D"/>
    <w:rsid w:val="001427B0"/>
    <w:rsid w:val="001436DB"/>
    <w:rsid w:val="00143DC7"/>
    <w:rsid w:val="00143FE1"/>
    <w:rsid w:val="001441F7"/>
    <w:rsid w:val="00144A73"/>
    <w:rsid w:val="001473B2"/>
    <w:rsid w:val="00147D01"/>
    <w:rsid w:val="00147F75"/>
    <w:rsid w:val="00150202"/>
    <w:rsid w:val="00150FCA"/>
    <w:rsid w:val="001513CC"/>
    <w:rsid w:val="0015173E"/>
    <w:rsid w:val="00152340"/>
    <w:rsid w:val="00152498"/>
    <w:rsid w:val="00152DF0"/>
    <w:rsid w:val="00153583"/>
    <w:rsid w:val="001540F0"/>
    <w:rsid w:val="00154EFA"/>
    <w:rsid w:val="001551E4"/>
    <w:rsid w:val="001556B6"/>
    <w:rsid w:val="00155ACB"/>
    <w:rsid w:val="00156D17"/>
    <w:rsid w:val="00156E79"/>
    <w:rsid w:val="0015729C"/>
    <w:rsid w:val="00160DBE"/>
    <w:rsid w:val="00160FCC"/>
    <w:rsid w:val="00161236"/>
    <w:rsid w:val="00161629"/>
    <w:rsid w:val="00161755"/>
    <w:rsid w:val="0016179B"/>
    <w:rsid w:val="00162B67"/>
    <w:rsid w:val="00163382"/>
    <w:rsid w:val="001637D2"/>
    <w:rsid w:val="00163DA9"/>
    <w:rsid w:val="00163E95"/>
    <w:rsid w:val="00165031"/>
    <w:rsid w:val="00165A89"/>
    <w:rsid w:val="00165BB3"/>
    <w:rsid w:val="00165D92"/>
    <w:rsid w:val="00165E35"/>
    <w:rsid w:val="001661C5"/>
    <w:rsid w:val="00166CF5"/>
    <w:rsid w:val="00167A07"/>
    <w:rsid w:val="00167B61"/>
    <w:rsid w:val="00170CD7"/>
    <w:rsid w:val="00170D7E"/>
    <w:rsid w:val="00171020"/>
    <w:rsid w:val="00171CC7"/>
    <w:rsid w:val="00171F58"/>
    <w:rsid w:val="00173AE8"/>
    <w:rsid w:val="00175C50"/>
    <w:rsid w:val="00175E2E"/>
    <w:rsid w:val="00180005"/>
    <w:rsid w:val="0018175E"/>
    <w:rsid w:val="00181838"/>
    <w:rsid w:val="00181A4C"/>
    <w:rsid w:val="00182A95"/>
    <w:rsid w:val="00182ACC"/>
    <w:rsid w:val="00183580"/>
    <w:rsid w:val="001836E8"/>
    <w:rsid w:val="00184227"/>
    <w:rsid w:val="00184BF4"/>
    <w:rsid w:val="00184F84"/>
    <w:rsid w:val="00185804"/>
    <w:rsid w:val="001864A9"/>
    <w:rsid w:val="00186E21"/>
    <w:rsid w:val="00187225"/>
    <w:rsid w:val="00187322"/>
    <w:rsid w:val="001877CD"/>
    <w:rsid w:val="001877DC"/>
    <w:rsid w:val="0019011C"/>
    <w:rsid w:val="001904CD"/>
    <w:rsid w:val="001905F7"/>
    <w:rsid w:val="00190CE0"/>
    <w:rsid w:val="00191FD9"/>
    <w:rsid w:val="001920E4"/>
    <w:rsid w:val="00192656"/>
    <w:rsid w:val="00193029"/>
    <w:rsid w:val="0019346B"/>
    <w:rsid w:val="001934C0"/>
    <w:rsid w:val="00193D82"/>
    <w:rsid w:val="0019492E"/>
    <w:rsid w:val="00194B91"/>
    <w:rsid w:val="00194CA3"/>
    <w:rsid w:val="00196041"/>
    <w:rsid w:val="001962EA"/>
    <w:rsid w:val="0019649C"/>
    <w:rsid w:val="00196974"/>
    <w:rsid w:val="0019699B"/>
    <w:rsid w:val="00196EBA"/>
    <w:rsid w:val="00196F19"/>
    <w:rsid w:val="00197A9A"/>
    <w:rsid w:val="001A07BD"/>
    <w:rsid w:val="001A0854"/>
    <w:rsid w:val="001A1AD1"/>
    <w:rsid w:val="001A1E6E"/>
    <w:rsid w:val="001A3458"/>
    <w:rsid w:val="001A40F0"/>
    <w:rsid w:val="001A492A"/>
    <w:rsid w:val="001A4B12"/>
    <w:rsid w:val="001A4CF9"/>
    <w:rsid w:val="001A4FF7"/>
    <w:rsid w:val="001A618D"/>
    <w:rsid w:val="001A65CA"/>
    <w:rsid w:val="001A68E3"/>
    <w:rsid w:val="001A7030"/>
    <w:rsid w:val="001A77DB"/>
    <w:rsid w:val="001B0187"/>
    <w:rsid w:val="001B1F62"/>
    <w:rsid w:val="001B2568"/>
    <w:rsid w:val="001B33B8"/>
    <w:rsid w:val="001B3621"/>
    <w:rsid w:val="001B4775"/>
    <w:rsid w:val="001B5413"/>
    <w:rsid w:val="001B545B"/>
    <w:rsid w:val="001B6171"/>
    <w:rsid w:val="001B723B"/>
    <w:rsid w:val="001B7D17"/>
    <w:rsid w:val="001B7FA5"/>
    <w:rsid w:val="001C02B4"/>
    <w:rsid w:val="001C0387"/>
    <w:rsid w:val="001C0BE7"/>
    <w:rsid w:val="001C10D4"/>
    <w:rsid w:val="001C1596"/>
    <w:rsid w:val="001C1EE7"/>
    <w:rsid w:val="001C215C"/>
    <w:rsid w:val="001C2339"/>
    <w:rsid w:val="001C28DD"/>
    <w:rsid w:val="001C2DDC"/>
    <w:rsid w:val="001C3148"/>
    <w:rsid w:val="001C3505"/>
    <w:rsid w:val="001C3ACD"/>
    <w:rsid w:val="001C6679"/>
    <w:rsid w:val="001C668F"/>
    <w:rsid w:val="001C68E2"/>
    <w:rsid w:val="001C6EFC"/>
    <w:rsid w:val="001C7091"/>
    <w:rsid w:val="001D0AE1"/>
    <w:rsid w:val="001D2792"/>
    <w:rsid w:val="001D2857"/>
    <w:rsid w:val="001D2CF4"/>
    <w:rsid w:val="001D3585"/>
    <w:rsid w:val="001D50D0"/>
    <w:rsid w:val="001D53B5"/>
    <w:rsid w:val="001D599A"/>
    <w:rsid w:val="001D6168"/>
    <w:rsid w:val="001D71CB"/>
    <w:rsid w:val="001D728C"/>
    <w:rsid w:val="001D7560"/>
    <w:rsid w:val="001D759F"/>
    <w:rsid w:val="001E0752"/>
    <w:rsid w:val="001E08B8"/>
    <w:rsid w:val="001E09DD"/>
    <w:rsid w:val="001E21F4"/>
    <w:rsid w:val="001E2B36"/>
    <w:rsid w:val="001E3486"/>
    <w:rsid w:val="001E3686"/>
    <w:rsid w:val="001E3E22"/>
    <w:rsid w:val="001E4A04"/>
    <w:rsid w:val="001E5003"/>
    <w:rsid w:val="001E6395"/>
    <w:rsid w:val="001E7437"/>
    <w:rsid w:val="001E7C6A"/>
    <w:rsid w:val="001F0434"/>
    <w:rsid w:val="001F1847"/>
    <w:rsid w:val="001F1C0D"/>
    <w:rsid w:val="001F240B"/>
    <w:rsid w:val="001F29E3"/>
    <w:rsid w:val="001F2BFB"/>
    <w:rsid w:val="001F2C90"/>
    <w:rsid w:val="001F2DCF"/>
    <w:rsid w:val="001F2FE6"/>
    <w:rsid w:val="001F333F"/>
    <w:rsid w:val="001F3AE1"/>
    <w:rsid w:val="001F3DC5"/>
    <w:rsid w:val="001F4261"/>
    <w:rsid w:val="001F5431"/>
    <w:rsid w:val="001F56DC"/>
    <w:rsid w:val="001F580F"/>
    <w:rsid w:val="001F6116"/>
    <w:rsid w:val="001F63E6"/>
    <w:rsid w:val="001F64A9"/>
    <w:rsid w:val="001F6726"/>
    <w:rsid w:val="001F6C83"/>
    <w:rsid w:val="001F78C1"/>
    <w:rsid w:val="001F7A52"/>
    <w:rsid w:val="001F7C07"/>
    <w:rsid w:val="00200194"/>
    <w:rsid w:val="00200B0F"/>
    <w:rsid w:val="0020110B"/>
    <w:rsid w:val="002014E5"/>
    <w:rsid w:val="00202768"/>
    <w:rsid w:val="00202F23"/>
    <w:rsid w:val="002033D9"/>
    <w:rsid w:val="00204000"/>
    <w:rsid w:val="002044DF"/>
    <w:rsid w:val="00205A58"/>
    <w:rsid w:val="00205A9D"/>
    <w:rsid w:val="00205B50"/>
    <w:rsid w:val="00205EF5"/>
    <w:rsid w:val="0020601B"/>
    <w:rsid w:val="002061AC"/>
    <w:rsid w:val="002065E8"/>
    <w:rsid w:val="0020691A"/>
    <w:rsid w:val="0020796B"/>
    <w:rsid w:val="00207DF0"/>
    <w:rsid w:val="00210422"/>
    <w:rsid w:val="00210774"/>
    <w:rsid w:val="002118B7"/>
    <w:rsid w:val="002124F0"/>
    <w:rsid w:val="002125AB"/>
    <w:rsid w:val="00212E16"/>
    <w:rsid w:val="00213BC5"/>
    <w:rsid w:val="00213C0F"/>
    <w:rsid w:val="00215601"/>
    <w:rsid w:val="0021651B"/>
    <w:rsid w:val="00216B80"/>
    <w:rsid w:val="00217764"/>
    <w:rsid w:val="00220148"/>
    <w:rsid w:val="0022176C"/>
    <w:rsid w:val="00221A72"/>
    <w:rsid w:val="00221E29"/>
    <w:rsid w:val="00222544"/>
    <w:rsid w:val="00222E74"/>
    <w:rsid w:val="00224378"/>
    <w:rsid w:val="00224C3A"/>
    <w:rsid w:val="00224E66"/>
    <w:rsid w:val="00225029"/>
    <w:rsid w:val="002269E2"/>
    <w:rsid w:val="002275C9"/>
    <w:rsid w:val="002277E9"/>
    <w:rsid w:val="002309EA"/>
    <w:rsid w:val="00230E49"/>
    <w:rsid w:val="00231994"/>
    <w:rsid w:val="00231A35"/>
    <w:rsid w:val="00231FD0"/>
    <w:rsid w:val="00232544"/>
    <w:rsid w:val="00232C9F"/>
    <w:rsid w:val="00233202"/>
    <w:rsid w:val="00233C45"/>
    <w:rsid w:val="00233F17"/>
    <w:rsid w:val="00234DB4"/>
    <w:rsid w:val="00235011"/>
    <w:rsid w:val="0023505C"/>
    <w:rsid w:val="002358FE"/>
    <w:rsid w:val="0023598E"/>
    <w:rsid w:val="00236CCD"/>
    <w:rsid w:val="00236DE0"/>
    <w:rsid w:val="00240BA4"/>
    <w:rsid w:val="00240E1B"/>
    <w:rsid w:val="00241BC1"/>
    <w:rsid w:val="0024209D"/>
    <w:rsid w:val="00243EAA"/>
    <w:rsid w:val="00244A97"/>
    <w:rsid w:val="00245864"/>
    <w:rsid w:val="0024706D"/>
    <w:rsid w:val="00247288"/>
    <w:rsid w:val="0024747B"/>
    <w:rsid w:val="00247897"/>
    <w:rsid w:val="002508E9"/>
    <w:rsid w:val="00251094"/>
    <w:rsid w:val="002511BC"/>
    <w:rsid w:val="00251427"/>
    <w:rsid w:val="00252000"/>
    <w:rsid w:val="0025254F"/>
    <w:rsid w:val="002531BA"/>
    <w:rsid w:val="0025463D"/>
    <w:rsid w:val="00255874"/>
    <w:rsid w:val="00256257"/>
    <w:rsid w:val="00256922"/>
    <w:rsid w:val="002571B0"/>
    <w:rsid w:val="0026038D"/>
    <w:rsid w:val="0026109A"/>
    <w:rsid w:val="00261552"/>
    <w:rsid w:val="00261697"/>
    <w:rsid w:val="00261798"/>
    <w:rsid w:val="00261F1A"/>
    <w:rsid w:val="002629BC"/>
    <w:rsid w:val="00262C8A"/>
    <w:rsid w:val="002647C8"/>
    <w:rsid w:val="00265FE3"/>
    <w:rsid w:val="0026607E"/>
    <w:rsid w:val="00267307"/>
    <w:rsid w:val="0027062C"/>
    <w:rsid w:val="00271C2E"/>
    <w:rsid w:val="0027209E"/>
    <w:rsid w:val="002729F7"/>
    <w:rsid w:val="0027429D"/>
    <w:rsid w:val="002744F6"/>
    <w:rsid w:val="002755F5"/>
    <w:rsid w:val="002757F4"/>
    <w:rsid w:val="00275C1F"/>
    <w:rsid w:val="00275E16"/>
    <w:rsid w:val="0027602B"/>
    <w:rsid w:val="002761B6"/>
    <w:rsid w:val="00277A25"/>
    <w:rsid w:val="00277AD8"/>
    <w:rsid w:val="00277F59"/>
    <w:rsid w:val="00280144"/>
    <w:rsid w:val="00281061"/>
    <w:rsid w:val="002819C9"/>
    <w:rsid w:val="0028224E"/>
    <w:rsid w:val="00282704"/>
    <w:rsid w:val="00282D83"/>
    <w:rsid w:val="00284656"/>
    <w:rsid w:val="00285E32"/>
    <w:rsid w:val="00286148"/>
    <w:rsid w:val="002865B6"/>
    <w:rsid w:val="00286B1D"/>
    <w:rsid w:val="0028706F"/>
    <w:rsid w:val="002905B4"/>
    <w:rsid w:val="00291FA1"/>
    <w:rsid w:val="0029325D"/>
    <w:rsid w:val="00294E33"/>
    <w:rsid w:val="00295E3C"/>
    <w:rsid w:val="00296087"/>
    <w:rsid w:val="00296B9A"/>
    <w:rsid w:val="0029718E"/>
    <w:rsid w:val="00297820"/>
    <w:rsid w:val="002A081A"/>
    <w:rsid w:val="002A0921"/>
    <w:rsid w:val="002A15E7"/>
    <w:rsid w:val="002A163D"/>
    <w:rsid w:val="002A1DD0"/>
    <w:rsid w:val="002A1E89"/>
    <w:rsid w:val="002A238F"/>
    <w:rsid w:val="002A3A89"/>
    <w:rsid w:val="002A4123"/>
    <w:rsid w:val="002A41B7"/>
    <w:rsid w:val="002A4AA2"/>
    <w:rsid w:val="002A4E4E"/>
    <w:rsid w:val="002A537E"/>
    <w:rsid w:val="002A55E3"/>
    <w:rsid w:val="002A5A95"/>
    <w:rsid w:val="002A5FE3"/>
    <w:rsid w:val="002A6332"/>
    <w:rsid w:val="002A6C3C"/>
    <w:rsid w:val="002A6E04"/>
    <w:rsid w:val="002A6EE3"/>
    <w:rsid w:val="002A7990"/>
    <w:rsid w:val="002B0508"/>
    <w:rsid w:val="002B055A"/>
    <w:rsid w:val="002B095B"/>
    <w:rsid w:val="002B18E9"/>
    <w:rsid w:val="002B1E62"/>
    <w:rsid w:val="002B1F57"/>
    <w:rsid w:val="002B2550"/>
    <w:rsid w:val="002B3E90"/>
    <w:rsid w:val="002B4702"/>
    <w:rsid w:val="002B4E24"/>
    <w:rsid w:val="002B50EC"/>
    <w:rsid w:val="002B5CF7"/>
    <w:rsid w:val="002B5DD2"/>
    <w:rsid w:val="002B5FFA"/>
    <w:rsid w:val="002B62A0"/>
    <w:rsid w:val="002B6374"/>
    <w:rsid w:val="002B6720"/>
    <w:rsid w:val="002B69CB"/>
    <w:rsid w:val="002C004A"/>
    <w:rsid w:val="002C0587"/>
    <w:rsid w:val="002C076D"/>
    <w:rsid w:val="002C0816"/>
    <w:rsid w:val="002C1ABF"/>
    <w:rsid w:val="002C2116"/>
    <w:rsid w:val="002C21E2"/>
    <w:rsid w:val="002C240D"/>
    <w:rsid w:val="002C369F"/>
    <w:rsid w:val="002C3B6F"/>
    <w:rsid w:val="002C446E"/>
    <w:rsid w:val="002C4BD1"/>
    <w:rsid w:val="002C4DC2"/>
    <w:rsid w:val="002C4E6B"/>
    <w:rsid w:val="002C5A1D"/>
    <w:rsid w:val="002C6B0B"/>
    <w:rsid w:val="002C6C8C"/>
    <w:rsid w:val="002C72F2"/>
    <w:rsid w:val="002C7AC7"/>
    <w:rsid w:val="002C7EC1"/>
    <w:rsid w:val="002D0333"/>
    <w:rsid w:val="002D1565"/>
    <w:rsid w:val="002D16A9"/>
    <w:rsid w:val="002D2025"/>
    <w:rsid w:val="002D21EC"/>
    <w:rsid w:val="002D2F56"/>
    <w:rsid w:val="002D34B0"/>
    <w:rsid w:val="002D3846"/>
    <w:rsid w:val="002D431B"/>
    <w:rsid w:val="002D46C5"/>
    <w:rsid w:val="002D49D9"/>
    <w:rsid w:val="002D4C03"/>
    <w:rsid w:val="002D4C04"/>
    <w:rsid w:val="002D59AD"/>
    <w:rsid w:val="002D5AD5"/>
    <w:rsid w:val="002D5E2B"/>
    <w:rsid w:val="002D6560"/>
    <w:rsid w:val="002D6A3A"/>
    <w:rsid w:val="002D6CA8"/>
    <w:rsid w:val="002D7808"/>
    <w:rsid w:val="002D780B"/>
    <w:rsid w:val="002E0440"/>
    <w:rsid w:val="002E063A"/>
    <w:rsid w:val="002E06A5"/>
    <w:rsid w:val="002E08E3"/>
    <w:rsid w:val="002E1305"/>
    <w:rsid w:val="002E1EF8"/>
    <w:rsid w:val="002E25A1"/>
    <w:rsid w:val="002E2B85"/>
    <w:rsid w:val="002E2F12"/>
    <w:rsid w:val="002E3B01"/>
    <w:rsid w:val="002E3B0C"/>
    <w:rsid w:val="002E48BF"/>
    <w:rsid w:val="002E4C15"/>
    <w:rsid w:val="002E4EF9"/>
    <w:rsid w:val="002E4F0C"/>
    <w:rsid w:val="002E5AA7"/>
    <w:rsid w:val="002E60E2"/>
    <w:rsid w:val="002E6786"/>
    <w:rsid w:val="002E6D1E"/>
    <w:rsid w:val="002E7DBC"/>
    <w:rsid w:val="002F0F44"/>
    <w:rsid w:val="002F1A38"/>
    <w:rsid w:val="002F25A7"/>
    <w:rsid w:val="002F2B7B"/>
    <w:rsid w:val="002F2BA4"/>
    <w:rsid w:val="002F3212"/>
    <w:rsid w:val="002F3C54"/>
    <w:rsid w:val="002F4553"/>
    <w:rsid w:val="002F45D5"/>
    <w:rsid w:val="002F46C0"/>
    <w:rsid w:val="002F6D3E"/>
    <w:rsid w:val="002F7067"/>
    <w:rsid w:val="002F763C"/>
    <w:rsid w:val="002F78AB"/>
    <w:rsid w:val="002F7DB2"/>
    <w:rsid w:val="00300347"/>
    <w:rsid w:val="0030086D"/>
    <w:rsid w:val="00300B10"/>
    <w:rsid w:val="00300BBC"/>
    <w:rsid w:val="00301197"/>
    <w:rsid w:val="003013F7"/>
    <w:rsid w:val="00301FDF"/>
    <w:rsid w:val="003037E5"/>
    <w:rsid w:val="003040D5"/>
    <w:rsid w:val="00304358"/>
    <w:rsid w:val="00304C92"/>
    <w:rsid w:val="00305146"/>
    <w:rsid w:val="003054BD"/>
    <w:rsid w:val="00305555"/>
    <w:rsid w:val="003057F1"/>
    <w:rsid w:val="00307014"/>
    <w:rsid w:val="00307966"/>
    <w:rsid w:val="00307A13"/>
    <w:rsid w:val="0031016D"/>
    <w:rsid w:val="00310751"/>
    <w:rsid w:val="00310976"/>
    <w:rsid w:val="00310BCF"/>
    <w:rsid w:val="00310C91"/>
    <w:rsid w:val="00311256"/>
    <w:rsid w:val="00311297"/>
    <w:rsid w:val="00311660"/>
    <w:rsid w:val="003117F3"/>
    <w:rsid w:val="00311A2E"/>
    <w:rsid w:val="00311EAD"/>
    <w:rsid w:val="00312808"/>
    <w:rsid w:val="00312A9E"/>
    <w:rsid w:val="00312DC6"/>
    <w:rsid w:val="00313625"/>
    <w:rsid w:val="00313A94"/>
    <w:rsid w:val="0031418F"/>
    <w:rsid w:val="003144B4"/>
    <w:rsid w:val="003149B8"/>
    <w:rsid w:val="003152CC"/>
    <w:rsid w:val="00315C21"/>
    <w:rsid w:val="00316D7F"/>
    <w:rsid w:val="003178E7"/>
    <w:rsid w:val="0032113E"/>
    <w:rsid w:val="00321F8E"/>
    <w:rsid w:val="0032249D"/>
    <w:rsid w:val="0032509B"/>
    <w:rsid w:val="00325C60"/>
    <w:rsid w:val="0032652B"/>
    <w:rsid w:val="00326E20"/>
    <w:rsid w:val="00327020"/>
    <w:rsid w:val="003274DF"/>
    <w:rsid w:val="00327A82"/>
    <w:rsid w:val="00327B56"/>
    <w:rsid w:val="00330167"/>
    <w:rsid w:val="0033017F"/>
    <w:rsid w:val="003318B2"/>
    <w:rsid w:val="00331A90"/>
    <w:rsid w:val="00333FF8"/>
    <w:rsid w:val="003371E0"/>
    <w:rsid w:val="003402E1"/>
    <w:rsid w:val="003404F2"/>
    <w:rsid w:val="003419D9"/>
    <w:rsid w:val="00341BDE"/>
    <w:rsid w:val="0034225C"/>
    <w:rsid w:val="0034233A"/>
    <w:rsid w:val="003427AB"/>
    <w:rsid w:val="00342B0F"/>
    <w:rsid w:val="00342CAF"/>
    <w:rsid w:val="003432FF"/>
    <w:rsid w:val="0034339A"/>
    <w:rsid w:val="00343F58"/>
    <w:rsid w:val="00345224"/>
    <w:rsid w:val="00347B09"/>
    <w:rsid w:val="00347E13"/>
    <w:rsid w:val="00347EB8"/>
    <w:rsid w:val="0035036D"/>
    <w:rsid w:val="003503D9"/>
    <w:rsid w:val="00350D29"/>
    <w:rsid w:val="00350D9B"/>
    <w:rsid w:val="00350E35"/>
    <w:rsid w:val="00351166"/>
    <w:rsid w:val="003518C2"/>
    <w:rsid w:val="00351DE9"/>
    <w:rsid w:val="00352375"/>
    <w:rsid w:val="00352617"/>
    <w:rsid w:val="003535F3"/>
    <w:rsid w:val="00354108"/>
    <w:rsid w:val="003547D7"/>
    <w:rsid w:val="003556C8"/>
    <w:rsid w:val="00355DDA"/>
    <w:rsid w:val="00356319"/>
    <w:rsid w:val="003564AE"/>
    <w:rsid w:val="003564F4"/>
    <w:rsid w:val="00356959"/>
    <w:rsid w:val="00356ED9"/>
    <w:rsid w:val="00357518"/>
    <w:rsid w:val="00360460"/>
    <w:rsid w:val="00360951"/>
    <w:rsid w:val="00360FE6"/>
    <w:rsid w:val="003612E2"/>
    <w:rsid w:val="00361689"/>
    <w:rsid w:val="00361DA1"/>
    <w:rsid w:val="00361E44"/>
    <w:rsid w:val="003626BB"/>
    <w:rsid w:val="00362E51"/>
    <w:rsid w:val="00363B35"/>
    <w:rsid w:val="003642AD"/>
    <w:rsid w:val="0036442C"/>
    <w:rsid w:val="003648EF"/>
    <w:rsid w:val="00364A12"/>
    <w:rsid w:val="003655F4"/>
    <w:rsid w:val="00365806"/>
    <w:rsid w:val="003659C6"/>
    <w:rsid w:val="00366161"/>
    <w:rsid w:val="003669B4"/>
    <w:rsid w:val="00366ACC"/>
    <w:rsid w:val="003670E8"/>
    <w:rsid w:val="00367436"/>
    <w:rsid w:val="00367A84"/>
    <w:rsid w:val="00367E19"/>
    <w:rsid w:val="00367FDB"/>
    <w:rsid w:val="00370B87"/>
    <w:rsid w:val="003722DF"/>
    <w:rsid w:val="00372D4B"/>
    <w:rsid w:val="003746F8"/>
    <w:rsid w:val="00375752"/>
    <w:rsid w:val="003757C0"/>
    <w:rsid w:val="00375C94"/>
    <w:rsid w:val="00375DDA"/>
    <w:rsid w:val="00375EFF"/>
    <w:rsid w:val="00375F7F"/>
    <w:rsid w:val="003760F5"/>
    <w:rsid w:val="003764F2"/>
    <w:rsid w:val="0037746F"/>
    <w:rsid w:val="003778A9"/>
    <w:rsid w:val="00377AAA"/>
    <w:rsid w:val="003801EA"/>
    <w:rsid w:val="00382204"/>
    <w:rsid w:val="00382343"/>
    <w:rsid w:val="0038243B"/>
    <w:rsid w:val="00382960"/>
    <w:rsid w:val="00383942"/>
    <w:rsid w:val="00383CF6"/>
    <w:rsid w:val="00383D02"/>
    <w:rsid w:val="00384885"/>
    <w:rsid w:val="00384BC2"/>
    <w:rsid w:val="00385DBA"/>
    <w:rsid w:val="00385F2D"/>
    <w:rsid w:val="003860F6"/>
    <w:rsid w:val="003863F2"/>
    <w:rsid w:val="003866C5"/>
    <w:rsid w:val="00386BFA"/>
    <w:rsid w:val="00387472"/>
    <w:rsid w:val="003878D5"/>
    <w:rsid w:val="00390092"/>
    <w:rsid w:val="003900F7"/>
    <w:rsid w:val="003903C9"/>
    <w:rsid w:val="0039055D"/>
    <w:rsid w:val="003906CE"/>
    <w:rsid w:val="0039072E"/>
    <w:rsid w:val="003927AA"/>
    <w:rsid w:val="00392DAC"/>
    <w:rsid w:val="003938FB"/>
    <w:rsid w:val="0039410E"/>
    <w:rsid w:val="003941C8"/>
    <w:rsid w:val="00394A7B"/>
    <w:rsid w:val="00394A8E"/>
    <w:rsid w:val="00395242"/>
    <w:rsid w:val="003962B9"/>
    <w:rsid w:val="00397AF4"/>
    <w:rsid w:val="00397C0D"/>
    <w:rsid w:val="00397C95"/>
    <w:rsid w:val="003A05AD"/>
    <w:rsid w:val="003A0804"/>
    <w:rsid w:val="003A0C8E"/>
    <w:rsid w:val="003A0CB7"/>
    <w:rsid w:val="003A15C4"/>
    <w:rsid w:val="003A17A6"/>
    <w:rsid w:val="003A1BA5"/>
    <w:rsid w:val="003A3628"/>
    <w:rsid w:val="003A388D"/>
    <w:rsid w:val="003A3ECA"/>
    <w:rsid w:val="003A40A9"/>
    <w:rsid w:val="003A4F95"/>
    <w:rsid w:val="003A595B"/>
    <w:rsid w:val="003A7C35"/>
    <w:rsid w:val="003B04EA"/>
    <w:rsid w:val="003B0532"/>
    <w:rsid w:val="003B0652"/>
    <w:rsid w:val="003B0D06"/>
    <w:rsid w:val="003B33FB"/>
    <w:rsid w:val="003B3C27"/>
    <w:rsid w:val="003B3CA3"/>
    <w:rsid w:val="003B3E17"/>
    <w:rsid w:val="003B46B0"/>
    <w:rsid w:val="003B49B6"/>
    <w:rsid w:val="003B4B6C"/>
    <w:rsid w:val="003B4D63"/>
    <w:rsid w:val="003B4EE7"/>
    <w:rsid w:val="003B57CE"/>
    <w:rsid w:val="003B5967"/>
    <w:rsid w:val="003B5B55"/>
    <w:rsid w:val="003B5CC2"/>
    <w:rsid w:val="003B6005"/>
    <w:rsid w:val="003B6A37"/>
    <w:rsid w:val="003B716D"/>
    <w:rsid w:val="003B7A52"/>
    <w:rsid w:val="003B7A75"/>
    <w:rsid w:val="003C1D94"/>
    <w:rsid w:val="003C3503"/>
    <w:rsid w:val="003C3779"/>
    <w:rsid w:val="003C3DFD"/>
    <w:rsid w:val="003C3EAC"/>
    <w:rsid w:val="003C4E57"/>
    <w:rsid w:val="003C531F"/>
    <w:rsid w:val="003C60A4"/>
    <w:rsid w:val="003C638E"/>
    <w:rsid w:val="003C64BD"/>
    <w:rsid w:val="003C6826"/>
    <w:rsid w:val="003C6BC3"/>
    <w:rsid w:val="003C70E2"/>
    <w:rsid w:val="003C7F25"/>
    <w:rsid w:val="003D01DF"/>
    <w:rsid w:val="003D04A5"/>
    <w:rsid w:val="003D0B77"/>
    <w:rsid w:val="003D127A"/>
    <w:rsid w:val="003D1B11"/>
    <w:rsid w:val="003D1F0F"/>
    <w:rsid w:val="003D2C28"/>
    <w:rsid w:val="003D2DB4"/>
    <w:rsid w:val="003D356E"/>
    <w:rsid w:val="003D428F"/>
    <w:rsid w:val="003D467A"/>
    <w:rsid w:val="003D5467"/>
    <w:rsid w:val="003D5B53"/>
    <w:rsid w:val="003D5F27"/>
    <w:rsid w:val="003D6709"/>
    <w:rsid w:val="003D6ABC"/>
    <w:rsid w:val="003D6F84"/>
    <w:rsid w:val="003D7231"/>
    <w:rsid w:val="003D73F7"/>
    <w:rsid w:val="003D73FD"/>
    <w:rsid w:val="003D74FD"/>
    <w:rsid w:val="003D7663"/>
    <w:rsid w:val="003E1293"/>
    <w:rsid w:val="003E15DC"/>
    <w:rsid w:val="003E1898"/>
    <w:rsid w:val="003E26CF"/>
    <w:rsid w:val="003E2B4C"/>
    <w:rsid w:val="003E307C"/>
    <w:rsid w:val="003E325C"/>
    <w:rsid w:val="003E3A06"/>
    <w:rsid w:val="003E5729"/>
    <w:rsid w:val="003E5C73"/>
    <w:rsid w:val="003E5E52"/>
    <w:rsid w:val="003E6C12"/>
    <w:rsid w:val="003E7198"/>
    <w:rsid w:val="003E7502"/>
    <w:rsid w:val="003F0817"/>
    <w:rsid w:val="003F0B1F"/>
    <w:rsid w:val="003F0B8D"/>
    <w:rsid w:val="003F0BDE"/>
    <w:rsid w:val="003F0C71"/>
    <w:rsid w:val="003F173C"/>
    <w:rsid w:val="003F2BBB"/>
    <w:rsid w:val="003F3426"/>
    <w:rsid w:val="003F3ABA"/>
    <w:rsid w:val="003F3CC5"/>
    <w:rsid w:val="003F3F47"/>
    <w:rsid w:val="003F545E"/>
    <w:rsid w:val="003F5D03"/>
    <w:rsid w:val="004004B6"/>
    <w:rsid w:val="00400E32"/>
    <w:rsid w:val="004014B2"/>
    <w:rsid w:val="00401A98"/>
    <w:rsid w:val="004027ED"/>
    <w:rsid w:val="00402AE8"/>
    <w:rsid w:val="00402BA7"/>
    <w:rsid w:val="00403DC4"/>
    <w:rsid w:val="00404AB0"/>
    <w:rsid w:val="00405349"/>
    <w:rsid w:val="00405B55"/>
    <w:rsid w:val="00405CF2"/>
    <w:rsid w:val="0040635F"/>
    <w:rsid w:val="004067B5"/>
    <w:rsid w:val="00407310"/>
    <w:rsid w:val="0040743A"/>
    <w:rsid w:val="00407A28"/>
    <w:rsid w:val="0041083F"/>
    <w:rsid w:val="004111E3"/>
    <w:rsid w:val="00411DEF"/>
    <w:rsid w:val="00412284"/>
    <w:rsid w:val="00413203"/>
    <w:rsid w:val="0041429C"/>
    <w:rsid w:val="004145B9"/>
    <w:rsid w:val="004155CE"/>
    <w:rsid w:val="00416B67"/>
    <w:rsid w:val="00416D6F"/>
    <w:rsid w:val="00422EC5"/>
    <w:rsid w:val="00423423"/>
    <w:rsid w:val="00424363"/>
    <w:rsid w:val="00424EFC"/>
    <w:rsid w:val="00425450"/>
    <w:rsid w:val="004257C4"/>
    <w:rsid w:val="00426252"/>
    <w:rsid w:val="00426650"/>
    <w:rsid w:val="0042760E"/>
    <w:rsid w:val="00427E55"/>
    <w:rsid w:val="004302D8"/>
    <w:rsid w:val="00430A43"/>
    <w:rsid w:val="00431768"/>
    <w:rsid w:val="004319EB"/>
    <w:rsid w:val="00431D26"/>
    <w:rsid w:val="0043232D"/>
    <w:rsid w:val="004324BC"/>
    <w:rsid w:val="00432790"/>
    <w:rsid w:val="00433312"/>
    <w:rsid w:val="00433A3A"/>
    <w:rsid w:val="00434144"/>
    <w:rsid w:val="00434910"/>
    <w:rsid w:val="00434EEF"/>
    <w:rsid w:val="00435B9E"/>
    <w:rsid w:val="00435D95"/>
    <w:rsid w:val="00436827"/>
    <w:rsid w:val="0044026D"/>
    <w:rsid w:val="00441483"/>
    <w:rsid w:val="00442CBB"/>
    <w:rsid w:val="00442DEB"/>
    <w:rsid w:val="00443212"/>
    <w:rsid w:val="00443529"/>
    <w:rsid w:val="0044360F"/>
    <w:rsid w:val="0044425D"/>
    <w:rsid w:val="004461F5"/>
    <w:rsid w:val="00446AF0"/>
    <w:rsid w:val="0044708C"/>
    <w:rsid w:val="004478B6"/>
    <w:rsid w:val="0045005D"/>
    <w:rsid w:val="0045041A"/>
    <w:rsid w:val="004504D4"/>
    <w:rsid w:val="00451109"/>
    <w:rsid w:val="004512E2"/>
    <w:rsid w:val="00451A20"/>
    <w:rsid w:val="00451C98"/>
    <w:rsid w:val="00451CF6"/>
    <w:rsid w:val="00452698"/>
    <w:rsid w:val="00452C40"/>
    <w:rsid w:val="00452EAA"/>
    <w:rsid w:val="00454034"/>
    <w:rsid w:val="004543E3"/>
    <w:rsid w:val="0045471B"/>
    <w:rsid w:val="0045523F"/>
    <w:rsid w:val="00455A42"/>
    <w:rsid w:val="00455AA2"/>
    <w:rsid w:val="004571B4"/>
    <w:rsid w:val="00457E38"/>
    <w:rsid w:val="00462358"/>
    <w:rsid w:val="0046280E"/>
    <w:rsid w:val="004635B1"/>
    <w:rsid w:val="00463D64"/>
    <w:rsid w:val="00463D85"/>
    <w:rsid w:val="00466C7C"/>
    <w:rsid w:val="00466E1B"/>
    <w:rsid w:val="0046736F"/>
    <w:rsid w:val="00467A90"/>
    <w:rsid w:val="00467F90"/>
    <w:rsid w:val="00471FC1"/>
    <w:rsid w:val="0047390C"/>
    <w:rsid w:val="00473E16"/>
    <w:rsid w:val="00473FF6"/>
    <w:rsid w:val="00474605"/>
    <w:rsid w:val="00475213"/>
    <w:rsid w:val="0047523E"/>
    <w:rsid w:val="00475A9C"/>
    <w:rsid w:val="00476107"/>
    <w:rsid w:val="0047660A"/>
    <w:rsid w:val="004771F6"/>
    <w:rsid w:val="00480283"/>
    <w:rsid w:val="004802BD"/>
    <w:rsid w:val="00480446"/>
    <w:rsid w:val="004807D9"/>
    <w:rsid w:val="00480A1C"/>
    <w:rsid w:val="00480AFA"/>
    <w:rsid w:val="00480B3B"/>
    <w:rsid w:val="00480D54"/>
    <w:rsid w:val="004816EE"/>
    <w:rsid w:val="004833EF"/>
    <w:rsid w:val="00483582"/>
    <w:rsid w:val="00483ED3"/>
    <w:rsid w:val="00484338"/>
    <w:rsid w:val="00484A61"/>
    <w:rsid w:val="00485115"/>
    <w:rsid w:val="00485168"/>
    <w:rsid w:val="004851B2"/>
    <w:rsid w:val="004855FD"/>
    <w:rsid w:val="004856D4"/>
    <w:rsid w:val="00485841"/>
    <w:rsid w:val="00485899"/>
    <w:rsid w:val="0048612D"/>
    <w:rsid w:val="00486FB5"/>
    <w:rsid w:val="00487041"/>
    <w:rsid w:val="004873CA"/>
    <w:rsid w:val="0048755D"/>
    <w:rsid w:val="00487BE6"/>
    <w:rsid w:val="004907C4"/>
    <w:rsid w:val="004909DC"/>
    <w:rsid w:val="00490EA6"/>
    <w:rsid w:val="00491308"/>
    <w:rsid w:val="004914CF"/>
    <w:rsid w:val="00491822"/>
    <w:rsid w:val="00492955"/>
    <w:rsid w:val="0049336A"/>
    <w:rsid w:val="00493A15"/>
    <w:rsid w:val="004942B7"/>
    <w:rsid w:val="00494659"/>
    <w:rsid w:val="004946DA"/>
    <w:rsid w:val="004957F9"/>
    <w:rsid w:val="00495A64"/>
    <w:rsid w:val="0049613A"/>
    <w:rsid w:val="0049626A"/>
    <w:rsid w:val="004972C3"/>
    <w:rsid w:val="00497809"/>
    <w:rsid w:val="00497C8C"/>
    <w:rsid w:val="004A0779"/>
    <w:rsid w:val="004A0863"/>
    <w:rsid w:val="004A08A6"/>
    <w:rsid w:val="004A0B59"/>
    <w:rsid w:val="004A0BA6"/>
    <w:rsid w:val="004A1216"/>
    <w:rsid w:val="004A374A"/>
    <w:rsid w:val="004A379C"/>
    <w:rsid w:val="004A4330"/>
    <w:rsid w:val="004A4862"/>
    <w:rsid w:val="004A4DCD"/>
    <w:rsid w:val="004A60D7"/>
    <w:rsid w:val="004A6167"/>
    <w:rsid w:val="004A63A7"/>
    <w:rsid w:val="004A7171"/>
    <w:rsid w:val="004B0AE6"/>
    <w:rsid w:val="004B19DE"/>
    <w:rsid w:val="004B2BBC"/>
    <w:rsid w:val="004B328B"/>
    <w:rsid w:val="004B383A"/>
    <w:rsid w:val="004B3B2C"/>
    <w:rsid w:val="004B4665"/>
    <w:rsid w:val="004B47B3"/>
    <w:rsid w:val="004B47BB"/>
    <w:rsid w:val="004B4B50"/>
    <w:rsid w:val="004B4B8F"/>
    <w:rsid w:val="004B4CDC"/>
    <w:rsid w:val="004B4DAD"/>
    <w:rsid w:val="004B4E03"/>
    <w:rsid w:val="004B52D7"/>
    <w:rsid w:val="004B5382"/>
    <w:rsid w:val="004B558C"/>
    <w:rsid w:val="004B5B92"/>
    <w:rsid w:val="004B63DD"/>
    <w:rsid w:val="004B699C"/>
    <w:rsid w:val="004B742F"/>
    <w:rsid w:val="004C0232"/>
    <w:rsid w:val="004C0778"/>
    <w:rsid w:val="004C0BC4"/>
    <w:rsid w:val="004C1212"/>
    <w:rsid w:val="004C182B"/>
    <w:rsid w:val="004C1E34"/>
    <w:rsid w:val="004C214D"/>
    <w:rsid w:val="004C28F6"/>
    <w:rsid w:val="004C2953"/>
    <w:rsid w:val="004C2FA3"/>
    <w:rsid w:val="004C30CC"/>
    <w:rsid w:val="004C3365"/>
    <w:rsid w:val="004C4133"/>
    <w:rsid w:val="004C4556"/>
    <w:rsid w:val="004C4C2E"/>
    <w:rsid w:val="004C4F6B"/>
    <w:rsid w:val="004C50C9"/>
    <w:rsid w:val="004C6AE7"/>
    <w:rsid w:val="004C7064"/>
    <w:rsid w:val="004C74E6"/>
    <w:rsid w:val="004C76C6"/>
    <w:rsid w:val="004C7933"/>
    <w:rsid w:val="004C7C07"/>
    <w:rsid w:val="004C7E5B"/>
    <w:rsid w:val="004D1427"/>
    <w:rsid w:val="004D1BB9"/>
    <w:rsid w:val="004D1E90"/>
    <w:rsid w:val="004D2823"/>
    <w:rsid w:val="004D29B8"/>
    <w:rsid w:val="004D38C8"/>
    <w:rsid w:val="004D3A11"/>
    <w:rsid w:val="004D40EC"/>
    <w:rsid w:val="004D422C"/>
    <w:rsid w:val="004D44FA"/>
    <w:rsid w:val="004D4522"/>
    <w:rsid w:val="004D47C4"/>
    <w:rsid w:val="004D4F69"/>
    <w:rsid w:val="004D5841"/>
    <w:rsid w:val="004D598A"/>
    <w:rsid w:val="004D5C63"/>
    <w:rsid w:val="004D646E"/>
    <w:rsid w:val="004D64B2"/>
    <w:rsid w:val="004D6937"/>
    <w:rsid w:val="004D6CEB"/>
    <w:rsid w:val="004D6EE1"/>
    <w:rsid w:val="004E0193"/>
    <w:rsid w:val="004E1567"/>
    <w:rsid w:val="004E18BC"/>
    <w:rsid w:val="004E20AB"/>
    <w:rsid w:val="004E2D5E"/>
    <w:rsid w:val="004E3528"/>
    <w:rsid w:val="004E3EC2"/>
    <w:rsid w:val="004E4031"/>
    <w:rsid w:val="004E48F6"/>
    <w:rsid w:val="004E585C"/>
    <w:rsid w:val="004E77E1"/>
    <w:rsid w:val="004E7A47"/>
    <w:rsid w:val="004F0806"/>
    <w:rsid w:val="004F0C3E"/>
    <w:rsid w:val="004F0EED"/>
    <w:rsid w:val="004F21C7"/>
    <w:rsid w:val="004F2875"/>
    <w:rsid w:val="004F28F9"/>
    <w:rsid w:val="004F2B96"/>
    <w:rsid w:val="004F2BC4"/>
    <w:rsid w:val="004F309E"/>
    <w:rsid w:val="004F37AD"/>
    <w:rsid w:val="004F40ED"/>
    <w:rsid w:val="004F42E1"/>
    <w:rsid w:val="004F4399"/>
    <w:rsid w:val="004F531A"/>
    <w:rsid w:val="004F6909"/>
    <w:rsid w:val="00500B47"/>
    <w:rsid w:val="0050241E"/>
    <w:rsid w:val="005024B3"/>
    <w:rsid w:val="00502A21"/>
    <w:rsid w:val="00502A93"/>
    <w:rsid w:val="00502B6F"/>
    <w:rsid w:val="0050391C"/>
    <w:rsid w:val="005043DF"/>
    <w:rsid w:val="005045A9"/>
    <w:rsid w:val="00504D4C"/>
    <w:rsid w:val="005054AA"/>
    <w:rsid w:val="0050584F"/>
    <w:rsid w:val="005060F0"/>
    <w:rsid w:val="00506365"/>
    <w:rsid w:val="005070DD"/>
    <w:rsid w:val="005077D9"/>
    <w:rsid w:val="00507BAC"/>
    <w:rsid w:val="00510ACF"/>
    <w:rsid w:val="00511064"/>
    <w:rsid w:val="0051170D"/>
    <w:rsid w:val="00512EAB"/>
    <w:rsid w:val="005133F2"/>
    <w:rsid w:val="0051380E"/>
    <w:rsid w:val="00513B34"/>
    <w:rsid w:val="005145E5"/>
    <w:rsid w:val="00514DC6"/>
    <w:rsid w:val="005156F6"/>
    <w:rsid w:val="00516259"/>
    <w:rsid w:val="005163A3"/>
    <w:rsid w:val="005164C1"/>
    <w:rsid w:val="00516CDF"/>
    <w:rsid w:val="00516D52"/>
    <w:rsid w:val="00516D60"/>
    <w:rsid w:val="005179DC"/>
    <w:rsid w:val="00517A26"/>
    <w:rsid w:val="00517D0F"/>
    <w:rsid w:val="005200E2"/>
    <w:rsid w:val="0052033B"/>
    <w:rsid w:val="00520473"/>
    <w:rsid w:val="00520723"/>
    <w:rsid w:val="00520B8B"/>
    <w:rsid w:val="00520E24"/>
    <w:rsid w:val="00522D3D"/>
    <w:rsid w:val="0052300B"/>
    <w:rsid w:val="00523CCB"/>
    <w:rsid w:val="005248E0"/>
    <w:rsid w:val="00524A3E"/>
    <w:rsid w:val="005257CC"/>
    <w:rsid w:val="00525F75"/>
    <w:rsid w:val="005261BA"/>
    <w:rsid w:val="00526461"/>
    <w:rsid w:val="00526FF8"/>
    <w:rsid w:val="005274A3"/>
    <w:rsid w:val="005275EE"/>
    <w:rsid w:val="00527E6B"/>
    <w:rsid w:val="00530BB8"/>
    <w:rsid w:val="0053179A"/>
    <w:rsid w:val="00532A8B"/>
    <w:rsid w:val="00532E69"/>
    <w:rsid w:val="00533365"/>
    <w:rsid w:val="00534276"/>
    <w:rsid w:val="005342CC"/>
    <w:rsid w:val="00534474"/>
    <w:rsid w:val="00534AA7"/>
    <w:rsid w:val="00534C20"/>
    <w:rsid w:val="00534E42"/>
    <w:rsid w:val="00535298"/>
    <w:rsid w:val="00536046"/>
    <w:rsid w:val="00536848"/>
    <w:rsid w:val="00536D1C"/>
    <w:rsid w:val="00536E42"/>
    <w:rsid w:val="00537E45"/>
    <w:rsid w:val="00537EC3"/>
    <w:rsid w:val="0054156A"/>
    <w:rsid w:val="005415D1"/>
    <w:rsid w:val="00541C01"/>
    <w:rsid w:val="005428A2"/>
    <w:rsid w:val="00542C4D"/>
    <w:rsid w:val="00542D0A"/>
    <w:rsid w:val="0054323B"/>
    <w:rsid w:val="00543352"/>
    <w:rsid w:val="00543659"/>
    <w:rsid w:val="00543940"/>
    <w:rsid w:val="00543C57"/>
    <w:rsid w:val="0054428D"/>
    <w:rsid w:val="005444B3"/>
    <w:rsid w:val="005448E1"/>
    <w:rsid w:val="005449D6"/>
    <w:rsid w:val="00544C47"/>
    <w:rsid w:val="00545396"/>
    <w:rsid w:val="0054549A"/>
    <w:rsid w:val="0054657E"/>
    <w:rsid w:val="00546FF3"/>
    <w:rsid w:val="005478EC"/>
    <w:rsid w:val="0055106F"/>
    <w:rsid w:val="00551EE7"/>
    <w:rsid w:val="00552267"/>
    <w:rsid w:val="00553D35"/>
    <w:rsid w:val="00553FE6"/>
    <w:rsid w:val="0055438C"/>
    <w:rsid w:val="005544BA"/>
    <w:rsid w:val="00554A9A"/>
    <w:rsid w:val="00554D80"/>
    <w:rsid w:val="005559B7"/>
    <w:rsid w:val="00556294"/>
    <w:rsid w:val="00556B43"/>
    <w:rsid w:val="0056007C"/>
    <w:rsid w:val="005600CA"/>
    <w:rsid w:val="005608BE"/>
    <w:rsid w:val="005618DF"/>
    <w:rsid w:val="0056235D"/>
    <w:rsid w:val="005623EB"/>
    <w:rsid w:val="00562EA3"/>
    <w:rsid w:val="00563711"/>
    <w:rsid w:val="00563A19"/>
    <w:rsid w:val="00563B93"/>
    <w:rsid w:val="00563BDF"/>
    <w:rsid w:val="005642A8"/>
    <w:rsid w:val="00564627"/>
    <w:rsid w:val="005657E5"/>
    <w:rsid w:val="00566467"/>
    <w:rsid w:val="00566DAE"/>
    <w:rsid w:val="00566E42"/>
    <w:rsid w:val="005671BD"/>
    <w:rsid w:val="00567724"/>
    <w:rsid w:val="00570464"/>
    <w:rsid w:val="00570E03"/>
    <w:rsid w:val="005713D1"/>
    <w:rsid w:val="00572277"/>
    <w:rsid w:val="005722AB"/>
    <w:rsid w:val="00572D72"/>
    <w:rsid w:val="00572EA9"/>
    <w:rsid w:val="005734D1"/>
    <w:rsid w:val="0057395C"/>
    <w:rsid w:val="00574097"/>
    <w:rsid w:val="00574BF9"/>
    <w:rsid w:val="00574CCF"/>
    <w:rsid w:val="00576174"/>
    <w:rsid w:val="005764E1"/>
    <w:rsid w:val="0057676F"/>
    <w:rsid w:val="00580492"/>
    <w:rsid w:val="00580BEE"/>
    <w:rsid w:val="005818FA"/>
    <w:rsid w:val="005822DB"/>
    <w:rsid w:val="00582E4C"/>
    <w:rsid w:val="00584014"/>
    <w:rsid w:val="005840FC"/>
    <w:rsid w:val="005844A6"/>
    <w:rsid w:val="00584D28"/>
    <w:rsid w:val="005853A2"/>
    <w:rsid w:val="0058587D"/>
    <w:rsid w:val="00585F0E"/>
    <w:rsid w:val="00586622"/>
    <w:rsid w:val="00586BF8"/>
    <w:rsid w:val="00587D50"/>
    <w:rsid w:val="00587EF7"/>
    <w:rsid w:val="00590F3C"/>
    <w:rsid w:val="00590FEF"/>
    <w:rsid w:val="00591B33"/>
    <w:rsid w:val="00591CA0"/>
    <w:rsid w:val="005931B6"/>
    <w:rsid w:val="00594702"/>
    <w:rsid w:val="0059542A"/>
    <w:rsid w:val="00595A4F"/>
    <w:rsid w:val="00595A75"/>
    <w:rsid w:val="00595D95"/>
    <w:rsid w:val="00596183"/>
    <w:rsid w:val="005961B7"/>
    <w:rsid w:val="00596716"/>
    <w:rsid w:val="005979E6"/>
    <w:rsid w:val="005A06D0"/>
    <w:rsid w:val="005A0CEB"/>
    <w:rsid w:val="005A0D36"/>
    <w:rsid w:val="005A1668"/>
    <w:rsid w:val="005A23D3"/>
    <w:rsid w:val="005A25C3"/>
    <w:rsid w:val="005A2B5E"/>
    <w:rsid w:val="005A2E6A"/>
    <w:rsid w:val="005A2F31"/>
    <w:rsid w:val="005A4F0D"/>
    <w:rsid w:val="005A5787"/>
    <w:rsid w:val="005A5856"/>
    <w:rsid w:val="005A59CC"/>
    <w:rsid w:val="005A775B"/>
    <w:rsid w:val="005A778A"/>
    <w:rsid w:val="005A78D9"/>
    <w:rsid w:val="005A7E6C"/>
    <w:rsid w:val="005B1665"/>
    <w:rsid w:val="005B1771"/>
    <w:rsid w:val="005B1783"/>
    <w:rsid w:val="005B1A83"/>
    <w:rsid w:val="005B210A"/>
    <w:rsid w:val="005B235C"/>
    <w:rsid w:val="005B2564"/>
    <w:rsid w:val="005B2A78"/>
    <w:rsid w:val="005B3DDA"/>
    <w:rsid w:val="005B3DF7"/>
    <w:rsid w:val="005B478C"/>
    <w:rsid w:val="005B47FC"/>
    <w:rsid w:val="005B4818"/>
    <w:rsid w:val="005B48EA"/>
    <w:rsid w:val="005B4B21"/>
    <w:rsid w:val="005B4F6B"/>
    <w:rsid w:val="005B533C"/>
    <w:rsid w:val="005B5730"/>
    <w:rsid w:val="005B6676"/>
    <w:rsid w:val="005B746A"/>
    <w:rsid w:val="005C1070"/>
    <w:rsid w:val="005C12FB"/>
    <w:rsid w:val="005C13CE"/>
    <w:rsid w:val="005C1634"/>
    <w:rsid w:val="005C229E"/>
    <w:rsid w:val="005C28D6"/>
    <w:rsid w:val="005C3749"/>
    <w:rsid w:val="005C3871"/>
    <w:rsid w:val="005C3976"/>
    <w:rsid w:val="005C3BA8"/>
    <w:rsid w:val="005C424E"/>
    <w:rsid w:val="005C44D7"/>
    <w:rsid w:val="005C45D3"/>
    <w:rsid w:val="005C4736"/>
    <w:rsid w:val="005C4DF9"/>
    <w:rsid w:val="005C5078"/>
    <w:rsid w:val="005C5C3D"/>
    <w:rsid w:val="005C628E"/>
    <w:rsid w:val="005C7102"/>
    <w:rsid w:val="005C76B6"/>
    <w:rsid w:val="005D0A1D"/>
    <w:rsid w:val="005D14F0"/>
    <w:rsid w:val="005D184D"/>
    <w:rsid w:val="005D1B56"/>
    <w:rsid w:val="005D2010"/>
    <w:rsid w:val="005D22D7"/>
    <w:rsid w:val="005D24B7"/>
    <w:rsid w:val="005D33B6"/>
    <w:rsid w:val="005D38A8"/>
    <w:rsid w:val="005D3A43"/>
    <w:rsid w:val="005D4649"/>
    <w:rsid w:val="005D46B9"/>
    <w:rsid w:val="005D49A4"/>
    <w:rsid w:val="005D4CC9"/>
    <w:rsid w:val="005D4D70"/>
    <w:rsid w:val="005D4ED9"/>
    <w:rsid w:val="005D5610"/>
    <w:rsid w:val="005D5A34"/>
    <w:rsid w:val="005D5CA9"/>
    <w:rsid w:val="005D5D3C"/>
    <w:rsid w:val="005D5F65"/>
    <w:rsid w:val="005D67D7"/>
    <w:rsid w:val="005D6A8E"/>
    <w:rsid w:val="005D7006"/>
    <w:rsid w:val="005D73E6"/>
    <w:rsid w:val="005E0511"/>
    <w:rsid w:val="005E0855"/>
    <w:rsid w:val="005E09A0"/>
    <w:rsid w:val="005E0FE9"/>
    <w:rsid w:val="005E2892"/>
    <w:rsid w:val="005E2A6B"/>
    <w:rsid w:val="005E32EB"/>
    <w:rsid w:val="005E336A"/>
    <w:rsid w:val="005E3757"/>
    <w:rsid w:val="005E3BE6"/>
    <w:rsid w:val="005E40C6"/>
    <w:rsid w:val="005E4464"/>
    <w:rsid w:val="005E4EE6"/>
    <w:rsid w:val="005E5093"/>
    <w:rsid w:val="005E54EF"/>
    <w:rsid w:val="005E54F8"/>
    <w:rsid w:val="005E5F68"/>
    <w:rsid w:val="005E6AE3"/>
    <w:rsid w:val="005E6E6D"/>
    <w:rsid w:val="005F038B"/>
    <w:rsid w:val="005F10CA"/>
    <w:rsid w:val="005F166A"/>
    <w:rsid w:val="005F2DE9"/>
    <w:rsid w:val="005F2FD6"/>
    <w:rsid w:val="005F405E"/>
    <w:rsid w:val="005F43F0"/>
    <w:rsid w:val="005F45A6"/>
    <w:rsid w:val="005F48E5"/>
    <w:rsid w:val="005F4CA6"/>
    <w:rsid w:val="005F550A"/>
    <w:rsid w:val="005F59D7"/>
    <w:rsid w:val="005F60A1"/>
    <w:rsid w:val="005F6EC8"/>
    <w:rsid w:val="005F716E"/>
    <w:rsid w:val="005F733A"/>
    <w:rsid w:val="005F73D7"/>
    <w:rsid w:val="005F7A4D"/>
    <w:rsid w:val="006003DD"/>
    <w:rsid w:val="00600A13"/>
    <w:rsid w:val="006017AF"/>
    <w:rsid w:val="006017BC"/>
    <w:rsid w:val="00601D9A"/>
    <w:rsid w:val="006023DB"/>
    <w:rsid w:val="00602414"/>
    <w:rsid w:val="0060264F"/>
    <w:rsid w:val="00602750"/>
    <w:rsid w:val="00602C39"/>
    <w:rsid w:val="00602DDA"/>
    <w:rsid w:val="0060344B"/>
    <w:rsid w:val="00603687"/>
    <w:rsid w:val="00603EEA"/>
    <w:rsid w:val="00604618"/>
    <w:rsid w:val="0060490F"/>
    <w:rsid w:val="00604B3B"/>
    <w:rsid w:val="00604C80"/>
    <w:rsid w:val="00604ECC"/>
    <w:rsid w:val="006050D5"/>
    <w:rsid w:val="00605DF6"/>
    <w:rsid w:val="006066DE"/>
    <w:rsid w:val="006075A3"/>
    <w:rsid w:val="00607E3B"/>
    <w:rsid w:val="00607F6D"/>
    <w:rsid w:val="00607FB0"/>
    <w:rsid w:val="006114A2"/>
    <w:rsid w:val="00611513"/>
    <w:rsid w:val="00611E69"/>
    <w:rsid w:val="00614654"/>
    <w:rsid w:val="00614D84"/>
    <w:rsid w:val="006157B1"/>
    <w:rsid w:val="00615CE2"/>
    <w:rsid w:val="00615DE1"/>
    <w:rsid w:val="00615F57"/>
    <w:rsid w:val="00616C28"/>
    <w:rsid w:val="0061711E"/>
    <w:rsid w:val="006173D7"/>
    <w:rsid w:val="00617DF9"/>
    <w:rsid w:val="00620C4E"/>
    <w:rsid w:val="00620F5A"/>
    <w:rsid w:val="00621929"/>
    <w:rsid w:val="00621D18"/>
    <w:rsid w:val="00621F6A"/>
    <w:rsid w:val="006225CF"/>
    <w:rsid w:val="0062326B"/>
    <w:rsid w:val="0062363D"/>
    <w:rsid w:val="00623F2C"/>
    <w:rsid w:val="00624954"/>
    <w:rsid w:val="00624E82"/>
    <w:rsid w:val="00625696"/>
    <w:rsid w:val="00625B52"/>
    <w:rsid w:val="006264D1"/>
    <w:rsid w:val="00626E65"/>
    <w:rsid w:val="00626EED"/>
    <w:rsid w:val="0062734E"/>
    <w:rsid w:val="00627D72"/>
    <w:rsid w:val="00630A60"/>
    <w:rsid w:val="00630F8F"/>
    <w:rsid w:val="00631084"/>
    <w:rsid w:val="006313D0"/>
    <w:rsid w:val="00631BA0"/>
    <w:rsid w:val="00631DB2"/>
    <w:rsid w:val="00631F13"/>
    <w:rsid w:val="00632717"/>
    <w:rsid w:val="00632EBD"/>
    <w:rsid w:val="006339FB"/>
    <w:rsid w:val="00634045"/>
    <w:rsid w:val="00634640"/>
    <w:rsid w:val="006348E6"/>
    <w:rsid w:val="00634B13"/>
    <w:rsid w:val="00635235"/>
    <w:rsid w:val="00635F2B"/>
    <w:rsid w:val="006361B2"/>
    <w:rsid w:val="006363BF"/>
    <w:rsid w:val="00636FAF"/>
    <w:rsid w:val="006370C2"/>
    <w:rsid w:val="00640667"/>
    <w:rsid w:val="00640ACA"/>
    <w:rsid w:val="006410BE"/>
    <w:rsid w:val="00641355"/>
    <w:rsid w:val="006419B4"/>
    <w:rsid w:val="00641A50"/>
    <w:rsid w:val="00641DB4"/>
    <w:rsid w:val="0064229D"/>
    <w:rsid w:val="006429FA"/>
    <w:rsid w:val="00642E4E"/>
    <w:rsid w:val="0064339B"/>
    <w:rsid w:val="00643640"/>
    <w:rsid w:val="0064384F"/>
    <w:rsid w:val="00643A84"/>
    <w:rsid w:val="00643E6A"/>
    <w:rsid w:val="00644908"/>
    <w:rsid w:val="00644AF7"/>
    <w:rsid w:val="00645BCF"/>
    <w:rsid w:val="00645DDE"/>
    <w:rsid w:val="006463BA"/>
    <w:rsid w:val="006467D6"/>
    <w:rsid w:val="00647919"/>
    <w:rsid w:val="00647D69"/>
    <w:rsid w:val="00650962"/>
    <w:rsid w:val="00651032"/>
    <w:rsid w:val="00651174"/>
    <w:rsid w:val="00651223"/>
    <w:rsid w:val="0065185E"/>
    <w:rsid w:val="00652532"/>
    <w:rsid w:val="00652CC2"/>
    <w:rsid w:val="0065356A"/>
    <w:rsid w:val="00653634"/>
    <w:rsid w:val="00653D7C"/>
    <w:rsid w:val="006549C2"/>
    <w:rsid w:val="006555FF"/>
    <w:rsid w:val="006559F0"/>
    <w:rsid w:val="00655A85"/>
    <w:rsid w:val="00655CC9"/>
    <w:rsid w:val="0065640A"/>
    <w:rsid w:val="00656839"/>
    <w:rsid w:val="0065735E"/>
    <w:rsid w:val="00657ECA"/>
    <w:rsid w:val="00660445"/>
    <w:rsid w:val="00660DA1"/>
    <w:rsid w:val="00660F1F"/>
    <w:rsid w:val="006621FB"/>
    <w:rsid w:val="0066236D"/>
    <w:rsid w:val="0066289A"/>
    <w:rsid w:val="00663489"/>
    <w:rsid w:val="00663A1C"/>
    <w:rsid w:val="00663D79"/>
    <w:rsid w:val="0066432C"/>
    <w:rsid w:val="006643B5"/>
    <w:rsid w:val="00664548"/>
    <w:rsid w:val="006655DF"/>
    <w:rsid w:val="006666F3"/>
    <w:rsid w:val="00666713"/>
    <w:rsid w:val="0066674A"/>
    <w:rsid w:val="00666ACF"/>
    <w:rsid w:val="00667042"/>
    <w:rsid w:val="006672F1"/>
    <w:rsid w:val="00667468"/>
    <w:rsid w:val="006674DA"/>
    <w:rsid w:val="00667740"/>
    <w:rsid w:val="00667CC8"/>
    <w:rsid w:val="00667CD2"/>
    <w:rsid w:val="00667E1C"/>
    <w:rsid w:val="00670E15"/>
    <w:rsid w:val="00670E65"/>
    <w:rsid w:val="00670ED4"/>
    <w:rsid w:val="006717E7"/>
    <w:rsid w:val="0067194A"/>
    <w:rsid w:val="00671B1A"/>
    <w:rsid w:val="0067260A"/>
    <w:rsid w:val="006732FE"/>
    <w:rsid w:val="00673777"/>
    <w:rsid w:val="006738FB"/>
    <w:rsid w:val="00673ED3"/>
    <w:rsid w:val="00673FAF"/>
    <w:rsid w:val="00676422"/>
    <w:rsid w:val="00676CCF"/>
    <w:rsid w:val="00680113"/>
    <w:rsid w:val="0068024D"/>
    <w:rsid w:val="006802BF"/>
    <w:rsid w:val="00680341"/>
    <w:rsid w:val="00681602"/>
    <w:rsid w:val="00681BB5"/>
    <w:rsid w:val="00681DBD"/>
    <w:rsid w:val="0068254D"/>
    <w:rsid w:val="0068260C"/>
    <w:rsid w:val="006826FE"/>
    <w:rsid w:val="006832E1"/>
    <w:rsid w:val="00683401"/>
    <w:rsid w:val="006836E7"/>
    <w:rsid w:val="00684217"/>
    <w:rsid w:val="0068505E"/>
    <w:rsid w:val="0068526C"/>
    <w:rsid w:val="00685C00"/>
    <w:rsid w:val="00686593"/>
    <w:rsid w:val="00686A3D"/>
    <w:rsid w:val="00686FAA"/>
    <w:rsid w:val="0068755B"/>
    <w:rsid w:val="0068771C"/>
    <w:rsid w:val="00690A25"/>
    <w:rsid w:val="00690B78"/>
    <w:rsid w:val="00690D1F"/>
    <w:rsid w:val="00690D38"/>
    <w:rsid w:val="006911E7"/>
    <w:rsid w:val="00691DEA"/>
    <w:rsid w:val="00692154"/>
    <w:rsid w:val="00692C68"/>
    <w:rsid w:val="00692D4F"/>
    <w:rsid w:val="0069307D"/>
    <w:rsid w:val="006942C3"/>
    <w:rsid w:val="00694B2F"/>
    <w:rsid w:val="006951C3"/>
    <w:rsid w:val="00695EFE"/>
    <w:rsid w:val="00696DB3"/>
    <w:rsid w:val="0069769C"/>
    <w:rsid w:val="00697B97"/>
    <w:rsid w:val="00697D6A"/>
    <w:rsid w:val="006A1079"/>
    <w:rsid w:val="006A11F8"/>
    <w:rsid w:val="006A19CD"/>
    <w:rsid w:val="006A19F9"/>
    <w:rsid w:val="006A1BFD"/>
    <w:rsid w:val="006A1CB5"/>
    <w:rsid w:val="006A3C5D"/>
    <w:rsid w:val="006A3CFA"/>
    <w:rsid w:val="006A3E62"/>
    <w:rsid w:val="006A53C5"/>
    <w:rsid w:val="006A58D6"/>
    <w:rsid w:val="006A68DA"/>
    <w:rsid w:val="006A6AE7"/>
    <w:rsid w:val="006A6CF4"/>
    <w:rsid w:val="006A6E38"/>
    <w:rsid w:val="006A7072"/>
    <w:rsid w:val="006A7F0C"/>
    <w:rsid w:val="006B08F9"/>
    <w:rsid w:val="006B11AB"/>
    <w:rsid w:val="006B1A5A"/>
    <w:rsid w:val="006B1B53"/>
    <w:rsid w:val="006B2205"/>
    <w:rsid w:val="006B29BB"/>
    <w:rsid w:val="006B2CD8"/>
    <w:rsid w:val="006B4CF3"/>
    <w:rsid w:val="006B500A"/>
    <w:rsid w:val="006B56C2"/>
    <w:rsid w:val="006B6638"/>
    <w:rsid w:val="006B700F"/>
    <w:rsid w:val="006C0880"/>
    <w:rsid w:val="006C0A1B"/>
    <w:rsid w:val="006C0A32"/>
    <w:rsid w:val="006C0D53"/>
    <w:rsid w:val="006C1D5C"/>
    <w:rsid w:val="006C2B2B"/>
    <w:rsid w:val="006C2F88"/>
    <w:rsid w:val="006C3A42"/>
    <w:rsid w:val="006C3B7A"/>
    <w:rsid w:val="006C4447"/>
    <w:rsid w:val="006C482D"/>
    <w:rsid w:val="006C49A8"/>
    <w:rsid w:val="006C5152"/>
    <w:rsid w:val="006C65F5"/>
    <w:rsid w:val="006C6696"/>
    <w:rsid w:val="006C6844"/>
    <w:rsid w:val="006C743A"/>
    <w:rsid w:val="006C7ECE"/>
    <w:rsid w:val="006D0C46"/>
    <w:rsid w:val="006D0CE9"/>
    <w:rsid w:val="006D1A58"/>
    <w:rsid w:val="006D1B68"/>
    <w:rsid w:val="006D200C"/>
    <w:rsid w:val="006D30F7"/>
    <w:rsid w:val="006D3F2F"/>
    <w:rsid w:val="006D3FF0"/>
    <w:rsid w:val="006D5D49"/>
    <w:rsid w:val="006D5EAE"/>
    <w:rsid w:val="006D73B9"/>
    <w:rsid w:val="006D7CEE"/>
    <w:rsid w:val="006E0058"/>
    <w:rsid w:val="006E1F0B"/>
    <w:rsid w:val="006E2070"/>
    <w:rsid w:val="006E29DC"/>
    <w:rsid w:val="006E2CA5"/>
    <w:rsid w:val="006E39E9"/>
    <w:rsid w:val="006E3D45"/>
    <w:rsid w:val="006E4FB6"/>
    <w:rsid w:val="006E5138"/>
    <w:rsid w:val="006E5D40"/>
    <w:rsid w:val="006E745A"/>
    <w:rsid w:val="006E7CD7"/>
    <w:rsid w:val="006F139F"/>
    <w:rsid w:val="006F1B03"/>
    <w:rsid w:val="006F2808"/>
    <w:rsid w:val="006F2EDF"/>
    <w:rsid w:val="006F35A8"/>
    <w:rsid w:val="006F424D"/>
    <w:rsid w:val="006F4AA2"/>
    <w:rsid w:val="006F4C0F"/>
    <w:rsid w:val="006F5A32"/>
    <w:rsid w:val="006F6071"/>
    <w:rsid w:val="006F6955"/>
    <w:rsid w:val="006F6BF0"/>
    <w:rsid w:val="006F702E"/>
    <w:rsid w:val="006F7BB6"/>
    <w:rsid w:val="006F7E65"/>
    <w:rsid w:val="00700189"/>
    <w:rsid w:val="007004F5"/>
    <w:rsid w:val="00700592"/>
    <w:rsid w:val="007009F9"/>
    <w:rsid w:val="00700ADC"/>
    <w:rsid w:val="00701614"/>
    <w:rsid w:val="007028DF"/>
    <w:rsid w:val="007031B4"/>
    <w:rsid w:val="007035D5"/>
    <w:rsid w:val="00703FBD"/>
    <w:rsid w:val="007044AB"/>
    <w:rsid w:val="007044BB"/>
    <w:rsid w:val="0070481F"/>
    <w:rsid w:val="00704A0F"/>
    <w:rsid w:val="00704BDF"/>
    <w:rsid w:val="0070517A"/>
    <w:rsid w:val="00705ABD"/>
    <w:rsid w:val="00706306"/>
    <w:rsid w:val="00707A85"/>
    <w:rsid w:val="007108D9"/>
    <w:rsid w:val="00710FA2"/>
    <w:rsid w:val="00713E3D"/>
    <w:rsid w:val="0071402F"/>
    <w:rsid w:val="00715173"/>
    <w:rsid w:val="00715603"/>
    <w:rsid w:val="00715C5B"/>
    <w:rsid w:val="00716231"/>
    <w:rsid w:val="007167F6"/>
    <w:rsid w:val="00716F19"/>
    <w:rsid w:val="0071728F"/>
    <w:rsid w:val="00717EC0"/>
    <w:rsid w:val="00721245"/>
    <w:rsid w:val="00721748"/>
    <w:rsid w:val="00721C84"/>
    <w:rsid w:val="00722508"/>
    <w:rsid w:val="007225CC"/>
    <w:rsid w:val="00722C38"/>
    <w:rsid w:val="00723485"/>
    <w:rsid w:val="0072366B"/>
    <w:rsid w:val="00724464"/>
    <w:rsid w:val="007245D2"/>
    <w:rsid w:val="00724F81"/>
    <w:rsid w:val="00725257"/>
    <w:rsid w:val="00726E48"/>
    <w:rsid w:val="0072709D"/>
    <w:rsid w:val="0072758E"/>
    <w:rsid w:val="00727E6E"/>
    <w:rsid w:val="0073026C"/>
    <w:rsid w:val="00730BF4"/>
    <w:rsid w:val="0073171A"/>
    <w:rsid w:val="00731D92"/>
    <w:rsid w:val="00731ED4"/>
    <w:rsid w:val="00732556"/>
    <w:rsid w:val="00732764"/>
    <w:rsid w:val="00732A64"/>
    <w:rsid w:val="007332B6"/>
    <w:rsid w:val="00733815"/>
    <w:rsid w:val="00733FDA"/>
    <w:rsid w:val="00733FE5"/>
    <w:rsid w:val="0073405C"/>
    <w:rsid w:val="0073416E"/>
    <w:rsid w:val="0073485D"/>
    <w:rsid w:val="00734D55"/>
    <w:rsid w:val="007350E0"/>
    <w:rsid w:val="00735629"/>
    <w:rsid w:val="0073570C"/>
    <w:rsid w:val="00735A31"/>
    <w:rsid w:val="00735F37"/>
    <w:rsid w:val="007360A1"/>
    <w:rsid w:val="00736513"/>
    <w:rsid w:val="00736AC4"/>
    <w:rsid w:val="0073736B"/>
    <w:rsid w:val="0073789B"/>
    <w:rsid w:val="007404DD"/>
    <w:rsid w:val="007405F0"/>
    <w:rsid w:val="00740D79"/>
    <w:rsid w:val="00741027"/>
    <w:rsid w:val="007416A6"/>
    <w:rsid w:val="0074182E"/>
    <w:rsid w:val="00741E36"/>
    <w:rsid w:val="00741FC6"/>
    <w:rsid w:val="00742301"/>
    <w:rsid w:val="0074280D"/>
    <w:rsid w:val="007431BC"/>
    <w:rsid w:val="007442A5"/>
    <w:rsid w:val="00744DC1"/>
    <w:rsid w:val="00745CBC"/>
    <w:rsid w:val="007464A3"/>
    <w:rsid w:val="0074691A"/>
    <w:rsid w:val="00746F99"/>
    <w:rsid w:val="00747063"/>
    <w:rsid w:val="00747BC6"/>
    <w:rsid w:val="00747C33"/>
    <w:rsid w:val="0075010E"/>
    <w:rsid w:val="00750266"/>
    <w:rsid w:val="00750922"/>
    <w:rsid w:val="00751719"/>
    <w:rsid w:val="00751C3E"/>
    <w:rsid w:val="0075243D"/>
    <w:rsid w:val="00752D53"/>
    <w:rsid w:val="0075318B"/>
    <w:rsid w:val="00753D13"/>
    <w:rsid w:val="00753F00"/>
    <w:rsid w:val="007545A5"/>
    <w:rsid w:val="0075523B"/>
    <w:rsid w:val="00755400"/>
    <w:rsid w:val="00755B7E"/>
    <w:rsid w:val="00756574"/>
    <w:rsid w:val="007608FC"/>
    <w:rsid w:val="00762056"/>
    <w:rsid w:val="0076279C"/>
    <w:rsid w:val="00762ED4"/>
    <w:rsid w:val="00762FF9"/>
    <w:rsid w:val="00763B81"/>
    <w:rsid w:val="0076466A"/>
    <w:rsid w:val="00765E27"/>
    <w:rsid w:val="00766C59"/>
    <w:rsid w:val="00766CC6"/>
    <w:rsid w:val="00767C54"/>
    <w:rsid w:val="00767C7C"/>
    <w:rsid w:val="007707BC"/>
    <w:rsid w:val="0077126D"/>
    <w:rsid w:val="007719A7"/>
    <w:rsid w:val="00771F91"/>
    <w:rsid w:val="0077346A"/>
    <w:rsid w:val="00774E17"/>
    <w:rsid w:val="00775296"/>
    <w:rsid w:val="00776904"/>
    <w:rsid w:val="00776908"/>
    <w:rsid w:val="00776B83"/>
    <w:rsid w:val="007775C4"/>
    <w:rsid w:val="00777BA8"/>
    <w:rsid w:val="00780631"/>
    <w:rsid w:val="00781647"/>
    <w:rsid w:val="00781A03"/>
    <w:rsid w:val="00781CF2"/>
    <w:rsid w:val="0078244A"/>
    <w:rsid w:val="00783503"/>
    <w:rsid w:val="00783590"/>
    <w:rsid w:val="007845FA"/>
    <w:rsid w:val="0078493F"/>
    <w:rsid w:val="00785303"/>
    <w:rsid w:val="00785628"/>
    <w:rsid w:val="00787567"/>
    <w:rsid w:val="007877AE"/>
    <w:rsid w:val="00787968"/>
    <w:rsid w:val="007902FD"/>
    <w:rsid w:val="0079050F"/>
    <w:rsid w:val="00790FA8"/>
    <w:rsid w:val="007910C5"/>
    <w:rsid w:val="00791863"/>
    <w:rsid w:val="00792F3B"/>
    <w:rsid w:val="007933EA"/>
    <w:rsid w:val="00793CB5"/>
    <w:rsid w:val="00794C13"/>
    <w:rsid w:val="00794EF3"/>
    <w:rsid w:val="0079511D"/>
    <w:rsid w:val="0079532F"/>
    <w:rsid w:val="007957E3"/>
    <w:rsid w:val="0079603E"/>
    <w:rsid w:val="00797E05"/>
    <w:rsid w:val="007A0147"/>
    <w:rsid w:val="007A06EE"/>
    <w:rsid w:val="007A1201"/>
    <w:rsid w:val="007A28C5"/>
    <w:rsid w:val="007A28E4"/>
    <w:rsid w:val="007A2CE7"/>
    <w:rsid w:val="007A2E6A"/>
    <w:rsid w:val="007A3A50"/>
    <w:rsid w:val="007A3BD4"/>
    <w:rsid w:val="007A41D5"/>
    <w:rsid w:val="007A4A4B"/>
    <w:rsid w:val="007A4A54"/>
    <w:rsid w:val="007A4ED0"/>
    <w:rsid w:val="007A587F"/>
    <w:rsid w:val="007A5C34"/>
    <w:rsid w:val="007A6711"/>
    <w:rsid w:val="007A71E5"/>
    <w:rsid w:val="007A7D5E"/>
    <w:rsid w:val="007B0860"/>
    <w:rsid w:val="007B0B1A"/>
    <w:rsid w:val="007B0FCD"/>
    <w:rsid w:val="007B1723"/>
    <w:rsid w:val="007B1DCB"/>
    <w:rsid w:val="007B20E8"/>
    <w:rsid w:val="007B29DA"/>
    <w:rsid w:val="007B33AB"/>
    <w:rsid w:val="007B3547"/>
    <w:rsid w:val="007B3A84"/>
    <w:rsid w:val="007B4284"/>
    <w:rsid w:val="007B4A16"/>
    <w:rsid w:val="007B52ED"/>
    <w:rsid w:val="007B530B"/>
    <w:rsid w:val="007B5993"/>
    <w:rsid w:val="007B6B4C"/>
    <w:rsid w:val="007B6D52"/>
    <w:rsid w:val="007B7FAE"/>
    <w:rsid w:val="007C0731"/>
    <w:rsid w:val="007C0937"/>
    <w:rsid w:val="007C0A80"/>
    <w:rsid w:val="007C105F"/>
    <w:rsid w:val="007C16E1"/>
    <w:rsid w:val="007C1976"/>
    <w:rsid w:val="007C2327"/>
    <w:rsid w:val="007C259F"/>
    <w:rsid w:val="007C2964"/>
    <w:rsid w:val="007C2AC5"/>
    <w:rsid w:val="007C3680"/>
    <w:rsid w:val="007C3A1B"/>
    <w:rsid w:val="007C3D24"/>
    <w:rsid w:val="007C46F6"/>
    <w:rsid w:val="007C4D71"/>
    <w:rsid w:val="007C565C"/>
    <w:rsid w:val="007C6426"/>
    <w:rsid w:val="007C64D9"/>
    <w:rsid w:val="007C6640"/>
    <w:rsid w:val="007C7311"/>
    <w:rsid w:val="007C7BBC"/>
    <w:rsid w:val="007D05A2"/>
    <w:rsid w:val="007D0B9E"/>
    <w:rsid w:val="007D0CA7"/>
    <w:rsid w:val="007D0D62"/>
    <w:rsid w:val="007D0F87"/>
    <w:rsid w:val="007D158A"/>
    <w:rsid w:val="007D1E39"/>
    <w:rsid w:val="007D1F00"/>
    <w:rsid w:val="007D20D4"/>
    <w:rsid w:val="007D2E14"/>
    <w:rsid w:val="007D2E78"/>
    <w:rsid w:val="007D309B"/>
    <w:rsid w:val="007D3F9B"/>
    <w:rsid w:val="007D4691"/>
    <w:rsid w:val="007D56E5"/>
    <w:rsid w:val="007D59C7"/>
    <w:rsid w:val="007D5EE3"/>
    <w:rsid w:val="007D6E47"/>
    <w:rsid w:val="007D6E5A"/>
    <w:rsid w:val="007D759C"/>
    <w:rsid w:val="007D75CA"/>
    <w:rsid w:val="007D7B83"/>
    <w:rsid w:val="007E0D38"/>
    <w:rsid w:val="007E14F5"/>
    <w:rsid w:val="007E2013"/>
    <w:rsid w:val="007E3448"/>
    <w:rsid w:val="007E3868"/>
    <w:rsid w:val="007E3C9F"/>
    <w:rsid w:val="007E45A0"/>
    <w:rsid w:val="007E483D"/>
    <w:rsid w:val="007E48DA"/>
    <w:rsid w:val="007E48DC"/>
    <w:rsid w:val="007E5CAF"/>
    <w:rsid w:val="007E5F95"/>
    <w:rsid w:val="007E63E9"/>
    <w:rsid w:val="007E717A"/>
    <w:rsid w:val="007F0360"/>
    <w:rsid w:val="007F0928"/>
    <w:rsid w:val="007F09CF"/>
    <w:rsid w:val="007F0A64"/>
    <w:rsid w:val="007F0A7B"/>
    <w:rsid w:val="007F12D5"/>
    <w:rsid w:val="007F178F"/>
    <w:rsid w:val="007F2CF8"/>
    <w:rsid w:val="007F2D39"/>
    <w:rsid w:val="007F3076"/>
    <w:rsid w:val="007F3DD2"/>
    <w:rsid w:val="007F4066"/>
    <w:rsid w:val="007F42A6"/>
    <w:rsid w:val="007F44CC"/>
    <w:rsid w:val="007F58B2"/>
    <w:rsid w:val="007F5C0B"/>
    <w:rsid w:val="007F5EC5"/>
    <w:rsid w:val="007F66F1"/>
    <w:rsid w:val="007F66F5"/>
    <w:rsid w:val="007F6980"/>
    <w:rsid w:val="007F6C4C"/>
    <w:rsid w:val="007F6C52"/>
    <w:rsid w:val="007F732F"/>
    <w:rsid w:val="007F7FF9"/>
    <w:rsid w:val="0080096F"/>
    <w:rsid w:val="00800C58"/>
    <w:rsid w:val="00800D3B"/>
    <w:rsid w:val="00800E6F"/>
    <w:rsid w:val="00800ED9"/>
    <w:rsid w:val="00802130"/>
    <w:rsid w:val="0080231F"/>
    <w:rsid w:val="008024CA"/>
    <w:rsid w:val="008029D4"/>
    <w:rsid w:val="00802CEF"/>
    <w:rsid w:val="0080359A"/>
    <w:rsid w:val="00803871"/>
    <w:rsid w:val="00804150"/>
    <w:rsid w:val="0080482D"/>
    <w:rsid w:val="008054AC"/>
    <w:rsid w:val="0080629D"/>
    <w:rsid w:val="0080679A"/>
    <w:rsid w:val="008072C7"/>
    <w:rsid w:val="008108F0"/>
    <w:rsid w:val="00810C6E"/>
    <w:rsid w:val="00814D63"/>
    <w:rsid w:val="0081522F"/>
    <w:rsid w:val="0081559F"/>
    <w:rsid w:val="00816027"/>
    <w:rsid w:val="00817695"/>
    <w:rsid w:val="00817761"/>
    <w:rsid w:val="0082018B"/>
    <w:rsid w:val="008203B5"/>
    <w:rsid w:val="00820C50"/>
    <w:rsid w:val="00821DF9"/>
    <w:rsid w:val="00822E83"/>
    <w:rsid w:val="00823050"/>
    <w:rsid w:val="00824267"/>
    <w:rsid w:val="00824884"/>
    <w:rsid w:val="00824FD9"/>
    <w:rsid w:val="00825637"/>
    <w:rsid w:val="00825D7F"/>
    <w:rsid w:val="008274EB"/>
    <w:rsid w:val="00827CF1"/>
    <w:rsid w:val="00830DB0"/>
    <w:rsid w:val="0083106B"/>
    <w:rsid w:val="008316F6"/>
    <w:rsid w:val="00831B57"/>
    <w:rsid w:val="00832DED"/>
    <w:rsid w:val="00833E5E"/>
    <w:rsid w:val="00833FA2"/>
    <w:rsid w:val="00834544"/>
    <w:rsid w:val="00834ACD"/>
    <w:rsid w:val="00834F43"/>
    <w:rsid w:val="008350C4"/>
    <w:rsid w:val="0083522A"/>
    <w:rsid w:val="00835980"/>
    <w:rsid w:val="00835D9F"/>
    <w:rsid w:val="0083667E"/>
    <w:rsid w:val="00836BAA"/>
    <w:rsid w:val="00837A82"/>
    <w:rsid w:val="008400A7"/>
    <w:rsid w:val="008400C9"/>
    <w:rsid w:val="00840B83"/>
    <w:rsid w:val="00841842"/>
    <w:rsid w:val="00841AF5"/>
    <w:rsid w:val="00841F48"/>
    <w:rsid w:val="00842451"/>
    <w:rsid w:val="00842521"/>
    <w:rsid w:val="00842871"/>
    <w:rsid w:val="00842E88"/>
    <w:rsid w:val="008433F8"/>
    <w:rsid w:val="008437EB"/>
    <w:rsid w:val="00843A27"/>
    <w:rsid w:val="00843BB3"/>
    <w:rsid w:val="00843FCD"/>
    <w:rsid w:val="0084470F"/>
    <w:rsid w:val="00844F81"/>
    <w:rsid w:val="0084505D"/>
    <w:rsid w:val="00845719"/>
    <w:rsid w:val="00846EB6"/>
    <w:rsid w:val="0084780D"/>
    <w:rsid w:val="008478F0"/>
    <w:rsid w:val="008478F8"/>
    <w:rsid w:val="00851F80"/>
    <w:rsid w:val="008520C5"/>
    <w:rsid w:val="00852AA8"/>
    <w:rsid w:val="00853656"/>
    <w:rsid w:val="008543B2"/>
    <w:rsid w:val="008553C7"/>
    <w:rsid w:val="008553F1"/>
    <w:rsid w:val="00855494"/>
    <w:rsid w:val="00855B88"/>
    <w:rsid w:val="00855D93"/>
    <w:rsid w:val="008567F4"/>
    <w:rsid w:val="00860C4B"/>
    <w:rsid w:val="00861092"/>
    <w:rsid w:val="008610DE"/>
    <w:rsid w:val="00861BA9"/>
    <w:rsid w:val="00862AC8"/>
    <w:rsid w:val="00862BD7"/>
    <w:rsid w:val="00862C48"/>
    <w:rsid w:val="00862FFD"/>
    <w:rsid w:val="00863BF8"/>
    <w:rsid w:val="00863DA9"/>
    <w:rsid w:val="008646DD"/>
    <w:rsid w:val="00864F6C"/>
    <w:rsid w:val="00865E95"/>
    <w:rsid w:val="008660F7"/>
    <w:rsid w:val="00866CF3"/>
    <w:rsid w:val="008674E2"/>
    <w:rsid w:val="0086770D"/>
    <w:rsid w:val="00870840"/>
    <w:rsid w:val="00871190"/>
    <w:rsid w:val="008712B8"/>
    <w:rsid w:val="0087156B"/>
    <w:rsid w:val="0087191A"/>
    <w:rsid w:val="00871A6A"/>
    <w:rsid w:val="00872765"/>
    <w:rsid w:val="00873524"/>
    <w:rsid w:val="008736F2"/>
    <w:rsid w:val="008736F9"/>
    <w:rsid w:val="00873A1E"/>
    <w:rsid w:val="00873A27"/>
    <w:rsid w:val="00874F18"/>
    <w:rsid w:val="0087506D"/>
    <w:rsid w:val="0087526E"/>
    <w:rsid w:val="008763D7"/>
    <w:rsid w:val="0087646D"/>
    <w:rsid w:val="00876B42"/>
    <w:rsid w:val="00876D78"/>
    <w:rsid w:val="0088004C"/>
    <w:rsid w:val="008802CD"/>
    <w:rsid w:val="008808D9"/>
    <w:rsid w:val="00880DE5"/>
    <w:rsid w:val="0088127A"/>
    <w:rsid w:val="00881AAB"/>
    <w:rsid w:val="00881CFF"/>
    <w:rsid w:val="00881E1D"/>
    <w:rsid w:val="00882035"/>
    <w:rsid w:val="00882CED"/>
    <w:rsid w:val="00883257"/>
    <w:rsid w:val="008835A8"/>
    <w:rsid w:val="008839A6"/>
    <w:rsid w:val="00883BCA"/>
    <w:rsid w:val="00883C06"/>
    <w:rsid w:val="00884279"/>
    <w:rsid w:val="008842A4"/>
    <w:rsid w:val="00884B08"/>
    <w:rsid w:val="00885223"/>
    <w:rsid w:val="00886180"/>
    <w:rsid w:val="0088765B"/>
    <w:rsid w:val="00887CED"/>
    <w:rsid w:val="00890737"/>
    <w:rsid w:val="00891619"/>
    <w:rsid w:val="0089176D"/>
    <w:rsid w:val="00891A33"/>
    <w:rsid w:val="00891E91"/>
    <w:rsid w:val="00892002"/>
    <w:rsid w:val="00892C80"/>
    <w:rsid w:val="00893134"/>
    <w:rsid w:val="00893FC0"/>
    <w:rsid w:val="00894840"/>
    <w:rsid w:val="008952DF"/>
    <w:rsid w:val="008956CD"/>
    <w:rsid w:val="0089640E"/>
    <w:rsid w:val="00896FEA"/>
    <w:rsid w:val="00897F57"/>
    <w:rsid w:val="008A1998"/>
    <w:rsid w:val="008A1A0F"/>
    <w:rsid w:val="008A1C18"/>
    <w:rsid w:val="008A1DDA"/>
    <w:rsid w:val="008A1E13"/>
    <w:rsid w:val="008A1E4F"/>
    <w:rsid w:val="008A2A00"/>
    <w:rsid w:val="008A3E33"/>
    <w:rsid w:val="008A40A3"/>
    <w:rsid w:val="008A4D44"/>
    <w:rsid w:val="008A6441"/>
    <w:rsid w:val="008A6EDD"/>
    <w:rsid w:val="008B1446"/>
    <w:rsid w:val="008B2184"/>
    <w:rsid w:val="008B26CC"/>
    <w:rsid w:val="008B27BB"/>
    <w:rsid w:val="008B2D03"/>
    <w:rsid w:val="008B2F26"/>
    <w:rsid w:val="008B471F"/>
    <w:rsid w:val="008B6318"/>
    <w:rsid w:val="008B6585"/>
    <w:rsid w:val="008B6C38"/>
    <w:rsid w:val="008B6DEA"/>
    <w:rsid w:val="008C06D6"/>
    <w:rsid w:val="008C10E9"/>
    <w:rsid w:val="008C17E4"/>
    <w:rsid w:val="008C384B"/>
    <w:rsid w:val="008C3A1C"/>
    <w:rsid w:val="008C410C"/>
    <w:rsid w:val="008C4341"/>
    <w:rsid w:val="008C4640"/>
    <w:rsid w:val="008C4794"/>
    <w:rsid w:val="008C4CAE"/>
    <w:rsid w:val="008C51EE"/>
    <w:rsid w:val="008C5BF3"/>
    <w:rsid w:val="008C642C"/>
    <w:rsid w:val="008C75EE"/>
    <w:rsid w:val="008C76DC"/>
    <w:rsid w:val="008C7955"/>
    <w:rsid w:val="008D089B"/>
    <w:rsid w:val="008D0A84"/>
    <w:rsid w:val="008D0B3C"/>
    <w:rsid w:val="008D13A0"/>
    <w:rsid w:val="008D19EC"/>
    <w:rsid w:val="008D1F00"/>
    <w:rsid w:val="008D26B8"/>
    <w:rsid w:val="008D2A99"/>
    <w:rsid w:val="008D2D6D"/>
    <w:rsid w:val="008D3AD5"/>
    <w:rsid w:val="008D5A89"/>
    <w:rsid w:val="008D5C77"/>
    <w:rsid w:val="008D6EDC"/>
    <w:rsid w:val="008D6FD3"/>
    <w:rsid w:val="008E0383"/>
    <w:rsid w:val="008E0725"/>
    <w:rsid w:val="008E0E61"/>
    <w:rsid w:val="008E0F58"/>
    <w:rsid w:val="008E0FFA"/>
    <w:rsid w:val="008E17B9"/>
    <w:rsid w:val="008E1968"/>
    <w:rsid w:val="008E1D1A"/>
    <w:rsid w:val="008E26C2"/>
    <w:rsid w:val="008E2C14"/>
    <w:rsid w:val="008E2CFF"/>
    <w:rsid w:val="008E2E43"/>
    <w:rsid w:val="008E366B"/>
    <w:rsid w:val="008E37FC"/>
    <w:rsid w:val="008E3E14"/>
    <w:rsid w:val="008E5A60"/>
    <w:rsid w:val="008E66DC"/>
    <w:rsid w:val="008E763E"/>
    <w:rsid w:val="008E7CED"/>
    <w:rsid w:val="008E7DA7"/>
    <w:rsid w:val="008F06D9"/>
    <w:rsid w:val="008F075B"/>
    <w:rsid w:val="008F0E07"/>
    <w:rsid w:val="008F1942"/>
    <w:rsid w:val="008F2321"/>
    <w:rsid w:val="008F2E5E"/>
    <w:rsid w:val="008F330E"/>
    <w:rsid w:val="008F358F"/>
    <w:rsid w:val="008F4915"/>
    <w:rsid w:val="008F5B96"/>
    <w:rsid w:val="008F5E1B"/>
    <w:rsid w:val="008F5FEC"/>
    <w:rsid w:val="008F6437"/>
    <w:rsid w:val="008F741D"/>
    <w:rsid w:val="008F78B2"/>
    <w:rsid w:val="0090034E"/>
    <w:rsid w:val="00900B70"/>
    <w:rsid w:val="009011A4"/>
    <w:rsid w:val="009012BC"/>
    <w:rsid w:val="00901708"/>
    <w:rsid w:val="00902072"/>
    <w:rsid w:val="00903550"/>
    <w:rsid w:val="00903D11"/>
    <w:rsid w:val="00903D87"/>
    <w:rsid w:val="00903E77"/>
    <w:rsid w:val="00904FF5"/>
    <w:rsid w:val="00906560"/>
    <w:rsid w:val="0090660F"/>
    <w:rsid w:val="00906A1A"/>
    <w:rsid w:val="009071EF"/>
    <w:rsid w:val="009072C8"/>
    <w:rsid w:val="0091012C"/>
    <w:rsid w:val="00910212"/>
    <w:rsid w:val="0091031B"/>
    <w:rsid w:val="00910A12"/>
    <w:rsid w:val="00910C9A"/>
    <w:rsid w:val="00912340"/>
    <w:rsid w:val="00912895"/>
    <w:rsid w:val="00912B14"/>
    <w:rsid w:val="00914256"/>
    <w:rsid w:val="0091488F"/>
    <w:rsid w:val="00915A55"/>
    <w:rsid w:val="00915F01"/>
    <w:rsid w:val="00916401"/>
    <w:rsid w:val="009168B0"/>
    <w:rsid w:val="009171DD"/>
    <w:rsid w:val="009178E1"/>
    <w:rsid w:val="00917B7C"/>
    <w:rsid w:val="009205EA"/>
    <w:rsid w:val="0092089B"/>
    <w:rsid w:val="00920DAA"/>
    <w:rsid w:val="009211B4"/>
    <w:rsid w:val="00921805"/>
    <w:rsid w:val="00921D2E"/>
    <w:rsid w:val="00922AAD"/>
    <w:rsid w:val="0092336B"/>
    <w:rsid w:val="009240F8"/>
    <w:rsid w:val="00924989"/>
    <w:rsid w:val="0092499B"/>
    <w:rsid w:val="00924D66"/>
    <w:rsid w:val="009266F7"/>
    <w:rsid w:val="00926AC1"/>
    <w:rsid w:val="00927329"/>
    <w:rsid w:val="00927968"/>
    <w:rsid w:val="00927DE0"/>
    <w:rsid w:val="00930138"/>
    <w:rsid w:val="00931CFA"/>
    <w:rsid w:val="009321B7"/>
    <w:rsid w:val="0093266C"/>
    <w:rsid w:val="00932A44"/>
    <w:rsid w:val="00932F0D"/>
    <w:rsid w:val="00933173"/>
    <w:rsid w:val="00933FDB"/>
    <w:rsid w:val="00934BDD"/>
    <w:rsid w:val="00934FF9"/>
    <w:rsid w:val="00935643"/>
    <w:rsid w:val="00935B93"/>
    <w:rsid w:val="00935DCA"/>
    <w:rsid w:val="009367C5"/>
    <w:rsid w:val="00936871"/>
    <w:rsid w:val="009371DE"/>
    <w:rsid w:val="00937BBB"/>
    <w:rsid w:val="00937D0F"/>
    <w:rsid w:val="009406DC"/>
    <w:rsid w:val="00941010"/>
    <w:rsid w:val="009412AE"/>
    <w:rsid w:val="0094147E"/>
    <w:rsid w:val="0094160D"/>
    <w:rsid w:val="00942C52"/>
    <w:rsid w:val="00942FCD"/>
    <w:rsid w:val="0094306E"/>
    <w:rsid w:val="009432C5"/>
    <w:rsid w:val="009432F5"/>
    <w:rsid w:val="00943E87"/>
    <w:rsid w:val="0094436D"/>
    <w:rsid w:val="009445EA"/>
    <w:rsid w:val="00944792"/>
    <w:rsid w:val="0094669B"/>
    <w:rsid w:val="00947194"/>
    <w:rsid w:val="009479BE"/>
    <w:rsid w:val="00947B91"/>
    <w:rsid w:val="00947ED2"/>
    <w:rsid w:val="009503DA"/>
    <w:rsid w:val="00950C07"/>
    <w:rsid w:val="0095153A"/>
    <w:rsid w:val="009516C0"/>
    <w:rsid w:val="00951867"/>
    <w:rsid w:val="00951EBD"/>
    <w:rsid w:val="00953BD5"/>
    <w:rsid w:val="00953FCF"/>
    <w:rsid w:val="009540CA"/>
    <w:rsid w:val="009545EB"/>
    <w:rsid w:val="009549E6"/>
    <w:rsid w:val="009554A3"/>
    <w:rsid w:val="00955769"/>
    <w:rsid w:val="009558ED"/>
    <w:rsid w:val="00955CEF"/>
    <w:rsid w:val="009565B5"/>
    <w:rsid w:val="009566F8"/>
    <w:rsid w:val="00956B4C"/>
    <w:rsid w:val="00956EE8"/>
    <w:rsid w:val="00960471"/>
    <w:rsid w:val="0096072E"/>
    <w:rsid w:val="00960E09"/>
    <w:rsid w:val="00961671"/>
    <w:rsid w:val="0096195B"/>
    <w:rsid w:val="00961BED"/>
    <w:rsid w:val="00961E63"/>
    <w:rsid w:val="00962237"/>
    <w:rsid w:val="00962660"/>
    <w:rsid w:val="00963271"/>
    <w:rsid w:val="00963A2A"/>
    <w:rsid w:val="0096468B"/>
    <w:rsid w:val="00964E76"/>
    <w:rsid w:val="0096559A"/>
    <w:rsid w:val="009656FF"/>
    <w:rsid w:val="00966133"/>
    <w:rsid w:val="00966289"/>
    <w:rsid w:val="0096694C"/>
    <w:rsid w:val="00966B94"/>
    <w:rsid w:val="00967084"/>
    <w:rsid w:val="00967354"/>
    <w:rsid w:val="0096750E"/>
    <w:rsid w:val="00970065"/>
    <w:rsid w:val="00970A05"/>
    <w:rsid w:val="00970C2F"/>
    <w:rsid w:val="00971F2D"/>
    <w:rsid w:val="00972C26"/>
    <w:rsid w:val="00972F69"/>
    <w:rsid w:val="00973310"/>
    <w:rsid w:val="00973895"/>
    <w:rsid w:val="00973B6C"/>
    <w:rsid w:val="00973B7E"/>
    <w:rsid w:val="00974B7F"/>
    <w:rsid w:val="00975112"/>
    <w:rsid w:val="0097609C"/>
    <w:rsid w:val="0097660D"/>
    <w:rsid w:val="00976941"/>
    <w:rsid w:val="00976CAA"/>
    <w:rsid w:val="009775A7"/>
    <w:rsid w:val="00977BE0"/>
    <w:rsid w:val="00977E0A"/>
    <w:rsid w:val="00980A53"/>
    <w:rsid w:val="00980FC2"/>
    <w:rsid w:val="00982FBC"/>
    <w:rsid w:val="0098311A"/>
    <w:rsid w:val="00984307"/>
    <w:rsid w:val="00984B48"/>
    <w:rsid w:val="00984F58"/>
    <w:rsid w:val="009855FA"/>
    <w:rsid w:val="009868BB"/>
    <w:rsid w:val="00986C56"/>
    <w:rsid w:val="00990342"/>
    <w:rsid w:val="009907A5"/>
    <w:rsid w:val="00990AAC"/>
    <w:rsid w:val="009911CF"/>
    <w:rsid w:val="00991587"/>
    <w:rsid w:val="009918AA"/>
    <w:rsid w:val="0099198D"/>
    <w:rsid w:val="009921B4"/>
    <w:rsid w:val="00992912"/>
    <w:rsid w:val="009930D3"/>
    <w:rsid w:val="00994490"/>
    <w:rsid w:val="00994C97"/>
    <w:rsid w:val="00994D1D"/>
    <w:rsid w:val="00995873"/>
    <w:rsid w:val="00995AC5"/>
    <w:rsid w:val="0099614A"/>
    <w:rsid w:val="0099649F"/>
    <w:rsid w:val="00996922"/>
    <w:rsid w:val="00996D76"/>
    <w:rsid w:val="00997375"/>
    <w:rsid w:val="00997833"/>
    <w:rsid w:val="009A07BD"/>
    <w:rsid w:val="009A1B6F"/>
    <w:rsid w:val="009A1FE0"/>
    <w:rsid w:val="009A2D3B"/>
    <w:rsid w:val="009A4160"/>
    <w:rsid w:val="009A5B92"/>
    <w:rsid w:val="009A5C4C"/>
    <w:rsid w:val="009A6044"/>
    <w:rsid w:val="009A6584"/>
    <w:rsid w:val="009A68C5"/>
    <w:rsid w:val="009A6F78"/>
    <w:rsid w:val="009A7514"/>
    <w:rsid w:val="009A756A"/>
    <w:rsid w:val="009A7E0D"/>
    <w:rsid w:val="009A7FF0"/>
    <w:rsid w:val="009B00D6"/>
    <w:rsid w:val="009B06BB"/>
    <w:rsid w:val="009B1AFD"/>
    <w:rsid w:val="009B24EB"/>
    <w:rsid w:val="009B2846"/>
    <w:rsid w:val="009B29A1"/>
    <w:rsid w:val="009B30E0"/>
    <w:rsid w:val="009B3874"/>
    <w:rsid w:val="009B3936"/>
    <w:rsid w:val="009B416E"/>
    <w:rsid w:val="009B423C"/>
    <w:rsid w:val="009B51A9"/>
    <w:rsid w:val="009B5642"/>
    <w:rsid w:val="009B5BD8"/>
    <w:rsid w:val="009B6121"/>
    <w:rsid w:val="009B6A67"/>
    <w:rsid w:val="009B6D9E"/>
    <w:rsid w:val="009B6E7F"/>
    <w:rsid w:val="009B734B"/>
    <w:rsid w:val="009B7387"/>
    <w:rsid w:val="009C1600"/>
    <w:rsid w:val="009C1BBA"/>
    <w:rsid w:val="009C25FC"/>
    <w:rsid w:val="009C3807"/>
    <w:rsid w:val="009C3D2B"/>
    <w:rsid w:val="009C3D94"/>
    <w:rsid w:val="009C4A67"/>
    <w:rsid w:val="009C6353"/>
    <w:rsid w:val="009C6D1F"/>
    <w:rsid w:val="009C6E20"/>
    <w:rsid w:val="009C6E79"/>
    <w:rsid w:val="009C7A39"/>
    <w:rsid w:val="009D099C"/>
    <w:rsid w:val="009D0FCF"/>
    <w:rsid w:val="009D1BAD"/>
    <w:rsid w:val="009D2161"/>
    <w:rsid w:val="009D32CD"/>
    <w:rsid w:val="009D3770"/>
    <w:rsid w:val="009D3EB2"/>
    <w:rsid w:val="009D4221"/>
    <w:rsid w:val="009D447A"/>
    <w:rsid w:val="009D4B51"/>
    <w:rsid w:val="009D4D30"/>
    <w:rsid w:val="009D57BC"/>
    <w:rsid w:val="009D5B50"/>
    <w:rsid w:val="009D5C6C"/>
    <w:rsid w:val="009D5E5A"/>
    <w:rsid w:val="009D616C"/>
    <w:rsid w:val="009D7DFA"/>
    <w:rsid w:val="009E03EF"/>
    <w:rsid w:val="009E0CDF"/>
    <w:rsid w:val="009E0D01"/>
    <w:rsid w:val="009E13B2"/>
    <w:rsid w:val="009E1EAD"/>
    <w:rsid w:val="009E20FF"/>
    <w:rsid w:val="009E2626"/>
    <w:rsid w:val="009E3A7B"/>
    <w:rsid w:val="009E3C85"/>
    <w:rsid w:val="009E406F"/>
    <w:rsid w:val="009E5922"/>
    <w:rsid w:val="009E5BB6"/>
    <w:rsid w:val="009E60B8"/>
    <w:rsid w:val="009E6239"/>
    <w:rsid w:val="009E72AD"/>
    <w:rsid w:val="009E73B0"/>
    <w:rsid w:val="009E73C8"/>
    <w:rsid w:val="009F0072"/>
    <w:rsid w:val="009F12AD"/>
    <w:rsid w:val="009F145A"/>
    <w:rsid w:val="009F184D"/>
    <w:rsid w:val="009F21F2"/>
    <w:rsid w:val="009F2531"/>
    <w:rsid w:val="009F2C5F"/>
    <w:rsid w:val="009F445F"/>
    <w:rsid w:val="009F5059"/>
    <w:rsid w:val="009F53E7"/>
    <w:rsid w:val="009F58BD"/>
    <w:rsid w:val="009F59E5"/>
    <w:rsid w:val="009F60F5"/>
    <w:rsid w:val="009F63B7"/>
    <w:rsid w:val="009F6C20"/>
    <w:rsid w:val="00A00A46"/>
    <w:rsid w:val="00A0178B"/>
    <w:rsid w:val="00A01918"/>
    <w:rsid w:val="00A01E44"/>
    <w:rsid w:val="00A02451"/>
    <w:rsid w:val="00A03D4F"/>
    <w:rsid w:val="00A03F31"/>
    <w:rsid w:val="00A03FE2"/>
    <w:rsid w:val="00A042D1"/>
    <w:rsid w:val="00A0444E"/>
    <w:rsid w:val="00A04AA6"/>
    <w:rsid w:val="00A05773"/>
    <w:rsid w:val="00A06096"/>
    <w:rsid w:val="00A06182"/>
    <w:rsid w:val="00A065F7"/>
    <w:rsid w:val="00A06652"/>
    <w:rsid w:val="00A06882"/>
    <w:rsid w:val="00A069BB"/>
    <w:rsid w:val="00A07DEC"/>
    <w:rsid w:val="00A07EA6"/>
    <w:rsid w:val="00A07EBB"/>
    <w:rsid w:val="00A10CFD"/>
    <w:rsid w:val="00A11333"/>
    <w:rsid w:val="00A11B89"/>
    <w:rsid w:val="00A122C0"/>
    <w:rsid w:val="00A125C2"/>
    <w:rsid w:val="00A1265B"/>
    <w:rsid w:val="00A12815"/>
    <w:rsid w:val="00A128A2"/>
    <w:rsid w:val="00A12AF3"/>
    <w:rsid w:val="00A12B63"/>
    <w:rsid w:val="00A13C17"/>
    <w:rsid w:val="00A14997"/>
    <w:rsid w:val="00A1579D"/>
    <w:rsid w:val="00A15FDF"/>
    <w:rsid w:val="00A15FEF"/>
    <w:rsid w:val="00A16A7F"/>
    <w:rsid w:val="00A171E0"/>
    <w:rsid w:val="00A1744A"/>
    <w:rsid w:val="00A17649"/>
    <w:rsid w:val="00A17C05"/>
    <w:rsid w:val="00A17E5E"/>
    <w:rsid w:val="00A208AE"/>
    <w:rsid w:val="00A2179E"/>
    <w:rsid w:val="00A21B54"/>
    <w:rsid w:val="00A21ECD"/>
    <w:rsid w:val="00A23A06"/>
    <w:rsid w:val="00A23E1C"/>
    <w:rsid w:val="00A241F8"/>
    <w:rsid w:val="00A24733"/>
    <w:rsid w:val="00A24B20"/>
    <w:rsid w:val="00A24FC3"/>
    <w:rsid w:val="00A25081"/>
    <w:rsid w:val="00A2523C"/>
    <w:rsid w:val="00A253C4"/>
    <w:rsid w:val="00A25A59"/>
    <w:rsid w:val="00A25AD0"/>
    <w:rsid w:val="00A26D81"/>
    <w:rsid w:val="00A270F2"/>
    <w:rsid w:val="00A27409"/>
    <w:rsid w:val="00A27BF7"/>
    <w:rsid w:val="00A27EC9"/>
    <w:rsid w:val="00A30550"/>
    <w:rsid w:val="00A30966"/>
    <w:rsid w:val="00A30C8F"/>
    <w:rsid w:val="00A313DA"/>
    <w:rsid w:val="00A31AE1"/>
    <w:rsid w:val="00A31E1A"/>
    <w:rsid w:val="00A34678"/>
    <w:rsid w:val="00A3546F"/>
    <w:rsid w:val="00A35ADF"/>
    <w:rsid w:val="00A35F0A"/>
    <w:rsid w:val="00A362A1"/>
    <w:rsid w:val="00A36682"/>
    <w:rsid w:val="00A369F8"/>
    <w:rsid w:val="00A37A40"/>
    <w:rsid w:val="00A37FC4"/>
    <w:rsid w:val="00A40BFD"/>
    <w:rsid w:val="00A41DA7"/>
    <w:rsid w:val="00A425AE"/>
    <w:rsid w:val="00A42C93"/>
    <w:rsid w:val="00A43820"/>
    <w:rsid w:val="00A447E6"/>
    <w:rsid w:val="00A44AB4"/>
    <w:rsid w:val="00A44BDB"/>
    <w:rsid w:val="00A44C75"/>
    <w:rsid w:val="00A44D61"/>
    <w:rsid w:val="00A4567D"/>
    <w:rsid w:val="00A45796"/>
    <w:rsid w:val="00A45AAC"/>
    <w:rsid w:val="00A45F12"/>
    <w:rsid w:val="00A46053"/>
    <w:rsid w:val="00A4618F"/>
    <w:rsid w:val="00A46325"/>
    <w:rsid w:val="00A46600"/>
    <w:rsid w:val="00A47565"/>
    <w:rsid w:val="00A50357"/>
    <w:rsid w:val="00A50905"/>
    <w:rsid w:val="00A5147F"/>
    <w:rsid w:val="00A516E5"/>
    <w:rsid w:val="00A51703"/>
    <w:rsid w:val="00A51ADC"/>
    <w:rsid w:val="00A51B8A"/>
    <w:rsid w:val="00A52944"/>
    <w:rsid w:val="00A529A1"/>
    <w:rsid w:val="00A52C22"/>
    <w:rsid w:val="00A52D97"/>
    <w:rsid w:val="00A53DE9"/>
    <w:rsid w:val="00A5473F"/>
    <w:rsid w:val="00A54987"/>
    <w:rsid w:val="00A54CD4"/>
    <w:rsid w:val="00A56BF3"/>
    <w:rsid w:val="00A5792B"/>
    <w:rsid w:val="00A6044B"/>
    <w:rsid w:val="00A60731"/>
    <w:rsid w:val="00A60A2F"/>
    <w:rsid w:val="00A60DBE"/>
    <w:rsid w:val="00A6102D"/>
    <w:rsid w:val="00A62688"/>
    <w:rsid w:val="00A62E5E"/>
    <w:rsid w:val="00A63C79"/>
    <w:rsid w:val="00A648CA"/>
    <w:rsid w:val="00A65AE9"/>
    <w:rsid w:val="00A666E5"/>
    <w:rsid w:val="00A66872"/>
    <w:rsid w:val="00A67201"/>
    <w:rsid w:val="00A674EA"/>
    <w:rsid w:val="00A67786"/>
    <w:rsid w:val="00A67E1A"/>
    <w:rsid w:val="00A70366"/>
    <w:rsid w:val="00A705CD"/>
    <w:rsid w:val="00A706DC"/>
    <w:rsid w:val="00A70DA3"/>
    <w:rsid w:val="00A717D2"/>
    <w:rsid w:val="00A71AF2"/>
    <w:rsid w:val="00A722D3"/>
    <w:rsid w:val="00A724F4"/>
    <w:rsid w:val="00A726A1"/>
    <w:rsid w:val="00A7315D"/>
    <w:rsid w:val="00A73482"/>
    <w:rsid w:val="00A7377C"/>
    <w:rsid w:val="00A73969"/>
    <w:rsid w:val="00A73978"/>
    <w:rsid w:val="00A73D67"/>
    <w:rsid w:val="00A74278"/>
    <w:rsid w:val="00A74808"/>
    <w:rsid w:val="00A7484C"/>
    <w:rsid w:val="00A74BEF"/>
    <w:rsid w:val="00A75809"/>
    <w:rsid w:val="00A75B48"/>
    <w:rsid w:val="00A75D92"/>
    <w:rsid w:val="00A772F9"/>
    <w:rsid w:val="00A802D3"/>
    <w:rsid w:val="00A80A62"/>
    <w:rsid w:val="00A80D14"/>
    <w:rsid w:val="00A8118D"/>
    <w:rsid w:val="00A824FC"/>
    <w:rsid w:val="00A83268"/>
    <w:rsid w:val="00A84A1B"/>
    <w:rsid w:val="00A850AE"/>
    <w:rsid w:val="00A854F7"/>
    <w:rsid w:val="00A85819"/>
    <w:rsid w:val="00A861F3"/>
    <w:rsid w:val="00A86430"/>
    <w:rsid w:val="00A8722D"/>
    <w:rsid w:val="00A8729B"/>
    <w:rsid w:val="00A87D7F"/>
    <w:rsid w:val="00A87F9B"/>
    <w:rsid w:val="00A907C4"/>
    <w:rsid w:val="00A9155E"/>
    <w:rsid w:val="00A9165D"/>
    <w:rsid w:val="00A9260A"/>
    <w:rsid w:val="00A93133"/>
    <w:rsid w:val="00A94534"/>
    <w:rsid w:val="00A958CB"/>
    <w:rsid w:val="00A95E02"/>
    <w:rsid w:val="00A96DB2"/>
    <w:rsid w:val="00A976D5"/>
    <w:rsid w:val="00A977F2"/>
    <w:rsid w:val="00A978A8"/>
    <w:rsid w:val="00A97CCC"/>
    <w:rsid w:val="00A97DF4"/>
    <w:rsid w:val="00A97EFE"/>
    <w:rsid w:val="00AA0A2B"/>
    <w:rsid w:val="00AA11E9"/>
    <w:rsid w:val="00AA14A7"/>
    <w:rsid w:val="00AA2A28"/>
    <w:rsid w:val="00AA2FB8"/>
    <w:rsid w:val="00AA30CC"/>
    <w:rsid w:val="00AA34D3"/>
    <w:rsid w:val="00AA3672"/>
    <w:rsid w:val="00AA38F4"/>
    <w:rsid w:val="00AA4293"/>
    <w:rsid w:val="00AA4B36"/>
    <w:rsid w:val="00AA54EB"/>
    <w:rsid w:val="00AA57CC"/>
    <w:rsid w:val="00AA6C8B"/>
    <w:rsid w:val="00AA6CF5"/>
    <w:rsid w:val="00AA6EC8"/>
    <w:rsid w:val="00AB0036"/>
    <w:rsid w:val="00AB03D7"/>
    <w:rsid w:val="00AB11B9"/>
    <w:rsid w:val="00AB1A4B"/>
    <w:rsid w:val="00AB1F61"/>
    <w:rsid w:val="00AB2688"/>
    <w:rsid w:val="00AB275E"/>
    <w:rsid w:val="00AB2CEC"/>
    <w:rsid w:val="00AB3289"/>
    <w:rsid w:val="00AB32E5"/>
    <w:rsid w:val="00AB3D95"/>
    <w:rsid w:val="00AB4C4F"/>
    <w:rsid w:val="00AB6611"/>
    <w:rsid w:val="00AB6CB3"/>
    <w:rsid w:val="00AB740B"/>
    <w:rsid w:val="00AB7C58"/>
    <w:rsid w:val="00AC0732"/>
    <w:rsid w:val="00AC07F3"/>
    <w:rsid w:val="00AC0E76"/>
    <w:rsid w:val="00AC1061"/>
    <w:rsid w:val="00AC3184"/>
    <w:rsid w:val="00AC37B5"/>
    <w:rsid w:val="00AC42D7"/>
    <w:rsid w:val="00AC55B2"/>
    <w:rsid w:val="00AC5705"/>
    <w:rsid w:val="00AC5CFD"/>
    <w:rsid w:val="00AC691A"/>
    <w:rsid w:val="00AC7E33"/>
    <w:rsid w:val="00AD154B"/>
    <w:rsid w:val="00AD1717"/>
    <w:rsid w:val="00AD1732"/>
    <w:rsid w:val="00AD1BBD"/>
    <w:rsid w:val="00AD2361"/>
    <w:rsid w:val="00AD2D2A"/>
    <w:rsid w:val="00AD4AE7"/>
    <w:rsid w:val="00AD4F8A"/>
    <w:rsid w:val="00AD5742"/>
    <w:rsid w:val="00AD6239"/>
    <w:rsid w:val="00AD6A9E"/>
    <w:rsid w:val="00AD718F"/>
    <w:rsid w:val="00AD79A3"/>
    <w:rsid w:val="00AE05BB"/>
    <w:rsid w:val="00AE0970"/>
    <w:rsid w:val="00AE09BD"/>
    <w:rsid w:val="00AE0CC1"/>
    <w:rsid w:val="00AE121B"/>
    <w:rsid w:val="00AE1940"/>
    <w:rsid w:val="00AE1D54"/>
    <w:rsid w:val="00AE2141"/>
    <w:rsid w:val="00AE2237"/>
    <w:rsid w:val="00AE39BF"/>
    <w:rsid w:val="00AE4754"/>
    <w:rsid w:val="00AE4812"/>
    <w:rsid w:val="00AE4F10"/>
    <w:rsid w:val="00AE54A3"/>
    <w:rsid w:val="00AE672D"/>
    <w:rsid w:val="00AE6989"/>
    <w:rsid w:val="00AE729E"/>
    <w:rsid w:val="00AF01A3"/>
    <w:rsid w:val="00AF01D0"/>
    <w:rsid w:val="00AF027F"/>
    <w:rsid w:val="00AF0721"/>
    <w:rsid w:val="00AF2125"/>
    <w:rsid w:val="00AF230B"/>
    <w:rsid w:val="00AF29D4"/>
    <w:rsid w:val="00AF362C"/>
    <w:rsid w:val="00AF3F88"/>
    <w:rsid w:val="00AF4DCF"/>
    <w:rsid w:val="00AF4F4E"/>
    <w:rsid w:val="00AF50E2"/>
    <w:rsid w:val="00AF525D"/>
    <w:rsid w:val="00AF5496"/>
    <w:rsid w:val="00AF5945"/>
    <w:rsid w:val="00AF5F46"/>
    <w:rsid w:val="00AF6726"/>
    <w:rsid w:val="00AF688C"/>
    <w:rsid w:val="00AF6E00"/>
    <w:rsid w:val="00AF6E1F"/>
    <w:rsid w:val="00AF7473"/>
    <w:rsid w:val="00B00847"/>
    <w:rsid w:val="00B01380"/>
    <w:rsid w:val="00B0185A"/>
    <w:rsid w:val="00B02653"/>
    <w:rsid w:val="00B03850"/>
    <w:rsid w:val="00B03C13"/>
    <w:rsid w:val="00B04011"/>
    <w:rsid w:val="00B04161"/>
    <w:rsid w:val="00B049E6"/>
    <w:rsid w:val="00B04B71"/>
    <w:rsid w:val="00B04C62"/>
    <w:rsid w:val="00B0543C"/>
    <w:rsid w:val="00B062C4"/>
    <w:rsid w:val="00B069AF"/>
    <w:rsid w:val="00B0756A"/>
    <w:rsid w:val="00B077B4"/>
    <w:rsid w:val="00B07952"/>
    <w:rsid w:val="00B07C16"/>
    <w:rsid w:val="00B10EDC"/>
    <w:rsid w:val="00B12843"/>
    <w:rsid w:val="00B13DE6"/>
    <w:rsid w:val="00B1437B"/>
    <w:rsid w:val="00B14A59"/>
    <w:rsid w:val="00B1730F"/>
    <w:rsid w:val="00B207E7"/>
    <w:rsid w:val="00B21C4D"/>
    <w:rsid w:val="00B22E77"/>
    <w:rsid w:val="00B235C9"/>
    <w:rsid w:val="00B24C4B"/>
    <w:rsid w:val="00B24FFB"/>
    <w:rsid w:val="00B25055"/>
    <w:rsid w:val="00B26006"/>
    <w:rsid w:val="00B264F8"/>
    <w:rsid w:val="00B26618"/>
    <w:rsid w:val="00B26B1D"/>
    <w:rsid w:val="00B26C9E"/>
    <w:rsid w:val="00B3005F"/>
    <w:rsid w:val="00B30275"/>
    <w:rsid w:val="00B30C60"/>
    <w:rsid w:val="00B313ED"/>
    <w:rsid w:val="00B32515"/>
    <w:rsid w:val="00B32935"/>
    <w:rsid w:val="00B32ADD"/>
    <w:rsid w:val="00B33730"/>
    <w:rsid w:val="00B339E4"/>
    <w:rsid w:val="00B33C0A"/>
    <w:rsid w:val="00B345E6"/>
    <w:rsid w:val="00B3553E"/>
    <w:rsid w:val="00B35779"/>
    <w:rsid w:val="00B35A2C"/>
    <w:rsid w:val="00B366FB"/>
    <w:rsid w:val="00B36FE5"/>
    <w:rsid w:val="00B37019"/>
    <w:rsid w:val="00B377BB"/>
    <w:rsid w:val="00B378D9"/>
    <w:rsid w:val="00B40134"/>
    <w:rsid w:val="00B40325"/>
    <w:rsid w:val="00B40C43"/>
    <w:rsid w:val="00B40C85"/>
    <w:rsid w:val="00B40CCA"/>
    <w:rsid w:val="00B41108"/>
    <w:rsid w:val="00B41298"/>
    <w:rsid w:val="00B412CF"/>
    <w:rsid w:val="00B41369"/>
    <w:rsid w:val="00B41444"/>
    <w:rsid w:val="00B42099"/>
    <w:rsid w:val="00B42FA8"/>
    <w:rsid w:val="00B4332E"/>
    <w:rsid w:val="00B4345D"/>
    <w:rsid w:val="00B453C0"/>
    <w:rsid w:val="00B45566"/>
    <w:rsid w:val="00B45A9B"/>
    <w:rsid w:val="00B461A8"/>
    <w:rsid w:val="00B46C0A"/>
    <w:rsid w:val="00B46CC9"/>
    <w:rsid w:val="00B47A48"/>
    <w:rsid w:val="00B47D66"/>
    <w:rsid w:val="00B47EFD"/>
    <w:rsid w:val="00B51187"/>
    <w:rsid w:val="00B5336B"/>
    <w:rsid w:val="00B560C7"/>
    <w:rsid w:val="00B562E6"/>
    <w:rsid w:val="00B56D27"/>
    <w:rsid w:val="00B57A56"/>
    <w:rsid w:val="00B57C11"/>
    <w:rsid w:val="00B60580"/>
    <w:rsid w:val="00B6104A"/>
    <w:rsid w:val="00B611CE"/>
    <w:rsid w:val="00B61365"/>
    <w:rsid w:val="00B62AF0"/>
    <w:rsid w:val="00B62B06"/>
    <w:rsid w:val="00B62C4D"/>
    <w:rsid w:val="00B637B1"/>
    <w:rsid w:val="00B63826"/>
    <w:rsid w:val="00B6399C"/>
    <w:rsid w:val="00B64135"/>
    <w:rsid w:val="00B64434"/>
    <w:rsid w:val="00B657D2"/>
    <w:rsid w:val="00B65940"/>
    <w:rsid w:val="00B65D74"/>
    <w:rsid w:val="00B665E0"/>
    <w:rsid w:val="00B67294"/>
    <w:rsid w:val="00B672BD"/>
    <w:rsid w:val="00B6745C"/>
    <w:rsid w:val="00B67698"/>
    <w:rsid w:val="00B677C9"/>
    <w:rsid w:val="00B67F43"/>
    <w:rsid w:val="00B70F1A"/>
    <w:rsid w:val="00B711DB"/>
    <w:rsid w:val="00B71391"/>
    <w:rsid w:val="00B715AD"/>
    <w:rsid w:val="00B7199C"/>
    <w:rsid w:val="00B7209A"/>
    <w:rsid w:val="00B723A3"/>
    <w:rsid w:val="00B72480"/>
    <w:rsid w:val="00B72707"/>
    <w:rsid w:val="00B72B2E"/>
    <w:rsid w:val="00B736CD"/>
    <w:rsid w:val="00B758A9"/>
    <w:rsid w:val="00B76E6D"/>
    <w:rsid w:val="00B775B7"/>
    <w:rsid w:val="00B807CB"/>
    <w:rsid w:val="00B8121D"/>
    <w:rsid w:val="00B81281"/>
    <w:rsid w:val="00B813FD"/>
    <w:rsid w:val="00B81670"/>
    <w:rsid w:val="00B81C3C"/>
    <w:rsid w:val="00B828F9"/>
    <w:rsid w:val="00B83F9A"/>
    <w:rsid w:val="00B8426B"/>
    <w:rsid w:val="00B85214"/>
    <w:rsid w:val="00B86E51"/>
    <w:rsid w:val="00B8799C"/>
    <w:rsid w:val="00B87F18"/>
    <w:rsid w:val="00B90580"/>
    <w:rsid w:val="00B913F8"/>
    <w:rsid w:val="00B91472"/>
    <w:rsid w:val="00B916D5"/>
    <w:rsid w:val="00B91D10"/>
    <w:rsid w:val="00B932E8"/>
    <w:rsid w:val="00B9389A"/>
    <w:rsid w:val="00B93B80"/>
    <w:rsid w:val="00B9431D"/>
    <w:rsid w:val="00B94402"/>
    <w:rsid w:val="00B944FC"/>
    <w:rsid w:val="00B94C86"/>
    <w:rsid w:val="00B94D91"/>
    <w:rsid w:val="00B95015"/>
    <w:rsid w:val="00B95E3F"/>
    <w:rsid w:val="00B95F2A"/>
    <w:rsid w:val="00B97F8B"/>
    <w:rsid w:val="00BA07D5"/>
    <w:rsid w:val="00BA1E2D"/>
    <w:rsid w:val="00BA2C82"/>
    <w:rsid w:val="00BA3186"/>
    <w:rsid w:val="00BA3F06"/>
    <w:rsid w:val="00BA4161"/>
    <w:rsid w:val="00BA4541"/>
    <w:rsid w:val="00BA4D7A"/>
    <w:rsid w:val="00BA58D4"/>
    <w:rsid w:val="00BA6359"/>
    <w:rsid w:val="00BA7302"/>
    <w:rsid w:val="00BA7D97"/>
    <w:rsid w:val="00BB0D42"/>
    <w:rsid w:val="00BB0F9D"/>
    <w:rsid w:val="00BB1E91"/>
    <w:rsid w:val="00BB30B9"/>
    <w:rsid w:val="00BB37EA"/>
    <w:rsid w:val="00BB3D3A"/>
    <w:rsid w:val="00BB42C5"/>
    <w:rsid w:val="00BB43E4"/>
    <w:rsid w:val="00BB4519"/>
    <w:rsid w:val="00BB46CC"/>
    <w:rsid w:val="00BB551A"/>
    <w:rsid w:val="00BB5E9B"/>
    <w:rsid w:val="00BB5EA3"/>
    <w:rsid w:val="00BB6373"/>
    <w:rsid w:val="00BB63F2"/>
    <w:rsid w:val="00BB6565"/>
    <w:rsid w:val="00BB6AF0"/>
    <w:rsid w:val="00BB7276"/>
    <w:rsid w:val="00BB7D39"/>
    <w:rsid w:val="00BC1554"/>
    <w:rsid w:val="00BC172B"/>
    <w:rsid w:val="00BC2184"/>
    <w:rsid w:val="00BC2911"/>
    <w:rsid w:val="00BC3693"/>
    <w:rsid w:val="00BC3B24"/>
    <w:rsid w:val="00BC4014"/>
    <w:rsid w:val="00BC5B29"/>
    <w:rsid w:val="00BC6567"/>
    <w:rsid w:val="00BC713E"/>
    <w:rsid w:val="00BC7552"/>
    <w:rsid w:val="00BC75FB"/>
    <w:rsid w:val="00BC7AFA"/>
    <w:rsid w:val="00BD05E2"/>
    <w:rsid w:val="00BD0909"/>
    <w:rsid w:val="00BD0CE3"/>
    <w:rsid w:val="00BD0F3F"/>
    <w:rsid w:val="00BD188E"/>
    <w:rsid w:val="00BD19B8"/>
    <w:rsid w:val="00BD2205"/>
    <w:rsid w:val="00BD40AF"/>
    <w:rsid w:val="00BD48C3"/>
    <w:rsid w:val="00BD4956"/>
    <w:rsid w:val="00BD5457"/>
    <w:rsid w:val="00BD6202"/>
    <w:rsid w:val="00BD6458"/>
    <w:rsid w:val="00BD68EB"/>
    <w:rsid w:val="00BD6E0F"/>
    <w:rsid w:val="00BD6EF1"/>
    <w:rsid w:val="00BD7A2E"/>
    <w:rsid w:val="00BE011B"/>
    <w:rsid w:val="00BE0A43"/>
    <w:rsid w:val="00BE11FB"/>
    <w:rsid w:val="00BE2668"/>
    <w:rsid w:val="00BE29BF"/>
    <w:rsid w:val="00BE3545"/>
    <w:rsid w:val="00BE4185"/>
    <w:rsid w:val="00BE4320"/>
    <w:rsid w:val="00BE44E6"/>
    <w:rsid w:val="00BE44ED"/>
    <w:rsid w:val="00BE469B"/>
    <w:rsid w:val="00BE49EA"/>
    <w:rsid w:val="00BE4F3A"/>
    <w:rsid w:val="00BE6203"/>
    <w:rsid w:val="00BF00F9"/>
    <w:rsid w:val="00BF030E"/>
    <w:rsid w:val="00BF1E5C"/>
    <w:rsid w:val="00BF4DD7"/>
    <w:rsid w:val="00BF544B"/>
    <w:rsid w:val="00BF5A52"/>
    <w:rsid w:val="00BF639B"/>
    <w:rsid w:val="00BF6657"/>
    <w:rsid w:val="00BF6D9A"/>
    <w:rsid w:val="00BF7361"/>
    <w:rsid w:val="00BF7D47"/>
    <w:rsid w:val="00BF7E7E"/>
    <w:rsid w:val="00C002EF"/>
    <w:rsid w:val="00C0030A"/>
    <w:rsid w:val="00C003F4"/>
    <w:rsid w:val="00C004C6"/>
    <w:rsid w:val="00C008B3"/>
    <w:rsid w:val="00C01F6E"/>
    <w:rsid w:val="00C024F6"/>
    <w:rsid w:val="00C028EB"/>
    <w:rsid w:val="00C03543"/>
    <w:rsid w:val="00C03B4B"/>
    <w:rsid w:val="00C042EB"/>
    <w:rsid w:val="00C04F69"/>
    <w:rsid w:val="00C0549F"/>
    <w:rsid w:val="00C059EC"/>
    <w:rsid w:val="00C062BF"/>
    <w:rsid w:val="00C06D0E"/>
    <w:rsid w:val="00C06FE2"/>
    <w:rsid w:val="00C07D8A"/>
    <w:rsid w:val="00C113F0"/>
    <w:rsid w:val="00C11A0A"/>
    <w:rsid w:val="00C12171"/>
    <w:rsid w:val="00C127FD"/>
    <w:rsid w:val="00C134AB"/>
    <w:rsid w:val="00C135C8"/>
    <w:rsid w:val="00C13AAE"/>
    <w:rsid w:val="00C13EC4"/>
    <w:rsid w:val="00C140D3"/>
    <w:rsid w:val="00C14724"/>
    <w:rsid w:val="00C14971"/>
    <w:rsid w:val="00C14A8B"/>
    <w:rsid w:val="00C14C35"/>
    <w:rsid w:val="00C14F78"/>
    <w:rsid w:val="00C161DB"/>
    <w:rsid w:val="00C1637A"/>
    <w:rsid w:val="00C1742F"/>
    <w:rsid w:val="00C1765E"/>
    <w:rsid w:val="00C2142B"/>
    <w:rsid w:val="00C224B0"/>
    <w:rsid w:val="00C224EF"/>
    <w:rsid w:val="00C22DB9"/>
    <w:rsid w:val="00C2301A"/>
    <w:rsid w:val="00C236C8"/>
    <w:rsid w:val="00C23952"/>
    <w:rsid w:val="00C23B2A"/>
    <w:rsid w:val="00C2403C"/>
    <w:rsid w:val="00C24055"/>
    <w:rsid w:val="00C25220"/>
    <w:rsid w:val="00C25830"/>
    <w:rsid w:val="00C269CF"/>
    <w:rsid w:val="00C26EDF"/>
    <w:rsid w:val="00C27881"/>
    <w:rsid w:val="00C2798C"/>
    <w:rsid w:val="00C301B8"/>
    <w:rsid w:val="00C3122E"/>
    <w:rsid w:val="00C31A72"/>
    <w:rsid w:val="00C322E8"/>
    <w:rsid w:val="00C32942"/>
    <w:rsid w:val="00C3334B"/>
    <w:rsid w:val="00C3355E"/>
    <w:rsid w:val="00C343E2"/>
    <w:rsid w:val="00C344CE"/>
    <w:rsid w:val="00C34D67"/>
    <w:rsid w:val="00C35746"/>
    <w:rsid w:val="00C35869"/>
    <w:rsid w:val="00C36C47"/>
    <w:rsid w:val="00C37A3B"/>
    <w:rsid w:val="00C401F8"/>
    <w:rsid w:val="00C403BD"/>
    <w:rsid w:val="00C40883"/>
    <w:rsid w:val="00C40B0C"/>
    <w:rsid w:val="00C40D1B"/>
    <w:rsid w:val="00C40D56"/>
    <w:rsid w:val="00C4158C"/>
    <w:rsid w:val="00C41D58"/>
    <w:rsid w:val="00C42497"/>
    <w:rsid w:val="00C4319F"/>
    <w:rsid w:val="00C43497"/>
    <w:rsid w:val="00C440AF"/>
    <w:rsid w:val="00C449CF"/>
    <w:rsid w:val="00C45220"/>
    <w:rsid w:val="00C45B16"/>
    <w:rsid w:val="00C46A63"/>
    <w:rsid w:val="00C46D3C"/>
    <w:rsid w:val="00C46D46"/>
    <w:rsid w:val="00C471B7"/>
    <w:rsid w:val="00C501FB"/>
    <w:rsid w:val="00C50FEB"/>
    <w:rsid w:val="00C5141F"/>
    <w:rsid w:val="00C5148E"/>
    <w:rsid w:val="00C518EE"/>
    <w:rsid w:val="00C51937"/>
    <w:rsid w:val="00C51BFA"/>
    <w:rsid w:val="00C51DF4"/>
    <w:rsid w:val="00C52103"/>
    <w:rsid w:val="00C526D7"/>
    <w:rsid w:val="00C52D6C"/>
    <w:rsid w:val="00C53713"/>
    <w:rsid w:val="00C53935"/>
    <w:rsid w:val="00C53C3C"/>
    <w:rsid w:val="00C55681"/>
    <w:rsid w:val="00C5583D"/>
    <w:rsid w:val="00C56673"/>
    <w:rsid w:val="00C57DA6"/>
    <w:rsid w:val="00C605FF"/>
    <w:rsid w:val="00C6168C"/>
    <w:rsid w:val="00C627EE"/>
    <w:rsid w:val="00C62829"/>
    <w:rsid w:val="00C628E2"/>
    <w:rsid w:val="00C62C9C"/>
    <w:rsid w:val="00C63816"/>
    <w:rsid w:val="00C63D52"/>
    <w:rsid w:val="00C65828"/>
    <w:rsid w:val="00C65CC7"/>
    <w:rsid w:val="00C65D62"/>
    <w:rsid w:val="00C66413"/>
    <w:rsid w:val="00C6679F"/>
    <w:rsid w:val="00C66EDA"/>
    <w:rsid w:val="00C672D5"/>
    <w:rsid w:val="00C7009B"/>
    <w:rsid w:val="00C7030A"/>
    <w:rsid w:val="00C7033F"/>
    <w:rsid w:val="00C70CED"/>
    <w:rsid w:val="00C70E6E"/>
    <w:rsid w:val="00C7107E"/>
    <w:rsid w:val="00C719C7"/>
    <w:rsid w:val="00C7232C"/>
    <w:rsid w:val="00C72469"/>
    <w:rsid w:val="00C72508"/>
    <w:rsid w:val="00C72852"/>
    <w:rsid w:val="00C73333"/>
    <w:rsid w:val="00C735F1"/>
    <w:rsid w:val="00C74A74"/>
    <w:rsid w:val="00C74DB9"/>
    <w:rsid w:val="00C7535A"/>
    <w:rsid w:val="00C75C97"/>
    <w:rsid w:val="00C766B3"/>
    <w:rsid w:val="00C767AD"/>
    <w:rsid w:val="00C77B36"/>
    <w:rsid w:val="00C80FF7"/>
    <w:rsid w:val="00C8100A"/>
    <w:rsid w:val="00C81A5C"/>
    <w:rsid w:val="00C81F4A"/>
    <w:rsid w:val="00C82628"/>
    <w:rsid w:val="00C83673"/>
    <w:rsid w:val="00C83E7F"/>
    <w:rsid w:val="00C84487"/>
    <w:rsid w:val="00C845CA"/>
    <w:rsid w:val="00C84C72"/>
    <w:rsid w:val="00C85357"/>
    <w:rsid w:val="00C8546A"/>
    <w:rsid w:val="00C85600"/>
    <w:rsid w:val="00C901CA"/>
    <w:rsid w:val="00C90634"/>
    <w:rsid w:val="00C90DA6"/>
    <w:rsid w:val="00C9107A"/>
    <w:rsid w:val="00C91776"/>
    <w:rsid w:val="00C91DA3"/>
    <w:rsid w:val="00C91F49"/>
    <w:rsid w:val="00C92DDE"/>
    <w:rsid w:val="00C933EE"/>
    <w:rsid w:val="00C945FC"/>
    <w:rsid w:val="00C9492A"/>
    <w:rsid w:val="00C9529A"/>
    <w:rsid w:val="00C95C39"/>
    <w:rsid w:val="00C96FDE"/>
    <w:rsid w:val="00C979FF"/>
    <w:rsid w:val="00CA03C0"/>
    <w:rsid w:val="00CA0965"/>
    <w:rsid w:val="00CA0C83"/>
    <w:rsid w:val="00CA1725"/>
    <w:rsid w:val="00CA1E22"/>
    <w:rsid w:val="00CA3544"/>
    <w:rsid w:val="00CA3F4F"/>
    <w:rsid w:val="00CA5068"/>
    <w:rsid w:val="00CA53B2"/>
    <w:rsid w:val="00CA5895"/>
    <w:rsid w:val="00CA59A5"/>
    <w:rsid w:val="00CA59AF"/>
    <w:rsid w:val="00CA71CC"/>
    <w:rsid w:val="00CA7253"/>
    <w:rsid w:val="00CA761B"/>
    <w:rsid w:val="00CA79D5"/>
    <w:rsid w:val="00CB1117"/>
    <w:rsid w:val="00CB1C64"/>
    <w:rsid w:val="00CB2F95"/>
    <w:rsid w:val="00CB339D"/>
    <w:rsid w:val="00CB3474"/>
    <w:rsid w:val="00CB367C"/>
    <w:rsid w:val="00CB38A6"/>
    <w:rsid w:val="00CB40F3"/>
    <w:rsid w:val="00CB42AC"/>
    <w:rsid w:val="00CB53D7"/>
    <w:rsid w:val="00CB5B58"/>
    <w:rsid w:val="00CB5F33"/>
    <w:rsid w:val="00CB63CA"/>
    <w:rsid w:val="00CB7101"/>
    <w:rsid w:val="00CC00E2"/>
    <w:rsid w:val="00CC0C50"/>
    <w:rsid w:val="00CC2652"/>
    <w:rsid w:val="00CC27DC"/>
    <w:rsid w:val="00CC30AA"/>
    <w:rsid w:val="00CC33C0"/>
    <w:rsid w:val="00CC3531"/>
    <w:rsid w:val="00CC3858"/>
    <w:rsid w:val="00CC6223"/>
    <w:rsid w:val="00CC62D6"/>
    <w:rsid w:val="00CC6372"/>
    <w:rsid w:val="00CC6809"/>
    <w:rsid w:val="00CC6BE7"/>
    <w:rsid w:val="00CC70C1"/>
    <w:rsid w:val="00CD0525"/>
    <w:rsid w:val="00CD08B6"/>
    <w:rsid w:val="00CD0E08"/>
    <w:rsid w:val="00CD1169"/>
    <w:rsid w:val="00CD21C1"/>
    <w:rsid w:val="00CD260E"/>
    <w:rsid w:val="00CD3AAA"/>
    <w:rsid w:val="00CD3C5A"/>
    <w:rsid w:val="00CD3CBE"/>
    <w:rsid w:val="00CD3D7A"/>
    <w:rsid w:val="00CD3DD8"/>
    <w:rsid w:val="00CD3E5E"/>
    <w:rsid w:val="00CD4079"/>
    <w:rsid w:val="00CD423A"/>
    <w:rsid w:val="00CD5141"/>
    <w:rsid w:val="00CD52FA"/>
    <w:rsid w:val="00CD54C2"/>
    <w:rsid w:val="00CD55A7"/>
    <w:rsid w:val="00CD5B00"/>
    <w:rsid w:val="00CD5D51"/>
    <w:rsid w:val="00CD6CCF"/>
    <w:rsid w:val="00CE051C"/>
    <w:rsid w:val="00CE12BE"/>
    <w:rsid w:val="00CE1E09"/>
    <w:rsid w:val="00CE216F"/>
    <w:rsid w:val="00CE225C"/>
    <w:rsid w:val="00CE252B"/>
    <w:rsid w:val="00CE30C6"/>
    <w:rsid w:val="00CE32F9"/>
    <w:rsid w:val="00CE3873"/>
    <w:rsid w:val="00CE3978"/>
    <w:rsid w:val="00CE41CC"/>
    <w:rsid w:val="00CE47A3"/>
    <w:rsid w:val="00CE5028"/>
    <w:rsid w:val="00CE618B"/>
    <w:rsid w:val="00CE66B6"/>
    <w:rsid w:val="00CE6A9D"/>
    <w:rsid w:val="00CE7528"/>
    <w:rsid w:val="00CE7A30"/>
    <w:rsid w:val="00CE7BDF"/>
    <w:rsid w:val="00CF0B87"/>
    <w:rsid w:val="00CF12A6"/>
    <w:rsid w:val="00CF17A2"/>
    <w:rsid w:val="00CF1CB9"/>
    <w:rsid w:val="00CF214A"/>
    <w:rsid w:val="00CF2938"/>
    <w:rsid w:val="00CF2A46"/>
    <w:rsid w:val="00CF2FD7"/>
    <w:rsid w:val="00CF32FB"/>
    <w:rsid w:val="00CF3422"/>
    <w:rsid w:val="00CF3D30"/>
    <w:rsid w:val="00CF4AAA"/>
    <w:rsid w:val="00CF4E9D"/>
    <w:rsid w:val="00CF591B"/>
    <w:rsid w:val="00CF5D1C"/>
    <w:rsid w:val="00CF61B9"/>
    <w:rsid w:val="00CF662D"/>
    <w:rsid w:val="00CF6C05"/>
    <w:rsid w:val="00CF6E2C"/>
    <w:rsid w:val="00D01B5D"/>
    <w:rsid w:val="00D020DD"/>
    <w:rsid w:val="00D03540"/>
    <w:rsid w:val="00D03C9A"/>
    <w:rsid w:val="00D0510F"/>
    <w:rsid w:val="00D053DA"/>
    <w:rsid w:val="00D0594C"/>
    <w:rsid w:val="00D05A64"/>
    <w:rsid w:val="00D05BCB"/>
    <w:rsid w:val="00D05F5E"/>
    <w:rsid w:val="00D05FE7"/>
    <w:rsid w:val="00D06016"/>
    <w:rsid w:val="00D06C0E"/>
    <w:rsid w:val="00D1038C"/>
    <w:rsid w:val="00D107AA"/>
    <w:rsid w:val="00D109BC"/>
    <w:rsid w:val="00D11A78"/>
    <w:rsid w:val="00D11E29"/>
    <w:rsid w:val="00D12048"/>
    <w:rsid w:val="00D1237A"/>
    <w:rsid w:val="00D13205"/>
    <w:rsid w:val="00D13582"/>
    <w:rsid w:val="00D13FA9"/>
    <w:rsid w:val="00D15199"/>
    <w:rsid w:val="00D151BE"/>
    <w:rsid w:val="00D15283"/>
    <w:rsid w:val="00D154BA"/>
    <w:rsid w:val="00D16B8E"/>
    <w:rsid w:val="00D17972"/>
    <w:rsid w:val="00D17A78"/>
    <w:rsid w:val="00D17F7A"/>
    <w:rsid w:val="00D212B9"/>
    <w:rsid w:val="00D21810"/>
    <w:rsid w:val="00D21B76"/>
    <w:rsid w:val="00D21EAD"/>
    <w:rsid w:val="00D22055"/>
    <w:rsid w:val="00D22716"/>
    <w:rsid w:val="00D227DE"/>
    <w:rsid w:val="00D2282E"/>
    <w:rsid w:val="00D23438"/>
    <w:rsid w:val="00D23810"/>
    <w:rsid w:val="00D246A2"/>
    <w:rsid w:val="00D248FA"/>
    <w:rsid w:val="00D249CB"/>
    <w:rsid w:val="00D24E6A"/>
    <w:rsid w:val="00D24E72"/>
    <w:rsid w:val="00D2533C"/>
    <w:rsid w:val="00D25831"/>
    <w:rsid w:val="00D2601A"/>
    <w:rsid w:val="00D26ACD"/>
    <w:rsid w:val="00D26BC4"/>
    <w:rsid w:val="00D27344"/>
    <w:rsid w:val="00D275F7"/>
    <w:rsid w:val="00D278CA"/>
    <w:rsid w:val="00D30763"/>
    <w:rsid w:val="00D30A07"/>
    <w:rsid w:val="00D30BC0"/>
    <w:rsid w:val="00D315E3"/>
    <w:rsid w:val="00D31837"/>
    <w:rsid w:val="00D31E32"/>
    <w:rsid w:val="00D33931"/>
    <w:rsid w:val="00D345F3"/>
    <w:rsid w:val="00D34AE6"/>
    <w:rsid w:val="00D34BC1"/>
    <w:rsid w:val="00D35125"/>
    <w:rsid w:val="00D351CC"/>
    <w:rsid w:val="00D365B2"/>
    <w:rsid w:val="00D36819"/>
    <w:rsid w:val="00D3690D"/>
    <w:rsid w:val="00D36B62"/>
    <w:rsid w:val="00D3707C"/>
    <w:rsid w:val="00D37FF0"/>
    <w:rsid w:val="00D4154C"/>
    <w:rsid w:val="00D41869"/>
    <w:rsid w:val="00D41F4E"/>
    <w:rsid w:val="00D430AF"/>
    <w:rsid w:val="00D434D8"/>
    <w:rsid w:val="00D43DB5"/>
    <w:rsid w:val="00D459FC"/>
    <w:rsid w:val="00D45F17"/>
    <w:rsid w:val="00D468C0"/>
    <w:rsid w:val="00D46C83"/>
    <w:rsid w:val="00D47E94"/>
    <w:rsid w:val="00D50194"/>
    <w:rsid w:val="00D503BC"/>
    <w:rsid w:val="00D50F5E"/>
    <w:rsid w:val="00D51496"/>
    <w:rsid w:val="00D51590"/>
    <w:rsid w:val="00D5246F"/>
    <w:rsid w:val="00D5311D"/>
    <w:rsid w:val="00D53876"/>
    <w:rsid w:val="00D53A25"/>
    <w:rsid w:val="00D53BDE"/>
    <w:rsid w:val="00D53CBA"/>
    <w:rsid w:val="00D53F6F"/>
    <w:rsid w:val="00D54F62"/>
    <w:rsid w:val="00D55E0D"/>
    <w:rsid w:val="00D574B6"/>
    <w:rsid w:val="00D57752"/>
    <w:rsid w:val="00D60B44"/>
    <w:rsid w:val="00D6299C"/>
    <w:rsid w:val="00D62CFB"/>
    <w:rsid w:val="00D65420"/>
    <w:rsid w:val="00D655B7"/>
    <w:rsid w:val="00D67CEA"/>
    <w:rsid w:val="00D70112"/>
    <w:rsid w:val="00D70734"/>
    <w:rsid w:val="00D70D05"/>
    <w:rsid w:val="00D70E75"/>
    <w:rsid w:val="00D712E6"/>
    <w:rsid w:val="00D71C0C"/>
    <w:rsid w:val="00D71FFD"/>
    <w:rsid w:val="00D729A3"/>
    <w:rsid w:val="00D72ACF"/>
    <w:rsid w:val="00D72F0D"/>
    <w:rsid w:val="00D736D9"/>
    <w:rsid w:val="00D75619"/>
    <w:rsid w:val="00D757E0"/>
    <w:rsid w:val="00D758F5"/>
    <w:rsid w:val="00D75FDF"/>
    <w:rsid w:val="00D7671A"/>
    <w:rsid w:val="00D76721"/>
    <w:rsid w:val="00D76D72"/>
    <w:rsid w:val="00D76E70"/>
    <w:rsid w:val="00D775AF"/>
    <w:rsid w:val="00D7770D"/>
    <w:rsid w:val="00D8052D"/>
    <w:rsid w:val="00D80D9D"/>
    <w:rsid w:val="00D813E6"/>
    <w:rsid w:val="00D81478"/>
    <w:rsid w:val="00D81B03"/>
    <w:rsid w:val="00D82820"/>
    <w:rsid w:val="00D82D07"/>
    <w:rsid w:val="00D83406"/>
    <w:rsid w:val="00D834EC"/>
    <w:rsid w:val="00D8389D"/>
    <w:rsid w:val="00D848D1"/>
    <w:rsid w:val="00D84CA9"/>
    <w:rsid w:val="00D8550F"/>
    <w:rsid w:val="00D857A4"/>
    <w:rsid w:val="00D86DA4"/>
    <w:rsid w:val="00D86FF6"/>
    <w:rsid w:val="00D90908"/>
    <w:rsid w:val="00D90EF4"/>
    <w:rsid w:val="00D9125B"/>
    <w:rsid w:val="00D912EA"/>
    <w:rsid w:val="00D923E1"/>
    <w:rsid w:val="00D9280F"/>
    <w:rsid w:val="00D92CE9"/>
    <w:rsid w:val="00D93474"/>
    <w:rsid w:val="00D93BF1"/>
    <w:rsid w:val="00D94074"/>
    <w:rsid w:val="00D944C8"/>
    <w:rsid w:val="00D952B7"/>
    <w:rsid w:val="00D95B03"/>
    <w:rsid w:val="00D9629B"/>
    <w:rsid w:val="00D962B9"/>
    <w:rsid w:val="00D9634D"/>
    <w:rsid w:val="00D96C09"/>
    <w:rsid w:val="00D96D9C"/>
    <w:rsid w:val="00D979A8"/>
    <w:rsid w:val="00DA1A94"/>
    <w:rsid w:val="00DA21A2"/>
    <w:rsid w:val="00DA2A7D"/>
    <w:rsid w:val="00DA3526"/>
    <w:rsid w:val="00DA3A7B"/>
    <w:rsid w:val="00DA4291"/>
    <w:rsid w:val="00DA4C20"/>
    <w:rsid w:val="00DA5649"/>
    <w:rsid w:val="00DA5706"/>
    <w:rsid w:val="00DA634F"/>
    <w:rsid w:val="00DA6AF9"/>
    <w:rsid w:val="00DA743D"/>
    <w:rsid w:val="00DA7582"/>
    <w:rsid w:val="00DA7EF3"/>
    <w:rsid w:val="00DB07E0"/>
    <w:rsid w:val="00DB0D23"/>
    <w:rsid w:val="00DB14C3"/>
    <w:rsid w:val="00DB1E0C"/>
    <w:rsid w:val="00DB1E23"/>
    <w:rsid w:val="00DB28A8"/>
    <w:rsid w:val="00DB2BE7"/>
    <w:rsid w:val="00DB3BAE"/>
    <w:rsid w:val="00DB466F"/>
    <w:rsid w:val="00DB5345"/>
    <w:rsid w:val="00DB5C9C"/>
    <w:rsid w:val="00DB5E06"/>
    <w:rsid w:val="00DB620F"/>
    <w:rsid w:val="00DB65C2"/>
    <w:rsid w:val="00DB6E3B"/>
    <w:rsid w:val="00DB6F1E"/>
    <w:rsid w:val="00DB72B4"/>
    <w:rsid w:val="00DB731D"/>
    <w:rsid w:val="00DC01D2"/>
    <w:rsid w:val="00DC07D7"/>
    <w:rsid w:val="00DC0B26"/>
    <w:rsid w:val="00DC0BA2"/>
    <w:rsid w:val="00DC0DA5"/>
    <w:rsid w:val="00DC3A04"/>
    <w:rsid w:val="00DC41E7"/>
    <w:rsid w:val="00DC46C7"/>
    <w:rsid w:val="00DC4E86"/>
    <w:rsid w:val="00DC58D9"/>
    <w:rsid w:val="00DC5904"/>
    <w:rsid w:val="00DC5E83"/>
    <w:rsid w:val="00DC6A0C"/>
    <w:rsid w:val="00DC6D47"/>
    <w:rsid w:val="00DC78B4"/>
    <w:rsid w:val="00DC7917"/>
    <w:rsid w:val="00DC79F4"/>
    <w:rsid w:val="00DC7CEC"/>
    <w:rsid w:val="00DC7DC8"/>
    <w:rsid w:val="00DC7E31"/>
    <w:rsid w:val="00DC7EAC"/>
    <w:rsid w:val="00DD3F3B"/>
    <w:rsid w:val="00DD4243"/>
    <w:rsid w:val="00DD44AB"/>
    <w:rsid w:val="00DD4AC0"/>
    <w:rsid w:val="00DD4F9C"/>
    <w:rsid w:val="00DD52DE"/>
    <w:rsid w:val="00DD5456"/>
    <w:rsid w:val="00DD6D5B"/>
    <w:rsid w:val="00DD7E6F"/>
    <w:rsid w:val="00DE0030"/>
    <w:rsid w:val="00DE0559"/>
    <w:rsid w:val="00DE27EC"/>
    <w:rsid w:val="00DE2DDE"/>
    <w:rsid w:val="00DE3964"/>
    <w:rsid w:val="00DE411D"/>
    <w:rsid w:val="00DE42FA"/>
    <w:rsid w:val="00DE48E2"/>
    <w:rsid w:val="00DE48EB"/>
    <w:rsid w:val="00DE53A4"/>
    <w:rsid w:val="00DE53B2"/>
    <w:rsid w:val="00DE55F2"/>
    <w:rsid w:val="00DE5606"/>
    <w:rsid w:val="00DE6154"/>
    <w:rsid w:val="00DE650C"/>
    <w:rsid w:val="00DE6982"/>
    <w:rsid w:val="00DE6B3A"/>
    <w:rsid w:val="00DE6D26"/>
    <w:rsid w:val="00DE6FA3"/>
    <w:rsid w:val="00DE70AD"/>
    <w:rsid w:val="00DE751A"/>
    <w:rsid w:val="00DF0ADC"/>
    <w:rsid w:val="00DF0EF9"/>
    <w:rsid w:val="00DF16BE"/>
    <w:rsid w:val="00DF18D3"/>
    <w:rsid w:val="00DF1B47"/>
    <w:rsid w:val="00DF1C63"/>
    <w:rsid w:val="00DF2386"/>
    <w:rsid w:val="00DF2433"/>
    <w:rsid w:val="00DF270A"/>
    <w:rsid w:val="00DF2D8C"/>
    <w:rsid w:val="00DF3F20"/>
    <w:rsid w:val="00DF4C27"/>
    <w:rsid w:val="00DF4DDE"/>
    <w:rsid w:val="00DF4E0B"/>
    <w:rsid w:val="00DF544F"/>
    <w:rsid w:val="00DF62BF"/>
    <w:rsid w:val="00DF6A17"/>
    <w:rsid w:val="00DF7467"/>
    <w:rsid w:val="00DF7C01"/>
    <w:rsid w:val="00E00149"/>
    <w:rsid w:val="00E01ADB"/>
    <w:rsid w:val="00E01E41"/>
    <w:rsid w:val="00E02141"/>
    <w:rsid w:val="00E02224"/>
    <w:rsid w:val="00E028BC"/>
    <w:rsid w:val="00E034BE"/>
    <w:rsid w:val="00E03DE7"/>
    <w:rsid w:val="00E04A5D"/>
    <w:rsid w:val="00E05984"/>
    <w:rsid w:val="00E05A50"/>
    <w:rsid w:val="00E079A5"/>
    <w:rsid w:val="00E079F0"/>
    <w:rsid w:val="00E07A0F"/>
    <w:rsid w:val="00E113A1"/>
    <w:rsid w:val="00E11FD3"/>
    <w:rsid w:val="00E12072"/>
    <w:rsid w:val="00E123AB"/>
    <w:rsid w:val="00E129B2"/>
    <w:rsid w:val="00E1423E"/>
    <w:rsid w:val="00E14D83"/>
    <w:rsid w:val="00E15362"/>
    <w:rsid w:val="00E159FF"/>
    <w:rsid w:val="00E16DF3"/>
    <w:rsid w:val="00E17C5E"/>
    <w:rsid w:val="00E2022C"/>
    <w:rsid w:val="00E20923"/>
    <w:rsid w:val="00E216BF"/>
    <w:rsid w:val="00E222E9"/>
    <w:rsid w:val="00E232C6"/>
    <w:rsid w:val="00E23F19"/>
    <w:rsid w:val="00E241AA"/>
    <w:rsid w:val="00E2454F"/>
    <w:rsid w:val="00E24958"/>
    <w:rsid w:val="00E25051"/>
    <w:rsid w:val="00E2616D"/>
    <w:rsid w:val="00E275DD"/>
    <w:rsid w:val="00E30A70"/>
    <w:rsid w:val="00E30EDD"/>
    <w:rsid w:val="00E313B8"/>
    <w:rsid w:val="00E3187C"/>
    <w:rsid w:val="00E31B4C"/>
    <w:rsid w:val="00E32275"/>
    <w:rsid w:val="00E32A42"/>
    <w:rsid w:val="00E32D1A"/>
    <w:rsid w:val="00E332C7"/>
    <w:rsid w:val="00E33454"/>
    <w:rsid w:val="00E3386E"/>
    <w:rsid w:val="00E33BEB"/>
    <w:rsid w:val="00E346FC"/>
    <w:rsid w:val="00E34827"/>
    <w:rsid w:val="00E36210"/>
    <w:rsid w:val="00E36927"/>
    <w:rsid w:val="00E36971"/>
    <w:rsid w:val="00E36C40"/>
    <w:rsid w:val="00E37232"/>
    <w:rsid w:val="00E3735A"/>
    <w:rsid w:val="00E37E23"/>
    <w:rsid w:val="00E40CD6"/>
    <w:rsid w:val="00E41976"/>
    <w:rsid w:val="00E42EF4"/>
    <w:rsid w:val="00E43372"/>
    <w:rsid w:val="00E435F6"/>
    <w:rsid w:val="00E436C0"/>
    <w:rsid w:val="00E439F5"/>
    <w:rsid w:val="00E43C55"/>
    <w:rsid w:val="00E43E29"/>
    <w:rsid w:val="00E441DE"/>
    <w:rsid w:val="00E443BE"/>
    <w:rsid w:val="00E45233"/>
    <w:rsid w:val="00E45236"/>
    <w:rsid w:val="00E454B9"/>
    <w:rsid w:val="00E4627E"/>
    <w:rsid w:val="00E46379"/>
    <w:rsid w:val="00E46B80"/>
    <w:rsid w:val="00E47240"/>
    <w:rsid w:val="00E50406"/>
    <w:rsid w:val="00E51A0D"/>
    <w:rsid w:val="00E51EB8"/>
    <w:rsid w:val="00E51EF4"/>
    <w:rsid w:val="00E52084"/>
    <w:rsid w:val="00E530A9"/>
    <w:rsid w:val="00E536A1"/>
    <w:rsid w:val="00E542B7"/>
    <w:rsid w:val="00E54C45"/>
    <w:rsid w:val="00E5611D"/>
    <w:rsid w:val="00E5616C"/>
    <w:rsid w:val="00E56CF7"/>
    <w:rsid w:val="00E5740A"/>
    <w:rsid w:val="00E6010C"/>
    <w:rsid w:val="00E603D6"/>
    <w:rsid w:val="00E6041C"/>
    <w:rsid w:val="00E60668"/>
    <w:rsid w:val="00E60A8C"/>
    <w:rsid w:val="00E60CC7"/>
    <w:rsid w:val="00E612FD"/>
    <w:rsid w:val="00E6153B"/>
    <w:rsid w:val="00E615CC"/>
    <w:rsid w:val="00E61FA4"/>
    <w:rsid w:val="00E63486"/>
    <w:rsid w:val="00E63AF0"/>
    <w:rsid w:val="00E640F2"/>
    <w:rsid w:val="00E644BE"/>
    <w:rsid w:val="00E645B1"/>
    <w:rsid w:val="00E646B0"/>
    <w:rsid w:val="00E64A77"/>
    <w:rsid w:val="00E64EB6"/>
    <w:rsid w:val="00E65959"/>
    <w:rsid w:val="00E666E4"/>
    <w:rsid w:val="00E667FD"/>
    <w:rsid w:val="00E668AC"/>
    <w:rsid w:val="00E67C61"/>
    <w:rsid w:val="00E70002"/>
    <w:rsid w:val="00E70ECF"/>
    <w:rsid w:val="00E70FE9"/>
    <w:rsid w:val="00E715EF"/>
    <w:rsid w:val="00E71985"/>
    <w:rsid w:val="00E71D15"/>
    <w:rsid w:val="00E71F2E"/>
    <w:rsid w:val="00E7212E"/>
    <w:rsid w:val="00E72788"/>
    <w:rsid w:val="00E72C99"/>
    <w:rsid w:val="00E72CED"/>
    <w:rsid w:val="00E735EB"/>
    <w:rsid w:val="00E7370A"/>
    <w:rsid w:val="00E7392C"/>
    <w:rsid w:val="00E741CD"/>
    <w:rsid w:val="00E742A4"/>
    <w:rsid w:val="00E742BB"/>
    <w:rsid w:val="00E74C01"/>
    <w:rsid w:val="00E751EC"/>
    <w:rsid w:val="00E75455"/>
    <w:rsid w:val="00E75FF8"/>
    <w:rsid w:val="00E76C5B"/>
    <w:rsid w:val="00E774F4"/>
    <w:rsid w:val="00E81A29"/>
    <w:rsid w:val="00E821E5"/>
    <w:rsid w:val="00E85CCB"/>
    <w:rsid w:val="00E86237"/>
    <w:rsid w:val="00E862AD"/>
    <w:rsid w:val="00E86368"/>
    <w:rsid w:val="00E86C24"/>
    <w:rsid w:val="00E86E57"/>
    <w:rsid w:val="00E91446"/>
    <w:rsid w:val="00E925B6"/>
    <w:rsid w:val="00E93644"/>
    <w:rsid w:val="00E942B8"/>
    <w:rsid w:val="00E9449E"/>
    <w:rsid w:val="00E945CD"/>
    <w:rsid w:val="00E95287"/>
    <w:rsid w:val="00E95301"/>
    <w:rsid w:val="00E954A9"/>
    <w:rsid w:val="00E95DED"/>
    <w:rsid w:val="00E95DF1"/>
    <w:rsid w:val="00E966BB"/>
    <w:rsid w:val="00E96CB4"/>
    <w:rsid w:val="00E9714A"/>
    <w:rsid w:val="00E97217"/>
    <w:rsid w:val="00E97395"/>
    <w:rsid w:val="00E97EF1"/>
    <w:rsid w:val="00EA064C"/>
    <w:rsid w:val="00EA07C8"/>
    <w:rsid w:val="00EA0AA8"/>
    <w:rsid w:val="00EA14F8"/>
    <w:rsid w:val="00EA1B71"/>
    <w:rsid w:val="00EA233A"/>
    <w:rsid w:val="00EA2372"/>
    <w:rsid w:val="00EA23A5"/>
    <w:rsid w:val="00EA2A86"/>
    <w:rsid w:val="00EA2BFF"/>
    <w:rsid w:val="00EA2E3E"/>
    <w:rsid w:val="00EA411A"/>
    <w:rsid w:val="00EA4562"/>
    <w:rsid w:val="00EA5A06"/>
    <w:rsid w:val="00EA724D"/>
    <w:rsid w:val="00EA73C9"/>
    <w:rsid w:val="00EA74F8"/>
    <w:rsid w:val="00EA7875"/>
    <w:rsid w:val="00EB0A1A"/>
    <w:rsid w:val="00EB181A"/>
    <w:rsid w:val="00EB1CCB"/>
    <w:rsid w:val="00EB1FF8"/>
    <w:rsid w:val="00EB2713"/>
    <w:rsid w:val="00EB2F4B"/>
    <w:rsid w:val="00EB320C"/>
    <w:rsid w:val="00EB3A86"/>
    <w:rsid w:val="00EB4CDF"/>
    <w:rsid w:val="00EB58FC"/>
    <w:rsid w:val="00EB60B7"/>
    <w:rsid w:val="00EB6351"/>
    <w:rsid w:val="00EB6633"/>
    <w:rsid w:val="00EB68BB"/>
    <w:rsid w:val="00EB6AEC"/>
    <w:rsid w:val="00EB6FFA"/>
    <w:rsid w:val="00EB757F"/>
    <w:rsid w:val="00EB7F74"/>
    <w:rsid w:val="00EC2247"/>
    <w:rsid w:val="00EC3F15"/>
    <w:rsid w:val="00EC4729"/>
    <w:rsid w:val="00EC5088"/>
    <w:rsid w:val="00EC5C65"/>
    <w:rsid w:val="00EC6526"/>
    <w:rsid w:val="00EC664F"/>
    <w:rsid w:val="00EC67C3"/>
    <w:rsid w:val="00EC6D40"/>
    <w:rsid w:val="00EC7B01"/>
    <w:rsid w:val="00EC7FEF"/>
    <w:rsid w:val="00ED0454"/>
    <w:rsid w:val="00ED095A"/>
    <w:rsid w:val="00ED0D04"/>
    <w:rsid w:val="00ED19D3"/>
    <w:rsid w:val="00ED19E9"/>
    <w:rsid w:val="00ED1B27"/>
    <w:rsid w:val="00ED2280"/>
    <w:rsid w:val="00ED3BA7"/>
    <w:rsid w:val="00ED4E7D"/>
    <w:rsid w:val="00ED5FD8"/>
    <w:rsid w:val="00ED5FF4"/>
    <w:rsid w:val="00ED675F"/>
    <w:rsid w:val="00ED6E1C"/>
    <w:rsid w:val="00ED6EDF"/>
    <w:rsid w:val="00ED7E34"/>
    <w:rsid w:val="00ED7ECA"/>
    <w:rsid w:val="00EE010A"/>
    <w:rsid w:val="00EE04B2"/>
    <w:rsid w:val="00EE14F0"/>
    <w:rsid w:val="00EE197A"/>
    <w:rsid w:val="00EE2F9E"/>
    <w:rsid w:val="00EE3033"/>
    <w:rsid w:val="00EE45D8"/>
    <w:rsid w:val="00EE4A35"/>
    <w:rsid w:val="00EE5660"/>
    <w:rsid w:val="00EE567B"/>
    <w:rsid w:val="00EE5731"/>
    <w:rsid w:val="00EE5AD0"/>
    <w:rsid w:val="00EE616F"/>
    <w:rsid w:val="00EE6970"/>
    <w:rsid w:val="00EE6BD1"/>
    <w:rsid w:val="00EE7E32"/>
    <w:rsid w:val="00EF0DBE"/>
    <w:rsid w:val="00EF1402"/>
    <w:rsid w:val="00EF1DBC"/>
    <w:rsid w:val="00EF2F29"/>
    <w:rsid w:val="00EF39A5"/>
    <w:rsid w:val="00EF45C0"/>
    <w:rsid w:val="00EF55F0"/>
    <w:rsid w:val="00EF77C5"/>
    <w:rsid w:val="00EF7BF8"/>
    <w:rsid w:val="00F00D52"/>
    <w:rsid w:val="00F01267"/>
    <w:rsid w:val="00F015D8"/>
    <w:rsid w:val="00F01FB6"/>
    <w:rsid w:val="00F02991"/>
    <w:rsid w:val="00F02A00"/>
    <w:rsid w:val="00F04131"/>
    <w:rsid w:val="00F053A4"/>
    <w:rsid w:val="00F054EF"/>
    <w:rsid w:val="00F05E2E"/>
    <w:rsid w:val="00F0638A"/>
    <w:rsid w:val="00F06CEB"/>
    <w:rsid w:val="00F06EE6"/>
    <w:rsid w:val="00F0701D"/>
    <w:rsid w:val="00F07595"/>
    <w:rsid w:val="00F077D0"/>
    <w:rsid w:val="00F07F49"/>
    <w:rsid w:val="00F1008C"/>
    <w:rsid w:val="00F10674"/>
    <w:rsid w:val="00F10BCF"/>
    <w:rsid w:val="00F10C31"/>
    <w:rsid w:val="00F11085"/>
    <w:rsid w:val="00F114D2"/>
    <w:rsid w:val="00F11D45"/>
    <w:rsid w:val="00F123CC"/>
    <w:rsid w:val="00F131E6"/>
    <w:rsid w:val="00F1419E"/>
    <w:rsid w:val="00F156AB"/>
    <w:rsid w:val="00F1575F"/>
    <w:rsid w:val="00F15C1C"/>
    <w:rsid w:val="00F16587"/>
    <w:rsid w:val="00F165E6"/>
    <w:rsid w:val="00F1684C"/>
    <w:rsid w:val="00F16953"/>
    <w:rsid w:val="00F16F74"/>
    <w:rsid w:val="00F177BC"/>
    <w:rsid w:val="00F17812"/>
    <w:rsid w:val="00F17E56"/>
    <w:rsid w:val="00F201FD"/>
    <w:rsid w:val="00F2190F"/>
    <w:rsid w:val="00F21C1A"/>
    <w:rsid w:val="00F22A45"/>
    <w:rsid w:val="00F22A6B"/>
    <w:rsid w:val="00F22D47"/>
    <w:rsid w:val="00F2332C"/>
    <w:rsid w:val="00F23F05"/>
    <w:rsid w:val="00F254C4"/>
    <w:rsid w:val="00F25D32"/>
    <w:rsid w:val="00F25FA6"/>
    <w:rsid w:val="00F26244"/>
    <w:rsid w:val="00F26278"/>
    <w:rsid w:val="00F26AC3"/>
    <w:rsid w:val="00F26B92"/>
    <w:rsid w:val="00F26C5B"/>
    <w:rsid w:val="00F26CEB"/>
    <w:rsid w:val="00F3012F"/>
    <w:rsid w:val="00F301A7"/>
    <w:rsid w:val="00F304D7"/>
    <w:rsid w:val="00F31E54"/>
    <w:rsid w:val="00F31E8B"/>
    <w:rsid w:val="00F31FC4"/>
    <w:rsid w:val="00F32027"/>
    <w:rsid w:val="00F3262A"/>
    <w:rsid w:val="00F326CD"/>
    <w:rsid w:val="00F3283A"/>
    <w:rsid w:val="00F32E43"/>
    <w:rsid w:val="00F32E74"/>
    <w:rsid w:val="00F34DAD"/>
    <w:rsid w:val="00F35070"/>
    <w:rsid w:val="00F35156"/>
    <w:rsid w:val="00F35EC2"/>
    <w:rsid w:val="00F36173"/>
    <w:rsid w:val="00F36240"/>
    <w:rsid w:val="00F3627C"/>
    <w:rsid w:val="00F37555"/>
    <w:rsid w:val="00F37E7E"/>
    <w:rsid w:val="00F406E0"/>
    <w:rsid w:val="00F41965"/>
    <w:rsid w:val="00F41F93"/>
    <w:rsid w:val="00F42B4A"/>
    <w:rsid w:val="00F42D56"/>
    <w:rsid w:val="00F4334E"/>
    <w:rsid w:val="00F43A7D"/>
    <w:rsid w:val="00F44057"/>
    <w:rsid w:val="00F44564"/>
    <w:rsid w:val="00F44583"/>
    <w:rsid w:val="00F44D5D"/>
    <w:rsid w:val="00F45306"/>
    <w:rsid w:val="00F46349"/>
    <w:rsid w:val="00F465A2"/>
    <w:rsid w:val="00F46AD9"/>
    <w:rsid w:val="00F46C7D"/>
    <w:rsid w:val="00F46CB4"/>
    <w:rsid w:val="00F4742F"/>
    <w:rsid w:val="00F474F2"/>
    <w:rsid w:val="00F47532"/>
    <w:rsid w:val="00F501CB"/>
    <w:rsid w:val="00F50592"/>
    <w:rsid w:val="00F50953"/>
    <w:rsid w:val="00F51779"/>
    <w:rsid w:val="00F51940"/>
    <w:rsid w:val="00F523F7"/>
    <w:rsid w:val="00F541A7"/>
    <w:rsid w:val="00F546C0"/>
    <w:rsid w:val="00F55035"/>
    <w:rsid w:val="00F55071"/>
    <w:rsid w:val="00F551CC"/>
    <w:rsid w:val="00F55250"/>
    <w:rsid w:val="00F55BDE"/>
    <w:rsid w:val="00F5648A"/>
    <w:rsid w:val="00F567E8"/>
    <w:rsid w:val="00F57087"/>
    <w:rsid w:val="00F57513"/>
    <w:rsid w:val="00F57AC7"/>
    <w:rsid w:val="00F57B01"/>
    <w:rsid w:val="00F57C80"/>
    <w:rsid w:val="00F60047"/>
    <w:rsid w:val="00F603E0"/>
    <w:rsid w:val="00F60A30"/>
    <w:rsid w:val="00F60B4E"/>
    <w:rsid w:val="00F60BD4"/>
    <w:rsid w:val="00F61352"/>
    <w:rsid w:val="00F619E1"/>
    <w:rsid w:val="00F61D87"/>
    <w:rsid w:val="00F6205B"/>
    <w:rsid w:val="00F6206A"/>
    <w:rsid w:val="00F62E2B"/>
    <w:rsid w:val="00F639EF"/>
    <w:rsid w:val="00F63A1D"/>
    <w:rsid w:val="00F642CE"/>
    <w:rsid w:val="00F64786"/>
    <w:rsid w:val="00F6501F"/>
    <w:rsid w:val="00F652BB"/>
    <w:rsid w:val="00F6644B"/>
    <w:rsid w:val="00F6667E"/>
    <w:rsid w:val="00F70A7F"/>
    <w:rsid w:val="00F70B21"/>
    <w:rsid w:val="00F71582"/>
    <w:rsid w:val="00F71A26"/>
    <w:rsid w:val="00F72324"/>
    <w:rsid w:val="00F7261E"/>
    <w:rsid w:val="00F73776"/>
    <w:rsid w:val="00F74A8F"/>
    <w:rsid w:val="00F75021"/>
    <w:rsid w:val="00F75B32"/>
    <w:rsid w:val="00F75ECF"/>
    <w:rsid w:val="00F7683C"/>
    <w:rsid w:val="00F76885"/>
    <w:rsid w:val="00F76BA5"/>
    <w:rsid w:val="00F7728F"/>
    <w:rsid w:val="00F772C4"/>
    <w:rsid w:val="00F81305"/>
    <w:rsid w:val="00F821BC"/>
    <w:rsid w:val="00F82284"/>
    <w:rsid w:val="00F828D5"/>
    <w:rsid w:val="00F82E0A"/>
    <w:rsid w:val="00F83EC2"/>
    <w:rsid w:val="00F83F6B"/>
    <w:rsid w:val="00F84A1F"/>
    <w:rsid w:val="00F84E27"/>
    <w:rsid w:val="00F860F9"/>
    <w:rsid w:val="00F86D5C"/>
    <w:rsid w:val="00F87392"/>
    <w:rsid w:val="00F876BB"/>
    <w:rsid w:val="00F87DA6"/>
    <w:rsid w:val="00F91326"/>
    <w:rsid w:val="00F9148B"/>
    <w:rsid w:val="00F9156E"/>
    <w:rsid w:val="00F916BB"/>
    <w:rsid w:val="00F92609"/>
    <w:rsid w:val="00F930A2"/>
    <w:rsid w:val="00F933D5"/>
    <w:rsid w:val="00F93740"/>
    <w:rsid w:val="00F9393B"/>
    <w:rsid w:val="00F93BA5"/>
    <w:rsid w:val="00F93BFA"/>
    <w:rsid w:val="00F93E74"/>
    <w:rsid w:val="00F94367"/>
    <w:rsid w:val="00F9436D"/>
    <w:rsid w:val="00F94933"/>
    <w:rsid w:val="00F94B14"/>
    <w:rsid w:val="00F94D0C"/>
    <w:rsid w:val="00F952B3"/>
    <w:rsid w:val="00F96C46"/>
    <w:rsid w:val="00F97131"/>
    <w:rsid w:val="00F97247"/>
    <w:rsid w:val="00F979E8"/>
    <w:rsid w:val="00FA0737"/>
    <w:rsid w:val="00FA08BA"/>
    <w:rsid w:val="00FA0DFF"/>
    <w:rsid w:val="00FA1183"/>
    <w:rsid w:val="00FA23F0"/>
    <w:rsid w:val="00FA2660"/>
    <w:rsid w:val="00FA2F9A"/>
    <w:rsid w:val="00FA3124"/>
    <w:rsid w:val="00FA34BB"/>
    <w:rsid w:val="00FA3721"/>
    <w:rsid w:val="00FA3A34"/>
    <w:rsid w:val="00FA4508"/>
    <w:rsid w:val="00FA4C08"/>
    <w:rsid w:val="00FA50E5"/>
    <w:rsid w:val="00FA54E0"/>
    <w:rsid w:val="00FA591F"/>
    <w:rsid w:val="00FA5A94"/>
    <w:rsid w:val="00FA64D5"/>
    <w:rsid w:val="00FA6614"/>
    <w:rsid w:val="00FA6FE1"/>
    <w:rsid w:val="00FA7172"/>
    <w:rsid w:val="00FA71F4"/>
    <w:rsid w:val="00FA7464"/>
    <w:rsid w:val="00FB0256"/>
    <w:rsid w:val="00FB168E"/>
    <w:rsid w:val="00FB1909"/>
    <w:rsid w:val="00FB1ECF"/>
    <w:rsid w:val="00FB3842"/>
    <w:rsid w:val="00FB4406"/>
    <w:rsid w:val="00FB49E6"/>
    <w:rsid w:val="00FB550C"/>
    <w:rsid w:val="00FB5597"/>
    <w:rsid w:val="00FB57DC"/>
    <w:rsid w:val="00FB5A5E"/>
    <w:rsid w:val="00FB5C33"/>
    <w:rsid w:val="00FB5CA3"/>
    <w:rsid w:val="00FB6652"/>
    <w:rsid w:val="00FB76F1"/>
    <w:rsid w:val="00FC2047"/>
    <w:rsid w:val="00FC263C"/>
    <w:rsid w:val="00FC26F5"/>
    <w:rsid w:val="00FC2785"/>
    <w:rsid w:val="00FC28AB"/>
    <w:rsid w:val="00FC373B"/>
    <w:rsid w:val="00FC4F8E"/>
    <w:rsid w:val="00FC633F"/>
    <w:rsid w:val="00FC662F"/>
    <w:rsid w:val="00FC6C06"/>
    <w:rsid w:val="00FC6C8D"/>
    <w:rsid w:val="00FC6EAF"/>
    <w:rsid w:val="00FC76A1"/>
    <w:rsid w:val="00FC76BA"/>
    <w:rsid w:val="00FC779F"/>
    <w:rsid w:val="00FC77BC"/>
    <w:rsid w:val="00FD008E"/>
    <w:rsid w:val="00FD1678"/>
    <w:rsid w:val="00FD172E"/>
    <w:rsid w:val="00FD21E7"/>
    <w:rsid w:val="00FD2EF6"/>
    <w:rsid w:val="00FD31FE"/>
    <w:rsid w:val="00FD365F"/>
    <w:rsid w:val="00FD40CF"/>
    <w:rsid w:val="00FD43C6"/>
    <w:rsid w:val="00FD4594"/>
    <w:rsid w:val="00FD5C56"/>
    <w:rsid w:val="00FD6C2C"/>
    <w:rsid w:val="00FD6FA2"/>
    <w:rsid w:val="00FD76C1"/>
    <w:rsid w:val="00FD7B00"/>
    <w:rsid w:val="00FD7B39"/>
    <w:rsid w:val="00FD7FA7"/>
    <w:rsid w:val="00FE0405"/>
    <w:rsid w:val="00FE0876"/>
    <w:rsid w:val="00FE0FB6"/>
    <w:rsid w:val="00FE10F6"/>
    <w:rsid w:val="00FE24C5"/>
    <w:rsid w:val="00FE2549"/>
    <w:rsid w:val="00FE282A"/>
    <w:rsid w:val="00FE2839"/>
    <w:rsid w:val="00FE28E0"/>
    <w:rsid w:val="00FE5E4B"/>
    <w:rsid w:val="00FE622D"/>
    <w:rsid w:val="00FE7E89"/>
    <w:rsid w:val="00FF0082"/>
    <w:rsid w:val="00FF0738"/>
    <w:rsid w:val="00FF0923"/>
    <w:rsid w:val="00FF1C37"/>
    <w:rsid w:val="00FF1D16"/>
    <w:rsid w:val="00FF23D7"/>
    <w:rsid w:val="00FF2785"/>
    <w:rsid w:val="00FF2CFF"/>
    <w:rsid w:val="00FF2F1E"/>
    <w:rsid w:val="00FF34F3"/>
    <w:rsid w:val="00FF385F"/>
    <w:rsid w:val="00FF4341"/>
    <w:rsid w:val="00FF4753"/>
    <w:rsid w:val="00FF4BB3"/>
    <w:rsid w:val="00FF5161"/>
    <w:rsid w:val="00FF607D"/>
    <w:rsid w:val="00FF64CA"/>
    <w:rsid w:val="00FF6514"/>
    <w:rsid w:val="00FF66B4"/>
    <w:rsid w:val="00FF7A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06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lsdException w:name="footer" w:uiPriority="99"/>
    <w:lsdException w:name="caption" w:locked="1" w:uiPriority="35" w:qFormat="1"/>
    <w:lsdException w:name="footnote reference" w:uiPriority="99"/>
    <w:lsdException w:name="Title" w:locked="1" w:qFormat="1"/>
    <w:lsdException w:name="Default Paragraph Font" w:locked="1"/>
    <w:lsdException w:name="Subtitle" w:locked="1" w:qFormat="1"/>
    <w:lsdException w:name="Strong" w:locked="1" w:qFormat="1"/>
    <w:lsdException w:name="Emphasis" w:locked="1" w:qFormat="1"/>
    <w:lsdException w:name="Plain Text" w:uiPriority="99"/>
    <w:lsdException w:name="Normal (Web)"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67B5"/>
    <w:pPr>
      <w:spacing w:after="90" w:line="220" w:lineRule="atLeast"/>
      <w:jc w:val="both"/>
    </w:pPr>
    <w:rPr>
      <w:rFonts w:ascii="Arial" w:hAnsi="Arial"/>
      <w:sz w:val="19"/>
      <w:szCs w:val="24"/>
      <w:lang w:eastAsia="en-US"/>
    </w:rPr>
  </w:style>
  <w:style w:type="paragraph" w:styleId="Heading1">
    <w:name w:val="heading 1"/>
    <w:basedOn w:val="ReportTitle"/>
    <w:next w:val="Normal"/>
    <w:link w:val="Heading1Char"/>
    <w:qFormat/>
    <w:rsid w:val="00A9260A"/>
    <w:pPr>
      <w:jc w:val="left"/>
      <w:outlineLvl w:val="0"/>
    </w:pPr>
    <w:rPr>
      <w:color w:val="76923C" w:themeColor="accent3" w:themeShade="BF"/>
    </w:rPr>
  </w:style>
  <w:style w:type="paragraph" w:styleId="Heading2">
    <w:name w:val="heading 2"/>
    <w:basedOn w:val="Normal"/>
    <w:next w:val="Normal"/>
    <w:link w:val="Heading2Char1"/>
    <w:qFormat/>
    <w:rsid w:val="00A9260A"/>
    <w:pPr>
      <w:keepNext/>
      <w:spacing w:before="430" w:after="60" w:line="240" w:lineRule="auto"/>
      <w:outlineLvl w:val="1"/>
    </w:pPr>
    <w:rPr>
      <w:rFonts w:cs="Arial"/>
      <w:bCs/>
      <w:iCs/>
      <w:color w:val="76923C" w:themeColor="accent3" w:themeShade="BF"/>
      <w:sz w:val="28"/>
      <w:szCs w:val="28"/>
    </w:rPr>
  </w:style>
  <w:style w:type="paragraph" w:styleId="Heading3">
    <w:name w:val="heading 3"/>
    <w:basedOn w:val="Normal"/>
    <w:next w:val="Normal"/>
    <w:link w:val="Heading3Char"/>
    <w:qFormat/>
    <w:rsid w:val="00A9260A"/>
    <w:pPr>
      <w:keepNext/>
      <w:spacing w:before="70" w:after="80"/>
      <w:outlineLvl w:val="2"/>
    </w:pPr>
    <w:rPr>
      <w:rFonts w:cs="Arial"/>
      <w:b/>
      <w:bCs/>
      <w:color w:val="76923C" w:themeColor="accent3" w:themeShade="BF"/>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9260A"/>
    <w:rPr>
      <w:rFonts w:ascii="Arial" w:hAnsi="Arial"/>
      <w:color w:val="76923C" w:themeColor="accent3" w:themeShade="BF"/>
      <w:spacing w:val="-12"/>
      <w:sz w:val="46"/>
      <w:szCs w:val="46"/>
      <w:lang w:eastAsia="en-US"/>
    </w:rPr>
  </w:style>
  <w:style w:type="character" w:customStyle="1" w:styleId="Heading2Char1">
    <w:name w:val="Heading 2 Char1"/>
    <w:link w:val="Heading2"/>
    <w:locked/>
    <w:rsid w:val="00A9260A"/>
    <w:rPr>
      <w:rFonts w:ascii="Arial" w:hAnsi="Arial" w:cs="Arial"/>
      <w:bCs/>
      <w:iCs/>
      <w:color w:val="76923C" w:themeColor="accent3" w:themeShade="BF"/>
      <w:sz w:val="28"/>
      <w:szCs w:val="28"/>
      <w:lang w:eastAsia="en-US"/>
    </w:rPr>
  </w:style>
  <w:style w:type="character" w:customStyle="1" w:styleId="Heading3Char">
    <w:name w:val="Heading 3 Char"/>
    <w:link w:val="Heading3"/>
    <w:locked/>
    <w:rsid w:val="00A9260A"/>
    <w:rPr>
      <w:rFonts w:ascii="Arial" w:hAnsi="Arial" w:cs="Arial"/>
      <w:b/>
      <w:bCs/>
      <w:color w:val="76923C" w:themeColor="accent3" w:themeShade="BF"/>
      <w:sz w:val="19"/>
      <w:szCs w:val="19"/>
      <w:lang w:eastAsia="en-US"/>
    </w:rPr>
  </w:style>
  <w:style w:type="paragraph" w:styleId="BalloonText">
    <w:name w:val="Balloon Text"/>
    <w:basedOn w:val="Normal"/>
    <w:link w:val="BalloonTextChar"/>
    <w:rsid w:val="008736F2"/>
    <w:pPr>
      <w:spacing w:after="0" w:line="240" w:lineRule="auto"/>
    </w:pPr>
    <w:rPr>
      <w:rFonts w:ascii="Tahoma" w:hAnsi="Tahoma"/>
      <w:sz w:val="16"/>
      <w:szCs w:val="16"/>
    </w:rPr>
  </w:style>
  <w:style w:type="character" w:customStyle="1" w:styleId="BalloonTextChar">
    <w:name w:val="Balloon Text Char"/>
    <w:link w:val="BalloonText"/>
    <w:locked/>
    <w:rsid w:val="008736F2"/>
    <w:rPr>
      <w:rFonts w:ascii="Tahoma" w:hAnsi="Tahoma" w:cs="Times New Roman"/>
      <w:color w:val="747378"/>
      <w:sz w:val="16"/>
      <w:szCs w:val="16"/>
      <w:lang w:val="x-none" w:eastAsia="en-US"/>
    </w:rPr>
  </w:style>
  <w:style w:type="paragraph" w:styleId="Header">
    <w:name w:val="header"/>
    <w:basedOn w:val="Normal"/>
    <w:link w:val="HeaderChar"/>
    <w:rsid w:val="00385DBA"/>
    <w:pPr>
      <w:tabs>
        <w:tab w:val="center" w:pos="4320"/>
        <w:tab w:val="right" w:pos="8640"/>
      </w:tabs>
    </w:pPr>
    <w:rPr>
      <w:sz w:val="18"/>
    </w:rPr>
  </w:style>
  <w:style w:type="character" w:customStyle="1" w:styleId="HeaderChar">
    <w:name w:val="Header Char"/>
    <w:link w:val="Header"/>
    <w:locked/>
    <w:rsid w:val="002A163D"/>
    <w:rPr>
      <w:rFonts w:ascii="Arial" w:hAnsi="Arial" w:cs="Times New Roman"/>
      <w:sz w:val="24"/>
      <w:lang w:val="en-AU" w:eastAsia="en-US"/>
    </w:rPr>
  </w:style>
  <w:style w:type="paragraph" w:styleId="Footer">
    <w:name w:val="footer"/>
    <w:basedOn w:val="Normal"/>
    <w:link w:val="FooterChar"/>
    <w:uiPriority w:val="99"/>
    <w:rsid w:val="00010F3E"/>
    <w:pPr>
      <w:tabs>
        <w:tab w:val="center" w:pos="4536"/>
        <w:tab w:val="right" w:pos="9072"/>
      </w:tabs>
      <w:spacing w:after="0" w:line="240" w:lineRule="auto"/>
      <w:ind w:right="57"/>
      <w:jc w:val="right"/>
    </w:pPr>
    <w:rPr>
      <w:b/>
      <w:spacing w:val="-1"/>
      <w:sz w:val="16"/>
      <w:szCs w:val="14"/>
    </w:rPr>
  </w:style>
  <w:style w:type="character" w:customStyle="1" w:styleId="FooterChar">
    <w:name w:val="Footer Char"/>
    <w:link w:val="Footer"/>
    <w:uiPriority w:val="99"/>
    <w:locked/>
    <w:rsid w:val="00010F3E"/>
    <w:rPr>
      <w:rFonts w:ascii="Arial" w:hAnsi="Arial"/>
      <w:b/>
      <w:color w:val="747378"/>
      <w:spacing w:val="-1"/>
      <w:sz w:val="16"/>
      <w:szCs w:val="14"/>
      <w:lang w:eastAsia="en-US"/>
    </w:rPr>
  </w:style>
  <w:style w:type="paragraph" w:customStyle="1" w:styleId="ReportTitle">
    <w:name w:val="Report Title"/>
    <w:basedOn w:val="Normal"/>
    <w:rsid w:val="00BB6565"/>
    <w:pPr>
      <w:spacing w:after="35" w:line="480" w:lineRule="exact"/>
    </w:pPr>
    <w:rPr>
      <w:color w:val="286EB4"/>
      <w:spacing w:val="-12"/>
      <w:sz w:val="46"/>
      <w:szCs w:val="46"/>
    </w:rPr>
  </w:style>
  <w:style w:type="paragraph" w:customStyle="1" w:styleId="ReportSub-Title">
    <w:name w:val="Report Sub-Title"/>
    <w:basedOn w:val="Normal"/>
    <w:rsid w:val="00927968"/>
    <w:pPr>
      <w:spacing w:line="330" w:lineRule="exact"/>
    </w:pPr>
    <w:rPr>
      <w:color w:val="808080"/>
      <w:spacing w:val="-6"/>
      <w:sz w:val="28"/>
      <w:szCs w:val="28"/>
    </w:rPr>
  </w:style>
  <w:style w:type="paragraph" w:customStyle="1" w:styleId="CopyrightDetailsBold">
    <w:name w:val="Copyright Details Bold"/>
    <w:basedOn w:val="Normal"/>
    <w:rsid w:val="00F015D8"/>
    <w:pPr>
      <w:spacing w:after="0" w:line="260" w:lineRule="exact"/>
    </w:pPr>
    <w:rPr>
      <w:b/>
    </w:rPr>
  </w:style>
  <w:style w:type="paragraph" w:customStyle="1" w:styleId="CopyrightDetails">
    <w:name w:val="Copyright Details"/>
    <w:basedOn w:val="Normal"/>
    <w:rsid w:val="00F015D8"/>
    <w:pPr>
      <w:spacing w:after="0" w:line="260" w:lineRule="exact"/>
    </w:p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2637D"/>
    <w:pPr>
      <w:ind w:left="-336"/>
    </w:pPr>
    <w:rPr>
      <w:color w:val="286EB4"/>
      <w:sz w:val="36"/>
      <w:szCs w:val="20"/>
      <w:lang w:val="x-none"/>
    </w:rPr>
  </w:style>
  <w:style w:type="character" w:customStyle="1" w:styleId="TOCTitleChar">
    <w:name w:val="TOC Title Char"/>
    <w:link w:val="TOCTitle"/>
    <w:locked/>
    <w:rsid w:val="0002637D"/>
    <w:rPr>
      <w:rFonts w:ascii="Arial" w:hAnsi="Arial"/>
      <w:color w:val="286EB4"/>
      <w:sz w:val="36"/>
      <w:lang w:val="x-none" w:eastAsia="en-US"/>
    </w:rPr>
  </w:style>
  <w:style w:type="table" w:styleId="TableGrid">
    <w:name w:val="Table Grid"/>
    <w:basedOn w:val="TableNormal"/>
    <w:rsid w:val="00E72C99"/>
    <w:pPr>
      <w:spacing w:after="90" w:line="220" w:lineRule="atLeast"/>
    </w:pPr>
    <w:rPr>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rsid w:val="003778A9"/>
    <w:pPr>
      <w:tabs>
        <w:tab w:val="right" w:pos="6698"/>
      </w:tabs>
      <w:spacing w:after="120" w:line="240" w:lineRule="auto"/>
      <w:jc w:val="left"/>
    </w:pPr>
    <w:rPr>
      <w:rFonts w:asciiTheme="majorHAnsi" w:hAnsiTheme="majorHAnsi" w:cs="Arial"/>
      <w:b/>
      <w:bCs/>
      <w:caps/>
      <w:noProof/>
      <w:sz w:val="24"/>
    </w:rPr>
  </w:style>
  <w:style w:type="character" w:styleId="PageNumber">
    <w:name w:val="page number"/>
    <w:rsid w:val="00BB6565"/>
    <w:rPr>
      <w:rFonts w:cs="Times New Roman"/>
    </w:rPr>
  </w:style>
  <w:style w:type="paragraph" w:styleId="ListBullet">
    <w:name w:val="List Bullet"/>
    <w:basedOn w:val="Normal"/>
    <w:rsid w:val="0099614A"/>
    <w:pPr>
      <w:numPr>
        <w:numId w:val="2"/>
      </w:numPr>
      <w:spacing w:after="84"/>
    </w:pPr>
  </w:style>
  <w:style w:type="paragraph" w:styleId="TOC3">
    <w:name w:val="toc 3"/>
    <w:basedOn w:val="Normal"/>
    <w:next w:val="Normal"/>
    <w:autoRedefine/>
    <w:uiPriority w:val="39"/>
    <w:rsid w:val="00AF50E2"/>
    <w:pPr>
      <w:spacing w:after="0"/>
      <w:ind w:left="190"/>
      <w:jc w:val="left"/>
    </w:pPr>
    <w:rPr>
      <w:rFonts w:asciiTheme="minorHAnsi" w:hAnsiTheme="minorHAnsi"/>
      <w:sz w:val="20"/>
      <w:szCs w:val="20"/>
    </w:rPr>
  </w:style>
  <w:style w:type="paragraph" w:styleId="TOC2">
    <w:name w:val="toc 2"/>
    <w:basedOn w:val="Normal"/>
    <w:next w:val="Normal"/>
    <w:uiPriority w:val="39"/>
    <w:rsid w:val="009367C5"/>
    <w:pPr>
      <w:spacing w:before="240" w:after="0"/>
      <w:jc w:val="left"/>
    </w:pPr>
    <w:rPr>
      <w:rFonts w:asciiTheme="minorHAnsi" w:hAnsiTheme="minorHAnsi"/>
      <w:b/>
      <w:bCs/>
      <w:sz w:val="20"/>
      <w:szCs w:val="20"/>
    </w:rPr>
  </w:style>
  <w:style w:type="paragraph" w:styleId="Quote">
    <w:name w:val="Quote"/>
    <w:basedOn w:val="Normal"/>
    <w:link w:val="QuoteChar"/>
    <w:qFormat/>
    <w:rsid w:val="00B345E6"/>
    <w:rPr>
      <w:b/>
      <w:color w:val="286EB4"/>
      <w:szCs w:val="19"/>
    </w:rPr>
  </w:style>
  <w:style w:type="character" w:customStyle="1" w:styleId="QuoteChar">
    <w:name w:val="Quote Char"/>
    <w:link w:val="Quote"/>
    <w:locked/>
    <w:rsid w:val="008736F2"/>
    <w:rPr>
      <w:rFonts w:ascii="Arial" w:hAnsi="Arial" w:cs="Times New Roman"/>
      <w:b/>
      <w:color w:val="286EB4"/>
      <w:sz w:val="19"/>
      <w:szCs w:val="19"/>
      <w:lang w:val="x-none" w:eastAsia="en-US"/>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uiPriority w:val="35"/>
    <w:qFormat/>
    <w:rsid w:val="00A9260A"/>
    <w:rPr>
      <w:b/>
      <w:bCs/>
      <w:color w:val="76923C" w:themeColor="accent3" w:themeShade="BF"/>
      <w:sz w:val="16"/>
      <w:szCs w:val="16"/>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uiPriority w:val="99"/>
    <w:rsid w:val="007D5EE3"/>
    <w:pPr>
      <w:spacing w:after="0"/>
      <w:ind w:right="-142"/>
    </w:pPr>
    <w:rPr>
      <w:sz w:val="16"/>
      <w:szCs w:val="16"/>
    </w:rPr>
  </w:style>
  <w:style w:type="paragraph" w:customStyle="1" w:styleId="Spacer">
    <w:name w:val="Spacer"/>
    <w:basedOn w:val="Normal"/>
    <w:rsid w:val="005B48EA"/>
    <w:pPr>
      <w:spacing w:after="0" w:line="240" w:lineRule="auto"/>
    </w:pPr>
    <w:rPr>
      <w:sz w:val="6"/>
      <w:szCs w:val="6"/>
    </w:rPr>
  </w:style>
  <w:style w:type="paragraph" w:customStyle="1" w:styleId="TablePhoto">
    <w:name w:val="Table Photo"/>
    <w:basedOn w:val="Normal"/>
    <w:rsid w:val="00DF1B47"/>
    <w:pPr>
      <w:spacing w:after="0" w:line="240" w:lineRule="auto"/>
    </w:pPr>
  </w:style>
  <w:style w:type="paragraph" w:styleId="ListBullet2">
    <w:name w:val="List Bullet 2"/>
    <w:basedOn w:val="Normal"/>
    <w:rsid w:val="00D27344"/>
    <w:pPr>
      <w:tabs>
        <w:tab w:val="num" w:pos="340"/>
      </w:tabs>
      <w:spacing w:after="0"/>
      <w:ind w:left="340" w:hanging="170"/>
    </w:pPr>
  </w:style>
  <w:style w:type="paragraph" w:styleId="FootnoteText">
    <w:name w:val="footnote text"/>
    <w:basedOn w:val="Normal"/>
    <w:link w:val="FootnoteTextChar"/>
    <w:uiPriority w:val="99"/>
    <w:rsid w:val="008736F2"/>
    <w:rPr>
      <w:sz w:val="20"/>
      <w:szCs w:val="20"/>
    </w:rPr>
  </w:style>
  <w:style w:type="character" w:customStyle="1" w:styleId="FootnoteTextChar">
    <w:name w:val="Footnote Text Char"/>
    <w:link w:val="FootnoteText"/>
    <w:uiPriority w:val="99"/>
    <w:locked/>
    <w:rsid w:val="008736F2"/>
    <w:rPr>
      <w:rFonts w:ascii="Arial" w:hAnsi="Arial" w:cs="Times New Roman"/>
      <w:color w:val="747378"/>
      <w:lang w:val="x-none" w:eastAsia="en-US"/>
    </w:rPr>
  </w:style>
  <w:style w:type="character" w:styleId="FootnoteReference">
    <w:name w:val="footnote reference"/>
    <w:uiPriority w:val="99"/>
    <w:rsid w:val="008736F2"/>
    <w:rPr>
      <w:rFonts w:cs="Times New Roman"/>
      <w:vertAlign w:val="superscript"/>
    </w:rPr>
  </w:style>
  <w:style w:type="character" w:styleId="CommentReference">
    <w:name w:val="annotation reference"/>
    <w:rsid w:val="008736F2"/>
    <w:rPr>
      <w:rFonts w:cs="Times New Roman"/>
      <w:sz w:val="16"/>
      <w:szCs w:val="16"/>
    </w:rPr>
  </w:style>
  <w:style w:type="paragraph" w:styleId="CommentText">
    <w:name w:val="annotation text"/>
    <w:basedOn w:val="Normal"/>
    <w:link w:val="CommentTextChar"/>
    <w:rsid w:val="008736F2"/>
    <w:rPr>
      <w:sz w:val="20"/>
      <w:szCs w:val="20"/>
    </w:rPr>
  </w:style>
  <w:style w:type="character" w:customStyle="1" w:styleId="CommentTextChar">
    <w:name w:val="Comment Text Char"/>
    <w:link w:val="CommentText"/>
    <w:locked/>
    <w:rsid w:val="008736F2"/>
    <w:rPr>
      <w:rFonts w:ascii="Arial" w:hAnsi="Arial" w:cs="Times New Roman"/>
      <w:color w:val="747378"/>
      <w:lang w:val="x-none" w:eastAsia="en-US"/>
    </w:rPr>
  </w:style>
  <w:style w:type="paragraph" w:styleId="CommentSubject">
    <w:name w:val="annotation subject"/>
    <w:basedOn w:val="CommentText"/>
    <w:next w:val="CommentText"/>
    <w:link w:val="CommentSubjectChar"/>
    <w:rsid w:val="008736F2"/>
    <w:rPr>
      <w:b/>
      <w:bCs/>
    </w:rPr>
  </w:style>
  <w:style w:type="character" w:customStyle="1" w:styleId="CommentSubjectChar">
    <w:name w:val="Comment Subject Char"/>
    <w:link w:val="CommentSubject"/>
    <w:locked/>
    <w:rsid w:val="008736F2"/>
    <w:rPr>
      <w:rFonts w:ascii="Arial" w:hAnsi="Arial" w:cs="Times New Roman"/>
      <w:b/>
      <w:bCs/>
      <w:color w:val="747378"/>
      <w:lang w:val="x-none" w:eastAsia="en-US"/>
    </w:rPr>
  </w:style>
  <w:style w:type="paragraph" w:customStyle="1" w:styleId="Bulletlist">
    <w:name w:val="Bullet list"/>
    <w:basedOn w:val="Normal"/>
    <w:rsid w:val="008736F2"/>
    <w:pPr>
      <w:numPr>
        <w:numId w:val="3"/>
      </w:numPr>
      <w:autoSpaceDE w:val="0"/>
      <w:autoSpaceDN w:val="0"/>
      <w:adjustRightInd w:val="0"/>
      <w:spacing w:before="60" w:after="60" w:line="240" w:lineRule="auto"/>
    </w:pPr>
    <w:rPr>
      <w:rFonts w:cs="Arial"/>
      <w:color w:val="000000"/>
      <w:sz w:val="22"/>
      <w:szCs w:val="22"/>
      <w:lang w:eastAsia="en-AU"/>
    </w:rPr>
  </w:style>
  <w:style w:type="character" w:styleId="Hyperlink">
    <w:name w:val="Hyperlink"/>
    <w:rsid w:val="008736F2"/>
    <w:rPr>
      <w:rFonts w:cs="Times New Roman"/>
      <w:color w:val="0000FF"/>
      <w:u w:val="single"/>
    </w:rPr>
  </w:style>
  <w:style w:type="character" w:styleId="FollowedHyperlink">
    <w:name w:val="FollowedHyperlink"/>
    <w:rsid w:val="00E61FA4"/>
    <w:rPr>
      <w:rFonts w:cs="Times New Roman"/>
      <w:color w:val="800080"/>
      <w:u w:val="single"/>
    </w:rPr>
  </w:style>
  <w:style w:type="table" w:customStyle="1" w:styleId="LightShading-Accent11">
    <w:name w:val="Light Shading - Accent 11"/>
    <w:rsid w:val="00E61FA4"/>
    <w:rPr>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ListParagraph">
    <w:name w:val="List Paragraph"/>
    <w:basedOn w:val="Normal"/>
    <w:uiPriority w:val="34"/>
    <w:qFormat/>
    <w:rsid w:val="00636FAF"/>
    <w:pPr>
      <w:spacing w:after="200" w:line="276" w:lineRule="auto"/>
      <w:ind w:left="720"/>
      <w:jc w:val="left"/>
    </w:pPr>
    <w:rPr>
      <w:rFonts w:ascii="Calibri" w:hAnsi="Calibri"/>
      <w:sz w:val="22"/>
      <w:szCs w:val="22"/>
    </w:rPr>
  </w:style>
  <w:style w:type="paragraph" w:styleId="TOC4">
    <w:name w:val="toc 4"/>
    <w:basedOn w:val="Normal"/>
    <w:next w:val="Normal"/>
    <w:autoRedefine/>
    <w:uiPriority w:val="39"/>
    <w:locked/>
    <w:rsid w:val="00082ACB"/>
    <w:pPr>
      <w:spacing w:after="0"/>
      <w:ind w:left="380"/>
      <w:jc w:val="left"/>
    </w:pPr>
    <w:rPr>
      <w:rFonts w:asciiTheme="minorHAnsi" w:hAnsiTheme="minorHAnsi"/>
      <w:sz w:val="20"/>
      <w:szCs w:val="20"/>
    </w:rPr>
  </w:style>
  <w:style w:type="paragraph" w:styleId="TOC5">
    <w:name w:val="toc 5"/>
    <w:basedOn w:val="Normal"/>
    <w:next w:val="Normal"/>
    <w:autoRedefine/>
    <w:uiPriority w:val="39"/>
    <w:locked/>
    <w:rsid w:val="00082ACB"/>
    <w:pPr>
      <w:spacing w:after="0"/>
      <w:ind w:left="570"/>
      <w:jc w:val="left"/>
    </w:pPr>
    <w:rPr>
      <w:rFonts w:asciiTheme="minorHAnsi" w:hAnsiTheme="minorHAnsi"/>
      <w:sz w:val="20"/>
      <w:szCs w:val="20"/>
    </w:rPr>
  </w:style>
  <w:style w:type="paragraph" w:styleId="TOC6">
    <w:name w:val="toc 6"/>
    <w:basedOn w:val="Normal"/>
    <w:next w:val="Normal"/>
    <w:autoRedefine/>
    <w:uiPriority w:val="39"/>
    <w:locked/>
    <w:rsid w:val="00082ACB"/>
    <w:pPr>
      <w:spacing w:after="0"/>
      <w:ind w:left="760"/>
      <w:jc w:val="left"/>
    </w:pPr>
    <w:rPr>
      <w:rFonts w:asciiTheme="minorHAnsi" w:hAnsiTheme="minorHAnsi"/>
      <w:sz w:val="20"/>
      <w:szCs w:val="20"/>
    </w:rPr>
  </w:style>
  <w:style w:type="paragraph" w:styleId="TOC7">
    <w:name w:val="toc 7"/>
    <w:basedOn w:val="Normal"/>
    <w:next w:val="Normal"/>
    <w:autoRedefine/>
    <w:uiPriority w:val="39"/>
    <w:locked/>
    <w:rsid w:val="00082ACB"/>
    <w:pPr>
      <w:spacing w:after="0"/>
      <w:ind w:left="950"/>
      <w:jc w:val="left"/>
    </w:pPr>
    <w:rPr>
      <w:rFonts w:asciiTheme="minorHAnsi" w:hAnsiTheme="minorHAnsi"/>
      <w:sz w:val="20"/>
      <w:szCs w:val="20"/>
    </w:rPr>
  </w:style>
  <w:style w:type="paragraph" w:styleId="TOC8">
    <w:name w:val="toc 8"/>
    <w:basedOn w:val="Normal"/>
    <w:next w:val="Normal"/>
    <w:autoRedefine/>
    <w:uiPriority w:val="39"/>
    <w:locked/>
    <w:rsid w:val="00082ACB"/>
    <w:pPr>
      <w:spacing w:after="0"/>
      <w:ind w:left="1140"/>
      <w:jc w:val="left"/>
    </w:pPr>
    <w:rPr>
      <w:rFonts w:asciiTheme="minorHAnsi" w:hAnsiTheme="minorHAnsi"/>
      <w:sz w:val="20"/>
      <w:szCs w:val="20"/>
    </w:rPr>
  </w:style>
  <w:style w:type="paragraph" w:styleId="TOC9">
    <w:name w:val="toc 9"/>
    <w:basedOn w:val="Normal"/>
    <w:next w:val="Normal"/>
    <w:autoRedefine/>
    <w:uiPriority w:val="39"/>
    <w:locked/>
    <w:rsid w:val="00082ACB"/>
    <w:pPr>
      <w:spacing w:after="0"/>
      <w:ind w:left="1330"/>
      <w:jc w:val="left"/>
    </w:pPr>
    <w:rPr>
      <w:rFonts w:asciiTheme="minorHAnsi" w:hAnsiTheme="minorHAnsi"/>
      <w:sz w:val="20"/>
      <w:szCs w:val="20"/>
    </w:rPr>
  </w:style>
  <w:style w:type="table" w:customStyle="1" w:styleId="LightShading-Accent12">
    <w:name w:val="Light Shading - Accent 12"/>
    <w:rsid w:val="00397AF4"/>
    <w:rPr>
      <w:color w:val="365F91"/>
      <w:lang w:eastAsia="ko-K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StyleBoldWhiteAfter0ptLinespacingsingle">
    <w:name w:val="Style Bold White After:  0 pt Line spacing:  single"/>
    <w:basedOn w:val="Normal"/>
    <w:rsid w:val="00397AF4"/>
    <w:pPr>
      <w:spacing w:after="0" w:line="240" w:lineRule="auto"/>
      <w:jc w:val="left"/>
    </w:pPr>
    <w:rPr>
      <w:b/>
      <w:bCs/>
      <w:color w:val="286EB4"/>
      <w:szCs w:val="20"/>
    </w:rPr>
  </w:style>
  <w:style w:type="paragraph" w:styleId="ListNumber">
    <w:name w:val="List Number"/>
    <w:basedOn w:val="Normal"/>
    <w:locked/>
    <w:rsid w:val="00CD3E5E"/>
    <w:pPr>
      <w:numPr>
        <w:numId w:val="1"/>
      </w:numPr>
      <w:spacing w:after="0" w:line="240" w:lineRule="auto"/>
      <w:jc w:val="left"/>
    </w:pPr>
    <w:rPr>
      <w:rFonts w:cs="Arial"/>
      <w:sz w:val="24"/>
      <w:lang w:eastAsia="en-AU"/>
    </w:rPr>
  </w:style>
  <w:style w:type="paragraph" w:styleId="BodyText">
    <w:name w:val="Body Text"/>
    <w:basedOn w:val="ListNumber"/>
    <w:link w:val="BodyTextChar"/>
    <w:rsid w:val="000D002C"/>
    <w:pPr>
      <w:numPr>
        <w:numId w:val="0"/>
      </w:numPr>
      <w:tabs>
        <w:tab w:val="num" w:pos="680"/>
      </w:tabs>
      <w:spacing w:after="120"/>
    </w:pPr>
    <w:rPr>
      <w:lang w:eastAsia="en-US"/>
    </w:rPr>
  </w:style>
  <w:style w:type="character" w:customStyle="1" w:styleId="BodyTextChar">
    <w:name w:val="Body Text Char"/>
    <w:link w:val="BodyText"/>
    <w:locked/>
    <w:rsid w:val="008E0FFA"/>
    <w:rPr>
      <w:rFonts w:ascii="Arial" w:hAnsi="Arial" w:cs="Times New Roman"/>
      <w:color w:val="747378"/>
      <w:sz w:val="24"/>
      <w:szCs w:val="24"/>
      <w:lang w:val="x-none" w:eastAsia="en-US"/>
    </w:rPr>
  </w:style>
  <w:style w:type="character" w:customStyle="1" w:styleId="st1">
    <w:name w:val="st1"/>
    <w:basedOn w:val="DefaultParagraphFont"/>
    <w:rsid w:val="00FF6514"/>
  </w:style>
  <w:style w:type="character" w:customStyle="1" w:styleId="Heading2Char">
    <w:name w:val="Heading 2 Char"/>
    <w:locked/>
    <w:rsid w:val="00441483"/>
    <w:rPr>
      <w:rFonts w:ascii="Arial" w:hAnsi="Arial" w:cs="Arial"/>
      <w:bCs/>
      <w:iCs/>
      <w:color w:val="286EB4"/>
      <w:sz w:val="28"/>
      <w:szCs w:val="28"/>
      <w:lang w:val="en-AU" w:eastAsia="en-US" w:bidi="ar-SA"/>
    </w:rPr>
  </w:style>
  <w:style w:type="paragraph" w:customStyle="1" w:styleId="BriefDocParagraph">
    <w:name w:val="BriefDoc Paragraph"/>
    <w:basedOn w:val="Normal"/>
    <w:rsid w:val="00BA4D7A"/>
    <w:pPr>
      <w:numPr>
        <w:numId w:val="4"/>
      </w:numPr>
      <w:spacing w:after="0" w:line="240" w:lineRule="auto"/>
      <w:jc w:val="left"/>
    </w:pPr>
    <w:rPr>
      <w:rFonts w:ascii="Times New Roman" w:hAnsi="Times New Roman"/>
      <w:sz w:val="24"/>
      <w:szCs w:val="20"/>
    </w:rPr>
  </w:style>
  <w:style w:type="paragraph" w:customStyle="1" w:styleId="BoxText1">
    <w:name w:val="Box Text+1"/>
    <w:basedOn w:val="Default"/>
    <w:next w:val="Default"/>
    <w:uiPriority w:val="99"/>
    <w:rsid w:val="00F46CB4"/>
    <w:pPr>
      <w:widowControl/>
    </w:pPr>
    <w:rPr>
      <w:rFonts w:ascii="Garamond" w:eastAsia="Calibri" w:hAnsi="Garamond" w:cs="Times New Roman"/>
      <w:color w:val="auto"/>
      <w:lang w:val="en-AU"/>
    </w:rPr>
  </w:style>
  <w:style w:type="character" w:styleId="Strong">
    <w:name w:val="Strong"/>
    <w:basedOn w:val="DefaultParagraphFont"/>
    <w:qFormat/>
    <w:locked/>
    <w:rsid w:val="00651032"/>
    <w:rPr>
      <w:b/>
      <w:bCs/>
    </w:rPr>
  </w:style>
  <w:style w:type="character" w:styleId="Emphasis">
    <w:name w:val="Emphasis"/>
    <w:basedOn w:val="DefaultParagraphFont"/>
    <w:qFormat/>
    <w:locked/>
    <w:rsid w:val="00903D11"/>
    <w:rPr>
      <w:i/>
      <w:iCs/>
    </w:rPr>
  </w:style>
  <w:style w:type="numbering" w:customStyle="1" w:styleId="NoList1">
    <w:name w:val="No List1"/>
    <w:next w:val="NoList"/>
    <w:uiPriority w:val="99"/>
    <w:semiHidden/>
    <w:unhideWhenUsed/>
    <w:rsid w:val="00D758F5"/>
  </w:style>
  <w:style w:type="paragraph" w:styleId="NormalWeb">
    <w:name w:val="Normal (Web)"/>
    <w:basedOn w:val="Normal"/>
    <w:uiPriority w:val="99"/>
    <w:unhideWhenUsed/>
    <w:rsid w:val="00FE2839"/>
    <w:pPr>
      <w:spacing w:before="100" w:beforeAutospacing="1" w:after="100" w:afterAutospacing="1" w:line="240" w:lineRule="auto"/>
      <w:jc w:val="left"/>
    </w:pPr>
    <w:rPr>
      <w:rFonts w:ascii="Times New Roman" w:hAnsi="Times New Roman"/>
      <w:sz w:val="24"/>
      <w:lang w:eastAsia="en-AU"/>
    </w:rPr>
  </w:style>
  <w:style w:type="paragraph" w:styleId="PlainText">
    <w:name w:val="Plain Text"/>
    <w:basedOn w:val="Normal"/>
    <w:link w:val="PlainTextChar"/>
    <w:uiPriority w:val="99"/>
    <w:unhideWhenUsed/>
    <w:rsid w:val="005B1665"/>
    <w:pPr>
      <w:spacing w:after="0" w:line="240" w:lineRule="auto"/>
      <w:jc w:val="left"/>
    </w:pPr>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5B1665"/>
    <w:rPr>
      <w:rFonts w:ascii="Calibri" w:eastAsiaTheme="minorHAnsi" w:hAnsi="Calibri" w:cs="Consolas"/>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lsdException w:name="footer" w:uiPriority="99"/>
    <w:lsdException w:name="caption" w:locked="1" w:uiPriority="35" w:qFormat="1"/>
    <w:lsdException w:name="footnote reference" w:uiPriority="99"/>
    <w:lsdException w:name="Title" w:locked="1" w:qFormat="1"/>
    <w:lsdException w:name="Default Paragraph Font" w:locked="1"/>
    <w:lsdException w:name="Subtitle" w:locked="1" w:qFormat="1"/>
    <w:lsdException w:name="Strong" w:locked="1" w:qFormat="1"/>
    <w:lsdException w:name="Emphasis" w:locked="1" w:qFormat="1"/>
    <w:lsdException w:name="Plain Text" w:uiPriority="99"/>
    <w:lsdException w:name="Normal (Web)"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67B5"/>
    <w:pPr>
      <w:spacing w:after="90" w:line="220" w:lineRule="atLeast"/>
      <w:jc w:val="both"/>
    </w:pPr>
    <w:rPr>
      <w:rFonts w:ascii="Arial" w:hAnsi="Arial"/>
      <w:sz w:val="19"/>
      <w:szCs w:val="24"/>
      <w:lang w:eastAsia="en-US"/>
    </w:rPr>
  </w:style>
  <w:style w:type="paragraph" w:styleId="Heading1">
    <w:name w:val="heading 1"/>
    <w:basedOn w:val="ReportTitle"/>
    <w:next w:val="Normal"/>
    <w:link w:val="Heading1Char"/>
    <w:qFormat/>
    <w:rsid w:val="00A9260A"/>
    <w:pPr>
      <w:jc w:val="left"/>
      <w:outlineLvl w:val="0"/>
    </w:pPr>
    <w:rPr>
      <w:color w:val="76923C" w:themeColor="accent3" w:themeShade="BF"/>
    </w:rPr>
  </w:style>
  <w:style w:type="paragraph" w:styleId="Heading2">
    <w:name w:val="heading 2"/>
    <w:basedOn w:val="Normal"/>
    <w:next w:val="Normal"/>
    <w:link w:val="Heading2Char1"/>
    <w:qFormat/>
    <w:rsid w:val="00A9260A"/>
    <w:pPr>
      <w:keepNext/>
      <w:spacing w:before="430" w:after="60" w:line="240" w:lineRule="auto"/>
      <w:outlineLvl w:val="1"/>
    </w:pPr>
    <w:rPr>
      <w:rFonts w:cs="Arial"/>
      <w:bCs/>
      <w:iCs/>
      <w:color w:val="76923C" w:themeColor="accent3" w:themeShade="BF"/>
      <w:sz w:val="28"/>
      <w:szCs w:val="28"/>
    </w:rPr>
  </w:style>
  <w:style w:type="paragraph" w:styleId="Heading3">
    <w:name w:val="heading 3"/>
    <w:basedOn w:val="Normal"/>
    <w:next w:val="Normal"/>
    <w:link w:val="Heading3Char"/>
    <w:qFormat/>
    <w:rsid w:val="00A9260A"/>
    <w:pPr>
      <w:keepNext/>
      <w:spacing w:before="70" w:after="80"/>
      <w:outlineLvl w:val="2"/>
    </w:pPr>
    <w:rPr>
      <w:rFonts w:cs="Arial"/>
      <w:b/>
      <w:bCs/>
      <w:color w:val="76923C" w:themeColor="accent3" w:themeShade="BF"/>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9260A"/>
    <w:rPr>
      <w:rFonts w:ascii="Arial" w:hAnsi="Arial"/>
      <w:color w:val="76923C" w:themeColor="accent3" w:themeShade="BF"/>
      <w:spacing w:val="-12"/>
      <w:sz w:val="46"/>
      <w:szCs w:val="46"/>
      <w:lang w:eastAsia="en-US"/>
    </w:rPr>
  </w:style>
  <w:style w:type="character" w:customStyle="1" w:styleId="Heading2Char1">
    <w:name w:val="Heading 2 Char1"/>
    <w:link w:val="Heading2"/>
    <w:locked/>
    <w:rsid w:val="00A9260A"/>
    <w:rPr>
      <w:rFonts w:ascii="Arial" w:hAnsi="Arial" w:cs="Arial"/>
      <w:bCs/>
      <w:iCs/>
      <w:color w:val="76923C" w:themeColor="accent3" w:themeShade="BF"/>
      <w:sz w:val="28"/>
      <w:szCs w:val="28"/>
      <w:lang w:eastAsia="en-US"/>
    </w:rPr>
  </w:style>
  <w:style w:type="character" w:customStyle="1" w:styleId="Heading3Char">
    <w:name w:val="Heading 3 Char"/>
    <w:link w:val="Heading3"/>
    <w:locked/>
    <w:rsid w:val="00A9260A"/>
    <w:rPr>
      <w:rFonts w:ascii="Arial" w:hAnsi="Arial" w:cs="Arial"/>
      <w:b/>
      <w:bCs/>
      <w:color w:val="76923C" w:themeColor="accent3" w:themeShade="BF"/>
      <w:sz w:val="19"/>
      <w:szCs w:val="19"/>
      <w:lang w:eastAsia="en-US"/>
    </w:rPr>
  </w:style>
  <w:style w:type="paragraph" w:styleId="BalloonText">
    <w:name w:val="Balloon Text"/>
    <w:basedOn w:val="Normal"/>
    <w:link w:val="BalloonTextChar"/>
    <w:rsid w:val="008736F2"/>
    <w:pPr>
      <w:spacing w:after="0" w:line="240" w:lineRule="auto"/>
    </w:pPr>
    <w:rPr>
      <w:rFonts w:ascii="Tahoma" w:hAnsi="Tahoma"/>
      <w:sz w:val="16"/>
      <w:szCs w:val="16"/>
    </w:rPr>
  </w:style>
  <w:style w:type="character" w:customStyle="1" w:styleId="BalloonTextChar">
    <w:name w:val="Balloon Text Char"/>
    <w:link w:val="BalloonText"/>
    <w:locked/>
    <w:rsid w:val="008736F2"/>
    <w:rPr>
      <w:rFonts w:ascii="Tahoma" w:hAnsi="Tahoma" w:cs="Times New Roman"/>
      <w:color w:val="747378"/>
      <w:sz w:val="16"/>
      <w:szCs w:val="16"/>
      <w:lang w:val="x-none" w:eastAsia="en-US"/>
    </w:rPr>
  </w:style>
  <w:style w:type="paragraph" w:styleId="Header">
    <w:name w:val="header"/>
    <w:basedOn w:val="Normal"/>
    <w:link w:val="HeaderChar"/>
    <w:rsid w:val="00385DBA"/>
    <w:pPr>
      <w:tabs>
        <w:tab w:val="center" w:pos="4320"/>
        <w:tab w:val="right" w:pos="8640"/>
      </w:tabs>
    </w:pPr>
    <w:rPr>
      <w:sz w:val="18"/>
    </w:rPr>
  </w:style>
  <w:style w:type="character" w:customStyle="1" w:styleId="HeaderChar">
    <w:name w:val="Header Char"/>
    <w:link w:val="Header"/>
    <w:locked/>
    <w:rsid w:val="002A163D"/>
    <w:rPr>
      <w:rFonts w:ascii="Arial" w:hAnsi="Arial" w:cs="Times New Roman"/>
      <w:sz w:val="24"/>
      <w:lang w:val="en-AU" w:eastAsia="en-US"/>
    </w:rPr>
  </w:style>
  <w:style w:type="paragraph" w:styleId="Footer">
    <w:name w:val="footer"/>
    <w:basedOn w:val="Normal"/>
    <w:link w:val="FooterChar"/>
    <w:uiPriority w:val="99"/>
    <w:rsid w:val="00010F3E"/>
    <w:pPr>
      <w:tabs>
        <w:tab w:val="center" w:pos="4536"/>
        <w:tab w:val="right" w:pos="9072"/>
      </w:tabs>
      <w:spacing w:after="0" w:line="240" w:lineRule="auto"/>
      <w:ind w:right="57"/>
      <w:jc w:val="right"/>
    </w:pPr>
    <w:rPr>
      <w:b/>
      <w:spacing w:val="-1"/>
      <w:sz w:val="16"/>
      <w:szCs w:val="14"/>
    </w:rPr>
  </w:style>
  <w:style w:type="character" w:customStyle="1" w:styleId="FooterChar">
    <w:name w:val="Footer Char"/>
    <w:link w:val="Footer"/>
    <w:uiPriority w:val="99"/>
    <w:locked/>
    <w:rsid w:val="00010F3E"/>
    <w:rPr>
      <w:rFonts w:ascii="Arial" w:hAnsi="Arial"/>
      <w:b/>
      <w:color w:val="747378"/>
      <w:spacing w:val="-1"/>
      <w:sz w:val="16"/>
      <w:szCs w:val="14"/>
      <w:lang w:eastAsia="en-US"/>
    </w:rPr>
  </w:style>
  <w:style w:type="paragraph" w:customStyle="1" w:styleId="ReportTitle">
    <w:name w:val="Report Title"/>
    <w:basedOn w:val="Normal"/>
    <w:rsid w:val="00BB6565"/>
    <w:pPr>
      <w:spacing w:after="35" w:line="480" w:lineRule="exact"/>
    </w:pPr>
    <w:rPr>
      <w:color w:val="286EB4"/>
      <w:spacing w:val="-12"/>
      <w:sz w:val="46"/>
      <w:szCs w:val="46"/>
    </w:rPr>
  </w:style>
  <w:style w:type="paragraph" w:customStyle="1" w:styleId="ReportSub-Title">
    <w:name w:val="Report Sub-Title"/>
    <w:basedOn w:val="Normal"/>
    <w:rsid w:val="00927968"/>
    <w:pPr>
      <w:spacing w:line="330" w:lineRule="exact"/>
    </w:pPr>
    <w:rPr>
      <w:color w:val="808080"/>
      <w:spacing w:val="-6"/>
      <w:sz w:val="28"/>
      <w:szCs w:val="28"/>
    </w:rPr>
  </w:style>
  <w:style w:type="paragraph" w:customStyle="1" w:styleId="CopyrightDetailsBold">
    <w:name w:val="Copyright Details Bold"/>
    <w:basedOn w:val="Normal"/>
    <w:rsid w:val="00F015D8"/>
    <w:pPr>
      <w:spacing w:after="0" w:line="260" w:lineRule="exact"/>
    </w:pPr>
    <w:rPr>
      <w:b/>
    </w:rPr>
  </w:style>
  <w:style w:type="paragraph" w:customStyle="1" w:styleId="CopyrightDetails">
    <w:name w:val="Copyright Details"/>
    <w:basedOn w:val="Normal"/>
    <w:rsid w:val="00F015D8"/>
    <w:pPr>
      <w:spacing w:after="0" w:line="260" w:lineRule="exact"/>
    </w:p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2637D"/>
    <w:pPr>
      <w:ind w:left="-336"/>
    </w:pPr>
    <w:rPr>
      <w:color w:val="286EB4"/>
      <w:sz w:val="36"/>
      <w:szCs w:val="20"/>
      <w:lang w:val="x-none"/>
    </w:rPr>
  </w:style>
  <w:style w:type="character" w:customStyle="1" w:styleId="TOCTitleChar">
    <w:name w:val="TOC Title Char"/>
    <w:link w:val="TOCTitle"/>
    <w:locked/>
    <w:rsid w:val="0002637D"/>
    <w:rPr>
      <w:rFonts w:ascii="Arial" w:hAnsi="Arial"/>
      <w:color w:val="286EB4"/>
      <w:sz w:val="36"/>
      <w:lang w:val="x-none" w:eastAsia="en-US"/>
    </w:rPr>
  </w:style>
  <w:style w:type="table" w:styleId="TableGrid">
    <w:name w:val="Table Grid"/>
    <w:basedOn w:val="TableNormal"/>
    <w:rsid w:val="00E72C99"/>
    <w:pPr>
      <w:spacing w:after="90" w:line="220" w:lineRule="atLeast"/>
    </w:pPr>
    <w:rPr>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rsid w:val="003778A9"/>
    <w:pPr>
      <w:tabs>
        <w:tab w:val="right" w:pos="6698"/>
      </w:tabs>
      <w:spacing w:after="120" w:line="240" w:lineRule="auto"/>
      <w:jc w:val="left"/>
    </w:pPr>
    <w:rPr>
      <w:rFonts w:asciiTheme="majorHAnsi" w:hAnsiTheme="majorHAnsi" w:cs="Arial"/>
      <w:b/>
      <w:bCs/>
      <w:caps/>
      <w:noProof/>
      <w:sz w:val="24"/>
    </w:rPr>
  </w:style>
  <w:style w:type="character" w:styleId="PageNumber">
    <w:name w:val="page number"/>
    <w:rsid w:val="00BB6565"/>
    <w:rPr>
      <w:rFonts w:cs="Times New Roman"/>
    </w:rPr>
  </w:style>
  <w:style w:type="paragraph" w:styleId="ListBullet">
    <w:name w:val="List Bullet"/>
    <w:basedOn w:val="Normal"/>
    <w:rsid w:val="0099614A"/>
    <w:pPr>
      <w:numPr>
        <w:numId w:val="2"/>
      </w:numPr>
      <w:spacing w:after="84"/>
    </w:pPr>
  </w:style>
  <w:style w:type="paragraph" w:styleId="TOC3">
    <w:name w:val="toc 3"/>
    <w:basedOn w:val="Normal"/>
    <w:next w:val="Normal"/>
    <w:autoRedefine/>
    <w:uiPriority w:val="39"/>
    <w:rsid w:val="00AF50E2"/>
    <w:pPr>
      <w:spacing w:after="0"/>
      <w:ind w:left="190"/>
      <w:jc w:val="left"/>
    </w:pPr>
    <w:rPr>
      <w:rFonts w:asciiTheme="minorHAnsi" w:hAnsiTheme="minorHAnsi"/>
      <w:sz w:val="20"/>
      <w:szCs w:val="20"/>
    </w:rPr>
  </w:style>
  <w:style w:type="paragraph" w:styleId="TOC2">
    <w:name w:val="toc 2"/>
    <w:basedOn w:val="Normal"/>
    <w:next w:val="Normal"/>
    <w:uiPriority w:val="39"/>
    <w:rsid w:val="009367C5"/>
    <w:pPr>
      <w:spacing w:before="240" w:after="0"/>
      <w:jc w:val="left"/>
    </w:pPr>
    <w:rPr>
      <w:rFonts w:asciiTheme="minorHAnsi" w:hAnsiTheme="minorHAnsi"/>
      <w:b/>
      <w:bCs/>
      <w:sz w:val="20"/>
      <w:szCs w:val="20"/>
    </w:rPr>
  </w:style>
  <w:style w:type="paragraph" w:styleId="Quote">
    <w:name w:val="Quote"/>
    <w:basedOn w:val="Normal"/>
    <w:link w:val="QuoteChar"/>
    <w:qFormat/>
    <w:rsid w:val="00B345E6"/>
    <w:rPr>
      <w:b/>
      <w:color w:val="286EB4"/>
      <w:szCs w:val="19"/>
    </w:rPr>
  </w:style>
  <w:style w:type="character" w:customStyle="1" w:styleId="QuoteChar">
    <w:name w:val="Quote Char"/>
    <w:link w:val="Quote"/>
    <w:locked/>
    <w:rsid w:val="008736F2"/>
    <w:rPr>
      <w:rFonts w:ascii="Arial" w:hAnsi="Arial" w:cs="Times New Roman"/>
      <w:b/>
      <w:color w:val="286EB4"/>
      <w:sz w:val="19"/>
      <w:szCs w:val="19"/>
      <w:lang w:val="x-none" w:eastAsia="en-US"/>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uiPriority w:val="35"/>
    <w:qFormat/>
    <w:rsid w:val="00A9260A"/>
    <w:rPr>
      <w:b/>
      <w:bCs/>
      <w:color w:val="76923C" w:themeColor="accent3" w:themeShade="BF"/>
      <w:sz w:val="16"/>
      <w:szCs w:val="16"/>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uiPriority w:val="99"/>
    <w:rsid w:val="007D5EE3"/>
    <w:pPr>
      <w:spacing w:after="0"/>
      <w:ind w:right="-142"/>
    </w:pPr>
    <w:rPr>
      <w:sz w:val="16"/>
      <w:szCs w:val="16"/>
    </w:rPr>
  </w:style>
  <w:style w:type="paragraph" w:customStyle="1" w:styleId="Spacer">
    <w:name w:val="Spacer"/>
    <w:basedOn w:val="Normal"/>
    <w:rsid w:val="005B48EA"/>
    <w:pPr>
      <w:spacing w:after="0" w:line="240" w:lineRule="auto"/>
    </w:pPr>
    <w:rPr>
      <w:sz w:val="6"/>
      <w:szCs w:val="6"/>
    </w:rPr>
  </w:style>
  <w:style w:type="paragraph" w:customStyle="1" w:styleId="TablePhoto">
    <w:name w:val="Table Photo"/>
    <w:basedOn w:val="Normal"/>
    <w:rsid w:val="00DF1B47"/>
    <w:pPr>
      <w:spacing w:after="0" w:line="240" w:lineRule="auto"/>
    </w:pPr>
  </w:style>
  <w:style w:type="paragraph" w:styleId="ListBullet2">
    <w:name w:val="List Bullet 2"/>
    <w:basedOn w:val="Normal"/>
    <w:rsid w:val="00D27344"/>
    <w:pPr>
      <w:tabs>
        <w:tab w:val="num" w:pos="340"/>
      </w:tabs>
      <w:spacing w:after="0"/>
      <w:ind w:left="340" w:hanging="170"/>
    </w:pPr>
  </w:style>
  <w:style w:type="paragraph" w:styleId="FootnoteText">
    <w:name w:val="footnote text"/>
    <w:basedOn w:val="Normal"/>
    <w:link w:val="FootnoteTextChar"/>
    <w:uiPriority w:val="99"/>
    <w:rsid w:val="008736F2"/>
    <w:rPr>
      <w:sz w:val="20"/>
      <w:szCs w:val="20"/>
    </w:rPr>
  </w:style>
  <w:style w:type="character" w:customStyle="1" w:styleId="FootnoteTextChar">
    <w:name w:val="Footnote Text Char"/>
    <w:link w:val="FootnoteText"/>
    <w:uiPriority w:val="99"/>
    <w:locked/>
    <w:rsid w:val="008736F2"/>
    <w:rPr>
      <w:rFonts w:ascii="Arial" w:hAnsi="Arial" w:cs="Times New Roman"/>
      <w:color w:val="747378"/>
      <w:lang w:val="x-none" w:eastAsia="en-US"/>
    </w:rPr>
  </w:style>
  <w:style w:type="character" w:styleId="FootnoteReference">
    <w:name w:val="footnote reference"/>
    <w:uiPriority w:val="99"/>
    <w:rsid w:val="008736F2"/>
    <w:rPr>
      <w:rFonts w:cs="Times New Roman"/>
      <w:vertAlign w:val="superscript"/>
    </w:rPr>
  </w:style>
  <w:style w:type="character" w:styleId="CommentReference">
    <w:name w:val="annotation reference"/>
    <w:rsid w:val="008736F2"/>
    <w:rPr>
      <w:rFonts w:cs="Times New Roman"/>
      <w:sz w:val="16"/>
      <w:szCs w:val="16"/>
    </w:rPr>
  </w:style>
  <w:style w:type="paragraph" w:styleId="CommentText">
    <w:name w:val="annotation text"/>
    <w:basedOn w:val="Normal"/>
    <w:link w:val="CommentTextChar"/>
    <w:rsid w:val="008736F2"/>
    <w:rPr>
      <w:sz w:val="20"/>
      <w:szCs w:val="20"/>
    </w:rPr>
  </w:style>
  <w:style w:type="character" w:customStyle="1" w:styleId="CommentTextChar">
    <w:name w:val="Comment Text Char"/>
    <w:link w:val="CommentText"/>
    <w:locked/>
    <w:rsid w:val="008736F2"/>
    <w:rPr>
      <w:rFonts w:ascii="Arial" w:hAnsi="Arial" w:cs="Times New Roman"/>
      <w:color w:val="747378"/>
      <w:lang w:val="x-none" w:eastAsia="en-US"/>
    </w:rPr>
  </w:style>
  <w:style w:type="paragraph" w:styleId="CommentSubject">
    <w:name w:val="annotation subject"/>
    <w:basedOn w:val="CommentText"/>
    <w:next w:val="CommentText"/>
    <w:link w:val="CommentSubjectChar"/>
    <w:rsid w:val="008736F2"/>
    <w:rPr>
      <w:b/>
      <w:bCs/>
    </w:rPr>
  </w:style>
  <w:style w:type="character" w:customStyle="1" w:styleId="CommentSubjectChar">
    <w:name w:val="Comment Subject Char"/>
    <w:link w:val="CommentSubject"/>
    <w:locked/>
    <w:rsid w:val="008736F2"/>
    <w:rPr>
      <w:rFonts w:ascii="Arial" w:hAnsi="Arial" w:cs="Times New Roman"/>
      <w:b/>
      <w:bCs/>
      <w:color w:val="747378"/>
      <w:lang w:val="x-none" w:eastAsia="en-US"/>
    </w:rPr>
  </w:style>
  <w:style w:type="paragraph" w:customStyle="1" w:styleId="Bulletlist">
    <w:name w:val="Bullet list"/>
    <w:basedOn w:val="Normal"/>
    <w:rsid w:val="008736F2"/>
    <w:pPr>
      <w:numPr>
        <w:numId w:val="3"/>
      </w:numPr>
      <w:autoSpaceDE w:val="0"/>
      <w:autoSpaceDN w:val="0"/>
      <w:adjustRightInd w:val="0"/>
      <w:spacing w:before="60" w:after="60" w:line="240" w:lineRule="auto"/>
    </w:pPr>
    <w:rPr>
      <w:rFonts w:cs="Arial"/>
      <w:color w:val="000000"/>
      <w:sz w:val="22"/>
      <w:szCs w:val="22"/>
      <w:lang w:eastAsia="en-AU"/>
    </w:rPr>
  </w:style>
  <w:style w:type="character" w:styleId="Hyperlink">
    <w:name w:val="Hyperlink"/>
    <w:rsid w:val="008736F2"/>
    <w:rPr>
      <w:rFonts w:cs="Times New Roman"/>
      <w:color w:val="0000FF"/>
      <w:u w:val="single"/>
    </w:rPr>
  </w:style>
  <w:style w:type="character" w:styleId="FollowedHyperlink">
    <w:name w:val="FollowedHyperlink"/>
    <w:rsid w:val="00E61FA4"/>
    <w:rPr>
      <w:rFonts w:cs="Times New Roman"/>
      <w:color w:val="800080"/>
      <w:u w:val="single"/>
    </w:rPr>
  </w:style>
  <w:style w:type="table" w:customStyle="1" w:styleId="LightShading-Accent11">
    <w:name w:val="Light Shading - Accent 11"/>
    <w:rsid w:val="00E61FA4"/>
    <w:rPr>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ListParagraph">
    <w:name w:val="List Paragraph"/>
    <w:basedOn w:val="Normal"/>
    <w:uiPriority w:val="34"/>
    <w:qFormat/>
    <w:rsid w:val="00636FAF"/>
    <w:pPr>
      <w:spacing w:after="200" w:line="276" w:lineRule="auto"/>
      <w:ind w:left="720"/>
      <w:jc w:val="left"/>
    </w:pPr>
    <w:rPr>
      <w:rFonts w:ascii="Calibri" w:hAnsi="Calibri"/>
      <w:sz w:val="22"/>
      <w:szCs w:val="22"/>
    </w:rPr>
  </w:style>
  <w:style w:type="paragraph" w:styleId="TOC4">
    <w:name w:val="toc 4"/>
    <w:basedOn w:val="Normal"/>
    <w:next w:val="Normal"/>
    <w:autoRedefine/>
    <w:uiPriority w:val="39"/>
    <w:locked/>
    <w:rsid w:val="00082ACB"/>
    <w:pPr>
      <w:spacing w:after="0"/>
      <w:ind w:left="380"/>
      <w:jc w:val="left"/>
    </w:pPr>
    <w:rPr>
      <w:rFonts w:asciiTheme="minorHAnsi" w:hAnsiTheme="minorHAnsi"/>
      <w:sz w:val="20"/>
      <w:szCs w:val="20"/>
    </w:rPr>
  </w:style>
  <w:style w:type="paragraph" w:styleId="TOC5">
    <w:name w:val="toc 5"/>
    <w:basedOn w:val="Normal"/>
    <w:next w:val="Normal"/>
    <w:autoRedefine/>
    <w:uiPriority w:val="39"/>
    <w:locked/>
    <w:rsid w:val="00082ACB"/>
    <w:pPr>
      <w:spacing w:after="0"/>
      <w:ind w:left="570"/>
      <w:jc w:val="left"/>
    </w:pPr>
    <w:rPr>
      <w:rFonts w:asciiTheme="minorHAnsi" w:hAnsiTheme="minorHAnsi"/>
      <w:sz w:val="20"/>
      <w:szCs w:val="20"/>
    </w:rPr>
  </w:style>
  <w:style w:type="paragraph" w:styleId="TOC6">
    <w:name w:val="toc 6"/>
    <w:basedOn w:val="Normal"/>
    <w:next w:val="Normal"/>
    <w:autoRedefine/>
    <w:uiPriority w:val="39"/>
    <w:locked/>
    <w:rsid w:val="00082ACB"/>
    <w:pPr>
      <w:spacing w:after="0"/>
      <w:ind w:left="760"/>
      <w:jc w:val="left"/>
    </w:pPr>
    <w:rPr>
      <w:rFonts w:asciiTheme="minorHAnsi" w:hAnsiTheme="minorHAnsi"/>
      <w:sz w:val="20"/>
      <w:szCs w:val="20"/>
    </w:rPr>
  </w:style>
  <w:style w:type="paragraph" w:styleId="TOC7">
    <w:name w:val="toc 7"/>
    <w:basedOn w:val="Normal"/>
    <w:next w:val="Normal"/>
    <w:autoRedefine/>
    <w:uiPriority w:val="39"/>
    <w:locked/>
    <w:rsid w:val="00082ACB"/>
    <w:pPr>
      <w:spacing w:after="0"/>
      <w:ind w:left="950"/>
      <w:jc w:val="left"/>
    </w:pPr>
    <w:rPr>
      <w:rFonts w:asciiTheme="minorHAnsi" w:hAnsiTheme="minorHAnsi"/>
      <w:sz w:val="20"/>
      <w:szCs w:val="20"/>
    </w:rPr>
  </w:style>
  <w:style w:type="paragraph" w:styleId="TOC8">
    <w:name w:val="toc 8"/>
    <w:basedOn w:val="Normal"/>
    <w:next w:val="Normal"/>
    <w:autoRedefine/>
    <w:uiPriority w:val="39"/>
    <w:locked/>
    <w:rsid w:val="00082ACB"/>
    <w:pPr>
      <w:spacing w:after="0"/>
      <w:ind w:left="1140"/>
      <w:jc w:val="left"/>
    </w:pPr>
    <w:rPr>
      <w:rFonts w:asciiTheme="minorHAnsi" w:hAnsiTheme="minorHAnsi"/>
      <w:sz w:val="20"/>
      <w:szCs w:val="20"/>
    </w:rPr>
  </w:style>
  <w:style w:type="paragraph" w:styleId="TOC9">
    <w:name w:val="toc 9"/>
    <w:basedOn w:val="Normal"/>
    <w:next w:val="Normal"/>
    <w:autoRedefine/>
    <w:uiPriority w:val="39"/>
    <w:locked/>
    <w:rsid w:val="00082ACB"/>
    <w:pPr>
      <w:spacing w:after="0"/>
      <w:ind w:left="1330"/>
      <w:jc w:val="left"/>
    </w:pPr>
    <w:rPr>
      <w:rFonts w:asciiTheme="minorHAnsi" w:hAnsiTheme="minorHAnsi"/>
      <w:sz w:val="20"/>
      <w:szCs w:val="20"/>
    </w:rPr>
  </w:style>
  <w:style w:type="table" w:customStyle="1" w:styleId="LightShading-Accent12">
    <w:name w:val="Light Shading - Accent 12"/>
    <w:rsid w:val="00397AF4"/>
    <w:rPr>
      <w:color w:val="365F91"/>
      <w:lang w:eastAsia="ko-K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StyleBoldWhiteAfter0ptLinespacingsingle">
    <w:name w:val="Style Bold White After:  0 pt Line spacing:  single"/>
    <w:basedOn w:val="Normal"/>
    <w:rsid w:val="00397AF4"/>
    <w:pPr>
      <w:spacing w:after="0" w:line="240" w:lineRule="auto"/>
      <w:jc w:val="left"/>
    </w:pPr>
    <w:rPr>
      <w:b/>
      <w:bCs/>
      <w:color w:val="286EB4"/>
      <w:szCs w:val="20"/>
    </w:rPr>
  </w:style>
  <w:style w:type="paragraph" w:styleId="ListNumber">
    <w:name w:val="List Number"/>
    <w:basedOn w:val="Normal"/>
    <w:locked/>
    <w:rsid w:val="00CD3E5E"/>
    <w:pPr>
      <w:numPr>
        <w:numId w:val="1"/>
      </w:numPr>
      <w:spacing w:after="0" w:line="240" w:lineRule="auto"/>
      <w:jc w:val="left"/>
    </w:pPr>
    <w:rPr>
      <w:rFonts w:cs="Arial"/>
      <w:sz w:val="24"/>
      <w:lang w:eastAsia="en-AU"/>
    </w:rPr>
  </w:style>
  <w:style w:type="paragraph" w:styleId="BodyText">
    <w:name w:val="Body Text"/>
    <w:basedOn w:val="ListNumber"/>
    <w:link w:val="BodyTextChar"/>
    <w:rsid w:val="000D002C"/>
    <w:pPr>
      <w:numPr>
        <w:numId w:val="0"/>
      </w:numPr>
      <w:tabs>
        <w:tab w:val="num" w:pos="680"/>
      </w:tabs>
      <w:spacing w:after="120"/>
    </w:pPr>
    <w:rPr>
      <w:lang w:eastAsia="en-US"/>
    </w:rPr>
  </w:style>
  <w:style w:type="character" w:customStyle="1" w:styleId="BodyTextChar">
    <w:name w:val="Body Text Char"/>
    <w:link w:val="BodyText"/>
    <w:locked/>
    <w:rsid w:val="008E0FFA"/>
    <w:rPr>
      <w:rFonts w:ascii="Arial" w:hAnsi="Arial" w:cs="Times New Roman"/>
      <w:color w:val="747378"/>
      <w:sz w:val="24"/>
      <w:szCs w:val="24"/>
      <w:lang w:val="x-none" w:eastAsia="en-US"/>
    </w:rPr>
  </w:style>
  <w:style w:type="character" w:customStyle="1" w:styleId="st1">
    <w:name w:val="st1"/>
    <w:basedOn w:val="DefaultParagraphFont"/>
    <w:rsid w:val="00FF6514"/>
  </w:style>
  <w:style w:type="character" w:customStyle="1" w:styleId="Heading2Char">
    <w:name w:val="Heading 2 Char"/>
    <w:locked/>
    <w:rsid w:val="00441483"/>
    <w:rPr>
      <w:rFonts w:ascii="Arial" w:hAnsi="Arial" w:cs="Arial"/>
      <w:bCs/>
      <w:iCs/>
      <w:color w:val="286EB4"/>
      <w:sz w:val="28"/>
      <w:szCs w:val="28"/>
      <w:lang w:val="en-AU" w:eastAsia="en-US" w:bidi="ar-SA"/>
    </w:rPr>
  </w:style>
  <w:style w:type="paragraph" w:customStyle="1" w:styleId="BriefDocParagraph">
    <w:name w:val="BriefDoc Paragraph"/>
    <w:basedOn w:val="Normal"/>
    <w:rsid w:val="00BA4D7A"/>
    <w:pPr>
      <w:numPr>
        <w:numId w:val="4"/>
      </w:numPr>
      <w:spacing w:after="0" w:line="240" w:lineRule="auto"/>
      <w:jc w:val="left"/>
    </w:pPr>
    <w:rPr>
      <w:rFonts w:ascii="Times New Roman" w:hAnsi="Times New Roman"/>
      <w:sz w:val="24"/>
      <w:szCs w:val="20"/>
    </w:rPr>
  </w:style>
  <w:style w:type="paragraph" w:customStyle="1" w:styleId="BoxText1">
    <w:name w:val="Box Text+1"/>
    <w:basedOn w:val="Default"/>
    <w:next w:val="Default"/>
    <w:uiPriority w:val="99"/>
    <w:rsid w:val="00F46CB4"/>
    <w:pPr>
      <w:widowControl/>
    </w:pPr>
    <w:rPr>
      <w:rFonts w:ascii="Garamond" w:eastAsia="Calibri" w:hAnsi="Garamond" w:cs="Times New Roman"/>
      <w:color w:val="auto"/>
      <w:lang w:val="en-AU"/>
    </w:rPr>
  </w:style>
  <w:style w:type="character" w:styleId="Strong">
    <w:name w:val="Strong"/>
    <w:basedOn w:val="DefaultParagraphFont"/>
    <w:qFormat/>
    <w:locked/>
    <w:rsid w:val="00651032"/>
    <w:rPr>
      <w:b/>
      <w:bCs/>
    </w:rPr>
  </w:style>
  <w:style w:type="character" w:styleId="Emphasis">
    <w:name w:val="Emphasis"/>
    <w:basedOn w:val="DefaultParagraphFont"/>
    <w:qFormat/>
    <w:locked/>
    <w:rsid w:val="00903D11"/>
    <w:rPr>
      <w:i/>
      <w:iCs/>
    </w:rPr>
  </w:style>
  <w:style w:type="numbering" w:customStyle="1" w:styleId="NoList1">
    <w:name w:val="No List1"/>
    <w:next w:val="NoList"/>
    <w:uiPriority w:val="99"/>
    <w:semiHidden/>
    <w:unhideWhenUsed/>
    <w:rsid w:val="00D758F5"/>
  </w:style>
  <w:style w:type="paragraph" w:styleId="NormalWeb">
    <w:name w:val="Normal (Web)"/>
    <w:basedOn w:val="Normal"/>
    <w:uiPriority w:val="99"/>
    <w:unhideWhenUsed/>
    <w:rsid w:val="00FE2839"/>
    <w:pPr>
      <w:spacing w:before="100" w:beforeAutospacing="1" w:after="100" w:afterAutospacing="1" w:line="240" w:lineRule="auto"/>
      <w:jc w:val="left"/>
    </w:pPr>
    <w:rPr>
      <w:rFonts w:ascii="Times New Roman" w:hAnsi="Times New Roman"/>
      <w:sz w:val="24"/>
      <w:lang w:eastAsia="en-AU"/>
    </w:rPr>
  </w:style>
  <w:style w:type="paragraph" w:styleId="PlainText">
    <w:name w:val="Plain Text"/>
    <w:basedOn w:val="Normal"/>
    <w:link w:val="PlainTextChar"/>
    <w:uiPriority w:val="99"/>
    <w:unhideWhenUsed/>
    <w:rsid w:val="005B1665"/>
    <w:pPr>
      <w:spacing w:after="0" w:line="240" w:lineRule="auto"/>
      <w:jc w:val="left"/>
    </w:pPr>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5B1665"/>
    <w:rPr>
      <w:rFonts w:ascii="Calibri" w:eastAsiaTheme="minorHAns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6438446">
      <w:bodyDiv w:val="1"/>
      <w:marLeft w:val="0"/>
      <w:marRight w:val="0"/>
      <w:marTop w:val="0"/>
      <w:marBottom w:val="0"/>
      <w:divBdr>
        <w:top w:val="none" w:sz="0" w:space="0" w:color="auto"/>
        <w:left w:val="none" w:sz="0" w:space="0" w:color="auto"/>
        <w:bottom w:val="none" w:sz="0" w:space="0" w:color="auto"/>
        <w:right w:val="none" w:sz="0" w:space="0" w:color="auto"/>
      </w:divBdr>
    </w:div>
    <w:div w:id="92627430">
      <w:bodyDiv w:val="1"/>
      <w:marLeft w:val="0"/>
      <w:marRight w:val="0"/>
      <w:marTop w:val="0"/>
      <w:marBottom w:val="0"/>
      <w:divBdr>
        <w:top w:val="none" w:sz="0" w:space="0" w:color="auto"/>
        <w:left w:val="none" w:sz="0" w:space="0" w:color="auto"/>
        <w:bottom w:val="none" w:sz="0" w:space="0" w:color="auto"/>
        <w:right w:val="none" w:sz="0" w:space="0" w:color="auto"/>
      </w:divBdr>
      <w:divsChild>
        <w:div w:id="109709226">
          <w:marLeft w:val="1267"/>
          <w:marRight w:val="0"/>
          <w:marTop w:val="0"/>
          <w:marBottom w:val="0"/>
          <w:divBdr>
            <w:top w:val="none" w:sz="0" w:space="0" w:color="auto"/>
            <w:left w:val="none" w:sz="0" w:space="0" w:color="auto"/>
            <w:bottom w:val="none" w:sz="0" w:space="0" w:color="auto"/>
            <w:right w:val="none" w:sz="0" w:space="0" w:color="auto"/>
          </w:divBdr>
        </w:div>
      </w:divsChild>
    </w:div>
    <w:div w:id="219707477">
      <w:bodyDiv w:val="1"/>
      <w:marLeft w:val="0"/>
      <w:marRight w:val="0"/>
      <w:marTop w:val="0"/>
      <w:marBottom w:val="0"/>
      <w:divBdr>
        <w:top w:val="none" w:sz="0" w:space="0" w:color="auto"/>
        <w:left w:val="none" w:sz="0" w:space="0" w:color="auto"/>
        <w:bottom w:val="none" w:sz="0" w:space="0" w:color="auto"/>
        <w:right w:val="none" w:sz="0" w:space="0" w:color="auto"/>
      </w:divBdr>
      <w:divsChild>
        <w:div w:id="1226797114">
          <w:marLeft w:val="446"/>
          <w:marRight w:val="0"/>
          <w:marTop w:val="0"/>
          <w:marBottom w:val="0"/>
          <w:divBdr>
            <w:top w:val="none" w:sz="0" w:space="0" w:color="auto"/>
            <w:left w:val="none" w:sz="0" w:space="0" w:color="auto"/>
            <w:bottom w:val="none" w:sz="0" w:space="0" w:color="auto"/>
            <w:right w:val="none" w:sz="0" w:space="0" w:color="auto"/>
          </w:divBdr>
        </w:div>
        <w:div w:id="1218584735">
          <w:marLeft w:val="446"/>
          <w:marRight w:val="0"/>
          <w:marTop w:val="0"/>
          <w:marBottom w:val="0"/>
          <w:divBdr>
            <w:top w:val="none" w:sz="0" w:space="0" w:color="auto"/>
            <w:left w:val="none" w:sz="0" w:space="0" w:color="auto"/>
            <w:bottom w:val="none" w:sz="0" w:space="0" w:color="auto"/>
            <w:right w:val="none" w:sz="0" w:space="0" w:color="auto"/>
          </w:divBdr>
        </w:div>
      </w:divsChild>
    </w:div>
    <w:div w:id="276527857">
      <w:bodyDiv w:val="1"/>
      <w:marLeft w:val="0"/>
      <w:marRight w:val="0"/>
      <w:marTop w:val="0"/>
      <w:marBottom w:val="0"/>
      <w:divBdr>
        <w:top w:val="none" w:sz="0" w:space="0" w:color="auto"/>
        <w:left w:val="none" w:sz="0" w:space="0" w:color="auto"/>
        <w:bottom w:val="none" w:sz="0" w:space="0" w:color="auto"/>
        <w:right w:val="none" w:sz="0" w:space="0" w:color="auto"/>
      </w:divBdr>
    </w:div>
    <w:div w:id="393508241">
      <w:bodyDiv w:val="1"/>
      <w:marLeft w:val="0"/>
      <w:marRight w:val="0"/>
      <w:marTop w:val="0"/>
      <w:marBottom w:val="0"/>
      <w:divBdr>
        <w:top w:val="none" w:sz="0" w:space="0" w:color="auto"/>
        <w:left w:val="none" w:sz="0" w:space="0" w:color="auto"/>
        <w:bottom w:val="none" w:sz="0" w:space="0" w:color="auto"/>
        <w:right w:val="none" w:sz="0" w:space="0" w:color="auto"/>
      </w:divBdr>
    </w:div>
    <w:div w:id="409273470">
      <w:bodyDiv w:val="1"/>
      <w:marLeft w:val="0"/>
      <w:marRight w:val="0"/>
      <w:marTop w:val="0"/>
      <w:marBottom w:val="0"/>
      <w:divBdr>
        <w:top w:val="none" w:sz="0" w:space="0" w:color="auto"/>
        <w:left w:val="none" w:sz="0" w:space="0" w:color="auto"/>
        <w:bottom w:val="none" w:sz="0" w:space="0" w:color="auto"/>
        <w:right w:val="none" w:sz="0" w:space="0" w:color="auto"/>
      </w:divBdr>
    </w:div>
    <w:div w:id="606499992">
      <w:bodyDiv w:val="1"/>
      <w:marLeft w:val="0"/>
      <w:marRight w:val="0"/>
      <w:marTop w:val="0"/>
      <w:marBottom w:val="0"/>
      <w:divBdr>
        <w:top w:val="none" w:sz="0" w:space="0" w:color="auto"/>
        <w:left w:val="none" w:sz="0" w:space="0" w:color="auto"/>
        <w:bottom w:val="none" w:sz="0" w:space="0" w:color="auto"/>
        <w:right w:val="none" w:sz="0" w:space="0" w:color="auto"/>
      </w:divBdr>
      <w:divsChild>
        <w:div w:id="515123521">
          <w:marLeft w:val="446"/>
          <w:marRight w:val="0"/>
          <w:marTop w:val="0"/>
          <w:marBottom w:val="0"/>
          <w:divBdr>
            <w:top w:val="none" w:sz="0" w:space="0" w:color="auto"/>
            <w:left w:val="none" w:sz="0" w:space="0" w:color="auto"/>
            <w:bottom w:val="none" w:sz="0" w:space="0" w:color="auto"/>
            <w:right w:val="none" w:sz="0" w:space="0" w:color="auto"/>
          </w:divBdr>
        </w:div>
        <w:div w:id="1236936774">
          <w:marLeft w:val="446"/>
          <w:marRight w:val="0"/>
          <w:marTop w:val="0"/>
          <w:marBottom w:val="0"/>
          <w:divBdr>
            <w:top w:val="none" w:sz="0" w:space="0" w:color="auto"/>
            <w:left w:val="none" w:sz="0" w:space="0" w:color="auto"/>
            <w:bottom w:val="none" w:sz="0" w:space="0" w:color="auto"/>
            <w:right w:val="none" w:sz="0" w:space="0" w:color="auto"/>
          </w:divBdr>
        </w:div>
      </w:divsChild>
    </w:div>
    <w:div w:id="756632768">
      <w:bodyDiv w:val="1"/>
      <w:marLeft w:val="0"/>
      <w:marRight w:val="0"/>
      <w:marTop w:val="0"/>
      <w:marBottom w:val="0"/>
      <w:divBdr>
        <w:top w:val="none" w:sz="0" w:space="0" w:color="auto"/>
        <w:left w:val="none" w:sz="0" w:space="0" w:color="auto"/>
        <w:bottom w:val="none" w:sz="0" w:space="0" w:color="auto"/>
        <w:right w:val="none" w:sz="0" w:space="0" w:color="auto"/>
      </w:divBdr>
    </w:div>
    <w:div w:id="868103619">
      <w:bodyDiv w:val="1"/>
      <w:marLeft w:val="0"/>
      <w:marRight w:val="0"/>
      <w:marTop w:val="0"/>
      <w:marBottom w:val="0"/>
      <w:divBdr>
        <w:top w:val="none" w:sz="0" w:space="0" w:color="auto"/>
        <w:left w:val="none" w:sz="0" w:space="0" w:color="auto"/>
        <w:bottom w:val="none" w:sz="0" w:space="0" w:color="auto"/>
        <w:right w:val="none" w:sz="0" w:space="0" w:color="auto"/>
      </w:divBdr>
    </w:div>
    <w:div w:id="878131765">
      <w:bodyDiv w:val="1"/>
      <w:marLeft w:val="0"/>
      <w:marRight w:val="0"/>
      <w:marTop w:val="0"/>
      <w:marBottom w:val="0"/>
      <w:divBdr>
        <w:top w:val="none" w:sz="0" w:space="0" w:color="auto"/>
        <w:left w:val="none" w:sz="0" w:space="0" w:color="auto"/>
        <w:bottom w:val="none" w:sz="0" w:space="0" w:color="auto"/>
        <w:right w:val="none" w:sz="0" w:space="0" w:color="auto"/>
      </w:divBdr>
    </w:div>
    <w:div w:id="932396997">
      <w:bodyDiv w:val="1"/>
      <w:marLeft w:val="0"/>
      <w:marRight w:val="0"/>
      <w:marTop w:val="0"/>
      <w:marBottom w:val="0"/>
      <w:divBdr>
        <w:top w:val="none" w:sz="0" w:space="0" w:color="auto"/>
        <w:left w:val="none" w:sz="0" w:space="0" w:color="auto"/>
        <w:bottom w:val="none" w:sz="0" w:space="0" w:color="auto"/>
        <w:right w:val="none" w:sz="0" w:space="0" w:color="auto"/>
      </w:divBdr>
    </w:div>
    <w:div w:id="1002701468">
      <w:bodyDiv w:val="1"/>
      <w:marLeft w:val="0"/>
      <w:marRight w:val="0"/>
      <w:marTop w:val="0"/>
      <w:marBottom w:val="0"/>
      <w:divBdr>
        <w:top w:val="none" w:sz="0" w:space="0" w:color="auto"/>
        <w:left w:val="none" w:sz="0" w:space="0" w:color="auto"/>
        <w:bottom w:val="none" w:sz="0" w:space="0" w:color="auto"/>
        <w:right w:val="none" w:sz="0" w:space="0" w:color="auto"/>
      </w:divBdr>
    </w:div>
    <w:div w:id="1031225651">
      <w:bodyDiv w:val="1"/>
      <w:marLeft w:val="0"/>
      <w:marRight w:val="0"/>
      <w:marTop w:val="0"/>
      <w:marBottom w:val="0"/>
      <w:divBdr>
        <w:top w:val="none" w:sz="0" w:space="0" w:color="auto"/>
        <w:left w:val="none" w:sz="0" w:space="0" w:color="auto"/>
        <w:bottom w:val="none" w:sz="0" w:space="0" w:color="auto"/>
        <w:right w:val="none" w:sz="0" w:space="0" w:color="auto"/>
      </w:divBdr>
    </w:div>
    <w:div w:id="1076131018">
      <w:bodyDiv w:val="1"/>
      <w:marLeft w:val="0"/>
      <w:marRight w:val="0"/>
      <w:marTop w:val="0"/>
      <w:marBottom w:val="0"/>
      <w:divBdr>
        <w:top w:val="none" w:sz="0" w:space="0" w:color="auto"/>
        <w:left w:val="none" w:sz="0" w:space="0" w:color="auto"/>
        <w:bottom w:val="none" w:sz="0" w:space="0" w:color="auto"/>
        <w:right w:val="none" w:sz="0" w:space="0" w:color="auto"/>
      </w:divBdr>
    </w:div>
    <w:div w:id="1094740375">
      <w:bodyDiv w:val="1"/>
      <w:marLeft w:val="0"/>
      <w:marRight w:val="0"/>
      <w:marTop w:val="0"/>
      <w:marBottom w:val="0"/>
      <w:divBdr>
        <w:top w:val="none" w:sz="0" w:space="0" w:color="auto"/>
        <w:left w:val="none" w:sz="0" w:space="0" w:color="auto"/>
        <w:bottom w:val="none" w:sz="0" w:space="0" w:color="auto"/>
        <w:right w:val="none" w:sz="0" w:space="0" w:color="auto"/>
      </w:divBdr>
      <w:divsChild>
        <w:div w:id="890076274">
          <w:marLeft w:val="446"/>
          <w:marRight w:val="0"/>
          <w:marTop w:val="0"/>
          <w:marBottom w:val="0"/>
          <w:divBdr>
            <w:top w:val="none" w:sz="0" w:space="0" w:color="auto"/>
            <w:left w:val="none" w:sz="0" w:space="0" w:color="auto"/>
            <w:bottom w:val="none" w:sz="0" w:space="0" w:color="auto"/>
            <w:right w:val="none" w:sz="0" w:space="0" w:color="auto"/>
          </w:divBdr>
        </w:div>
      </w:divsChild>
    </w:div>
    <w:div w:id="1126124166">
      <w:bodyDiv w:val="1"/>
      <w:marLeft w:val="0"/>
      <w:marRight w:val="0"/>
      <w:marTop w:val="0"/>
      <w:marBottom w:val="0"/>
      <w:divBdr>
        <w:top w:val="none" w:sz="0" w:space="0" w:color="auto"/>
        <w:left w:val="none" w:sz="0" w:space="0" w:color="auto"/>
        <w:bottom w:val="none" w:sz="0" w:space="0" w:color="auto"/>
        <w:right w:val="none" w:sz="0" w:space="0" w:color="auto"/>
      </w:divBdr>
    </w:div>
    <w:div w:id="1143699625">
      <w:bodyDiv w:val="1"/>
      <w:marLeft w:val="0"/>
      <w:marRight w:val="0"/>
      <w:marTop w:val="0"/>
      <w:marBottom w:val="0"/>
      <w:divBdr>
        <w:top w:val="none" w:sz="0" w:space="0" w:color="auto"/>
        <w:left w:val="none" w:sz="0" w:space="0" w:color="auto"/>
        <w:bottom w:val="none" w:sz="0" w:space="0" w:color="auto"/>
        <w:right w:val="none" w:sz="0" w:space="0" w:color="auto"/>
      </w:divBdr>
    </w:div>
    <w:div w:id="1172792957">
      <w:bodyDiv w:val="1"/>
      <w:marLeft w:val="0"/>
      <w:marRight w:val="0"/>
      <w:marTop w:val="0"/>
      <w:marBottom w:val="0"/>
      <w:divBdr>
        <w:top w:val="none" w:sz="0" w:space="0" w:color="auto"/>
        <w:left w:val="none" w:sz="0" w:space="0" w:color="auto"/>
        <w:bottom w:val="none" w:sz="0" w:space="0" w:color="auto"/>
        <w:right w:val="none" w:sz="0" w:space="0" w:color="auto"/>
      </w:divBdr>
    </w:div>
    <w:div w:id="1225529033">
      <w:bodyDiv w:val="1"/>
      <w:marLeft w:val="0"/>
      <w:marRight w:val="0"/>
      <w:marTop w:val="0"/>
      <w:marBottom w:val="0"/>
      <w:divBdr>
        <w:top w:val="none" w:sz="0" w:space="0" w:color="auto"/>
        <w:left w:val="none" w:sz="0" w:space="0" w:color="auto"/>
        <w:bottom w:val="none" w:sz="0" w:space="0" w:color="auto"/>
        <w:right w:val="none" w:sz="0" w:space="0" w:color="auto"/>
      </w:divBdr>
    </w:div>
    <w:div w:id="1230918737">
      <w:bodyDiv w:val="1"/>
      <w:marLeft w:val="0"/>
      <w:marRight w:val="0"/>
      <w:marTop w:val="0"/>
      <w:marBottom w:val="0"/>
      <w:divBdr>
        <w:top w:val="none" w:sz="0" w:space="0" w:color="auto"/>
        <w:left w:val="none" w:sz="0" w:space="0" w:color="auto"/>
        <w:bottom w:val="none" w:sz="0" w:space="0" w:color="auto"/>
        <w:right w:val="none" w:sz="0" w:space="0" w:color="auto"/>
      </w:divBdr>
    </w:div>
    <w:div w:id="1236940534">
      <w:bodyDiv w:val="1"/>
      <w:marLeft w:val="0"/>
      <w:marRight w:val="0"/>
      <w:marTop w:val="0"/>
      <w:marBottom w:val="0"/>
      <w:divBdr>
        <w:top w:val="none" w:sz="0" w:space="0" w:color="auto"/>
        <w:left w:val="none" w:sz="0" w:space="0" w:color="auto"/>
        <w:bottom w:val="none" w:sz="0" w:space="0" w:color="auto"/>
        <w:right w:val="none" w:sz="0" w:space="0" w:color="auto"/>
      </w:divBdr>
    </w:div>
    <w:div w:id="1425490806">
      <w:bodyDiv w:val="1"/>
      <w:marLeft w:val="0"/>
      <w:marRight w:val="0"/>
      <w:marTop w:val="0"/>
      <w:marBottom w:val="0"/>
      <w:divBdr>
        <w:top w:val="none" w:sz="0" w:space="0" w:color="auto"/>
        <w:left w:val="none" w:sz="0" w:space="0" w:color="auto"/>
        <w:bottom w:val="none" w:sz="0" w:space="0" w:color="auto"/>
        <w:right w:val="none" w:sz="0" w:space="0" w:color="auto"/>
      </w:divBdr>
      <w:divsChild>
        <w:div w:id="1472359931">
          <w:marLeft w:val="0"/>
          <w:marRight w:val="0"/>
          <w:marTop w:val="0"/>
          <w:marBottom w:val="0"/>
          <w:divBdr>
            <w:top w:val="none" w:sz="0" w:space="0" w:color="auto"/>
            <w:left w:val="none" w:sz="0" w:space="0" w:color="auto"/>
            <w:bottom w:val="none" w:sz="0" w:space="0" w:color="auto"/>
            <w:right w:val="none" w:sz="0" w:space="0" w:color="auto"/>
          </w:divBdr>
          <w:divsChild>
            <w:div w:id="604532022">
              <w:marLeft w:val="0"/>
              <w:marRight w:val="0"/>
              <w:marTop w:val="0"/>
              <w:marBottom w:val="0"/>
              <w:divBdr>
                <w:top w:val="none" w:sz="0" w:space="0" w:color="auto"/>
                <w:left w:val="none" w:sz="0" w:space="0" w:color="auto"/>
                <w:bottom w:val="none" w:sz="0" w:space="0" w:color="auto"/>
                <w:right w:val="none" w:sz="0" w:space="0" w:color="auto"/>
              </w:divBdr>
              <w:divsChild>
                <w:div w:id="566263648">
                  <w:marLeft w:val="0"/>
                  <w:marRight w:val="0"/>
                  <w:marTop w:val="0"/>
                  <w:marBottom w:val="0"/>
                  <w:divBdr>
                    <w:top w:val="none" w:sz="0" w:space="0" w:color="auto"/>
                    <w:left w:val="none" w:sz="0" w:space="0" w:color="auto"/>
                    <w:bottom w:val="none" w:sz="0" w:space="0" w:color="auto"/>
                    <w:right w:val="none" w:sz="0" w:space="0" w:color="auto"/>
                  </w:divBdr>
                  <w:divsChild>
                    <w:div w:id="630134239">
                      <w:marLeft w:val="0"/>
                      <w:marRight w:val="0"/>
                      <w:marTop w:val="0"/>
                      <w:marBottom w:val="0"/>
                      <w:divBdr>
                        <w:top w:val="none" w:sz="0" w:space="0" w:color="auto"/>
                        <w:left w:val="none" w:sz="0" w:space="0" w:color="auto"/>
                        <w:bottom w:val="none" w:sz="0" w:space="0" w:color="auto"/>
                        <w:right w:val="none" w:sz="0" w:space="0" w:color="auto"/>
                      </w:divBdr>
                      <w:divsChild>
                        <w:div w:id="13263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683327">
      <w:bodyDiv w:val="1"/>
      <w:marLeft w:val="0"/>
      <w:marRight w:val="0"/>
      <w:marTop w:val="0"/>
      <w:marBottom w:val="0"/>
      <w:divBdr>
        <w:top w:val="none" w:sz="0" w:space="0" w:color="auto"/>
        <w:left w:val="none" w:sz="0" w:space="0" w:color="auto"/>
        <w:bottom w:val="none" w:sz="0" w:space="0" w:color="auto"/>
        <w:right w:val="none" w:sz="0" w:space="0" w:color="auto"/>
      </w:divBdr>
    </w:div>
    <w:div w:id="1509056509">
      <w:bodyDiv w:val="1"/>
      <w:marLeft w:val="0"/>
      <w:marRight w:val="0"/>
      <w:marTop w:val="0"/>
      <w:marBottom w:val="0"/>
      <w:divBdr>
        <w:top w:val="none" w:sz="0" w:space="0" w:color="auto"/>
        <w:left w:val="none" w:sz="0" w:space="0" w:color="auto"/>
        <w:bottom w:val="none" w:sz="0" w:space="0" w:color="auto"/>
        <w:right w:val="none" w:sz="0" w:space="0" w:color="auto"/>
      </w:divBdr>
    </w:div>
    <w:div w:id="1653943552">
      <w:bodyDiv w:val="1"/>
      <w:marLeft w:val="0"/>
      <w:marRight w:val="0"/>
      <w:marTop w:val="0"/>
      <w:marBottom w:val="0"/>
      <w:divBdr>
        <w:top w:val="none" w:sz="0" w:space="0" w:color="auto"/>
        <w:left w:val="none" w:sz="0" w:space="0" w:color="auto"/>
        <w:bottom w:val="none" w:sz="0" w:space="0" w:color="auto"/>
        <w:right w:val="none" w:sz="0" w:space="0" w:color="auto"/>
      </w:divBdr>
    </w:div>
    <w:div w:id="1696271946">
      <w:bodyDiv w:val="1"/>
      <w:marLeft w:val="0"/>
      <w:marRight w:val="0"/>
      <w:marTop w:val="0"/>
      <w:marBottom w:val="0"/>
      <w:divBdr>
        <w:top w:val="none" w:sz="0" w:space="0" w:color="auto"/>
        <w:left w:val="none" w:sz="0" w:space="0" w:color="auto"/>
        <w:bottom w:val="none" w:sz="0" w:space="0" w:color="auto"/>
        <w:right w:val="none" w:sz="0" w:space="0" w:color="auto"/>
      </w:divBdr>
    </w:div>
    <w:div w:id="1853106015">
      <w:bodyDiv w:val="1"/>
      <w:marLeft w:val="0"/>
      <w:marRight w:val="0"/>
      <w:marTop w:val="0"/>
      <w:marBottom w:val="0"/>
      <w:divBdr>
        <w:top w:val="none" w:sz="0" w:space="0" w:color="auto"/>
        <w:left w:val="none" w:sz="0" w:space="0" w:color="auto"/>
        <w:bottom w:val="none" w:sz="0" w:space="0" w:color="auto"/>
        <w:right w:val="none" w:sz="0" w:space="0" w:color="auto"/>
      </w:divBdr>
    </w:div>
    <w:div w:id="1988775788">
      <w:bodyDiv w:val="1"/>
      <w:marLeft w:val="0"/>
      <w:marRight w:val="0"/>
      <w:marTop w:val="0"/>
      <w:marBottom w:val="0"/>
      <w:divBdr>
        <w:top w:val="none" w:sz="0" w:space="0" w:color="auto"/>
        <w:left w:val="none" w:sz="0" w:space="0" w:color="auto"/>
        <w:bottom w:val="none" w:sz="0" w:space="0" w:color="auto"/>
        <w:right w:val="none" w:sz="0" w:space="0" w:color="auto"/>
      </w:divBdr>
    </w:div>
    <w:div w:id="2071421848">
      <w:bodyDiv w:val="1"/>
      <w:marLeft w:val="0"/>
      <w:marRight w:val="0"/>
      <w:marTop w:val="0"/>
      <w:marBottom w:val="0"/>
      <w:divBdr>
        <w:top w:val="none" w:sz="0" w:space="0" w:color="auto"/>
        <w:left w:val="none" w:sz="0" w:space="0" w:color="auto"/>
        <w:bottom w:val="none" w:sz="0" w:space="0" w:color="auto"/>
        <w:right w:val="none" w:sz="0" w:space="0" w:color="auto"/>
      </w:divBdr>
    </w:div>
    <w:div w:id="2129740544">
      <w:bodyDiv w:val="1"/>
      <w:marLeft w:val="0"/>
      <w:marRight w:val="0"/>
      <w:marTop w:val="0"/>
      <w:marBottom w:val="0"/>
      <w:divBdr>
        <w:top w:val="none" w:sz="0" w:space="0" w:color="auto"/>
        <w:left w:val="none" w:sz="0" w:space="0" w:color="auto"/>
        <w:bottom w:val="none" w:sz="0" w:space="0" w:color="auto"/>
        <w:right w:val="none" w:sz="0" w:space="0" w:color="auto"/>
      </w:divBdr>
    </w:div>
    <w:div w:id="2133472207">
      <w:bodyDiv w:val="1"/>
      <w:marLeft w:val="0"/>
      <w:marRight w:val="0"/>
      <w:marTop w:val="0"/>
      <w:marBottom w:val="0"/>
      <w:divBdr>
        <w:top w:val="none" w:sz="0" w:space="0" w:color="auto"/>
        <w:left w:val="none" w:sz="0" w:space="0" w:color="auto"/>
        <w:bottom w:val="none" w:sz="0" w:space="0" w:color="auto"/>
        <w:right w:val="none" w:sz="0" w:space="0" w:color="auto"/>
      </w:divBdr>
    </w:div>
    <w:div w:id="2142532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image" Target="media/image1.png"/><Relationship Id="rId42" Type="http://schemas.openxmlformats.org/officeDocument/2006/relationships/image" Target="media/image22.png"/><Relationship Id="rId47" Type="http://schemas.openxmlformats.org/officeDocument/2006/relationships/image" Target="media/image27.emf"/><Relationship Id="rId63" Type="http://schemas.openxmlformats.org/officeDocument/2006/relationships/image" Target="media/image43.emf"/><Relationship Id="rId68" Type="http://schemas.openxmlformats.org/officeDocument/2006/relationships/image" Target="media/image48.emf"/><Relationship Id="rId84" Type="http://schemas.openxmlformats.org/officeDocument/2006/relationships/customXml" Target="../customXml/item3.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image" Target="media/image12.emf"/><Relationship Id="rId37" Type="http://schemas.openxmlformats.org/officeDocument/2006/relationships/image" Target="media/image17.emf"/><Relationship Id="rId53" Type="http://schemas.openxmlformats.org/officeDocument/2006/relationships/image" Target="media/image33.emf"/><Relationship Id="rId58" Type="http://schemas.openxmlformats.org/officeDocument/2006/relationships/image" Target="media/image38.png"/><Relationship Id="rId74" Type="http://schemas.openxmlformats.org/officeDocument/2006/relationships/image" Target="media/image54.emf"/><Relationship Id="rId79" Type="http://schemas.openxmlformats.org/officeDocument/2006/relationships/header" Target="header9.xml"/><Relationship Id="rId5" Type="http://schemas.openxmlformats.org/officeDocument/2006/relationships/settings" Target="settings.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image" Target="media/image49.emf"/><Relationship Id="rId77"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image" Target="media/image31.emf"/><Relationship Id="rId72" Type="http://schemas.openxmlformats.org/officeDocument/2006/relationships/image" Target="media/image52.emf"/><Relationship Id="rId80" Type="http://schemas.openxmlformats.org/officeDocument/2006/relationships/footer" Target="footer9.xml"/><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image" Target="media/image39.png"/><Relationship Id="rId67" Type="http://schemas.openxmlformats.org/officeDocument/2006/relationships/image" Target="media/image47.emf"/><Relationship Id="rId20" Type="http://schemas.openxmlformats.org/officeDocument/2006/relationships/footer" Target="footer6.xml"/><Relationship Id="rId41" Type="http://schemas.openxmlformats.org/officeDocument/2006/relationships/image" Target="media/image21.e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header" Target="header7.xml"/><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image" Target="media/image37.png"/><Relationship Id="rId10" Type="http://schemas.openxmlformats.org/officeDocument/2006/relationships/header" Target="header2.xml"/><Relationship Id="rId31" Type="http://schemas.openxmlformats.org/officeDocument/2006/relationships/image" Target="media/image11.emf"/><Relationship Id="rId44" Type="http://schemas.openxmlformats.org/officeDocument/2006/relationships/image" Target="media/image24.png"/><Relationship Id="rId52" Type="http://schemas.openxmlformats.org/officeDocument/2006/relationships/image" Target="media/image32.emf"/><Relationship Id="rId60" Type="http://schemas.openxmlformats.org/officeDocument/2006/relationships/image" Target="media/image40.png"/><Relationship Id="rId65" Type="http://schemas.openxmlformats.org/officeDocument/2006/relationships/image" Target="media/image45.emf"/><Relationship Id="rId73" Type="http://schemas.openxmlformats.org/officeDocument/2006/relationships/image" Target="media/image53.emf"/><Relationship Id="rId78" Type="http://schemas.openxmlformats.org/officeDocument/2006/relationships/footer" Target="footer8.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9.emf"/><Relationship Id="rId34" Type="http://schemas.openxmlformats.org/officeDocument/2006/relationships/image" Target="media/image14.emf"/><Relationship Id="rId50" Type="http://schemas.openxmlformats.org/officeDocument/2006/relationships/image" Target="media/image30.emf"/><Relationship Id="rId55" Type="http://schemas.openxmlformats.org/officeDocument/2006/relationships/image" Target="media/image35.png"/><Relationship Id="rId76"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image" Target="media/image51.emf"/><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emf"/><Relationship Id="rId40" Type="http://schemas.openxmlformats.org/officeDocument/2006/relationships/image" Target="media/image20.emf"/><Relationship Id="rId45" Type="http://schemas.openxmlformats.org/officeDocument/2006/relationships/image" Target="media/image25.emf"/><Relationship Id="rId66" Type="http://schemas.openxmlformats.org/officeDocument/2006/relationships/image" Target="media/image46.emf"/><Relationship Id="rId61" Type="http://schemas.openxmlformats.org/officeDocument/2006/relationships/image" Target="media/image41.emf"/><Relationship Id="rId8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TaxCatchAll xmlns="cb9114c1-daad-44dd-acad-30f4246641f2">
      <Value>96</Value>
      <Value>94</Value>
      <Value>107</Value>
      <Value>128</Value>
    </TaxCatchAll>
    <PublishingStartDate xmlns="76b566cd-adb9-46c2-964b-22eba181fd0b" xsi:nil="true"/>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Training Providers</TermName>
          <TermId xmlns="http://schemas.microsoft.com/office/infopath/2007/PartnerControls">4678ec9c-7948-40c9-b14d-b0149fe9985e</TermId>
        </TermInfo>
      </Terms>
    </b1688cb4a3a940449dc8286705012a42>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f1e22bdf-3d18-4ee3-a232-8974cf02f396</TermId>
        </TermInfo>
      </Terms>
    </a319977fc8504e09982f090ae1d7c602>
    <DEECD_Publisher xmlns="http://schemas.microsoft.com/sharepoint/v3">Department of Education and Early Childhood Development</DEECD_Publisher>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6dd5b576-1960-4eea-bf7a-adeffddbbc25</TermId>
        </TermInfo>
      </Terms>
    </pfad5814e62747ed9f131defefc62dac>
    <DEECD_Expired xmlns="http://schemas.microsoft.com/sharepoint/v3">false</DEECD_Expired>
    <DEECD_Keywords xmlns="http://schemas.microsoft.com/sharepoint/v3" xsi:nil="true"/>
    <DEECD_Description xmlns="http://schemas.microsoft.com/sharepoint/v3" xsi:nil="true"/>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AD468B0E-0EDB-4370-AA09-25CEF2605714}"/>
</file>

<file path=customXml/itemProps2.xml><?xml version="1.0" encoding="utf-8"?>
<ds:datastoreItem xmlns:ds="http://schemas.openxmlformats.org/officeDocument/2006/customXml" ds:itemID="{6E06903F-5858-4DB5-9C60-A34D8731F3F5}"/>
</file>

<file path=customXml/itemProps3.xml><?xml version="1.0" encoding="utf-8"?>
<ds:datastoreItem xmlns:ds="http://schemas.openxmlformats.org/officeDocument/2006/customXml" ds:itemID="{6611C345-612C-4D5D-BEE6-CAD5EB6F7E04}"/>
</file>

<file path=customXml/itemProps4.xml><?xml version="1.0" encoding="utf-8"?>
<ds:datastoreItem xmlns:ds="http://schemas.openxmlformats.org/officeDocument/2006/customXml" ds:itemID="{1E75EB0C-D1C5-4A25-A3C3-3C2F352742C2}"/>
</file>

<file path=docProps/app.xml><?xml version="1.0" encoding="utf-8"?>
<Properties xmlns="http://schemas.openxmlformats.org/officeDocument/2006/extended-properties" xmlns:vt="http://schemas.openxmlformats.org/officeDocument/2006/docPropsVTypes">
  <Template>Normal.dotm</Template>
  <TotalTime>0</TotalTime>
  <Pages>50</Pages>
  <Words>11491</Words>
  <Characters>64350</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Report</vt:lpstr>
    </vt:vector>
  </TitlesOfParts>
  <Company>DEECD</Company>
  <LinksUpToDate>false</LinksUpToDate>
  <CharactersWithSpaces>75690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Training Market Quarterly Report - Q1 2013</dc:title>
  <dc:creator>Author</dc:creator>
  <cp:lastModifiedBy>Miller, Peter A</cp:lastModifiedBy>
  <cp:revision>2</cp:revision>
  <cp:lastPrinted>2013-06-20T23:57:00Z</cp:lastPrinted>
  <dcterms:created xsi:type="dcterms:W3CDTF">2013-06-25T04:00:00Z</dcterms:created>
  <dcterms:modified xsi:type="dcterms:W3CDTF">2013-06-25T04:00:00Z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19</vt:lpwstr>
  </property>
  <property fmtid="{D5CDD505-2E9C-101B-9397-08002B2CF9AE}" pid="3" name="Word Ver">
    <vt:lpwstr>2003</vt:lpwstr>
  </property>
  <property fmtid="{D5CDD505-2E9C-101B-9397-08002B2CF9AE}" pid="4" name="ContentTypeId">
    <vt:lpwstr>0x0101008840106FE30D4F50BC61A726A7CA6E3800A01D47DD30CBB54F95863B7DC80A2CEC</vt:lpwstr>
  </property>
  <property fmtid="{D5CDD505-2E9C-101B-9397-08002B2CF9AE}" pid="5" name="PublishingExpirationDate">
    <vt:lpwstr/>
  </property>
  <property fmtid="{D5CDD505-2E9C-101B-9397-08002B2CF9AE}" pid="6" name="PublishingStartDate">
    <vt:lpwstr/>
  </property>
  <property fmtid="{D5CDD505-2E9C-101B-9397-08002B2CF9AE}" pid="7" name="Visible">
    <vt:lpwstr>1</vt:lpwstr>
  </property>
  <property fmtid="{D5CDD505-2E9C-101B-9397-08002B2CF9AE}" pid="8" name="FooterText_Name">
    <vt:lpwstr>Victorian Training Market Quarterly Report</vt:lpwstr>
  </property>
  <property fmtid="{D5CDD505-2E9C-101B-9397-08002B2CF9AE}" pid="9" name="FooterText_Period">
    <vt:lpwstr>Q3 2012</vt:lpwstr>
  </property>
  <property fmtid="{D5CDD505-2E9C-101B-9397-08002B2CF9AE}" pid="10" name="DEECD_Author">
    <vt:lpwstr>94;#Education|5232e41c-5101-41fe-b638-7d41d1371531</vt:lpwstr>
  </property>
  <property fmtid="{D5CDD505-2E9C-101B-9397-08002B2CF9AE}" pid="11" name="DEECD_SubjectCategory">
    <vt:lpwstr>96;#Administration|6dd5b576-1960-4eea-bf7a-adeffddbbc25</vt:lpwstr>
  </property>
  <property fmtid="{D5CDD505-2E9C-101B-9397-08002B2CF9AE}" pid="12" name="DEECD_PageLanguage">
    <vt:lpwstr>1;#en-AU|09a79c66-a57f-4b52-ac52-4c16941cab37</vt:lpwstr>
  </property>
  <property fmtid="{D5CDD505-2E9C-101B-9397-08002B2CF9AE}" pid="13" name="DEECD_ItemType">
    <vt:lpwstr>107;#Report|f1e22bdf-3d18-4ee3-a232-8974cf02f396</vt:lpwstr>
  </property>
  <property fmtid="{D5CDD505-2E9C-101B-9397-08002B2CF9AE}" pid="14" name="DEECD_Audience">
    <vt:lpwstr>128;#Training Providers|4678ec9c-7948-40c9-b14d-b0149fe9985e</vt:lpwstr>
  </property>
</Properties>
</file>